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8A50C" w14:textId="59FED695" w:rsidR="00C550D6" w:rsidRPr="00CE5E0C" w:rsidRDefault="00C550D6" w:rsidP="000E346C">
      <w:pPr>
        <w:pStyle w:val="Heading1"/>
        <w:ind w:left="-142" w:hanging="142"/>
      </w:pPr>
      <w:r>
        <w:t>INTERIM FINANCIAL REPORT</w:t>
      </w:r>
    </w:p>
    <w:p w14:paraId="1CC072F0" w14:textId="77777777" w:rsidR="00C550D6" w:rsidRDefault="00C550D6" w:rsidP="000E346C">
      <w:pPr>
        <w:pStyle w:val="Heading2"/>
        <w:ind w:left="-142" w:hanging="142"/>
        <w:rPr>
          <w:sz w:val="28"/>
          <w:szCs w:val="28"/>
        </w:rPr>
      </w:pPr>
      <w:r>
        <w:rPr>
          <w:sz w:val="28"/>
          <w:szCs w:val="28"/>
        </w:rPr>
        <w:t>F</w:t>
      </w:r>
      <w:r w:rsidRPr="00E34FD1">
        <w:rPr>
          <w:sz w:val="28"/>
          <w:szCs w:val="28"/>
        </w:rPr>
        <w:t xml:space="preserve">or the half year ended </w:t>
      </w:r>
      <w:r>
        <w:rPr>
          <w:sz w:val="28"/>
          <w:szCs w:val="28"/>
        </w:rPr>
        <w:t>25 March 2022</w:t>
      </w:r>
    </w:p>
    <w:p w14:paraId="12CBB648" w14:textId="316DD18B" w:rsidR="003235E7" w:rsidRDefault="003235E7" w:rsidP="003235E7">
      <w:pPr>
        <w:widowControl w:val="0"/>
        <w:autoSpaceDE w:val="0"/>
        <w:autoSpaceDN w:val="0"/>
        <w:spacing w:after="0" w:line="240" w:lineRule="auto"/>
        <w:ind w:left="-284" w:right="-472"/>
        <w:jc w:val="both"/>
        <w:rPr>
          <w:rFonts w:ascii="Calibri" w:eastAsia="Calibri" w:hAnsi="Calibri" w:cs="Arial"/>
          <w:b/>
          <w:sz w:val="18"/>
          <w:szCs w:val="18"/>
          <w:lang w:eastAsia="en-GB" w:bidi="en-GB"/>
        </w:rPr>
      </w:pPr>
    </w:p>
    <w:p w14:paraId="7657EFD6" w14:textId="1B105A12" w:rsidR="00374B93" w:rsidRDefault="001701A2" w:rsidP="000E346C">
      <w:pPr>
        <w:widowControl w:val="0"/>
        <w:tabs>
          <w:tab w:val="left" w:pos="2652"/>
        </w:tabs>
        <w:autoSpaceDE w:val="0"/>
        <w:autoSpaceDN w:val="0"/>
        <w:spacing w:after="0" w:line="240" w:lineRule="auto"/>
        <w:ind w:left="-284" w:right="-472"/>
        <w:jc w:val="both"/>
        <w:rPr>
          <w:rFonts w:ascii="Calibri" w:eastAsia="Calibri" w:hAnsi="Calibri" w:cs="Arial"/>
          <w:b/>
          <w:sz w:val="20"/>
          <w:szCs w:val="18"/>
          <w:lang w:eastAsia="en-GB" w:bidi="en-GB"/>
        </w:rPr>
      </w:pPr>
      <w:r>
        <w:rPr>
          <w:rFonts w:ascii="Calibri" w:eastAsia="Calibri" w:hAnsi="Calibri" w:cs="Arial"/>
          <w:b/>
          <w:sz w:val="18"/>
          <w:szCs w:val="18"/>
          <w:lang w:eastAsia="en-GB" w:bidi="en-GB"/>
        </w:rPr>
        <w:t>2</w:t>
      </w:r>
      <w:r w:rsidR="00FA0327">
        <w:rPr>
          <w:rFonts w:ascii="Calibri" w:eastAsia="Calibri" w:hAnsi="Calibri" w:cs="Arial"/>
          <w:b/>
          <w:sz w:val="18"/>
          <w:szCs w:val="18"/>
          <w:lang w:eastAsia="en-GB" w:bidi="en-GB"/>
        </w:rPr>
        <w:t>4</w:t>
      </w:r>
      <w:r w:rsidRPr="003C7BC3">
        <w:rPr>
          <w:rFonts w:ascii="Calibri" w:eastAsia="Calibri" w:hAnsi="Calibri" w:cs="Arial"/>
          <w:b/>
          <w:sz w:val="18"/>
          <w:szCs w:val="18"/>
          <w:lang w:eastAsia="en-GB" w:bidi="en-GB"/>
        </w:rPr>
        <w:t xml:space="preserve"> </w:t>
      </w:r>
      <w:r w:rsidR="003C7BC3" w:rsidRPr="003C7BC3">
        <w:rPr>
          <w:rFonts w:ascii="Calibri" w:eastAsia="Calibri" w:hAnsi="Calibri" w:cs="Arial"/>
          <w:b/>
          <w:sz w:val="18"/>
          <w:szCs w:val="18"/>
          <w:lang w:eastAsia="en-GB" w:bidi="en-GB"/>
        </w:rPr>
        <w:t xml:space="preserve">May </w:t>
      </w:r>
      <w:r w:rsidRPr="003C7BC3">
        <w:rPr>
          <w:rFonts w:ascii="Calibri" w:eastAsia="Calibri" w:hAnsi="Calibri" w:cs="Arial"/>
          <w:b/>
          <w:sz w:val="18"/>
          <w:szCs w:val="18"/>
          <w:lang w:eastAsia="en-GB" w:bidi="en-GB"/>
        </w:rPr>
        <w:t>202</w:t>
      </w:r>
      <w:r w:rsidR="00BD36DF">
        <w:rPr>
          <w:rFonts w:ascii="Calibri" w:eastAsia="Calibri" w:hAnsi="Calibri" w:cs="Arial"/>
          <w:b/>
          <w:sz w:val="18"/>
          <w:szCs w:val="18"/>
          <w:lang w:eastAsia="en-GB" w:bidi="en-GB"/>
        </w:rPr>
        <w:t>2</w:t>
      </w:r>
    </w:p>
    <w:p w14:paraId="5D5C2A4C" w14:textId="77777777" w:rsidR="000E346C" w:rsidRPr="000E346C" w:rsidRDefault="000E346C" w:rsidP="000E346C">
      <w:pPr>
        <w:widowControl w:val="0"/>
        <w:tabs>
          <w:tab w:val="left" w:pos="2652"/>
        </w:tabs>
        <w:autoSpaceDE w:val="0"/>
        <w:autoSpaceDN w:val="0"/>
        <w:spacing w:after="0" w:line="240" w:lineRule="auto"/>
        <w:ind w:left="-284" w:right="-472"/>
        <w:jc w:val="both"/>
        <w:rPr>
          <w:rFonts w:ascii="Calibri" w:eastAsia="Calibri" w:hAnsi="Calibri" w:cs="Arial"/>
          <w:b/>
          <w:sz w:val="20"/>
          <w:szCs w:val="18"/>
          <w:lang w:eastAsia="en-GB" w:bidi="en-GB"/>
        </w:rPr>
      </w:pPr>
    </w:p>
    <w:p w14:paraId="7F1A7147" w14:textId="49E9A822" w:rsidR="00FD4B3A" w:rsidRPr="009D373E" w:rsidRDefault="001A00C9" w:rsidP="001952EF">
      <w:pPr>
        <w:ind w:firstLine="720"/>
        <w:jc w:val="center"/>
        <w:rPr>
          <w:rFonts w:cs="Arial"/>
          <w:b/>
          <w:sz w:val="20"/>
          <w:szCs w:val="18"/>
        </w:rPr>
      </w:pPr>
      <w:r>
        <w:rPr>
          <w:rFonts w:cs="Arial"/>
          <w:b/>
          <w:sz w:val="20"/>
          <w:szCs w:val="18"/>
        </w:rPr>
        <w:t>Significant</w:t>
      </w:r>
      <w:r w:rsidR="00FD4B3A">
        <w:rPr>
          <w:rFonts w:cs="Arial"/>
          <w:b/>
          <w:sz w:val="20"/>
          <w:szCs w:val="18"/>
        </w:rPr>
        <w:t xml:space="preserve"> </w:t>
      </w:r>
      <w:r>
        <w:rPr>
          <w:rFonts w:cs="Arial"/>
          <w:b/>
          <w:sz w:val="20"/>
          <w:szCs w:val="18"/>
        </w:rPr>
        <w:t xml:space="preserve">improvement in </w:t>
      </w:r>
      <w:r w:rsidR="00FD4B3A" w:rsidRPr="009D373E">
        <w:rPr>
          <w:rFonts w:cs="Arial"/>
          <w:b/>
          <w:sz w:val="20"/>
          <w:szCs w:val="18"/>
        </w:rPr>
        <w:t xml:space="preserve">year on year profitability; </w:t>
      </w:r>
      <w:r w:rsidR="00C803BE">
        <w:rPr>
          <w:rFonts w:cs="Arial"/>
          <w:b/>
          <w:sz w:val="20"/>
          <w:szCs w:val="18"/>
        </w:rPr>
        <w:t>full year</w:t>
      </w:r>
      <w:r w:rsidR="00C803BE" w:rsidRPr="009D373E">
        <w:rPr>
          <w:rFonts w:cs="Arial"/>
          <w:b/>
          <w:sz w:val="20"/>
          <w:szCs w:val="18"/>
        </w:rPr>
        <w:t xml:space="preserve"> </w:t>
      </w:r>
      <w:r w:rsidR="00FD4B3A" w:rsidRPr="009D373E">
        <w:rPr>
          <w:rFonts w:cs="Arial"/>
          <w:b/>
          <w:sz w:val="20"/>
          <w:szCs w:val="18"/>
        </w:rPr>
        <w:t xml:space="preserve">guidance </w:t>
      </w:r>
      <w:r w:rsidR="00C803BE">
        <w:rPr>
          <w:rFonts w:cs="Arial"/>
          <w:b/>
          <w:sz w:val="20"/>
          <w:szCs w:val="18"/>
        </w:rPr>
        <w:t>unchanged</w:t>
      </w:r>
      <w:r>
        <w:rPr>
          <w:rFonts w:cs="Arial"/>
          <w:b/>
          <w:sz w:val="20"/>
          <w:szCs w:val="18"/>
        </w:rPr>
        <w:t>; intention to recommence value return of up to £50m over next two years</w:t>
      </w:r>
    </w:p>
    <w:p w14:paraId="13CA030F" w14:textId="77777777" w:rsidR="00CF2405" w:rsidRPr="009D373E" w:rsidRDefault="00CF2405" w:rsidP="00CF2405">
      <w:pPr>
        <w:jc w:val="both"/>
        <w:rPr>
          <w:rFonts w:cs="Arial"/>
          <w:sz w:val="18"/>
          <w:szCs w:val="18"/>
        </w:rPr>
      </w:pPr>
      <w:bookmarkStart w:id="0" w:name="_Hlk99636381"/>
      <w:r w:rsidRPr="009D373E">
        <w:rPr>
          <w:rFonts w:cs="Arial"/>
          <w:sz w:val="18"/>
          <w:szCs w:val="18"/>
        </w:rPr>
        <w:t xml:space="preserve">Greencore Group plc (‘Greencore’ or the ‘Group’), a leading manufacturer of convenience food in the UK, today </w:t>
      </w:r>
      <w:bookmarkEnd w:id="0"/>
      <w:r w:rsidRPr="009D373E">
        <w:rPr>
          <w:rFonts w:cs="Arial"/>
          <w:sz w:val="18"/>
          <w:szCs w:val="18"/>
        </w:rPr>
        <w:t>issues its results for the 26 weeks ended 25 March 2022.</w:t>
      </w:r>
    </w:p>
    <w:p w14:paraId="2DAFFACF" w14:textId="77777777" w:rsidR="00CF2405" w:rsidRPr="009D373E" w:rsidRDefault="00CF2405" w:rsidP="00CF2405">
      <w:pPr>
        <w:spacing w:after="120"/>
        <w:jc w:val="both"/>
        <w:rPr>
          <w:rFonts w:cs="Arial"/>
          <w:b/>
          <w:sz w:val="20"/>
          <w:szCs w:val="18"/>
        </w:rPr>
      </w:pPr>
      <w:r w:rsidRPr="009D373E">
        <w:rPr>
          <w:rFonts w:cs="Arial"/>
          <w:b/>
          <w:szCs w:val="20"/>
        </w:rPr>
        <w:t>PERFORMANCE</w:t>
      </w:r>
      <w:r w:rsidRPr="009D373E">
        <w:rPr>
          <w:rFonts w:cs="Arial"/>
          <w:b/>
          <w:szCs w:val="20"/>
          <w:vertAlign w:val="superscript"/>
        </w:rPr>
        <w:t xml:space="preserve"> </w:t>
      </w:r>
      <w:r w:rsidRPr="009D373E">
        <w:rPr>
          <w:rFonts w:cs="Arial"/>
          <w:b/>
          <w:sz w:val="20"/>
          <w:szCs w:val="18"/>
          <w:vertAlign w:val="superscript"/>
        </w:rPr>
        <w:t>1</w:t>
      </w:r>
    </w:p>
    <w:p w14:paraId="58BD0989" w14:textId="77777777" w:rsidR="008A42F0" w:rsidRDefault="00CF2405" w:rsidP="00CF2405">
      <w:pPr>
        <w:numPr>
          <w:ilvl w:val="0"/>
          <w:numId w:val="3"/>
        </w:numPr>
        <w:tabs>
          <w:tab w:val="num" w:pos="426"/>
        </w:tabs>
        <w:autoSpaceDN w:val="0"/>
        <w:spacing w:after="0" w:line="240" w:lineRule="auto"/>
        <w:ind w:left="426" w:hanging="284"/>
        <w:jc w:val="both"/>
        <w:rPr>
          <w:rFonts w:cs="Arial"/>
          <w:sz w:val="18"/>
          <w:szCs w:val="18"/>
        </w:rPr>
      </w:pPr>
      <w:r w:rsidRPr="009D373E">
        <w:rPr>
          <w:rFonts w:cs="Arial"/>
          <w:sz w:val="18"/>
          <w:szCs w:val="18"/>
        </w:rPr>
        <w:t>Group Revenue up 33.6% to £770.8m, driven by strong growth in food to go and other convenience categories</w:t>
      </w:r>
    </w:p>
    <w:p w14:paraId="533596E3" w14:textId="0EED5B2A" w:rsidR="00CF2405" w:rsidRPr="009D373E" w:rsidRDefault="008A42F0" w:rsidP="00CF2405">
      <w:pPr>
        <w:numPr>
          <w:ilvl w:val="0"/>
          <w:numId w:val="3"/>
        </w:numPr>
        <w:tabs>
          <w:tab w:val="num" w:pos="426"/>
        </w:tabs>
        <w:autoSpaceDN w:val="0"/>
        <w:spacing w:after="0" w:line="240" w:lineRule="auto"/>
        <w:ind w:left="426" w:hanging="284"/>
        <w:jc w:val="both"/>
        <w:rPr>
          <w:rFonts w:cs="Arial"/>
          <w:sz w:val="18"/>
          <w:szCs w:val="18"/>
        </w:rPr>
      </w:pPr>
      <w:r>
        <w:rPr>
          <w:rFonts w:cs="Arial"/>
          <w:sz w:val="18"/>
          <w:szCs w:val="18"/>
        </w:rPr>
        <w:t xml:space="preserve">Pro forma revenue in food to go categories increased by 48.0% year on year and was </w:t>
      </w:r>
      <w:r w:rsidR="009C3D96">
        <w:rPr>
          <w:rFonts w:cs="Arial"/>
          <w:sz w:val="18"/>
          <w:szCs w:val="18"/>
        </w:rPr>
        <w:t xml:space="preserve">approximately </w:t>
      </w:r>
      <w:r>
        <w:rPr>
          <w:rFonts w:cs="Arial"/>
          <w:sz w:val="18"/>
          <w:szCs w:val="18"/>
        </w:rPr>
        <w:t>8% above equivalent pre-COVID levels in H1 19</w:t>
      </w:r>
      <w:r w:rsidR="00CF2405" w:rsidRPr="009D373E">
        <w:rPr>
          <w:rFonts w:cs="Arial"/>
          <w:sz w:val="18"/>
          <w:szCs w:val="18"/>
        </w:rPr>
        <w:t xml:space="preserve"> </w:t>
      </w:r>
    </w:p>
    <w:p w14:paraId="49EA6B70" w14:textId="77777777" w:rsidR="00CF2405" w:rsidRPr="009D373E" w:rsidRDefault="00CF2405" w:rsidP="00CF2405">
      <w:pPr>
        <w:numPr>
          <w:ilvl w:val="0"/>
          <w:numId w:val="3"/>
        </w:numPr>
        <w:tabs>
          <w:tab w:val="num" w:pos="426"/>
        </w:tabs>
        <w:autoSpaceDN w:val="0"/>
        <w:spacing w:after="0" w:line="240" w:lineRule="auto"/>
        <w:ind w:left="426" w:hanging="284"/>
        <w:jc w:val="both"/>
        <w:rPr>
          <w:rFonts w:cs="Arial"/>
          <w:sz w:val="18"/>
          <w:szCs w:val="18"/>
        </w:rPr>
      </w:pPr>
      <w:r w:rsidRPr="009D373E">
        <w:rPr>
          <w:rFonts w:cs="Arial"/>
          <w:sz w:val="18"/>
          <w:szCs w:val="18"/>
        </w:rPr>
        <w:t>Adjusted Operating Profit of £17.2m (H1 21: £0.2m), with Adjusted Operating Margin of 2.2% (H1 21: 0.0%)</w:t>
      </w:r>
    </w:p>
    <w:p w14:paraId="412893E2" w14:textId="77777777" w:rsidR="00CF2405" w:rsidRPr="009D373E" w:rsidRDefault="00CF2405" w:rsidP="00CF2405">
      <w:pPr>
        <w:numPr>
          <w:ilvl w:val="0"/>
          <w:numId w:val="3"/>
        </w:numPr>
        <w:tabs>
          <w:tab w:val="num" w:pos="426"/>
        </w:tabs>
        <w:autoSpaceDN w:val="0"/>
        <w:spacing w:after="0" w:line="240" w:lineRule="auto"/>
        <w:ind w:left="426" w:hanging="284"/>
        <w:jc w:val="both"/>
        <w:rPr>
          <w:rFonts w:cs="Arial"/>
          <w:sz w:val="18"/>
          <w:szCs w:val="18"/>
        </w:rPr>
      </w:pPr>
      <w:r w:rsidRPr="009D373E">
        <w:rPr>
          <w:rFonts w:cs="Arial"/>
          <w:sz w:val="18"/>
          <w:szCs w:val="18"/>
        </w:rPr>
        <w:t>Adjusted EPS of 1.8p (H1 21: Adjusted Loss of 1.4p)</w:t>
      </w:r>
    </w:p>
    <w:p w14:paraId="365F4215" w14:textId="51D10EF0" w:rsidR="00CF2405" w:rsidRDefault="00CF2405" w:rsidP="00CF2405">
      <w:pPr>
        <w:numPr>
          <w:ilvl w:val="0"/>
          <w:numId w:val="3"/>
        </w:numPr>
        <w:tabs>
          <w:tab w:val="num" w:pos="426"/>
        </w:tabs>
        <w:autoSpaceDN w:val="0"/>
        <w:spacing w:after="0" w:line="240" w:lineRule="auto"/>
        <w:ind w:left="426" w:hanging="284"/>
        <w:jc w:val="both"/>
        <w:rPr>
          <w:rFonts w:cs="Arial"/>
          <w:sz w:val="18"/>
          <w:szCs w:val="18"/>
        </w:rPr>
      </w:pPr>
      <w:r w:rsidRPr="009D373E">
        <w:rPr>
          <w:rFonts w:cs="Arial"/>
          <w:sz w:val="18"/>
          <w:szCs w:val="18"/>
        </w:rPr>
        <w:t xml:space="preserve">Net Debt (excluding lease liabilities) </w:t>
      </w:r>
      <w:r w:rsidR="00307236">
        <w:rPr>
          <w:rFonts w:cs="Arial"/>
          <w:sz w:val="18"/>
          <w:szCs w:val="18"/>
        </w:rPr>
        <w:t xml:space="preserve">of </w:t>
      </w:r>
      <w:r w:rsidRPr="009D373E">
        <w:rPr>
          <w:rFonts w:cs="Arial"/>
          <w:sz w:val="18"/>
          <w:szCs w:val="18"/>
        </w:rPr>
        <w:t xml:space="preserve">£219.3m at 25 March 2022, </w:t>
      </w:r>
      <w:r w:rsidR="00304946">
        <w:rPr>
          <w:rFonts w:cs="Arial"/>
          <w:sz w:val="18"/>
          <w:szCs w:val="18"/>
        </w:rPr>
        <w:t xml:space="preserve">with </w:t>
      </w:r>
      <w:r w:rsidR="00A83D8D">
        <w:rPr>
          <w:rFonts w:cs="Arial"/>
          <w:sz w:val="18"/>
          <w:szCs w:val="18"/>
        </w:rPr>
        <w:t xml:space="preserve">12-month </w:t>
      </w:r>
      <w:r w:rsidR="00304946">
        <w:rPr>
          <w:rFonts w:cs="Arial"/>
          <w:sz w:val="18"/>
          <w:szCs w:val="18"/>
        </w:rPr>
        <w:t>free cashflow conversion of 71%.</w:t>
      </w:r>
      <w:r w:rsidRPr="009D373E">
        <w:rPr>
          <w:rFonts w:cs="Arial"/>
          <w:sz w:val="18"/>
          <w:szCs w:val="18"/>
        </w:rPr>
        <w:t xml:space="preserve"> Net Debt: EBITDA of </w:t>
      </w:r>
      <w:r w:rsidR="004D5C3E">
        <w:rPr>
          <w:rFonts w:cs="Arial"/>
          <w:sz w:val="18"/>
          <w:szCs w:val="18"/>
        </w:rPr>
        <w:t>2.1x</w:t>
      </w:r>
      <w:r w:rsidRPr="009D373E">
        <w:rPr>
          <w:rFonts w:cs="Arial"/>
          <w:sz w:val="18"/>
          <w:szCs w:val="18"/>
        </w:rPr>
        <w:t xml:space="preserve"> as measured under financing agreements</w:t>
      </w:r>
      <w:r w:rsidR="00B92350">
        <w:rPr>
          <w:rFonts w:cs="Arial"/>
          <w:sz w:val="18"/>
          <w:szCs w:val="18"/>
        </w:rPr>
        <w:t>, in line with end FY21 levels</w:t>
      </w:r>
      <w:r w:rsidR="000B48DD">
        <w:rPr>
          <w:rFonts w:cs="Arial"/>
          <w:sz w:val="18"/>
          <w:szCs w:val="18"/>
        </w:rPr>
        <w:t xml:space="preserve">, with substantial undrawn headroom on debt facilities </w:t>
      </w:r>
    </w:p>
    <w:p w14:paraId="6FDA0EFF" w14:textId="41AB84D1" w:rsidR="009779DE" w:rsidRDefault="009779DE" w:rsidP="00CF2405">
      <w:pPr>
        <w:numPr>
          <w:ilvl w:val="0"/>
          <w:numId w:val="3"/>
        </w:numPr>
        <w:tabs>
          <w:tab w:val="num" w:pos="426"/>
        </w:tabs>
        <w:autoSpaceDN w:val="0"/>
        <w:spacing w:after="0" w:line="240" w:lineRule="auto"/>
        <w:ind w:left="426" w:hanging="284"/>
        <w:jc w:val="both"/>
        <w:rPr>
          <w:rFonts w:cs="Arial"/>
          <w:sz w:val="18"/>
          <w:szCs w:val="18"/>
        </w:rPr>
      </w:pPr>
      <w:r>
        <w:rPr>
          <w:rFonts w:cs="Arial"/>
          <w:sz w:val="18"/>
          <w:szCs w:val="18"/>
        </w:rPr>
        <w:t>Group ROIC of 6.3%, compared to 4.5% at the end of FY21 and (0.6</w:t>
      </w:r>
      <w:r w:rsidR="00307236">
        <w:rPr>
          <w:rFonts w:cs="Arial"/>
          <w:sz w:val="18"/>
          <w:szCs w:val="18"/>
        </w:rPr>
        <w:t>)</w:t>
      </w:r>
      <w:r>
        <w:rPr>
          <w:rFonts w:cs="Arial"/>
          <w:sz w:val="18"/>
          <w:szCs w:val="18"/>
        </w:rPr>
        <w:t>% at H1 21</w:t>
      </w:r>
    </w:p>
    <w:p w14:paraId="045291FB" w14:textId="5F97CD47" w:rsidR="009E4636" w:rsidRDefault="00C17AE3" w:rsidP="00CF2405">
      <w:pPr>
        <w:numPr>
          <w:ilvl w:val="0"/>
          <w:numId w:val="3"/>
        </w:numPr>
        <w:tabs>
          <w:tab w:val="num" w:pos="426"/>
        </w:tabs>
        <w:autoSpaceDN w:val="0"/>
        <w:spacing w:after="0" w:line="240" w:lineRule="auto"/>
        <w:ind w:left="426" w:hanging="284"/>
        <w:jc w:val="both"/>
        <w:rPr>
          <w:rFonts w:cs="Arial"/>
          <w:sz w:val="18"/>
          <w:szCs w:val="18"/>
        </w:rPr>
      </w:pPr>
      <w:r w:rsidRPr="00C17AE3">
        <w:rPr>
          <w:rFonts w:cs="Arial"/>
          <w:sz w:val="18"/>
          <w:szCs w:val="18"/>
        </w:rPr>
        <w:t>Intention to recommence value return of up to £50m over the next two years, initially in the form of a share buyback programme</w:t>
      </w:r>
      <w:r>
        <w:rPr>
          <w:rFonts w:cs="Arial"/>
          <w:sz w:val="18"/>
          <w:szCs w:val="18"/>
        </w:rPr>
        <w:t xml:space="preserve"> </w:t>
      </w:r>
      <w:r w:rsidR="008A42F0">
        <w:rPr>
          <w:rFonts w:cs="Arial"/>
          <w:sz w:val="18"/>
          <w:szCs w:val="18"/>
        </w:rPr>
        <w:t xml:space="preserve">and </w:t>
      </w:r>
      <w:r w:rsidR="00806FB2" w:rsidRPr="001952EF">
        <w:rPr>
          <w:rFonts w:cs="Arial"/>
          <w:sz w:val="18"/>
          <w:szCs w:val="18"/>
        </w:rPr>
        <w:t>consistent</w:t>
      </w:r>
      <w:r w:rsidR="00AD3206" w:rsidRPr="001952EF">
        <w:rPr>
          <w:rFonts w:cs="Arial"/>
          <w:sz w:val="18"/>
          <w:szCs w:val="18"/>
        </w:rPr>
        <w:t xml:space="preserve"> with the Group’s </w:t>
      </w:r>
      <w:r w:rsidR="009E4636" w:rsidRPr="008B6A57">
        <w:rPr>
          <w:rFonts w:cs="Arial"/>
          <w:sz w:val="18"/>
          <w:szCs w:val="18"/>
        </w:rPr>
        <w:t>capital management policy</w:t>
      </w:r>
      <w:r w:rsidR="00AD3206" w:rsidRPr="001952EF">
        <w:rPr>
          <w:rFonts w:cs="Arial"/>
          <w:sz w:val="18"/>
          <w:szCs w:val="18"/>
        </w:rPr>
        <w:t xml:space="preserve"> </w:t>
      </w:r>
    </w:p>
    <w:p w14:paraId="4C465191" w14:textId="77777777" w:rsidR="00CF2405" w:rsidRPr="009D373E" w:rsidRDefault="00CF2405" w:rsidP="00CF2405">
      <w:pPr>
        <w:spacing w:after="120"/>
        <w:jc w:val="both"/>
        <w:rPr>
          <w:rFonts w:cs="Arial"/>
          <w:b/>
          <w:szCs w:val="20"/>
        </w:rPr>
      </w:pPr>
    </w:p>
    <w:p w14:paraId="099B0B11" w14:textId="08269C49" w:rsidR="00CF2405" w:rsidRPr="009D373E" w:rsidRDefault="00CF2405" w:rsidP="00CF2405">
      <w:pPr>
        <w:spacing w:after="120"/>
        <w:jc w:val="both"/>
        <w:rPr>
          <w:rFonts w:cs="Arial"/>
          <w:b/>
          <w:szCs w:val="20"/>
        </w:rPr>
      </w:pPr>
      <w:r w:rsidRPr="009D373E">
        <w:rPr>
          <w:rFonts w:cs="Arial"/>
          <w:b/>
          <w:szCs w:val="20"/>
        </w:rPr>
        <w:t>STRATEGIC DEVELOPMENTS</w:t>
      </w:r>
      <w:r w:rsidRPr="009D373E">
        <w:rPr>
          <w:rFonts w:cs="Arial"/>
          <w:b/>
          <w:szCs w:val="20"/>
          <w:vertAlign w:val="superscript"/>
        </w:rPr>
        <w:t xml:space="preserve"> 1</w:t>
      </w:r>
    </w:p>
    <w:p w14:paraId="568CFF2E" w14:textId="3D83888B" w:rsidR="00F90C2F" w:rsidRPr="00F90C2F" w:rsidRDefault="00F90C2F" w:rsidP="006B25B9">
      <w:pPr>
        <w:numPr>
          <w:ilvl w:val="0"/>
          <w:numId w:val="20"/>
        </w:numPr>
        <w:tabs>
          <w:tab w:val="num" w:pos="426"/>
        </w:tabs>
        <w:spacing w:after="0" w:line="240" w:lineRule="auto"/>
        <w:ind w:left="426" w:hanging="284"/>
        <w:jc w:val="both"/>
        <w:rPr>
          <w:rFonts w:ascii="Calibri" w:eastAsia="Calibri" w:hAnsi="Calibri" w:cs="Arial"/>
          <w:sz w:val="18"/>
          <w:szCs w:val="18"/>
        </w:rPr>
      </w:pPr>
      <w:r w:rsidRPr="00F90C2F">
        <w:rPr>
          <w:rFonts w:ascii="Calibri" w:eastAsia="Calibri" w:hAnsi="Calibri" w:cs="Arial"/>
          <w:sz w:val="18"/>
          <w:szCs w:val="18"/>
        </w:rPr>
        <w:t>Continued to onboard new business wins effectively in H1</w:t>
      </w:r>
      <w:r w:rsidR="00881315">
        <w:rPr>
          <w:rFonts w:ascii="Calibri" w:eastAsia="Calibri" w:hAnsi="Calibri" w:cs="Arial"/>
          <w:sz w:val="18"/>
          <w:szCs w:val="18"/>
        </w:rPr>
        <w:t xml:space="preserve"> 22</w:t>
      </w:r>
      <w:r w:rsidRPr="00F90C2F">
        <w:rPr>
          <w:rFonts w:ascii="Calibri" w:eastAsia="Calibri" w:hAnsi="Calibri" w:cs="Arial"/>
          <w:sz w:val="18"/>
          <w:szCs w:val="18"/>
        </w:rPr>
        <w:t xml:space="preserve">, expanding its product ranges and channel reach, with revenue from these wins representing </w:t>
      </w:r>
      <w:r w:rsidR="00102F1F">
        <w:rPr>
          <w:rFonts w:ascii="Calibri" w:eastAsia="Calibri" w:hAnsi="Calibri" w:cs="Arial"/>
          <w:sz w:val="18"/>
          <w:szCs w:val="18"/>
        </w:rPr>
        <w:t>just over</w:t>
      </w:r>
      <w:r w:rsidR="00102F1F" w:rsidRPr="00F90C2F">
        <w:rPr>
          <w:rFonts w:ascii="Calibri" w:eastAsia="Calibri" w:hAnsi="Calibri" w:cs="Arial"/>
          <w:sz w:val="18"/>
          <w:szCs w:val="18"/>
        </w:rPr>
        <w:t xml:space="preserve"> </w:t>
      </w:r>
      <w:r w:rsidR="003F2644">
        <w:rPr>
          <w:rFonts w:ascii="Calibri" w:eastAsia="Calibri" w:hAnsi="Calibri" w:cs="Arial"/>
          <w:sz w:val="18"/>
          <w:szCs w:val="18"/>
        </w:rPr>
        <w:t>one-third</w:t>
      </w:r>
      <w:r w:rsidRPr="00F90C2F">
        <w:rPr>
          <w:rFonts w:ascii="Calibri" w:eastAsia="Calibri" w:hAnsi="Calibri" w:cs="Arial"/>
          <w:sz w:val="18"/>
          <w:szCs w:val="18"/>
        </w:rPr>
        <w:t xml:space="preserve"> of the Group’s pro forma revenue growth in the period </w:t>
      </w:r>
    </w:p>
    <w:p w14:paraId="7A625A15" w14:textId="00812110" w:rsidR="00F90C2F" w:rsidRPr="009D373E" w:rsidRDefault="00F90C2F" w:rsidP="00CF2405">
      <w:pPr>
        <w:numPr>
          <w:ilvl w:val="0"/>
          <w:numId w:val="3"/>
        </w:numPr>
        <w:tabs>
          <w:tab w:val="num" w:pos="426"/>
        </w:tabs>
        <w:spacing w:after="0" w:line="240" w:lineRule="auto"/>
        <w:ind w:left="426" w:hanging="284"/>
        <w:jc w:val="both"/>
        <w:rPr>
          <w:rFonts w:cs="Arial"/>
          <w:sz w:val="18"/>
          <w:szCs w:val="18"/>
        </w:rPr>
      </w:pPr>
      <w:r>
        <w:rPr>
          <w:rFonts w:cs="Arial"/>
          <w:sz w:val="18"/>
          <w:szCs w:val="18"/>
        </w:rPr>
        <w:t>Strategic capital investment programme of approximately £30m to support the delivery of previously announced business wins has proceeded to plan and is expected to complete in Q4 22</w:t>
      </w:r>
    </w:p>
    <w:p w14:paraId="180ED082" w14:textId="5F0487C9" w:rsidR="00304946" w:rsidRDefault="002665FC">
      <w:pPr>
        <w:numPr>
          <w:ilvl w:val="0"/>
          <w:numId w:val="3"/>
        </w:numPr>
        <w:tabs>
          <w:tab w:val="num" w:pos="426"/>
        </w:tabs>
        <w:spacing w:after="0" w:line="240" w:lineRule="auto"/>
        <w:ind w:left="426" w:hanging="284"/>
        <w:jc w:val="both"/>
        <w:rPr>
          <w:rFonts w:cs="Arial"/>
          <w:sz w:val="18"/>
          <w:szCs w:val="18"/>
        </w:rPr>
      </w:pPr>
      <w:bookmarkStart w:id="1" w:name="_Hlk103006212"/>
      <w:r>
        <w:rPr>
          <w:rFonts w:cs="Arial"/>
          <w:sz w:val="18"/>
          <w:szCs w:val="18"/>
        </w:rPr>
        <w:t>Better Greencore, the Group</w:t>
      </w:r>
      <w:r w:rsidR="001E702B">
        <w:rPr>
          <w:rFonts w:cs="Arial"/>
          <w:sz w:val="18"/>
          <w:szCs w:val="18"/>
        </w:rPr>
        <w:t xml:space="preserve">’s </w:t>
      </w:r>
      <w:r w:rsidR="00304946">
        <w:rPr>
          <w:rFonts w:cs="Arial"/>
          <w:sz w:val="18"/>
          <w:szCs w:val="18"/>
        </w:rPr>
        <w:t>profit improvement programme</w:t>
      </w:r>
      <w:r w:rsidR="001E702B">
        <w:rPr>
          <w:rFonts w:cs="Arial"/>
          <w:sz w:val="18"/>
          <w:szCs w:val="18"/>
        </w:rPr>
        <w:t xml:space="preserve">, was launched in H1 </w:t>
      </w:r>
    </w:p>
    <w:p w14:paraId="4980DEBC" w14:textId="65D87720" w:rsidR="00304946" w:rsidRDefault="00304946" w:rsidP="000B3D41">
      <w:pPr>
        <w:numPr>
          <w:ilvl w:val="1"/>
          <w:numId w:val="3"/>
        </w:numPr>
        <w:spacing w:after="0" w:line="240" w:lineRule="auto"/>
        <w:ind w:left="924" w:hanging="357"/>
        <w:jc w:val="both"/>
        <w:rPr>
          <w:rFonts w:cs="Arial"/>
          <w:sz w:val="18"/>
          <w:szCs w:val="18"/>
        </w:rPr>
      </w:pPr>
      <w:r>
        <w:rPr>
          <w:rFonts w:cs="Arial"/>
          <w:sz w:val="18"/>
          <w:szCs w:val="18"/>
        </w:rPr>
        <w:t>I</w:t>
      </w:r>
      <w:r w:rsidR="001E702B" w:rsidRPr="00D858AF">
        <w:rPr>
          <w:rFonts w:cs="Arial"/>
          <w:sz w:val="18"/>
          <w:szCs w:val="18"/>
        </w:rPr>
        <w:t>ts first phase is targeted to deliver annual recurring benefits of approximately £30m in FY24</w:t>
      </w:r>
      <w:r w:rsidR="00D858AF" w:rsidRPr="00D858AF">
        <w:rPr>
          <w:rFonts w:cs="Arial"/>
          <w:sz w:val="18"/>
          <w:szCs w:val="18"/>
        </w:rPr>
        <w:t xml:space="preserve"> </w:t>
      </w:r>
    </w:p>
    <w:p w14:paraId="2FD40D80" w14:textId="1FFB39B7" w:rsidR="00304946" w:rsidRDefault="00881315" w:rsidP="000B3D41">
      <w:pPr>
        <w:numPr>
          <w:ilvl w:val="1"/>
          <w:numId w:val="3"/>
        </w:numPr>
        <w:spacing w:after="0" w:line="240" w:lineRule="auto"/>
        <w:ind w:left="924" w:hanging="357"/>
        <w:jc w:val="both"/>
        <w:rPr>
          <w:rFonts w:cs="Arial"/>
          <w:sz w:val="18"/>
          <w:szCs w:val="18"/>
        </w:rPr>
      </w:pPr>
      <w:r w:rsidRPr="00D858AF">
        <w:rPr>
          <w:rFonts w:cs="Arial"/>
          <w:sz w:val="18"/>
          <w:szCs w:val="18"/>
        </w:rPr>
        <w:t>T</w:t>
      </w:r>
      <w:r w:rsidR="00926B1D" w:rsidRPr="00D858AF">
        <w:rPr>
          <w:rFonts w:cs="Arial"/>
          <w:sz w:val="18"/>
          <w:szCs w:val="18"/>
        </w:rPr>
        <w:t xml:space="preserve">he </w:t>
      </w:r>
      <w:r w:rsidR="00052892" w:rsidRPr="00D858AF">
        <w:rPr>
          <w:rFonts w:cs="Arial"/>
          <w:sz w:val="18"/>
          <w:szCs w:val="18"/>
        </w:rPr>
        <w:t xml:space="preserve">Group will invest </w:t>
      </w:r>
      <w:r w:rsidR="00237B93" w:rsidRPr="00D858AF">
        <w:rPr>
          <w:rFonts w:cs="Arial"/>
          <w:sz w:val="18"/>
          <w:szCs w:val="18"/>
        </w:rPr>
        <w:t xml:space="preserve">a total of </w:t>
      </w:r>
      <w:r w:rsidR="00052892" w:rsidRPr="00D858AF">
        <w:rPr>
          <w:rFonts w:cs="Arial"/>
          <w:sz w:val="18"/>
          <w:szCs w:val="18"/>
        </w:rPr>
        <w:t>approximately £2</w:t>
      </w:r>
      <w:r w:rsidR="009C3D96">
        <w:rPr>
          <w:rFonts w:cs="Arial"/>
          <w:sz w:val="18"/>
          <w:szCs w:val="18"/>
        </w:rPr>
        <w:t>4</w:t>
      </w:r>
      <w:r w:rsidR="00052892" w:rsidRPr="00D858AF">
        <w:rPr>
          <w:rFonts w:cs="Arial"/>
          <w:sz w:val="18"/>
          <w:szCs w:val="18"/>
        </w:rPr>
        <w:t>m during FY22 and FY23 to unlock these improvements</w:t>
      </w:r>
      <w:r w:rsidRPr="00D858AF">
        <w:rPr>
          <w:rFonts w:cs="Arial"/>
          <w:sz w:val="18"/>
          <w:szCs w:val="18"/>
        </w:rPr>
        <w:t>, some £8m of which was incurred as an exceptional cost in H1 22</w:t>
      </w:r>
    </w:p>
    <w:p w14:paraId="2AE9A8BA" w14:textId="55EC4165" w:rsidR="00F90C2F" w:rsidRPr="00D858AF" w:rsidRDefault="00A83D8D" w:rsidP="000B3D41">
      <w:pPr>
        <w:numPr>
          <w:ilvl w:val="1"/>
          <w:numId w:val="3"/>
        </w:numPr>
        <w:spacing w:after="0" w:line="240" w:lineRule="auto"/>
        <w:ind w:left="924" w:hanging="357"/>
        <w:jc w:val="both"/>
        <w:rPr>
          <w:rFonts w:cs="Arial"/>
          <w:sz w:val="18"/>
          <w:szCs w:val="18"/>
        </w:rPr>
      </w:pPr>
      <w:r w:rsidRPr="00A83D8D">
        <w:rPr>
          <w:rFonts w:cs="Arial"/>
          <w:sz w:val="18"/>
          <w:szCs w:val="18"/>
        </w:rPr>
        <w:t xml:space="preserve">Further phases of the Better Greencore programme are being developed </w:t>
      </w:r>
      <w:r>
        <w:rPr>
          <w:rFonts w:cs="Arial"/>
          <w:sz w:val="18"/>
          <w:szCs w:val="18"/>
        </w:rPr>
        <w:t>that</w:t>
      </w:r>
      <w:r w:rsidRPr="00A83D8D">
        <w:rPr>
          <w:rFonts w:cs="Arial"/>
          <w:sz w:val="18"/>
          <w:szCs w:val="18"/>
        </w:rPr>
        <w:t xml:space="preserve"> will deliver </w:t>
      </w:r>
      <w:r>
        <w:rPr>
          <w:rFonts w:cs="Arial"/>
          <w:sz w:val="18"/>
          <w:szCs w:val="18"/>
        </w:rPr>
        <w:t xml:space="preserve">additional benefits to the Group </w:t>
      </w:r>
    </w:p>
    <w:bookmarkEnd w:id="1"/>
    <w:p w14:paraId="47A50ECB" w14:textId="4880805E" w:rsidR="00CF2405" w:rsidRPr="0046595A" w:rsidRDefault="00304946">
      <w:pPr>
        <w:numPr>
          <w:ilvl w:val="0"/>
          <w:numId w:val="3"/>
        </w:numPr>
        <w:tabs>
          <w:tab w:val="num" w:pos="426"/>
        </w:tabs>
        <w:spacing w:after="0" w:line="240" w:lineRule="auto"/>
        <w:ind w:left="426" w:hanging="284"/>
        <w:jc w:val="both"/>
        <w:rPr>
          <w:rFonts w:cs="Arial"/>
          <w:sz w:val="18"/>
          <w:szCs w:val="18"/>
        </w:rPr>
      </w:pPr>
      <w:r>
        <w:rPr>
          <w:rFonts w:cs="Arial"/>
          <w:sz w:val="18"/>
          <w:szCs w:val="18"/>
        </w:rPr>
        <w:t>Continued progress on</w:t>
      </w:r>
      <w:r w:rsidR="00A963C5" w:rsidRPr="0046595A">
        <w:rPr>
          <w:rFonts w:cs="Arial"/>
          <w:sz w:val="18"/>
          <w:szCs w:val="18"/>
        </w:rPr>
        <w:t xml:space="preserve"> sustainability agenda in H1, with a</w:t>
      </w:r>
      <w:r w:rsidR="004369E0">
        <w:rPr>
          <w:rFonts w:cs="Arial"/>
          <w:sz w:val="18"/>
          <w:szCs w:val="18"/>
        </w:rPr>
        <w:t>n ongoing</w:t>
      </w:r>
      <w:r w:rsidR="00A963C5" w:rsidRPr="0046595A">
        <w:rPr>
          <w:rFonts w:cs="Arial"/>
          <w:sz w:val="18"/>
          <w:szCs w:val="18"/>
        </w:rPr>
        <w:t xml:space="preserve"> focus on developing the necessary data and systems framework to measure performance effectively. The Group </w:t>
      </w:r>
      <w:r w:rsidR="001A00C9">
        <w:rPr>
          <w:rFonts w:cs="Arial"/>
          <w:sz w:val="18"/>
          <w:szCs w:val="18"/>
        </w:rPr>
        <w:t xml:space="preserve">also </w:t>
      </w:r>
      <w:r w:rsidR="00A963C5" w:rsidRPr="0046595A">
        <w:rPr>
          <w:rFonts w:cs="Arial"/>
          <w:sz w:val="18"/>
          <w:szCs w:val="18"/>
        </w:rPr>
        <w:t>introduced a new share ownership scheme for all colleagues</w:t>
      </w:r>
      <w:r w:rsidR="0046595A">
        <w:rPr>
          <w:rFonts w:cs="Arial"/>
          <w:sz w:val="18"/>
          <w:szCs w:val="18"/>
        </w:rPr>
        <w:t xml:space="preserve"> </w:t>
      </w:r>
    </w:p>
    <w:p w14:paraId="4FC0A02E" w14:textId="4B212E2F" w:rsidR="008F06F1" w:rsidRPr="009D373E" w:rsidRDefault="008F06F1" w:rsidP="00CF2405">
      <w:pPr>
        <w:numPr>
          <w:ilvl w:val="0"/>
          <w:numId w:val="3"/>
        </w:numPr>
        <w:tabs>
          <w:tab w:val="num" w:pos="426"/>
        </w:tabs>
        <w:spacing w:after="0" w:line="240" w:lineRule="auto"/>
        <w:ind w:left="426" w:hanging="284"/>
        <w:jc w:val="both"/>
        <w:rPr>
          <w:rFonts w:cs="Arial"/>
          <w:sz w:val="18"/>
          <w:szCs w:val="18"/>
        </w:rPr>
      </w:pPr>
      <w:r>
        <w:rPr>
          <w:rFonts w:cs="Arial"/>
          <w:sz w:val="18"/>
          <w:szCs w:val="18"/>
        </w:rPr>
        <w:t xml:space="preserve">On 13 May 2022 the Group announced the appointment of Dalton Philips as </w:t>
      </w:r>
      <w:r w:rsidRPr="008F06F1">
        <w:rPr>
          <w:rFonts w:cs="Arial"/>
          <w:sz w:val="18"/>
          <w:szCs w:val="18"/>
        </w:rPr>
        <w:t>Chief Executive Officer and Executive Director. He will join the Group and the Board on 26 September 2022</w:t>
      </w:r>
    </w:p>
    <w:p w14:paraId="1DC43398" w14:textId="77777777" w:rsidR="00CF2405" w:rsidRPr="009D373E" w:rsidRDefault="00CF2405" w:rsidP="00CF2405">
      <w:pPr>
        <w:jc w:val="both"/>
        <w:rPr>
          <w:rFonts w:cs="Arial"/>
          <w:sz w:val="20"/>
          <w:szCs w:val="20"/>
        </w:rPr>
      </w:pPr>
    </w:p>
    <w:p w14:paraId="05B96336" w14:textId="77777777" w:rsidR="00CF2405" w:rsidRPr="009D373E" w:rsidRDefault="00CF2405" w:rsidP="00CF2405">
      <w:pPr>
        <w:spacing w:after="120"/>
        <w:jc w:val="both"/>
        <w:rPr>
          <w:rFonts w:cs="Arial"/>
          <w:b/>
          <w:szCs w:val="20"/>
        </w:rPr>
      </w:pPr>
      <w:r w:rsidRPr="009D373E">
        <w:rPr>
          <w:rFonts w:cs="Arial"/>
          <w:b/>
          <w:szCs w:val="20"/>
        </w:rPr>
        <w:t>OUTLOOK</w:t>
      </w:r>
      <w:r w:rsidRPr="009D373E">
        <w:rPr>
          <w:rFonts w:cs="Arial"/>
          <w:b/>
          <w:szCs w:val="20"/>
          <w:vertAlign w:val="superscript"/>
        </w:rPr>
        <w:t xml:space="preserve"> 1,2</w:t>
      </w:r>
    </w:p>
    <w:p w14:paraId="341FD02E" w14:textId="5915C26C" w:rsidR="00CF2405" w:rsidRPr="009D373E" w:rsidRDefault="009C3D96" w:rsidP="00CF2405">
      <w:pPr>
        <w:numPr>
          <w:ilvl w:val="0"/>
          <w:numId w:val="3"/>
        </w:numPr>
        <w:tabs>
          <w:tab w:val="num" w:pos="426"/>
        </w:tabs>
        <w:autoSpaceDN w:val="0"/>
        <w:spacing w:after="0" w:line="240" w:lineRule="auto"/>
        <w:ind w:left="426" w:hanging="284"/>
        <w:jc w:val="both"/>
        <w:rPr>
          <w:rFonts w:cs="Arial"/>
          <w:sz w:val="18"/>
          <w:szCs w:val="18"/>
        </w:rPr>
      </w:pPr>
      <w:r>
        <w:rPr>
          <w:rFonts w:cs="Arial"/>
          <w:sz w:val="18"/>
          <w:szCs w:val="18"/>
        </w:rPr>
        <w:t xml:space="preserve">The Group is encouraged by the momentum in revenue and profit conversion </w:t>
      </w:r>
      <w:r w:rsidR="001952EF">
        <w:rPr>
          <w:rFonts w:cs="Arial"/>
          <w:sz w:val="18"/>
          <w:szCs w:val="18"/>
        </w:rPr>
        <w:t xml:space="preserve">in </w:t>
      </w:r>
      <w:r w:rsidR="00F90C2F">
        <w:rPr>
          <w:rFonts w:cs="Arial"/>
          <w:sz w:val="18"/>
          <w:szCs w:val="18"/>
        </w:rPr>
        <w:t xml:space="preserve">the first </w:t>
      </w:r>
      <w:r>
        <w:rPr>
          <w:rFonts w:cs="Arial"/>
          <w:sz w:val="18"/>
          <w:szCs w:val="18"/>
        </w:rPr>
        <w:t xml:space="preserve">seven </w:t>
      </w:r>
      <w:r w:rsidR="00F90C2F">
        <w:rPr>
          <w:rFonts w:cs="Arial"/>
          <w:sz w:val="18"/>
          <w:szCs w:val="18"/>
        </w:rPr>
        <w:t xml:space="preserve">weeks of </w:t>
      </w:r>
      <w:r w:rsidR="001952EF">
        <w:rPr>
          <w:rFonts w:cs="Arial"/>
          <w:sz w:val="18"/>
          <w:szCs w:val="18"/>
        </w:rPr>
        <w:t>H2</w:t>
      </w:r>
      <w:r>
        <w:rPr>
          <w:rFonts w:cs="Arial"/>
          <w:sz w:val="18"/>
          <w:szCs w:val="18"/>
        </w:rPr>
        <w:t>,</w:t>
      </w:r>
      <w:r w:rsidR="001952EF">
        <w:rPr>
          <w:rFonts w:cs="Arial"/>
          <w:sz w:val="18"/>
          <w:szCs w:val="18"/>
        </w:rPr>
        <w:t xml:space="preserve"> </w:t>
      </w:r>
      <w:r w:rsidR="00894DE3">
        <w:rPr>
          <w:rFonts w:cs="Arial"/>
          <w:sz w:val="18"/>
          <w:szCs w:val="18"/>
        </w:rPr>
        <w:t xml:space="preserve">in what </w:t>
      </w:r>
      <w:r w:rsidR="00F90C2F">
        <w:rPr>
          <w:rFonts w:cs="Arial"/>
          <w:sz w:val="18"/>
          <w:szCs w:val="18"/>
        </w:rPr>
        <w:t xml:space="preserve">continues to be </w:t>
      </w:r>
      <w:r w:rsidR="00894DE3">
        <w:rPr>
          <w:rFonts w:cs="Arial"/>
          <w:sz w:val="18"/>
          <w:szCs w:val="18"/>
        </w:rPr>
        <w:t>a challenging environment</w:t>
      </w:r>
      <w:r w:rsidR="001952EF">
        <w:rPr>
          <w:rFonts w:cs="Arial"/>
          <w:sz w:val="18"/>
          <w:szCs w:val="18"/>
        </w:rPr>
        <w:t xml:space="preserve"> and</w:t>
      </w:r>
      <w:r w:rsidR="00894DE3">
        <w:rPr>
          <w:rFonts w:cs="Arial"/>
          <w:sz w:val="18"/>
          <w:szCs w:val="18"/>
        </w:rPr>
        <w:t xml:space="preserve"> </w:t>
      </w:r>
      <w:r w:rsidR="00CF2405" w:rsidRPr="009D373E">
        <w:rPr>
          <w:rFonts w:cs="Arial"/>
          <w:sz w:val="18"/>
          <w:szCs w:val="18"/>
        </w:rPr>
        <w:t>as the Group enters its period of peak seasonal trading</w:t>
      </w:r>
      <w:r w:rsidR="00BD611D">
        <w:rPr>
          <w:rFonts w:cs="Arial"/>
          <w:sz w:val="18"/>
          <w:szCs w:val="18"/>
        </w:rPr>
        <w:t xml:space="preserve"> </w:t>
      </w:r>
    </w:p>
    <w:p w14:paraId="262880AC" w14:textId="32D08ED7" w:rsidR="00237B93" w:rsidRDefault="00894DE3" w:rsidP="00CF2405">
      <w:pPr>
        <w:numPr>
          <w:ilvl w:val="0"/>
          <w:numId w:val="3"/>
        </w:numPr>
        <w:tabs>
          <w:tab w:val="num" w:pos="426"/>
        </w:tabs>
        <w:autoSpaceDN w:val="0"/>
        <w:spacing w:after="0" w:line="240" w:lineRule="auto"/>
        <w:ind w:left="426" w:hanging="284"/>
        <w:jc w:val="both"/>
        <w:rPr>
          <w:rFonts w:cs="Arial"/>
          <w:sz w:val="18"/>
          <w:szCs w:val="18"/>
        </w:rPr>
      </w:pPr>
      <w:r w:rsidRPr="00290E9B">
        <w:rPr>
          <w:rFonts w:cs="Arial"/>
          <w:sz w:val="18"/>
          <w:szCs w:val="18"/>
        </w:rPr>
        <w:t xml:space="preserve">The Group </w:t>
      </w:r>
      <w:r w:rsidR="008B6A57" w:rsidRPr="00290E9B">
        <w:rPr>
          <w:rFonts w:cs="Arial"/>
          <w:sz w:val="18"/>
          <w:szCs w:val="18"/>
        </w:rPr>
        <w:t xml:space="preserve">has </w:t>
      </w:r>
      <w:r w:rsidR="00E44EBE" w:rsidRPr="00702E1E">
        <w:rPr>
          <w:rFonts w:cs="Arial"/>
          <w:sz w:val="18"/>
          <w:szCs w:val="18"/>
        </w:rPr>
        <w:t xml:space="preserve">now </w:t>
      </w:r>
      <w:r w:rsidR="00E44EBE" w:rsidRPr="00290E9B">
        <w:rPr>
          <w:rFonts w:cs="Arial"/>
          <w:sz w:val="18"/>
          <w:szCs w:val="18"/>
        </w:rPr>
        <w:t xml:space="preserve">substantially recovered the </w:t>
      </w:r>
      <w:r w:rsidR="00DE157A" w:rsidRPr="00702E1E">
        <w:rPr>
          <w:rFonts w:cs="Arial"/>
          <w:sz w:val="18"/>
          <w:szCs w:val="18"/>
        </w:rPr>
        <w:t xml:space="preserve">significant </w:t>
      </w:r>
      <w:r w:rsidRPr="00290E9B">
        <w:rPr>
          <w:rFonts w:cs="Arial"/>
          <w:sz w:val="18"/>
          <w:szCs w:val="18"/>
        </w:rPr>
        <w:t xml:space="preserve">input cost and other inflation </w:t>
      </w:r>
      <w:r w:rsidR="00E44EBE" w:rsidRPr="00290E9B">
        <w:rPr>
          <w:rFonts w:cs="Arial"/>
          <w:sz w:val="18"/>
          <w:szCs w:val="18"/>
        </w:rPr>
        <w:t>incurred</w:t>
      </w:r>
      <w:r w:rsidR="00E44EBE">
        <w:rPr>
          <w:rFonts w:cs="Arial"/>
          <w:sz w:val="18"/>
          <w:szCs w:val="18"/>
        </w:rPr>
        <w:t xml:space="preserve"> </w:t>
      </w:r>
      <w:r w:rsidR="00DE157A">
        <w:rPr>
          <w:rFonts w:cs="Arial"/>
          <w:sz w:val="18"/>
          <w:szCs w:val="18"/>
        </w:rPr>
        <w:t>during</w:t>
      </w:r>
      <w:r w:rsidR="00E44EBE">
        <w:rPr>
          <w:rFonts w:cs="Arial"/>
          <w:sz w:val="18"/>
          <w:szCs w:val="18"/>
        </w:rPr>
        <w:t xml:space="preserve"> Q1 and early Q2 </w:t>
      </w:r>
      <w:r w:rsidRPr="008B6A57">
        <w:rPr>
          <w:rFonts w:cs="Arial"/>
          <w:sz w:val="18"/>
          <w:szCs w:val="18"/>
        </w:rPr>
        <w:t>through explicit price recovery mechanisms</w:t>
      </w:r>
      <w:r w:rsidR="008B6A57" w:rsidRPr="001952EF">
        <w:rPr>
          <w:rFonts w:cs="Arial"/>
          <w:sz w:val="18"/>
          <w:szCs w:val="18"/>
        </w:rPr>
        <w:t xml:space="preserve">, </w:t>
      </w:r>
      <w:r w:rsidRPr="008B6A57">
        <w:rPr>
          <w:rFonts w:cs="Arial"/>
          <w:sz w:val="18"/>
          <w:szCs w:val="18"/>
        </w:rPr>
        <w:t xml:space="preserve">constructive dialogue with customers, and </w:t>
      </w:r>
      <w:r w:rsidR="0004641C">
        <w:rPr>
          <w:rFonts w:cs="Arial"/>
          <w:sz w:val="18"/>
          <w:szCs w:val="18"/>
        </w:rPr>
        <w:t>operational efficiencies</w:t>
      </w:r>
      <w:r w:rsidRPr="008B6A57">
        <w:rPr>
          <w:rFonts w:cs="Arial"/>
          <w:sz w:val="18"/>
          <w:szCs w:val="18"/>
        </w:rPr>
        <w:t xml:space="preserve">. </w:t>
      </w:r>
      <w:r w:rsidR="00AC7D47" w:rsidRPr="001952EF">
        <w:rPr>
          <w:rFonts w:cs="Arial"/>
          <w:sz w:val="18"/>
          <w:szCs w:val="18"/>
        </w:rPr>
        <w:t xml:space="preserve">The Group </w:t>
      </w:r>
      <w:r w:rsidR="0004641C">
        <w:rPr>
          <w:rFonts w:cs="Arial"/>
          <w:sz w:val="18"/>
          <w:szCs w:val="18"/>
        </w:rPr>
        <w:t xml:space="preserve">is fully committed to recovery of </w:t>
      </w:r>
      <w:r w:rsidR="00E44EBE">
        <w:rPr>
          <w:rFonts w:cs="Arial"/>
          <w:sz w:val="18"/>
          <w:szCs w:val="18"/>
        </w:rPr>
        <w:t xml:space="preserve">the additional </w:t>
      </w:r>
      <w:r w:rsidR="0004641C">
        <w:rPr>
          <w:rFonts w:cs="Arial"/>
          <w:sz w:val="18"/>
          <w:szCs w:val="18"/>
        </w:rPr>
        <w:t>inflation</w:t>
      </w:r>
      <w:r w:rsidR="00E44EBE">
        <w:rPr>
          <w:rFonts w:cs="Arial"/>
          <w:sz w:val="18"/>
          <w:szCs w:val="18"/>
        </w:rPr>
        <w:t xml:space="preserve">ary challenges </w:t>
      </w:r>
      <w:r w:rsidR="00DE157A">
        <w:rPr>
          <w:rFonts w:cs="Arial"/>
          <w:sz w:val="18"/>
          <w:szCs w:val="18"/>
        </w:rPr>
        <w:t xml:space="preserve">that have materialised </w:t>
      </w:r>
      <w:r w:rsidR="00E44EBE">
        <w:rPr>
          <w:rFonts w:cs="Arial"/>
          <w:sz w:val="18"/>
          <w:szCs w:val="18"/>
        </w:rPr>
        <w:t>since March 2022</w:t>
      </w:r>
      <w:r w:rsidR="00AC7D47" w:rsidRPr="001952EF">
        <w:rPr>
          <w:rFonts w:cs="Arial"/>
          <w:sz w:val="18"/>
          <w:szCs w:val="18"/>
        </w:rPr>
        <w:t xml:space="preserve">, </w:t>
      </w:r>
      <w:r w:rsidR="009779DE">
        <w:rPr>
          <w:rFonts w:cs="Arial"/>
          <w:sz w:val="18"/>
          <w:szCs w:val="18"/>
        </w:rPr>
        <w:t xml:space="preserve">and is progressing well in this regard. Profit conversion is also </w:t>
      </w:r>
      <w:r w:rsidR="00AC7D47" w:rsidRPr="001952EF">
        <w:rPr>
          <w:rFonts w:cs="Arial"/>
          <w:sz w:val="18"/>
          <w:szCs w:val="18"/>
        </w:rPr>
        <w:t>underpinned by</w:t>
      </w:r>
      <w:r w:rsidR="00F90C2F">
        <w:rPr>
          <w:rFonts w:cs="Arial"/>
          <w:sz w:val="18"/>
          <w:szCs w:val="18"/>
        </w:rPr>
        <w:t xml:space="preserve"> its</w:t>
      </w:r>
      <w:r w:rsidR="00AC7D47" w:rsidRPr="001952EF">
        <w:rPr>
          <w:rFonts w:cs="Arial"/>
          <w:sz w:val="18"/>
          <w:szCs w:val="18"/>
        </w:rPr>
        <w:t xml:space="preserve"> Better Greencore</w:t>
      </w:r>
      <w:r w:rsidR="00F90C2F">
        <w:rPr>
          <w:rFonts w:cs="Arial"/>
          <w:sz w:val="18"/>
          <w:szCs w:val="18"/>
        </w:rPr>
        <w:t xml:space="preserve"> </w:t>
      </w:r>
      <w:r w:rsidR="00975354">
        <w:rPr>
          <w:rFonts w:cs="Arial"/>
          <w:sz w:val="18"/>
          <w:szCs w:val="18"/>
        </w:rPr>
        <w:t>programme</w:t>
      </w:r>
    </w:p>
    <w:p w14:paraId="3041AC31" w14:textId="06048D46" w:rsidR="00CF2405" w:rsidRPr="009D373E" w:rsidRDefault="00CF2405" w:rsidP="00CF2405">
      <w:pPr>
        <w:numPr>
          <w:ilvl w:val="0"/>
          <w:numId w:val="3"/>
        </w:numPr>
        <w:tabs>
          <w:tab w:val="num" w:pos="426"/>
        </w:tabs>
        <w:spacing w:after="0" w:line="240" w:lineRule="auto"/>
        <w:ind w:left="426" w:hanging="284"/>
        <w:jc w:val="both"/>
        <w:rPr>
          <w:rFonts w:cs="Arial"/>
          <w:sz w:val="18"/>
          <w:szCs w:val="18"/>
        </w:rPr>
      </w:pPr>
      <w:r w:rsidRPr="009D373E">
        <w:rPr>
          <w:rFonts w:cs="Arial"/>
          <w:sz w:val="18"/>
          <w:szCs w:val="18"/>
        </w:rPr>
        <w:t xml:space="preserve">Though </w:t>
      </w:r>
      <w:r w:rsidR="009C3D96">
        <w:rPr>
          <w:rFonts w:cs="Arial"/>
          <w:sz w:val="18"/>
          <w:szCs w:val="18"/>
        </w:rPr>
        <w:t xml:space="preserve">the </w:t>
      </w:r>
      <w:r w:rsidRPr="009D373E">
        <w:rPr>
          <w:rFonts w:cs="Arial"/>
          <w:sz w:val="18"/>
          <w:szCs w:val="18"/>
        </w:rPr>
        <w:t xml:space="preserve">inflationary </w:t>
      </w:r>
      <w:r w:rsidR="009C3D96">
        <w:rPr>
          <w:rFonts w:cs="Arial"/>
          <w:sz w:val="18"/>
          <w:szCs w:val="18"/>
        </w:rPr>
        <w:t xml:space="preserve">environment </w:t>
      </w:r>
      <w:r w:rsidRPr="009D373E">
        <w:rPr>
          <w:rFonts w:cs="Arial"/>
          <w:sz w:val="18"/>
          <w:szCs w:val="18"/>
        </w:rPr>
        <w:t>remain</w:t>
      </w:r>
      <w:r w:rsidR="009C3D96">
        <w:rPr>
          <w:rFonts w:cs="Arial"/>
          <w:sz w:val="18"/>
          <w:szCs w:val="18"/>
        </w:rPr>
        <w:t>s</w:t>
      </w:r>
      <w:r w:rsidRPr="009D373E">
        <w:rPr>
          <w:rFonts w:cs="Arial"/>
          <w:sz w:val="18"/>
          <w:szCs w:val="18"/>
        </w:rPr>
        <w:t xml:space="preserve"> volatile, the Group expects to generate an FY22 outturn in line with current market expectations </w:t>
      </w:r>
    </w:p>
    <w:p w14:paraId="15237E9D" w14:textId="48ECDD1B" w:rsidR="00894DE3" w:rsidRDefault="00894DE3" w:rsidP="004B6C20">
      <w:pPr>
        <w:rPr>
          <w:rFonts w:cs="Arial"/>
          <w:b/>
          <w:szCs w:val="20"/>
        </w:rPr>
      </w:pPr>
    </w:p>
    <w:p w14:paraId="2D397274" w14:textId="0DBCFA25" w:rsidR="00FD4B3A" w:rsidRDefault="00FD4B3A" w:rsidP="00FD4B3A">
      <w:pPr>
        <w:spacing w:after="0" w:line="240" w:lineRule="auto"/>
        <w:jc w:val="both"/>
        <w:rPr>
          <w:rFonts w:cs="Arial"/>
          <w:b/>
          <w:szCs w:val="20"/>
          <w:vertAlign w:val="superscript"/>
        </w:rPr>
      </w:pPr>
      <w:r w:rsidRPr="008B7B91">
        <w:rPr>
          <w:rFonts w:cs="Arial"/>
          <w:b/>
          <w:szCs w:val="20"/>
        </w:rPr>
        <w:t>SUMMARY FINANCIAL PERFORMANCE</w:t>
      </w:r>
      <w:r w:rsidRPr="008B7B91">
        <w:rPr>
          <w:rFonts w:cs="Arial"/>
          <w:b/>
          <w:szCs w:val="20"/>
          <w:vertAlign w:val="superscript"/>
        </w:rPr>
        <w:t xml:space="preserve"> 1</w:t>
      </w:r>
    </w:p>
    <w:p w14:paraId="5AFC776D" w14:textId="77777777" w:rsidR="00CF2405" w:rsidRPr="008B7B91" w:rsidRDefault="00CF2405" w:rsidP="00FD4B3A">
      <w:pPr>
        <w:spacing w:after="0" w:line="240" w:lineRule="auto"/>
        <w:jc w:val="both"/>
        <w:rPr>
          <w:rFonts w:cs="Arial"/>
          <w:b/>
          <w:szCs w:val="20"/>
        </w:rPr>
      </w:pPr>
    </w:p>
    <w:tbl>
      <w:tblPr>
        <w:tblW w:w="7513" w:type="dxa"/>
        <w:jc w:val="center"/>
        <w:tblLayout w:type="fixed"/>
        <w:tblCellMar>
          <w:left w:w="0" w:type="dxa"/>
          <w:right w:w="0" w:type="dxa"/>
        </w:tblCellMar>
        <w:tblLook w:val="04A0" w:firstRow="1" w:lastRow="0" w:firstColumn="1" w:lastColumn="0" w:noHBand="0" w:noVBand="1"/>
      </w:tblPr>
      <w:tblGrid>
        <w:gridCol w:w="4111"/>
        <w:gridCol w:w="1134"/>
        <w:gridCol w:w="1134"/>
        <w:gridCol w:w="1134"/>
      </w:tblGrid>
      <w:tr w:rsidR="00FD4B3A" w:rsidRPr="0016388F" w14:paraId="55238C1D" w14:textId="77777777" w:rsidTr="00865099">
        <w:trPr>
          <w:jc w:val="center"/>
        </w:trPr>
        <w:tc>
          <w:tcPr>
            <w:tcW w:w="4111" w:type="dxa"/>
            <w:noWrap/>
            <w:tcMar>
              <w:top w:w="15" w:type="dxa"/>
              <w:left w:w="15" w:type="dxa"/>
              <w:bottom w:w="0" w:type="dxa"/>
              <w:right w:w="15" w:type="dxa"/>
            </w:tcMar>
            <w:vAlign w:val="bottom"/>
            <w:hideMark/>
          </w:tcPr>
          <w:p w14:paraId="7F820810" w14:textId="3AF74956" w:rsidR="00FD4B3A" w:rsidRPr="0016388F" w:rsidRDefault="00FD4B3A" w:rsidP="00FD4B3A">
            <w:pPr>
              <w:spacing w:after="0" w:line="240" w:lineRule="auto"/>
              <w:jc w:val="both"/>
              <w:rPr>
                <w:rFonts w:cs="Arial"/>
                <w:b/>
                <w:bCs/>
                <w:sz w:val="18"/>
                <w:szCs w:val="18"/>
                <w:lang w:val="en-US"/>
              </w:rPr>
            </w:pPr>
          </w:p>
        </w:tc>
        <w:tc>
          <w:tcPr>
            <w:tcW w:w="1134" w:type="dxa"/>
            <w:tcMar>
              <w:top w:w="15" w:type="dxa"/>
              <w:left w:w="15" w:type="dxa"/>
              <w:bottom w:w="0" w:type="dxa"/>
              <w:right w:w="15" w:type="dxa"/>
            </w:tcMar>
            <w:vAlign w:val="bottom"/>
            <w:hideMark/>
          </w:tcPr>
          <w:p w14:paraId="3A7C44A6" w14:textId="77777777" w:rsidR="00FD4B3A" w:rsidRPr="0016388F" w:rsidRDefault="00FD4B3A" w:rsidP="00FD4B3A">
            <w:pPr>
              <w:spacing w:after="0" w:line="240" w:lineRule="auto"/>
              <w:ind w:right="103"/>
              <w:jc w:val="right"/>
              <w:rPr>
                <w:rFonts w:cs="Arial"/>
                <w:b/>
                <w:bCs/>
                <w:sz w:val="18"/>
                <w:szCs w:val="18"/>
                <w:lang w:val="en-US"/>
              </w:rPr>
            </w:pPr>
            <w:r>
              <w:rPr>
                <w:rFonts w:cs="Arial"/>
                <w:b/>
                <w:bCs/>
                <w:sz w:val="18"/>
                <w:szCs w:val="18"/>
                <w:lang w:val="en-US"/>
              </w:rPr>
              <w:t>H1 22</w:t>
            </w:r>
          </w:p>
        </w:tc>
        <w:tc>
          <w:tcPr>
            <w:tcW w:w="1134" w:type="dxa"/>
            <w:hideMark/>
          </w:tcPr>
          <w:p w14:paraId="4C627171" w14:textId="77777777" w:rsidR="00FD4B3A" w:rsidRPr="0016388F" w:rsidRDefault="00FD4B3A" w:rsidP="00FD4B3A">
            <w:pPr>
              <w:spacing w:after="0" w:line="240" w:lineRule="auto"/>
              <w:ind w:right="103"/>
              <w:jc w:val="right"/>
              <w:rPr>
                <w:rFonts w:cs="Arial"/>
                <w:b/>
                <w:bCs/>
                <w:sz w:val="18"/>
                <w:szCs w:val="18"/>
                <w:lang w:val="en-US"/>
              </w:rPr>
            </w:pPr>
            <w:r>
              <w:rPr>
                <w:rFonts w:cs="Arial"/>
                <w:b/>
                <w:bCs/>
                <w:sz w:val="18"/>
                <w:szCs w:val="18"/>
                <w:lang w:val="en-US"/>
              </w:rPr>
              <w:t>H1 21</w:t>
            </w:r>
          </w:p>
        </w:tc>
        <w:tc>
          <w:tcPr>
            <w:tcW w:w="1134" w:type="dxa"/>
            <w:hideMark/>
          </w:tcPr>
          <w:p w14:paraId="77A6CD6B" w14:textId="77777777" w:rsidR="00FD4B3A" w:rsidRPr="0016388F" w:rsidRDefault="00FD4B3A" w:rsidP="00FD4B3A">
            <w:pPr>
              <w:spacing w:after="0" w:line="240" w:lineRule="auto"/>
              <w:ind w:right="103"/>
              <w:jc w:val="right"/>
              <w:rPr>
                <w:rFonts w:cs="Arial"/>
                <w:b/>
                <w:bCs/>
                <w:sz w:val="18"/>
                <w:szCs w:val="18"/>
                <w:lang w:val="en-US"/>
              </w:rPr>
            </w:pPr>
            <w:r w:rsidRPr="0016388F">
              <w:rPr>
                <w:rFonts w:cs="Arial"/>
                <w:b/>
                <w:bCs/>
                <w:sz w:val="18"/>
                <w:szCs w:val="18"/>
                <w:lang w:val="en-US"/>
              </w:rPr>
              <w:t>Change</w:t>
            </w:r>
          </w:p>
        </w:tc>
      </w:tr>
      <w:tr w:rsidR="00FD4B3A" w:rsidRPr="0016388F" w14:paraId="6AD33193" w14:textId="77777777" w:rsidTr="00865099">
        <w:trPr>
          <w:trHeight w:val="191"/>
          <w:jc w:val="center"/>
        </w:trPr>
        <w:tc>
          <w:tcPr>
            <w:tcW w:w="4111" w:type="dxa"/>
            <w:noWrap/>
            <w:tcMar>
              <w:top w:w="15" w:type="dxa"/>
              <w:left w:w="15" w:type="dxa"/>
              <w:bottom w:w="0" w:type="dxa"/>
              <w:right w:w="15" w:type="dxa"/>
            </w:tcMar>
            <w:vAlign w:val="bottom"/>
          </w:tcPr>
          <w:p w14:paraId="4FC31352" w14:textId="77777777" w:rsidR="00FD4B3A" w:rsidRPr="0016388F" w:rsidRDefault="00FD4B3A" w:rsidP="00FD4B3A">
            <w:pPr>
              <w:spacing w:after="0" w:line="240" w:lineRule="auto"/>
              <w:jc w:val="both"/>
              <w:rPr>
                <w:rFonts w:cs="Arial"/>
                <w:b/>
                <w:bCs/>
                <w:sz w:val="18"/>
                <w:szCs w:val="18"/>
                <w:lang w:val="en-US"/>
              </w:rPr>
            </w:pPr>
          </w:p>
        </w:tc>
        <w:tc>
          <w:tcPr>
            <w:tcW w:w="1134" w:type="dxa"/>
            <w:tcMar>
              <w:top w:w="15" w:type="dxa"/>
              <w:left w:w="15" w:type="dxa"/>
              <w:bottom w:w="0" w:type="dxa"/>
              <w:right w:w="15" w:type="dxa"/>
            </w:tcMar>
            <w:hideMark/>
          </w:tcPr>
          <w:p w14:paraId="09C90204" w14:textId="77777777" w:rsidR="00FD4B3A" w:rsidRPr="0016388F" w:rsidRDefault="00FD4B3A" w:rsidP="00FD4B3A">
            <w:pPr>
              <w:spacing w:after="0" w:line="240" w:lineRule="auto"/>
              <w:ind w:right="103"/>
              <w:jc w:val="right"/>
              <w:rPr>
                <w:rFonts w:cs="Arial"/>
                <w:b/>
                <w:bCs/>
                <w:sz w:val="18"/>
                <w:szCs w:val="18"/>
                <w:lang w:val="en-US"/>
              </w:rPr>
            </w:pPr>
            <w:r w:rsidRPr="0016388F">
              <w:rPr>
                <w:rFonts w:cs="Arial"/>
                <w:b/>
                <w:bCs/>
                <w:sz w:val="18"/>
                <w:szCs w:val="18"/>
                <w:lang w:val="en-US"/>
              </w:rPr>
              <w:t>£m</w:t>
            </w:r>
          </w:p>
        </w:tc>
        <w:tc>
          <w:tcPr>
            <w:tcW w:w="1134" w:type="dxa"/>
            <w:hideMark/>
          </w:tcPr>
          <w:p w14:paraId="7F5F0307" w14:textId="77777777" w:rsidR="00FD4B3A" w:rsidRPr="0016388F" w:rsidRDefault="00FD4B3A" w:rsidP="00FD4B3A">
            <w:pPr>
              <w:spacing w:after="0" w:line="240" w:lineRule="auto"/>
              <w:ind w:right="103"/>
              <w:jc w:val="right"/>
              <w:rPr>
                <w:rFonts w:cs="Arial"/>
                <w:b/>
                <w:bCs/>
                <w:sz w:val="18"/>
                <w:szCs w:val="18"/>
                <w:lang w:val="en-US"/>
              </w:rPr>
            </w:pPr>
            <w:r w:rsidRPr="0016388F">
              <w:rPr>
                <w:rFonts w:cs="Arial"/>
                <w:b/>
                <w:bCs/>
                <w:sz w:val="18"/>
                <w:szCs w:val="18"/>
                <w:lang w:val="en-US"/>
              </w:rPr>
              <w:t>£m</w:t>
            </w:r>
          </w:p>
        </w:tc>
        <w:tc>
          <w:tcPr>
            <w:tcW w:w="1134" w:type="dxa"/>
            <w:hideMark/>
          </w:tcPr>
          <w:p w14:paraId="7B0430DB" w14:textId="77777777" w:rsidR="00FD4B3A" w:rsidRPr="0016388F" w:rsidRDefault="00FD4B3A" w:rsidP="00FD4B3A">
            <w:pPr>
              <w:spacing w:after="0" w:line="240" w:lineRule="auto"/>
              <w:ind w:right="103"/>
              <w:jc w:val="right"/>
              <w:rPr>
                <w:rFonts w:cs="Arial"/>
                <w:b/>
                <w:bCs/>
                <w:sz w:val="18"/>
                <w:szCs w:val="18"/>
                <w:lang w:val="en-US"/>
              </w:rPr>
            </w:pPr>
          </w:p>
        </w:tc>
      </w:tr>
      <w:tr w:rsidR="00FD4B3A" w:rsidRPr="0016388F" w14:paraId="1069C9EE" w14:textId="77777777" w:rsidTr="00865099">
        <w:trPr>
          <w:trHeight w:val="191"/>
          <w:jc w:val="center"/>
        </w:trPr>
        <w:tc>
          <w:tcPr>
            <w:tcW w:w="4111" w:type="dxa"/>
            <w:noWrap/>
            <w:tcMar>
              <w:top w:w="15" w:type="dxa"/>
              <w:left w:w="15" w:type="dxa"/>
              <w:bottom w:w="0" w:type="dxa"/>
              <w:right w:w="15" w:type="dxa"/>
            </w:tcMar>
            <w:vAlign w:val="bottom"/>
          </w:tcPr>
          <w:p w14:paraId="4321C385" w14:textId="77777777" w:rsidR="00FD4B3A" w:rsidRPr="003E5DE4" w:rsidRDefault="00FD4B3A" w:rsidP="00FD4B3A">
            <w:pPr>
              <w:spacing w:after="0" w:line="240" w:lineRule="auto"/>
              <w:jc w:val="both"/>
              <w:rPr>
                <w:rFonts w:cs="Arial"/>
                <w:b/>
                <w:bCs/>
                <w:sz w:val="18"/>
                <w:szCs w:val="18"/>
                <w:u w:val="single"/>
                <w:lang w:val="en-US"/>
              </w:rPr>
            </w:pPr>
          </w:p>
        </w:tc>
        <w:tc>
          <w:tcPr>
            <w:tcW w:w="1134" w:type="dxa"/>
            <w:tcMar>
              <w:top w:w="15" w:type="dxa"/>
              <w:left w:w="15" w:type="dxa"/>
              <w:bottom w:w="0" w:type="dxa"/>
              <w:right w:w="15" w:type="dxa"/>
            </w:tcMar>
          </w:tcPr>
          <w:p w14:paraId="0156AD8C" w14:textId="77777777" w:rsidR="00FD4B3A" w:rsidRPr="0016388F" w:rsidRDefault="00FD4B3A" w:rsidP="00FD4B3A">
            <w:pPr>
              <w:spacing w:after="0" w:line="240" w:lineRule="auto"/>
              <w:ind w:right="103"/>
              <w:jc w:val="right"/>
              <w:rPr>
                <w:rFonts w:cs="Arial"/>
                <w:b/>
                <w:bCs/>
                <w:sz w:val="18"/>
                <w:szCs w:val="18"/>
                <w:lang w:val="en-US"/>
              </w:rPr>
            </w:pPr>
          </w:p>
        </w:tc>
        <w:tc>
          <w:tcPr>
            <w:tcW w:w="1134" w:type="dxa"/>
          </w:tcPr>
          <w:p w14:paraId="754C7A5F" w14:textId="77777777" w:rsidR="00FD4B3A" w:rsidRPr="0016388F" w:rsidRDefault="00FD4B3A" w:rsidP="00FD4B3A">
            <w:pPr>
              <w:spacing w:after="0" w:line="240" w:lineRule="auto"/>
              <w:ind w:right="103"/>
              <w:jc w:val="right"/>
              <w:rPr>
                <w:rFonts w:cs="Arial"/>
                <w:b/>
                <w:bCs/>
                <w:sz w:val="18"/>
                <w:szCs w:val="18"/>
                <w:lang w:val="en-US"/>
              </w:rPr>
            </w:pPr>
          </w:p>
        </w:tc>
        <w:tc>
          <w:tcPr>
            <w:tcW w:w="1134" w:type="dxa"/>
          </w:tcPr>
          <w:p w14:paraId="11FF764B" w14:textId="77777777" w:rsidR="00FD4B3A" w:rsidRPr="0016388F" w:rsidRDefault="00FD4B3A" w:rsidP="00FD4B3A">
            <w:pPr>
              <w:spacing w:after="0" w:line="240" w:lineRule="auto"/>
              <w:ind w:right="103"/>
              <w:jc w:val="right"/>
              <w:rPr>
                <w:rFonts w:cs="Arial"/>
                <w:b/>
                <w:bCs/>
                <w:sz w:val="18"/>
                <w:szCs w:val="18"/>
                <w:lang w:val="en-US"/>
              </w:rPr>
            </w:pPr>
          </w:p>
        </w:tc>
      </w:tr>
      <w:tr w:rsidR="00FD4B3A" w:rsidRPr="000B4332" w14:paraId="244D7844" w14:textId="77777777" w:rsidTr="00865099">
        <w:trPr>
          <w:jc w:val="center"/>
        </w:trPr>
        <w:tc>
          <w:tcPr>
            <w:tcW w:w="4111" w:type="dxa"/>
            <w:shd w:val="clear" w:color="auto" w:fill="auto"/>
            <w:noWrap/>
            <w:tcMar>
              <w:top w:w="15" w:type="dxa"/>
              <w:left w:w="15" w:type="dxa"/>
              <w:bottom w:w="0" w:type="dxa"/>
              <w:right w:w="15" w:type="dxa"/>
            </w:tcMar>
            <w:vAlign w:val="center"/>
            <w:hideMark/>
          </w:tcPr>
          <w:p w14:paraId="45746928" w14:textId="33CF8392" w:rsidR="00FD4B3A" w:rsidRPr="000B4332" w:rsidRDefault="00FD4B3A" w:rsidP="00FD4B3A">
            <w:pPr>
              <w:spacing w:after="0" w:line="240" w:lineRule="auto"/>
              <w:jc w:val="both"/>
              <w:rPr>
                <w:rFonts w:cs="Arial"/>
                <w:sz w:val="18"/>
                <w:szCs w:val="18"/>
                <w:lang w:val="en-US"/>
              </w:rPr>
            </w:pPr>
            <w:r w:rsidRPr="000B4332">
              <w:rPr>
                <w:rFonts w:cs="Arial"/>
                <w:sz w:val="18"/>
                <w:szCs w:val="18"/>
                <w:lang w:val="en-US"/>
              </w:rPr>
              <w:t xml:space="preserve">Group Revenue </w:t>
            </w:r>
          </w:p>
        </w:tc>
        <w:tc>
          <w:tcPr>
            <w:tcW w:w="1134" w:type="dxa"/>
            <w:shd w:val="clear" w:color="auto" w:fill="auto"/>
            <w:noWrap/>
            <w:tcMar>
              <w:top w:w="15" w:type="dxa"/>
              <w:left w:w="15" w:type="dxa"/>
              <w:bottom w:w="0" w:type="dxa"/>
              <w:right w:w="15" w:type="dxa"/>
            </w:tcMar>
          </w:tcPr>
          <w:p w14:paraId="1DF2F821" w14:textId="77777777" w:rsidR="00FD4B3A" w:rsidRPr="009204F5" w:rsidRDefault="00FD4B3A" w:rsidP="00FD4B3A">
            <w:pPr>
              <w:spacing w:after="0" w:line="240" w:lineRule="auto"/>
              <w:ind w:right="103"/>
              <w:jc w:val="right"/>
              <w:rPr>
                <w:rFonts w:cs="Arial"/>
                <w:bCs/>
                <w:sz w:val="18"/>
                <w:szCs w:val="18"/>
                <w:lang w:val="en-US"/>
              </w:rPr>
            </w:pPr>
            <w:r>
              <w:rPr>
                <w:rFonts w:cs="Arial"/>
                <w:sz w:val="18"/>
                <w:szCs w:val="18"/>
                <w:lang w:val="en-US"/>
              </w:rPr>
              <w:t>770.8</w:t>
            </w:r>
          </w:p>
        </w:tc>
        <w:tc>
          <w:tcPr>
            <w:tcW w:w="1134" w:type="dxa"/>
            <w:shd w:val="clear" w:color="auto" w:fill="auto"/>
          </w:tcPr>
          <w:p w14:paraId="0D25C03D" w14:textId="77777777" w:rsidR="00FD4B3A" w:rsidRPr="00B31BD0" w:rsidRDefault="00FD4B3A" w:rsidP="00FD4B3A">
            <w:pPr>
              <w:spacing w:after="0" w:line="240" w:lineRule="auto"/>
              <w:ind w:right="103"/>
              <w:jc w:val="right"/>
              <w:rPr>
                <w:rFonts w:cs="Arial"/>
                <w:bCs/>
                <w:sz w:val="18"/>
                <w:szCs w:val="18"/>
                <w:lang w:val="en-US"/>
              </w:rPr>
            </w:pPr>
            <w:r>
              <w:rPr>
                <w:rFonts w:cs="Arial"/>
                <w:bCs/>
                <w:sz w:val="18"/>
                <w:szCs w:val="18"/>
                <w:lang w:val="en-US"/>
              </w:rPr>
              <w:t>577.1</w:t>
            </w:r>
          </w:p>
        </w:tc>
        <w:tc>
          <w:tcPr>
            <w:tcW w:w="1134" w:type="dxa"/>
            <w:shd w:val="clear" w:color="auto" w:fill="auto"/>
          </w:tcPr>
          <w:p w14:paraId="7C4CAB1D" w14:textId="77777777" w:rsidR="00FD4B3A" w:rsidRPr="00557DEC" w:rsidRDefault="00FD4B3A" w:rsidP="00FD4B3A">
            <w:pPr>
              <w:spacing w:after="0" w:line="240" w:lineRule="auto"/>
              <w:ind w:right="103"/>
              <w:jc w:val="right"/>
              <w:rPr>
                <w:rFonts w:cs="Arial"/>
                <w:bCs/>
                <w:sz w:val="18"/>
                <w:szCs w:val="18"/>
                <w:lang w:val="en-US"/>
              </w:rPr>
            </w:pPr>
            <w:r w:rsidRPr="00557DEC">
              <w:rPr>
                <w:rFonts w:cs="Arial"/>
                <w:bCs/>
                <w:sz w:val="18"/>
                <w:szCs w:val="18"/>
                <w:lang w:val="en-US"/>
              </w:rPr>
              <w:t>+33.6%</w:t>
            </w:r>
          </w:p>
        </w:tc>
      </w:tr>
      <w:tr w:rsidR="00FD4B3A" w:rsidRPr="000B4332" w14:paraId="44861E0F" w14:textId="77777777" w:rsidTr="00865099">
        <w:trPr>
          <w:jc w:val="center"/>
        </w:trPr>
        <w:tc>
          <w:tcPr>
            <w:tcW w:w="4111" w:type="dxa"/>
            <w:shd w:val="clear" w:color="auto" w:fill="auto"/>
            <w:noWrap/>
            <w:tcMar>
              <w:top w:w="15" w:type="dxa"/>
              <w:left w:w="15" w:type="dxa"/>
              <w:bottom w:w="0" w:type="dxa"/>
              <w:right w:w="15" w:type="dxa"/>
            </w:tcMar>
            <w:vAlign w:val="center"/>
          </w:tcPr>
          <w:p w14:paraId="4B0B7E94" w14:textId="77777777" w:rsidR="00FD4B3A" w:rsidRPr="000B4332" w:rsidRDefault="00FD4B3A" w:rsidP="00FD4B3A">
            <w:pPr>
              <w:spacing w:after="0" w:line="240" w:lineRule="auto"/>
              <w:jc w:val="both"/>
              <w:rPr>
                <w:rFonts w:cs="Arial"/>
                <w:sz w:val="18"/>
                <w:szCs w:val="18"/>
                <w:lang w:val="en-US"/>
              </w:rPr>
            </w:pPr>
            <w:r>
              <w:rPr>
                <w:rFonts w:cs="Arial"/>
                <w:sz w:val="18"/>
                <w:szCs w:val="18"/>
                <w:lang w:val="en-US"/>
              </w:rPr>
              <w:t>Pro Forma Revenue Growth</w:t>
            </w:r>
          </w:p>
        </w:tc>
        <w:tc>
          <w:tcPr>
            <w:tcW w:w="1134" w:type="dxa"/>
            <w:shd w:val="clear" w:color="auto" w:fill="auto"/>
            <w:noWrap/>
            <w:tcMar>
              <w:top w:w="15" w:type="dxa"/>
              <w:left w:w="15" w:type="dxa"/>
              <w:bottom w:w="0" w:type="dxa"/>
              <w:right w:w="15" w:type="dxa"/>
            </w:tcMar>
          </w:tcPr>
          <w:p w14:paraId="1303BE3F" w14:textId="77777777" w:rsidR="00FD4B3A" w:rsidRPr="009204F5" w:rsidRDefault="00FD4B3A" w:rsidP="00FD4B3A">
            <w:pPr>
              <w:spacing w:after="0" w:line="240" w:lineRule="auto"/>
              <w:ind w:right="103"/>
              <w:jc w:val="right"/>
              <w:rPr>
                <w:rFonts w:cs="Arial"/>
                <w:bCs/>
                <w:sz w:val="18"/>
                <w:szCs w:val="18"/>
                <w:lang w:val="en-US"/>
              </w:rPr>
            </w:pPr>
          </w:p>
        </w:tc>
        <w:tc>
          <w:tcPr>
            <w:tcW w:w="1134" w:type="dxa"/>
            <w:shd w:val="clear" w:color="auto" w:fill="auto"/>
          </w:tcPr>
          <w:p w14:paraId="11A63F7F" w14:textId="77777777" w:rsidR="00FD4B3A" w:rsidRPr="00B31BD0" w:rsidRDefault="00FD4B3A" w:rsidP="00FD4B3A">
            <w:pPr>
              <w:spacing w:after="0" w:line="240" w:lineRule="auto"/>
              <w:ind w:right="103"/>
              <w:jc w:val="right"/>
              <w:rPr>
                <w:rFonts w:cs="Arial"/>
                <w:bCs/>
                <w:sz w:val="18"/>
                <w:szCs w:val="18"/>
                <w:lang w:val="en-US"/>
              </w:rPr>
            </w:pPr>
          </w:p>
        </w:tc>
        <w:tc>
          <w:tcPr>
            <w:tcW w:w="1134" w:type="dxa"/>
            <w:shd w:val="clear" w:color="auto" w:fill="auto"/>
          </w:tcPr>
          <w:p w14:paraId="31DE9EFD" w14:textId="77777777" w:rsidR="00FD4B3A" w:rsidRPr="00557DEC" w:rsidRDefault="00FD4B3A" w:rsidP="00FD4B3A">
            <w:pPr>
              <w:spacing w:after="0" w:line="240" w:lineRule="auto"/>
              <w:ind w:right="103"/>
              <w:jc w:val="right"/>
              <w:rPr>
                <w:rFonts w:cs="Arial"/>
                <w:bCs/>
                <w:sz w:val="18"/>
                <w:szCs w:val="18"/>
                <w:lang w:val="en-US"/>
              </w:rPr>
            </w:pPr>
            <w:r w:rsidRPr="00557DEC">
              <w:rPr>
                <w:rFonts w:cs="Arial"/>
                <w:bCs/>
                <w:sz w:val="18"/>
                <w:szCs w:val="18"/>
                <w:lang w:val="en-US"/>
              </w:rPr>
              <w:t>+</w:t>
            </w:r>
            <w:r>
              <w:rPr>
                <w:rFonts w:cs="Arial"/>
                <w:bCs/>
                <w:sz w:val="18"/>
                <w:szCs w:val="18"/>
                <w:lang w:val="en-US"/>
              </w:rPr>
              <w:t>34.9</w:t>
            </w:r>
            <w:r w:rsidRPr="00557DEC">
              <w:rPr>
                <w:rFonts w:cs="Arial"/>
                <w:bCs/>
                <w:sz w:val="18"/>
                <w:szCs w:val="18"/>
                <w:lang w:val="en-US"/>
              </w:rPr>
              <w:t>%</w:t>
            </w:r>
          </w:p>
        </w:tc>
      </w:tr>
      <w:tr w:rsidR="00FD4B3A" w:rsidRPr="000B4332" w14:paraId="5668D659" w14:textId="77777777" w:rsidTr="00865099">
        <w:trPr>
          <w:jc w:val="center"/>
        </w:trPr>
        <w:tc>
          <w:tcPr>
            <w:tcW w:w="4111" w:type="dxa"/>
            <w:shd w:val="clear" w:color="auto" w:fill="auto"/>
            <w:noWrap/>
            <w:tcMar>
              <w:top w:w="15" w:type="dxa"/>
              <w:left w:w="15" w:type="dxa"/>
              <w:bottom w:w="0" w:type="dxa"/>
              <w:right w:w="15" w:type="dxa"/>
            </w:tcMar>
            <w:vAlign w:val="center"/>
          </w:tcPr>
          <w:p w14:paraId="683C1098" w14:textId="77777777" w:rsidR="00FD4B3A" w:rsidRPr="000B4332" w:rsidRDefault="00FD4B3A" w:rsidP="00FD4B3A">
            <w:pPr>
              <w:spacing w:after="0" w:line="240" w:lineRule="auto"/>
              <w:jc w:val="both"/>
              <w:rPr>
                <w:rFonts w:cs="Arial"/>
                <w:sz w:val="18"/>
                <w:szCs w:val="18"/>
                <w:lang w:val="en-US"/>
              </w:rPr>
            </w:pPr>
            <w:r w:rsidRPr="000B4332">
              <w:rPr>
                <w:rFonts w:cs="Arial"/>
                <w:sz w:val="18"/>
                <w:szCs w:val="18"/>
                <w:lang w:val="en-US"/>
              </w:rPr>
              <w:t>Adjusted EBITDA</w:t>
            </w:r>
          </w:p>
        </w:tc>
        <w:tc>
          <w:tcPr>
            <w:tcW w:w="1134" w:type="dxa"/>
            <w:shd w:val="clear" w:color="auto" w:fill="auto"/>
            <w:noWrap/>
            <w:tcMar>
              <w:top w:w="15" w:type="dxa"/>
              <w:left w:w="15" w:type="dxa"/>
              <w:bottom w:w="0" w:type="dxa"/>
              <w:right w:w="15" w:type="dxa"/>
            </w:tcMar>
          </w:tcPr>
          <w:p w14:paraId="63558DAE" w14:textId="77777777" w:rsidR="00FD4B3A" w:rsidRPr="009204F5" w:rsidRDefault="00FD4B3A" w:rsidP="00FD4B3A">
            <w:pPr>
              <w:spacing w:after="0" w:line="240" w:lineRule="auto"/>
              <w:ind w:right="103"/>
              <w:jc w:val="right"/>
              <w:rPr>
                <w:rFonts w:cs="Arial"/>
                <w:bCs/>
                <w:sz w:val="18"/>
                <w:szCs w:val="18"/>
                <w:lang w:val="en-US"/>
              </w:rPr>
            </w:pPr>
            <w:r>
              <w:rPr>
                <w:rFonts w:cs="Arial"/>
                <w:sz w:val="18"/>
                <w:szCs w:val="18"/>
                <w:lang w:val="en-US"/>
              </w:rPr>
              <w:t>43.8</w:t>
            </w:r>
          </w:p>
        </w:tc>
        <w:tc>
          <w:tcPr>
            <w:tcW w:w="1134" w:type="dxa"/>
            <w:shd w:val="clear" w:color="auto" w:fill="auto"/>
          </w:tcPr>
          <w:p w14:paraId="64292CB7" w14:textId="77777777" w:rsidR="00FD4B3A" w:rsidRPr="00B31BD0" w:rsidRDefault="00FD4B3A" w:rsidP="00FD4B3A">
            <w:pPr>
              <w:spacing w:after="0" w:line="240" w:lineRule="auto"/>
              <w:ind w:right="103"/>
              <w:jc w:val="right"/>
              <w:rPr>
                <w:rFonts w:cs="Arial"/>
                <w:bCs/>
                <w:sz w:val="18"/>
                <w:szCs w:val="18"/>
                <w:lang w:val="en-US"/>
              </w:rPr>
            </w:pPr>
            <w:r>
              <w:rPr>
                <w:rFonts w:cs="Arial"/>
                <w:bCs/>
                <w:sz w:val="18"/>
                <w:szCs w:val="18"/>
                <w:lang w:val="en-US"/>
              </w:rPr>
              <w:t>26.5</w:t>
            </w:r>
          </w:p>
        </w:tc>
        <w:tc>
          <w:tcPr>
            <w:tcW w:w="1134" w:type="dxa"/>
            <w:shd w:val="clear" w:color="auto" w:fill="auto"/>
          </w:tcPr>
          <w:p w14:paraId="1AA566E3" w14:textId="2381EF62" w:rsidR="00FD4B3A" w:rsidRPr="00557DEC" w:rsidRDefault="00FD4B3A" w:rsidP="00FD4B3A">
            <w:pPr>
              <w:spacing w:after="0" w:line="240" w:lineRule="auto"/>
              <w:ind w:right="103"/>
              <w:jc w:val="right"/>
              <w:rPr>
                <w:rFonts w:cs="Arial"/>
                <w:bCs/>
                <w:sz w:val="18"/>
                <w:szCs w:val="18"/>
                <w:lang w:val="en-US"/>
              </w:rPr>
            </w:pPr>
            <w:r w:rsidRPr="00557DEC">
              <w:rPr>
                <w:rFonts w:cs="Arial"/>
                <w:bCs/>
                <w:sz w:val="18"/>
                <w:szCs w:val="18"/>
                <w:lang w:val="en-US"/>
              </w:rPr>
              <w:t>+65.</w:t>
            </w:r>
            <w:r w:rsidR="004F2CD2">
              <w:rPr>
                <w:rFonts w:cs="Arial"/>
                <w:bCs/>
                <w:sz w:val="18"/>
                <w:szCs w:val="18"/>
                <w:lang w:val="en-US"/>
              </w:rPr>
              <w:t>3</w:t>
            </w:r>
            <w:r w:rsidRPr="00557DEC">
              <w:rPr>
                <w:rFonts w:cs="Arial"/>
                <w:bCs/>
                <w:sz w:val="18"/>
                <w:szCs w:val="18"/>
                <w:lang w:val="en-US"/>
              </w:rPr>
              <w:t>%</w:t>
            </w:r>
          </w:p>
        </w:tc>
      </w:tr>
      <w:tr w:rsidR="00FD4B3A" w:rsidRPr="000B4332" w14:paraId="78016DA0" w14:textId="77777777" w:rsidTr="00865099">
        <w:trPr>
          <w:trHeight w:val="163"/>
          <w:jc w:val="center"/>
        </w:trPr>
        <w:tc>
          <w:tcPr>
            <w:tcW w:w="4111" w:type="dxa"/>
            <w:shd w:val="clear" w:color="auto" w:fill="auto"/>
            <w:noWrap/>
            <w:tcMar>
              <w:top w:w="15" w:type="dxa"/>
              <w:left w:w="15" w:type="dxa"/>
              <w:bottom w:w="0" w:type="dxa"/>
              <w:right w:w="15" w:type="dxa"/>
            </w:tcMar>
            <w:vAlign w:val="center"/>
          </w:tcPr>
          <w:p w14:paraId="0EF403E7"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lastRenderedPageBreak/>
              <w:t>Group Operating Profit</w:t>
            </w:r>
          </w:p>
        </w:tc>
        <w:tc>
          <w:tcPr>
            <w:tcW w:w="1134" w:type="dxa"/>
            <w:shd w:val="clear" w:color="auto" w:fill="auto"/>
            <w:noWrap/>
            <w:tcMar>
              <w:top w:w="15" w:type="dxa"/>
              <w:left w:w="15" w:type="dxa"/>
              <w:bottom w:w="0" w:type="dxa"/>
              <w:right w:w="15" w:type="dxa"/>
            </w:tcMar>
          </w:tcPr>
          <w:p w14:paraId="42467A27" w14:textId="77777777" w:rsidR="00FD4B3A" w:rsidRPr="009204F5" w:rsidRDefault="00FD4B3A" w:rsidP="00FD4B3A">
            <w:pPr>
              <w:spacing w:after="0" w:line="240" w:lineRule="auto"/>
              <w:ind w:right="103"/>
              <w:jc w:val="right"/>
              <w:rPr>
                <w:rFonts w:cs="Arial"/>
                <w:sz w:val="18"/>
                <w:szCs w:val="18"/>
                <w:lang w:val="en-US"/>
              </w:rPr>
            </w:pPr>
            <w:r>
              <w:rPr>
                <w:rFonts w:cs="Arial"/>
                <w:sz w:val="18"/>
                <w:szCs w:val="18"/>
                <w:lang w:val="en-US"/>
              </w:rPr>
              <w:t>7.2</w:t>
            </w:r>
          </w:p>
        </w:tc>
        <w:tc>
          <w:tcPr>
            <w:tcW w:w="1134" w:type="dxa"/>
            <w:shd w:val="clear" w:color="auto" w:fill="auto"/>
            <w:vAlign w:val="center"/>
          </w:tcPr>
          <w:p w14:paraId="24C8FDB7" w14:textId="77777777" w:rsidR="00FD4B3A" w:rsidRPr="00B31BD0" w:rsidRDefault="00FD4B3A" w:rsidP="00FD4B3A">
            <w:pPr>
              <w:spacing w:after="0" w:line="240" w:lineRule="auto"/>
              <w:ind w:right="103"/>
              <w:jc w:val="right"/>
              <w:rPr>
                <w:rFonts w:cs="Arial"/>
                <w:sz w:val="18"/>
                <w:szCs w:val="18"/>
                <w:lang w:val="en-US"/>
              </w:rPr>
            </w:pPr>
            <w:r>
              <w:rPr>
                <w:rFonts w:cs="Arial"/>
                <w:sz w:val="18"/>
                <w:szCs w:val="18"/>
                <w:lang w:val="en-US"/>
              </w:rPr>
              <w:t>3.9</w:t>
            </w:r>
          </w:p>
        </w:tc>
        <w:tc>
          <w:tcPr>
            <w:tcW w:w="1134" w:type="dxa"/>
            <w:shd w:val="clear" w:color="auto" w:fill="auto"/>
          </w:tcPr>
          <w:p w14:paraId="4DBA1D43" w14:textId="77777777" w:rsidR="00FD4B3A" w:rsidRPr="00557DEC" w:rsidRDefault="00FD4B3A" w:rsidP="00FD4B3A">
            <w:pPr>
              <w:spacing w:after="0" w:line="240" w:lineRule="auto"/>
              <w:ind w:right="103"/>
              <w:jc w:val="right"/>
              <w:rPr>
                <w:rFonts w:cs="Arial"/>
                <w:sz w:val="18"/>
                <w:szCs w:val="18"/>
                <w:lang w:val="en-US"/>
              </w:rPr>
            </w:pPr>
            <w:r w:rsidRPr="00557DEC">
              <w:rPr>
                <w:rFonts w:cs="Arial"/>
                <w:bCs/>
                <w:sz w:val="18"/>
                <w:szCs w:val="18"/>
                <w:lang w:val="en-US"/>
              </w:rPr>
              <w:t>+84.6%</w:t>
            </w:r>
          </w:p>
        </w:tc>
      </w:tr>
      <w:tr w:rsidR="00FD4B3A" w:rsidRPr="000B4332" w14:paraId="18856208" w14:textId="77777777" w:rsidTr="00865099">
        <w:trPr>
          <w:jc w:val="center"/>
        </w:trPr>
        <w:tc>
          <w:tcPr>
            <w:tcW w:w="4111" w:type="dxa"/>
            <w:shd w:val="clear" w:color="auto" w:fill="auto"/>
            <w:noWrap/>
            <w:tcMar>
              <w:top w:w="15" w:type="dxa"/>
              <w:left w:w="15" w:type="dxa"/>
              <w:bottom w:w="0" w:type="dxa"/>
              <w:right w:w="15" w:type="dxa"/>
            </w:tcMar>
            <w:vAlign w:val="center"/>
            <w:hideMark/>
          </w:tcPr>
          <w:p w14:paraId="69D78E9B"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Adjusted Operating Profit</w:t>
            </w:r>
          </w:p>
        </w:tc>
        <w:tc>
          <w:tcPr>
            <w:tcW w:w="1134" w:type="dxa"/>
            <w:shd w:val="clear" w:color="auto" w:fill="auto"/>
            <w:noWrap/>
            <w:tcMar>
              <w:top w:w="15" w:type="dxa"/>
              <w:left w:w="15" w:type="dxa"/>
              <w:bottom w:w="0" w:type="dxa"/>
              <w:right w:w="15" w:type="dxa"/>
            </w:tcMar>
          </w:tcPr>
          <w:p w14:paraId="0D86B757" w14:textId="77777777" w:rsidR="00FD4B3A" w:rsidRPr="009204F5" w:rsidRDefault="00FD4B3A" w:rsidP="00FD4B3A">
            <w:pPr>
              <w:spacing w:after="0" w:line="240" w:lineRule="auto"/>
              <w:ind w:right="103"/>
              <w:jc w:val="right"/>
              <w:rPr>
                <w:rFonts w:cs="Arial"/>
                <w:bCs/>
                <w:sz w:val="18"/>
                <w:szCs w:val="18"/>
                <w:lang w:val="en-US"/>
              </w:rPr>
            </w:pPr>
            <w:r>
              <w:rPr>
                <w:rFonts w:cs="Arial"/>
                <w:sz w:val="18"/>
                <w:szCs w:val="18"/>
                <w:lang w:val="en-US"/>
              </w:rPr>
              <w:t>17.2</w:t>
            </w:r>
          </w:p>
        </w:tc>
        <w:tc>
          <w:tcPr>
            <w:tcW w:w="1134" w:type="dxa"/>
            <w:shd w:val="clear" w:color="auto" w:fill="auto"/>
            <w:vAlign w:val="bottom"/>
          </w:tcPr>
          <w:p w14:paraId="04342EB8" w14:textId="77777777" w:rsidR="00FD4B3A" w:rsidRPr="00B31BD0" w:rsidRDefault="00FD4B3A" w:rsidP="00FD4B3A">
            <w:pPr>
              <w:spacing w:after="0" w:line="240" w:lineRule="auto"/>
              <w:ind w:right="103"/>
              <w:jc w:val="right"/>
              <w:rPr>
                <w:rFonts w:cs="Arial"/>
                <w:bCs/>
                <w:sz w:val="18"/>
                <w:szCs w:val="18"/>
                <w:lang w:val="en-US"/>
              </w:rPr>
            </w:pPr>
            <w:r>
              <w:rPr>
                <w:rFonts w:cs="Arial"/>
                <w:bCs/>
                <w:sz w:val="18"/>
                <w:szCs w:val="18"/>
                <w:lang w:val="en-US"/>
              </w:rPr>
              <w:t>0.2</w:t>
            </w:r>
          </w:p>
        </w:tc>
        <w:tc>
          <w:tcPr>
            <w:tcW w:w="1134" w:type="dxa"/>
            <w:shd w:val="clear" w:color="auto" w:fill="auto"/>
          </w:tcPr>
          <w:p w14:paraId="60F0FF77" w14:textId="2D1CD2CF" w:rsidR="00FD4B3A" w:rsidRPr="00557DEC" w:rsidRDefault="00FD4B3A" w:rsidP="00FD4B3A">
            <w:pPr>
              <w:spacing w:after="0" w:line="240" w:lineRule="auto"/>
              <w:ind w:right="103"/>
              <w:jc w:val="right"/>
              <w:rPr>
                <w:rFonts w:cs="Arial"/>
                <w:bCs/>
                <w:sz w:val="18"/>
                <w:szCs w:val="18"/>
                <w:lang w:val="en-US"/>
              </w:rPr>
            </w:pPr>
            <w:r w:rsidRPr="00557DEC">
              <w:rPr>
                <w:rFonts w:cs="Arial"/>
                <w:bCs/>
                <w:sz w:val="18"/>
                <w:szCs w:val="18"/>
                <w:lang w:val="en-US"/>
              </w:rPr>
              <w:t>+</w:t>
            </w:r>
            <w:r w:rsidR="000B48DD">
              <w:rPr>
                <w:rFonts w:cs="Arial"/>
                <w:bCs/>
                <w:sz w:val="18"/>
                <w:szCs w:val="18"/>
                <w:lang w:val="en-US"/>
              </w:rPr>
              <w:t>£17.0m</w:t>
            </w:r>
          </w:p>
        </w:tc>
      </w:tr>
      <w:tr w:rsidR="00FD4B3A" w:rsidRPr="000B4332" w14:paraId="105FD2BE" w14:textId="77777777" w:rsidTr="00865099">
        <w:trPr>
          <w:jc w:val="center"/>
        </w:trPr>
        <w:tc>
          <w:tcPr>
            <w:tcW w:w="4111" w:type="dxa"/>
            <w:shd w:val="clear" w:color="auto" w:fill="auto"/>
            <w:noWrap/>
            <w:tcMar>
              <w:top w:w="15" w:type="dxa"/>
              <w:left w:w="15" w:type="dxa"/>
              <w:bottom w:w="0" w:type="dxa"/>
              <w:right w:w="15" w:type="dxa"/>
            </w:tcMar>
            <w:vAlign w:val="center"/>
            <w:hideMark/>
          </w:tcPr>
          <w:p w14:paraId="500E92AA"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Adjusted Operating Margin</w:t>
            </w:r>
          </w:p>
        </w:tc>
        <w:tc>
          <w:tcPr>
            <w:tcW w:w="1134" w:type="dxa"/>
            <w:shd w:val="clear" w:color="auto" w:fill="auto"/>
            <w:noWrap/>
            <w:tcMar>
              <w:top w:w="15" w:type="dxa"/>
              <w:left w:w="15" w:type="dxa"/>
              <w:bottom w:w="0" w:type="dxa"/>
              <w:right w:w="15" w:type="dxa"/>
            </w:tcMar>
          </w:tcPr>
          <w:p w14:paraId="5A1D61B7" w14:textId="77777777" w:rsidR="00FD4B3A" w:rsidRPr="009204F5" w:rsidRDefault="00FD4B3A" w:rsidP="00FD4B3A">
            <w:pPr>
              <w:spacing w:after="0" w:line="240" w:lineRule="auto"/>
              <w:ind w:right="103"/>
              <w:jc w:val="right"/>
              <w:rPr>
                <w:rFonts w:cs="Arial"/>
                <w:bCs/>
                <w:sz w:val="18"/>
                <w:szCs w:val="18"/>
                <w:lang w:val="en-US"/>
              </w:rPr>
            </w:pPr>
            <w:r w:rsidRPr="009204F5">
              <w:rPr>
                <w:rFonts w:cs="Arial"/>
                <w:sz w:val="18"/>
                <w:szCs w:val="18"/>
                <w:lang w:val="en-US"/>
              </w:rPr>
              <w:t>2.</w:t>
            </w:r>
            <w:r>
              <w:rPr>
                <w:rFonts w:cs="Arial"/>
                <w:sz w:val="18"/>
                <w:szCs w:val="18"/>
                <w:lang w:val="en-US"/>
              </w:rPr>
              <w:t>2</w:t>
            </w:r>
            <w:r w:rsidRPr="009204F5">
              <w:rPr>
                <w:rFonts w:cs="Arial"/>
                <w:sz w:val="18"/>
                <w:szCs w:val="18"/>
                <w:lang w:val="en-US"/>
              </w:rPr>
              <w:t>%</w:t>
            </w:r>
          </w:p>
        </w:tc>
        <w:tc>
          <w:tcPr>
            <w:tcW w:w="1134" w:type="dxa"/>
            <w:shd w:val="clear" w:color="auto" w:fill="auto"/>
            <w:vAlign w:val="bottom"/>
          </w:tcPr>
          <w:p w14:paraId="343AA124" w14:textId="77777777" w:rsidR="00FD4B3A" w:rsidRPr="00B31BD0" w:rsidRDefault="00FD4B3A" w:rsidP="00FD4B3A">
            <w:pPr>
              <w:spacing w:after="0" w:line="240" w:lineRule="auto"/>
              <w:ind w:right="103"/>
              <w:jc w:val="right"/>
              <w:rPr>
                <w:rFonts w:cs="Arial"/>
                <w:bCs/>
                <w:sz w:val="18"/>
                <w:szCs w:val="18"/>
                <w:lang w:val="en-US"/>
              </w:rPr>
            </w:pPr>
            <w:r>
              <w:rPr>
                <w:rFonts w:cs="Arial"/>
                <w:bCs/>
                <w:sz w:val="18"/>
                <w:szCs w:val="18"/>
                <w:lang w:val="en-US"/>
              </w:rPr>
              <w:t>0.0</w:t>
            </w:r>
            <w:r w:rsidRPr="00B31BD0">
              <w:rPr>
                <w:rFonts w:cs="Arial"/>
                <w:bCs/>
                <w:sz w:val="18"/>
                <w:szCs w:val="18"/>
                <w:lang w:val="en-US"/>
              </w:rPr>
              <w:t>%</w:t>
            </w:r>
          </w:p>
        </w:tc>
        <w:tc>
          <w:tcPr>
            <w:tcW w:w="1134" w:type="dxa"/>
            <w:shd w:val="clear" w:color="auto" w:fill="auto"/>
          </w:tcPr>
          <w:p w14:paraId="4844BEFD" w14:textId="77777777" w:rsidR="00FD4B3A" w:rsidRPr="00557DEC" w:rsidRDefault="00FD4B3A" w:rsidP="00FD4B3A">
            <w:pPr>
              <w:spacing w:after="0" w:line="240" w:lineRule="auto"/>
              <w:ind w:right="103"/>
              <w:jc w:val="right"/>
              <w:rPr>
                <w:rFonts w:cs="Arial"/>
                <w:bCs/>
                <w:sz w:val="18"/>
                <w:szCs w:val="18"/>
                <w:lang w:val="en-US"/>
              </w:rPr>
            </w:pPr>
            <w:r w:rsidRPr="00557DEC">
              <w:rPr>
                <w:rFonts w:cs="Arial"/>
                <w:bCs/>
                <w:sz w:val="18"/>
                <w:szCs w:val="18"/>
                <w:lang w:val="en-US"/>
              </w:rPr>
              <w:t>+220bps</w:t>
            </w:r>
          </w:p>
        </w:tc>
      </w:tr>
      <w:tr w:rsidR="00FD4B3A" w:rsidRPr="000B4332" w14:paraId="2EA21887" w14:textId="77777777" w:rsidTr="00865099">
        <w:trPr>
          <w:trHeight w:val="163"/>
          <w:jc w:val="center"/>
        </w:trPr>
        <w:tc>
          <w:tcPr>
            <w:tcW w:w="4111" w:type="dxa"/>
            <w:shd w:val="clear" w:color="auto" w:fill="auto"/>
            <w:noWrap/>
            <w:tcMar>
              <w:top w:w="15" w:type="dxa"/>
              <w:left w:w="15" w:type="dxa"/>
              <w:bottom w:w="0" w:type="dxa"/>
              <w:right w:w="15" w:type="dxa"/>
            </w:tcMar>
            <w:vAlign w:val="center"/>
          </w:tcPr>
          <w:p w14:paraId="47248CE7"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 xml:space="preserve">Group </w:t>
            </w:r>
            <w:r>
              <w:rPr>
                <w:rFonts w:cs="Arial"/>
                <w:bCs/>
                <w:sz w:val="18"/>
                <w:szCs w:val="18"/>
                <w:lang w:val="en-US"/>
              </w:rPr>
              <w:t>Profit/(Loss)</w:t>
            </w:r>
            <w:r w:rsidRPr="000B4332">
              <w:rPr>
                <w:rFonts w:cs="Arial"/>
                <w:bCs/>
                <w:sz w:val="18"/>
                <w:szCs w:val="18"/>
                <w:lang w:val="en-US"/>
              </w:rPr>
              <w:t xml:space="preserve"> </w:t>
            </w:r>
            <w:r>
              <w:rPr>
                <w:rFonts w:cs="Arial"/>
                <w:bCs/>
                <w:sz w:val="18"/>
                <w:szCs w:val="18"/>
                <w:lang w:val="en-US"/>
              </w:rPr>
              <w:t>B</w:t>
            </w:r>
            <w:r w:rsidRPr="000B4332">
              <w:rPr>
                <w:rFonts w:cs="Arial"/>
                <w:bCs/>
                <w:sz w:val="18"/>
                <w:szCs w:val="18"/>
                <w:lang w:val="en-US"/>
              </w:rPr>
              <w:t xml:space="preserve">efore </w:t>
            </w:r>
            <w:r>
              <w:rPr>
                <w:rFonts w:cs="Arial"/>
                <w:bCs/>
                <w:sz w:val="18"/>
                <w:szCs w:val="18"/>
                <w:lang w:val="en-US"/>
              </w:rPr>
              <w:t>T</w:t>
            </w:r>
            <w:r w:rsidRPr="000B4332">
              <w:rPr>
                <w:rFonts w:cs="Arial"/>
                <w:bCs/>
                <w:sz w:val="18"/>
                <w:szCs w:val="18"/>
                <w:lang w:val="en-US"/>
              </w:rPr>
              <w:t>ax</w:t>
            </w:r>
          </w:p>
        </w:tc>
        <w:tc>
          <w:tcPr>
            <w:tcW w:w="1134" w:type="dxa"/>
            <w:shd w:val="clear" w:color="auto" w:fill="auto"/>
            <w:noWrap/>
            <w:tcMar>
              <w:top w:w="15" w:type="dxa"/>
              <w:left w:w="15" w:type="dxa"/>
              <w:bottom w:w="0" w:type="dxa"/>
              <w:right w:w="15" w:type="dxa"/>
            </w:tcMar>
          </w:tcPr>
          <w:p w14:paraId="603E5780" w14:textId="77777777" w:rsidR="00FD4B3A" w:rsidRPr="009204F5" w:rsidRDefault="00FD4B3A" w:rsidP="00FD4B3A">
            <w:pPr>
              <w:spacing w:after="0" w:line="240" w:lineRule="auto"/>
              <w:ind w:right="103"/>
              <w:jc w:val="right"/>
              <w:rPr>
                <w:rFonts w:cs="Arial"/>
                <w:sz w:val="18"/>
                <w:szCs w:val="18"/>
                <w:lang w:val="en-US"/>
              </w:rPr>
            </w:pPr>
            <w:r>
              <w:rPr>
                <w:rFonts w:cs="Arial"/>
                <w:sz w:val="18"/>
                <w:szCs w:val="18"/>
                <w:lang w:val="en-US"/>
              </w:rPr>
              <w:t>1.0</w:t>
            </w:r>
          </w:p>
        </w:tc>
        <w:tc>
          <w:tcPr>
            <w:tcW w:w="1134" w:type="dxa"/>
            <w:shd w:val="clear" w:color="auto" w:fill="auto"/>
            <w:vAlign w:val="center"/>
          </w:tcPr>
          <w:p w14:paraId="52AFC4AE" w14:textId="77777777" w:rsidR="00FD4B3A" w:rsidRPr="00B31BD0" w:rsidRDefault="00FD4B3A" w:rsidP="00FD4B3A">
            <w:pPr>
              <w:spacing w:after="0" w:line="240" w:lineRule="auto"/>
              <w:ind w:right="103"/>
              <w:jc w:val="right"/>
              <w:rPr>
                <w:rFonts w:cs="Arial"/>
                <w:sz w:val="18"/>
                <w:szCs w:val="18"/>
                <w:lang w:val="en-US"/>
              </w:rPr>
            </w:pPr>
            <w:r w:rsidRPr="00B31BD0">
              <w:rPr>
                <w:rFonts w:cs="Arial"/>
                <w:sz w:val="18"/>
                <w:szCs w:val="18"/>
                <w:lang w:val="en-US"/>
              </w:rPr>
              <w:t>(1</w:t>
            </w:r>
            <w:r>
              <w:rPr>
                <w:rFonts w:cs="Arial"/>
                <w:sz w:val="18"/>
                <w:szCs w:val="18"/>
                <w:lang w:val="en-US"/>
              </w:rPr>
              <w:t>.8</w:t>
            </w:r>
            <w:r w:rsidRPr="00B31BD0">
              <w:rPr>
                <w:rFonts w:cs="Arial"/>
                <w:sz w:val="18"/>
                <w:szCs w:val="18"/>
                <w:lang w:val="en-US"/>
              </w:rPr>
              <w:t>)</w:t>
            </w:r>
          </w:p>
        </w:tc>
        <w:tc>
          <w:tcPr>
            <w:tcW w:w="1134" w:type="dxa"/>
            <w:shd w:val="clear" w:color="auto" w:fill="auto"/>
          </w:tcPr>
          <w:p w14:paraId="3C1938BA" w14:textId="77777777" w:rsidR="00FD4B3A" w:rsidRPr="00557DEC" w:rsidRDefault="00FD4B3A" w:rsidP="00FD4B3A">
            <w:pPr>
              <w:spacing w:after="0" w:line="240" w:lineRule="auto"/>
              <w:ind w:right="103"/>
              <w:jc w:val="right"/>
              <w:rPr>
                <w:rFonts w:cs="Arial"/>
                <w:sz w:val="18"/>
                <w:szCs w:val="18"/>
                <w:lang w:val="en-US"/>
              </w:rPr>
            </w:pPr>
          </w:p>
        </w:tc>
      </w:tr>
      <w:tr w:rsidR="00FD4B3A" w:rsidRPr="000B4332" w14:paraId="6A800352" w14:textId="77777777" w:rsidTr="00865099">
        <w:trPr>
          <w:jc w:val="center"/>
        </w:trPr>
        <w:tc>
          <w:tcPr>
            <w:tcW w:w="4111" w:type="dxa"/>
            <w:shd w:val="clear" w:color="auto" w:fill="auto"/>
            <w:noWrap/>
            <w:tcMar>
              <w:top w:w="15" w:type="dxa"/>
              <w:left w:w="15" w:type="dxa"/>
              <w:bottom w:w="0" w:type="dxa"/>
              <w:right w:w="15" w:type="dxa"/>
            </w:tcMar>
            <w:vAlign w:val="center"/>
            <w:hideMark/>
          </w:tcPr>
          <w:p w14:paraId="1B93CE88"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Adjusted Profit</w:t>
            </w:r>
            <w:r>
              <w:rPr>
                <w:rFonts w:cs="Arial"/>
                <w:bCs/>
                <w:sz w:val="18"/>
                <w:szCs w:val="18"/>
                <w:lang w:val="en-US"/>
              </w:rPr>
              <w:t>/(Loss)</w:t>
            </w:r>
            <w:r w:rsidRPr="000B4332">
              <w:rPr>
                <w:rFonts w:cs="Arial"/>
                <w:bCs/>
                <w:sz w:val="18"/>
                <w:szCs w:val="18"/>
                <w:lang w:val="en-US"/>
              </w:rPr>
              <w:t xml:space="preserve"> </w:t>
            </w:r>
            <w:r>
              <w:rPr>
                <w:rFonts w:cs="Arial"/>
                <w:bCs/>
                <w:sz w:val="18"/>
                <w:szCs w:val="18"/>
                <w:lang w:val="en-US"/>
              </w:rPr>
              <w:t>B</w:t>
            </w:r>
            <w:r w:rsidRPr="000B4332">
              <w:rPr>
                <w:rFonts w:cs="Arial"/>
                <w:bCs/>
                <w:sz w:val="18"/>
                <w:szCs w:val="18"/>
                <w:lang w:val="en-US"/>
              </w:rPr>
              <w:t xml:space="preserve">efore </w:t>
            </w:r>
            <w:r>
              <w:rPr>
                <w:rFonts w:cs="Arial"/>
                <w:bCs/>
                <w:sz w:val="18"/>
                <w:szCs w:val="18"/>
                <w:lang w:val="en-US"/>
              </w:rPr>
              <w:t>T</w:t>
            </w:r>
            <w:r w:rsidRPr="000B4332">
              <w:rPr>
                <w:rFonts w:cs="Arial"/>
                <w:bCs/>
                <w:sz w:val="18"/>
                <w:szCs w:val="18"/>
                <w:lang w:val="en-US"/>
              </w:rPr>
              <w:t>ax</w:t>
            </w:r>
          </w:p>
        </w:tc>
        <w:tc>
          <w:tcPr>
            <w:tcW w:w="1134" w:type="dxa"/>
            <w:shd w:val="clear" w:color="auto" w:fill="auto"/>
            <w:noWrap/>
            <w:tcMar>
              <w:top w:w="15" w:type="dxa"/>
              <w:left w:w="15" w:type="dxa"/>
              <w:bottom w:w="0" w:type="dxa"/>
              <w:right w:w="15" w:type="dxa"/>
            </w:tcMar>
          </w:tcPr>
          <w:p w14:paraId="106708EE" w14:textId="77777777" w:rsidR="00FD4B3A" w:rsidRPr="009204F5" w:rsidRDefault="00FD4B3A" w:rsidP="00FD4B3A">
            <w:pPr>
              <w:spacing w:after="0" w:line="240" w:lineRule="auto"/>
              <w:ind w:right="103"/>
              <w:jc w:val="right"/>
              <w:rPr>
                <w:rFonts w:cs="Arial"/>
                <w:bCs/>
                <w:sz w:val="18"/>
                <w:szCs w:val="18"/>
                <w:lang w:val="en-US"/>
              </w:rPr>
            </w:pPr>
            <w:r>
              <w:rPr>
                <w:rFonts w:cs="Arial"/>
                <w:sz w:val="18"/>
                <w:szCs w:val="18"/>
                <w:lang w:val="en-US"/>
              </w:rPr>
              <w:t>11.7</w:t>
            </w:r>
          </w:p>
        </w:tc>
        <w:tc>
          <w:tcPr>
            <w:tcW w:w="1134" w:type="dxa"/>
            <w:shd w:val="clear" w:color="auto" w:fill="auto"/>
            <w:vAlign w:val="bottom"/>
          </w:tcPr>
          <w:p w14:paraId="5BCE5DEA" w14:textId="77777777" w:rsidR="00FD4B3A" w:rsidRPr="00B31BD0" w:rsidRDefault="00FD4B3A" w:rsidP="00FD4B3A">
            <w:pPr>
              <w:spacing w:after="0" w:line="240" w:lineRule="auto"/>
              <w:ind w:right="103"/>
              <w:jc w:val="right"/>
              <w:rPr>
                <w:rFonts w:cs="Arial"/>
                <w:bCs/>
                <w:sz w:val="18"/>
                <w:szCs w:val="18"/>
                <w:lang w:val="en-US"/>
              </w:rPr>
            </w:pPr>
            <w:r>
              <w:rPr>
                <w:rFonts w:cs="Arial"/>
                <w:bCs/>
                <w:sz w:val="18"/>
                <w:szCs w:val="18"/>
                <w:lang w:val="en-US"/>
              </w:rPr>
              <w:t>(7.9)</w:t>
            </w:r>
          </w:p>
        </w:tc>
        <w:tc>
          <w:tcPr>
            <w:tcW w:w="1134" w:type="dxa"/>
            <w:shd w:val="clear" w:color="auto" w:fill="auto"/>
          </w:tcPr>
          <w:p w14:paraId="16F5B07A" w14:textId="77777777" w:rsidR="00FD4B3A" w:rsidRPr="00557DEC" w:rsidRDefault="00FD4B3A" w:rsidP="00FD4B3A">
            <w:pPr>
              <w:spacing w:after="0" w:line="240" w:lineRule="auto"/>
              <w:ind w:right="103"/>
              <w:jc w:val="right"/>
              <w:rPr>
                <w:rFonts w:cs="Arial"/>
                <w:bCs/>
                <w:sz w:val="18"/>
                <w:szCs w:val="18"/>
                <w:lang w:val="en-US"/>
              </w:rPr>
            </w:pPr>
          </w:p>
        </w:tc>
      </w:tr>
      <w:tr w:rsidR="00FD4B3A" w:rsidRPr="000B4332" w14:paraId="4509217D" w14:textId="77777777" w:rsidTr="00865099">
        <w:trPr>
          <w:jc w:val="center"/>
        </w:trPr>
        <w:tc>
          <w:tcPr>
            <w:tcW w:w="4111" w:type="dxa"/>
            <w:shd w:val="clear" w:color="auto" w:fill="auto"/>
            <w:noWrap/>
            <w:tcMar>
              <w:top w:w="15" w:type="dxa"/>
              <w:left w:w="15" w:type="dxa"/>
              <w:bottom w:w="0" w:type="dxa"/>
              <w:right w:w="15" w:type="dxa"/>
            </w:tcMar>
            <w:vAlign w:val="center"/>
          </w:tcPr>
          <w:p w14:paraId="4C0C5A2C" w14:textId="77777777" w:rsidR="00FD4B3A" w:rsidRPr="000B4332" w:rsidRDefault="00FD4B3A" w:rsidP="00FD4B3A">
            <w:pPr>
              <w:spacing w:after="0" w:line="240" w:lineRule="auto"/>
              <w:jc w:val="both"/>
              <w:rPr>
                <w:rFonts w:cs="Arial"/>
                <w:bCs/>
                <w:sz w:val="18"/>
                <w:szCs w:val="18"/>
                <w:lang w:val="en-US"/>
              </w:rPr>
            </w:pPr>
          </w:p>
        </w:tc>
        <w:tc>
          <w:tcPr>
            <w:tcW w:w="1134" w:type="dxa"/>
            <w:shd w:val="clear" w:color="auto" w:fill="auto"/>
            <w:noWrap/>
            <w:tcMar>
              <w:top w:w="15" w:type="dxa"/>
              <w:left w:w="15" w:type="dxa"/>
              <w:bottom w:w="0" w:type="dxa"/>
              <w:right w:w="15" w:type="dxa"/>
            </w:tcMar>
          </w:tcPr>
          <w:p w14:paraId="10EC2DB8" w14:textId="77777777" w:rsidR="00FD4B3A" w:rsidRPr="009204F5" w:rsidRDefault="00FD4B3A" w:rsidP="00FD4B3A">
            <w:pPr>
              <w:spacing w:after="0" w:line="240" w:lineRule="auto"/>
              <w:ind w:right="103"/>
              <w:jc w:val="right"/>
              <w:rPr>
                <w:rFonts w:cs="Arial"/>
                <w:bCs/>
                <w:sz w:val="18"/>
                <w:szCs w:val="18"/>
                <w:lang w:val="en-US"/>
              </w:rPr>
            </w:pPr>
          </w:p>
        </w:tc>
        <w:tc>
          <w:tcPr>
            <w:tcW w:w="1134" w:type="dxa"/>
            <w:shd w:val="clear" w:color="auto" w:fill="auto"/>
            <w:vAlign w:val="bottom"/>
          </w:tcPr>
          <w:p w14:paraId="4FA29641" w14:textId="77777777" w:rsidR="00FD4B3A" w:rsidRPr="00B31BD0" w:rsidRDefault="00FD4B3A" w:rsidP="00FD4B3A">
            <w:pPr>
              <w:spacing w:after="0" w:line="240" w:lineRule="auto"/>
              <w:ind w:right="103"/>
              <w:jc w:val="right"/>
              <w:rPr>
                <w:rFonts w:cs="Arial"/>
                <w:bCs/>
                <w:sz w:val="18"/>
                <w:szCs w:val="18"/>
                <w:lang w:val="en-US"/>
              </w:rPr>
            </w:pPr>
          </w:p>
        </w:tc>
        <w:tc>
          <w:tcPr>
            <w:tcW w:w="1134" w:type="dxa"/>
            <w:shd w:val="clear" w:color="auto" w:fill="auto"/>
          </w:tcPr>
          <w:p w14:paraId="2B6B0E1C" w14:textId="77777777" w:rsidR="00FD4B3A" w:rsidRPr="00557DEC" w:rsidRDefault="00FD4B3A" w:rsidP="00FD4B3A">
            <w:pPr>
              <w:spacing w:after="0" w:line="240" w:lineRule="auto"/>
              <w:ind w:right="103"/>
              <w:jc w:val="right"/>
              <w:rPr>
                <w:rFonts w:cs="Arial"/>
                <w:bCs/>
                <w:sz w:val="18"/>
                <w:szCs w:val="18"/>
                <w:lang w:val="en-US"/>
              </w:rPr>
            </w:pPr>
          </w:p>
        </w:tc>
      </w:tr>
      <w:tr w:rsidR="00FD4B3A" w:rsidRPr="000B4332" w14:paraId="6208D16F" w14:textId="77777777" w:rsidTr="00865099">
        <w:trPr>
          <w:trHeight w:val="163"/>
          <w:jc w:val="center"/>
        </w:trPr>
        <w:tc>
          <w:tcPr>
            <w:tcW w:w="4111" w:type="dxa"/>
            <w:shd w:val="clear" w:color="auto" w:fill="auto"/>
            <w:noWrap/>
            <w:tcMar>
              <w:top w:w="15" w:type="dxa"/>
              <w:left w:w="15" w:type="dxa"/>
              <w:bottom w:w="0" w:type="dxa"/>
              <w:right w:w="15" w:type="dxa"/>
            </w:tcMar>
            <w:vAlign w:val="center"/>
          </w:tcPr>
          <w:p w14:paraId="0A567FAC"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Basic EPS (pence)</w:t>
            </w:r>
          </w:p>
        </w:tc>
        <w:tc>
          <w:tcPr>
            <w:tcW w:w="1134" w:type="dxa"/>
            <w:shd w:val="clear" w:color="auto" w:fill="auto"/>
            <w:noWrap/>
            <w:tcMar>
              <w:top w:w="15" w:type="dxa"/>
              <w:left w:w="15" w:type="dxa"/>
              <w:bottom w:w="0" w:type="dxa"/>
              <w:right w:w="15" w:type="dxa"/>
            </w:tcMar>
          </w:tcPr>
          <w:p w14:paraId="336C92FF" w14:textId="77777777" w:rsidR="00FD4B3A" w:rsidRPr="009204F5" w:rsidRDefault="00FD4B3A" w:rsidP="00FD4B3A">
            <w:pPr>
              <w:spacing w:after="0" w:line="240" w:lineRule="auto"/>
              <w:ind w:right="103"/>
              <w:jc w:val="right"/>
              <w:rPr>
                <w:rFonts w:cs="Arial"/>
                <w:sz w:val="18"/>
                <w:szCs w:val="18"/>
                <w:lang w:val="en-US"/>
              </w:rPr>
            </w:pPr>
            <w:r>
              <w:rPr>
                <w:rFonts w:cs="Arial"/>
                <w:sz w:val="18"/>
                <w:szCs w:val="18"/>
                <w:lang w:val="en-US"/>
              </w:rPr>
              <w:t>0.2</w:t>
            </w:r>
          </w:p>
        </w:tc>
        <w:tc>
          <w:tcPr>
            <w:tcW w:w="1134" w:type="dxa"/>
            <w:shd w:val="clear" w:color="auto" w:fill="auto"/>
            <w:vAlign w:val="center"/>
          </w:tcPr>
          <w:p w14:paraId="67500C3D" w14:textId="77777777" w:rsidR="00FD4B3A" w:rsidRPr="00B31BD0" w:rsidRDefault="00FD4B3A" w:rsidP="00FD4B3A">
            <w:pPr>
              <w:spacing w:after="0" w:line="240" w:lineRule="auto"/>
              <w:ind w:right="103"/>
              <w:jc w:val="right"/>
              <w:rPr>
                <w:rFonts w:cs="Arial"/>
                <w:sz w:val="18"/>
                <w:szCs w:val="18"/>
                <w:lang w:val="en-US"/>
              </w:rPr>
            </w:pPr>
            <w:r>
              <w:rPr>
                <w:rFonts w:cs="Arial"/>
                <w:sz w:val="18"/>
                <w:szCs w:val="18"/>
                <w:lang w:val="en-US"/>
              </w:rPr>
              <w:t>0.0</w:t>
            </w:r>
          </w:p>
        </w:tc>
        <w:tc>
          <w:tcPr>
            <w:tcW w:w="1134" w:type="dxa"/>
            <w:shd w:val="clear" w:color="auto" w:fill="auto"/>
          </w:tcPr>
          <w:p w14:paraId="04F26491" w14:textId="77777777" w:rsidR="00FD4B3A" w:rsidRPr="00557DEC" w:rsidRDefault="00FD4B3A" w:rsidP="00FD4B3A">
            <w:pPr>
              <w:spacing w:after="0" w:line="240" w:lineRule="auto"/>
              <w:ind w:right="103"/>
              <w:jc w:val="right"/>
              <w:rPr>
                <w:rFonts w:cs="Arial"/>
                <w:sz w:val="18"/>
                <w:szCs w:val="18"/>
                <w:lang w:val="en-US"/>
              </w:rPr>
            </w:pPr>
          </w:p>
        </w:tc>
      </w:tr>
      <w:tr w:rsidR="00FD4B3A" w:rsidRPr="000B4332" w14:paraId="1D0BA807" w14:textId="77777777" w:rsidTr="00865099">
        <w:trPr>
          <w:trHeight w:val="163"/>
          <w:jc w:val="center"/>
        </w:trPr>
        <w:tc>
          <w:tcPr>
            <w:tcW w:w="4111" w:type="dxa"/>
            <w:shd w:val="clear" w:color="auto" w:fill="auto"/>
            <w:noWrap/>
            <w:tcMar>
              <w:top w:w="15" w:type="dxa"/>
              <w:left w:w="15" w:type="dxa"/>
              <w:bottom w:w="0" w:type="dxa"/>
              <w:right w:w="15" w:type="dxa"/>
            </w:tcMar>
            <w:vAlign w:val="center"/>
          </w:tcPr>
          <w:p w14:paraId="07578976"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Group Exceptional Items (</w:t>
            </w:r>
            <w:r w:rsidRPr="005860C4">
              <w:rPr>
                <w:rFonts w:cs="Arial"/>
                <w:bCs/>
                <w:sz w:val="18"/>
                <w:szCs w:val="18"/>
                <w:lang w:val="en-US"/>
              </w:rPr>
              <w:t>after</w:t>
            </w:r>
            <w:r w:rsidRPr="000B4332">
              <w:rPr>
                <w:rFonts w:cs="Arial"/>
                <w:bCs/>
                <w:sz w:val="18"/>
                <w:szCs w:val="18"/>
                <w:lang w:val="en-US"/>
              </w:rPr>
              <w:t xml:space="preserve"> tax)</w:t>
            </w:r>
          </w:p>
        </w:tc>
        <w:tc>
          <w:tcPr>
            <w:tcW w:w="1134" w:type="dxa"/>
            <w:shd w:val="clear" w:color="auto" w:fill="auto"/>
            <w:noWrap/>
            <w:tcMar>
              <w:top w:w="15" w:type="dxa"/>
              <w:left w:w="15" w:type="dxa"/>
              <w:bottom w:w="0" w:type="dxa"/>
              <w:right w:w="15" w:type="dxa"/>
            </w:tcMar>
          </w:tcPr>
          <w:p w14:paraId="44412A31" w14:textId="77777777" w:rsidR="00FD4B3A" w:rsidRPr="009204F5" w:rsidRDefault="00FD4B3A" w:rsidP="00FD4B3A">
            <w:pPr>
              <w:spacing w:after="0" w:line="240" w:lineRule="auto"/>
              <w:ind w:right="103"/>
              <w:jc w:val="right"/>
              <w:rPr>
                <w:rFonts w:cs="Arial"/>
                <w:sz w:val="18"/>
                <w:szCs w:val="18"/>
                <w:lang w:val="en-US"/>
              </w:rPr>
            </w:pPr>
            <w:r>
              <w:rPr>
                <w:rFonts w:cs="Arial"/>
                <w:sz w:val="18"/>
                <w:szCs w:val="18"/>
                <w:lang w:val="en-US"/>
              </w:rPr>
              <w:t>(6.5)</w:t>
            </w:r>
          </w:p>
        </w:tc>
        <w:tc>
          <w:tcPr>
            <w:tcW w:w="1134" w:type="dxa"/>
            <w:shd w:val="clear" w:color="auto" w:fill="auto"/>
            <w:vAlign w:val="center"/>
          </w:tcPr>
          <w:p w14:paraId="12FC67BB" w14:textId="77777777" w:rsidR="00FD4B3A" w:rsidRPr="00B31BD0" w:rsidRDefault="00FD4B3A" w:rsidP="00FD4B3A">
            <w:pPr>
              <w:spacing w:after="0" w:line="240" w:lineRule="auto"/>
              <w:ind w:right="103"/>
              <w:jc w:val="right"/>
              <w:rPr>
                <w:rFonts w:cs="Arial"/>
                <w:sz w:val="18"/>
                <w:szCs w:val="18"/>
                <w:lang w:val="en-US"/>
              </w:rPr>
            </w:pPr>
            <w:r>
              <w:rPr>
                <w:rFonts w:cs="Arial"/>
                <w:sz w:val="18"/>
                <w:szCs w:val="18"/>
                <w:lang w:val="en-US"/>
              </w:rPr>
              <w:t>9.9</w:t>
            </w:r>
          </w:p>
        </w:tc>
        <w:tc>
          <w:tcPr>
            <w:tcW w:w="1134" w:type="dxa"/>
            <w:shd w:val="clear" w:color="auto" w:fill="auto"/>
          </w:tcPr>
          <w:p w14:paraId="782420CF" w14:textId="77777777" w:rsidR="00FD4B3A" w:rsidRPr="00557DEC" w:rsidRDefault="00FD4B3A" w:rsidP="00FD4B3A">
            <w:pPr>
              <w:spacing w:after="0" w:line="240" w:lineRule="auto"/>
              <w:ind w:right="103"/>
              <w:jc w:val="right"/>
              <w:rPr>
                <w:rFonts w:cs="Arial"/>
                <w:sz w:val="18"/>
                <w:szCs w:val="18"/>
                <w:lang w:val="en-US"/>
              </w:rPr>
            </w:pPr>
          </w:p>
        </w:tc>
      </w:tr>
      <w:tr w:rsidR="00FD4B3A" w:rsidRPr="000B4332" w14:paraId="54DA8DD3" w14:textId="77777777" w:rsidTr="00865099">
        <w:trPr>
          <w:jc w:val="center"/>
        </w:trPr>
        <w:tc>
          <w:tcPr>
            <w:tcW w:w="4111" w:type="dxa"/>
            <w:shd w:val="clear" w:color="auto" w:fill="auto"/>
            <w:noWrap/>
            <w:tcMar>
              <w:top w:w="15" w:type="dxa"/>
              <w:left w:w="15" w:type="dxa"/>
              <w:bottom w:w="0" w:type="dxa"/>
              <w:right w:w="15" w:type="dxa"/>
            </w:tcMar>
            <w:vAlign w:val="center"/>
          </w:tcPr>
          <w:p w14:paraId="6339CDB6"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Adjusted EPS (pence)</w:t>
            </w:r>
          </w:p>
        </w:tc>
        <w:tc>
          <w:tcPr>
            <w:tcW w:w="1134" w:type="dxa"/>
            <w:shd w:val="clear" w:color="auto" w:fill="auto"/>
            <w:noWrap/>
            <w:tcMar>
              <w:top w:w="15" w:type="dxa"/>
              <w:left w:w="15" w:type="dxa"/>
              <w:bottom w:w="0" w:type="dxa"/>
              <w:right w:w="15" w:type="dxa"/>
            </w:tcMar>
          </w:tcPr>
          <w:p w14:paraId="3B95AFA9" w14:textId="77777777" w:rsidR="00FD4B3A" w:rsidRPr="009204F5" w:rsidRDefault="00FD4B3A" w:rsidP="00FD4B3A">
            <w:pPr>
              <w:spacing w:after="0" w:line="240" w:lineRule="auto"/>
              <w:ind w:right="103"/>
              <w:jc w:val="right"/>
              <w:rPr>
                <w:rFonts w:cs="Arial"/>
                <w:sz w:val="18"/>
                <w:szCs w:val="18"/>
                <w:lang w:val="en-US"/>
              </w:rPr>
            </w:pPr>
            <w:r>
              <w:rPr>
                <w:rFonts w:cs="Arial"/>
                <w:sz w:val="18"/>
                <w:szCs w:val="18"/>
                <w:lang w:val="en-US"/>
              </w:rPr>
              <w:t>1.8</w:t>
            </w:r>
          </w:p>
        </w:tc>
        <w:tc>
          <w:tcPr>
            <w:tcW w:w="1134" w:type="dxa"/>
            <w:shd w:val="clear" w:color="auto" w:fill="auto"/>
            <w:vAlign w:val="center"/>
          </w:tcPr>
          <w:p w14:paraId="7880B97D" w14:textId="77777777" w:rsidR="00FD4B3A" w:rsidRPr="00B31BD0" w:rsidRDefault="00FD4B3A" w:rsidP="00FD4B3A">
            <w:pPr>
              <w:spacing w:after="0" w:line="240" w:lineRule="auto"/>
              <w:ind w:right="103"/>
              <w:jc w:val="right"/>
              <w:rPr>
                <w:rFonts w:cs="Arial"/>
                <w:sz w:val="18"/>
                <w:szCs w:val="18"/>
                <w:lang w:val="en-US"/>
              </w:rPr>
            </w:pPr>
            <w:r>
              <w:rPr>
                <w:rFonts w:cs="Arial"/>
                <w:sz w:val="18"/>
                <w:szCs w:val="18"/>
                <w:lang w:val="en-US"/>
              </w:rPr>
              <w:t>(1.4)</w:t>
            </w:r>
          </w:p>
        </w:tc>
        <w:tc>
          <w:tcPr>
            <w:tcW w:w="1134" w:type="dxa"/>
            <w:shd w:val="clear" w:color="auto" w:fill="auto"/>
          </w:tcPr>
          <w:p w14:paraId="7D58DB1B" w14:textId="43CCA244" w:rsidR="00FD4B3A" w:rsidRPr="00557DEC" w:rsidRDefault="000B48DD" w:rsidP="00FD4B3A">
            <w:pPr>
              <w:spacing w:after="0" w:line="240" w:lineRule="auto"/>
              <w:ind w:right="103"/>
              <w:jc w:val="right"/>
              <w:rPr>
                <w:rFonts w:cs="Arial"/>
                <w:sz w:val="18"/>
                <w:szCs w:val="18"/>
                <w:lang w:val="en-US"/>
              </w:rPr>
            </w:pPr>
            <w:r>
              <w:rPr>
                <w:rFonts w:cs="Arial"/>
                <w:sz w:val="18"/>
                <w:szCs w:val="18"/>
                <w:lang w:val="en-US"/>
              </w:rPr>
              <w:t>+3.2p</w:t>
            </w:r>
          </w:p>
        </w:tc>
      </w:tr>
      <w:tr w:rsidR="00FD4B3A" w:rsidRPr="000B4332" w14:paraId="54F0829E" w14:textId="77777777" w:rsidTr="00865099">
        <w:trPr>
          <w:jc w:val="center"/>
        </w:trPr>
        <w:tc>
          <w:tcPr>
            <w:tcW w:w="4111" w:type="dxa"/>
            <w:shd w:val="clear" w:color="auto" w:fill="auto"/>
            <w:noWrap/>
            <w:tcMar>
              <w:top w:w="15" w:type="dxa"/>
              <w:left w:w="15" w:type="dxa"/>
              <w:bottom w:w="0" w:type="dxa"/>
              <w:right w:w="15" w:type="dxa"/>
            </w:tcMar>
            <w:vAlign w:val="center"/>
            <w:hideMark/>
          </w:tcPr>
          <w:p w14:paraId="5F7FAA99" w14:textId="77777777" w:rsidR="00FD4B3A" w:rsidRPr="000B4332" w:rsidRDefault="00FD4B3A" w:rsidP="00FD4B3A">
            <w:pPr>
              <w:spacing w:after="0" w:line="240" w:lineRule="auto"/>
              <w:jc w:val="both"/>
              <w:rPr>
                <w:rFonts w:cs="Arial"/>
                <w:bCs/>
                <w:sz w:val="18"/>
                <w:szCs w:val="18"/>
                <w:lang w:val="en-US"/>
              </w:rPr>
            </w:pPr>
            <w:r>
              <w:rPr>
                <w:rFonts w:cs="Arial"/>
                <w:bCs/>
                <w:sz w:val="18"/>
                <w:szCs w:val="18"/>
                <w:lang w:val="en-US"/>
              </w:rPr>
              <w:t>Interim</w:t>
            </w:r>
            <w:r w:rsidRPr="000B4332">
              <w:rPr>
                <w:rFonts w:cs="Arial"/>
                <w:bCs/>
                <w:sz w:val="18"/>
                <w:szCs w:val="18"/>
                <w:lang w:val="en-US"/>
              </w:rPr>
              <w:t xml:space="preserve"> dividend per share (pence)</w:t>
            </w:r>
          </w:p>
        </w:tc>
        <w:tc>
          <w:tcPr>
            <w:tcW w:w="1134" w:type="dxa"/>
            <w:shd w:val="clear" w:color="auto" w:fill="auto"/>
            <w:noWrap/>
            <w:tcMar>
              <w:top w:w="15" w:type="dxa"/>
              <w:left w:w="15" w:type="dxa"/>
              <w:bottom w:w="0" w:type="dxa"/>
              <w:right w:w="15" w:type="dxa"/>
            </w:tcMar>
          </w:tcPr>
          <w:p w14:paraId="3FC08C58" w14:textId="77777777" w:rsidR="00FD4B3A" w:rsidRPr="009204F5" w:rsidRDefault="00FD4B3A" w:rsidP="00FD4B3A">
            <w:pPr>
              <w:spacing w:after="0" w:line="240" w:lineRule="auto"/>
              <w:ind w:right="103"/>
              <w:jc w:val="right"/>
              <w:rPr>
                <w:rFonts w:cs="Arial"/>
                <w:sz w:val="18"/>
                <w:szCs w:val="18"/>
                <w:lang w:val="en-US"/>
              </w:rPr>
            </w:pPr>
            <w:r w:rsidRPr="009204F5">
              <w:rPr>
                <w:rFonts w:cs="Arial"/>
                <w:sz w:val="18"/>
                <w:szCs w:val="18"/>
                <w:lang w:val="en-US"/>
              </w:rPr>
              <w:t>-</w:t>
            </w:r>
          </w:p>
        </w:tc>
        <w:tc>
          <w:tcPr>
            <w:tcW w:w="1134" w:type="dxa"/>
            <w:shd w:val="clear" w:color="auto" w:fill="auto"/>
            <w:vAlign w:val="bottom"/>
          </w:tcPr>
          <w:p w14:paraId="58D4E0DC" w14:textId="77777777" w:rsidR="00FD4B3A" w:rsidRPr="00B31BD0" w:rsidRDefault="00FD4B3A" w:rsidP="00FD4B3A">
            <w:pPr>
              <w:spacing w:after="0" w:line="240" w:lineRule="auto"/>
              <w:ind w:right="103"/>
              <w:jc w:val="right"/>
              <w:rPr>
                <w:rFonts w:cs="Arial"/>
                <w:sz w:val="18"/>
                <w:szCs w:val="18"/>
                <w:lang w:val="en-US"/>
              </w:rPr>
            </w:pPr>
            <w:r w:rsidRPr="00B31BD0">
              <w:rPr>
                <w:rFonts w:cs="Arial"/>
                <w:sz w:val="18"/>
                <w:szCs w:val="18"/>
                <w:lang w:val="en-US"/>
              </w:rPr>
              <w:t>-</w:t>
            </w:r>
          </w:p>
        </w:tc>
        <w:tc>
          <w:tcPr>
            <w:tcW w:w="1134" w:type="dxa"/>
            <w:shd w:val="clear" w:color="auto" w:fill="auto"/>
            <w:vAlign w:val="bottom"/>
          </w:tcPr>
          <w:p w14:paraId="79C35067" w14:textId="77777777" w:rsidR="00FD4B3A" w:rsidRPr="00557DEC" w:rsidRDefault="00FD4B3A" w:rsidP="00FD4B3A">
            <w:pPr>
              <w:spacing w:after="0" w:line="240" w:lineRule="auto"/>
              <w:ind w:right="103"/>
              <w:jc w:val="right"/>
              <w:rPr>
                <w:rFonts w:cs="Arial"/>
                <w:sz w:val="18"/>
                <w:szCs w:val="18"/>
                <w:lang w:val="en-US"/>
              </w:rPr>
            </w:pPr>
          </w:p>
        </w:tc>
      </w:tr>
      <w:tr w:rsidR="00FD4B3A" w:rsidRPr="000B4332" w14:paraId="11682AD5" w14:textId="77777777" w:rsidTr="00865099">
        <w:trPr>
          <w:trHeight w:val="163"/>
          <w:jc w:val="center"/>
        </w:trPr>
        <w:tc>
          <w:tcPr>
            <w:tcW w:w="4111" w:type="dxa"/>
            <w:shd w:val="clear" w:color="auto" w:fill="auto"/>
            <w:noWrap/>
            <w:tcMar>
              <w:top w:w="15" w:type="dxa"/>
              <w:left w:w="15" w:type="dxa"/>
              <w:bottom w:w="0" w:type="dxa"/>
              <w:right w:w="15" w:type="dxa"/>
            </w:tcMar>
            <w:vAlign w:val="center"/>
          </w:tcPr>
          <w:p w14:paraId="29CFC356" w14:textId="77777777" w:rsidR="00FD4B3A" w:rsidRPr="000B4332" w:rsidRDefault="00FD4B3A" w:rsidP="00FD4B3A">
            <w:pPr>
              <w:spacing w:after="0" w:line="240" w:lineRule="auto"/>
              <w:jc w:val="both"/>
              <w:rPr>
                <w:rFonts w:cs="Arial"/>
                <w:b/>
                <w:bCs/>
                <w:sz w:val="18"/>
                <w:szCs w:val="18"/>
                <w:u w:val="single"/>
                <w:lang w:val="en-US"/>
              </w:rPr>
            </w:pPr>
          </w:p>
        </w:tc>
        <w:tc>
          <w:tcPr>
            <w:tcW w:w="1134" w:type="dxa"/>
            <w:shd w:val="clear" w:color="auto" w:fill="auto"/>
            <w:noWrap/>
            <w:tcMar>
              <w:top w:w="15" w:type="dxa"/>
              <w:left w:w="15" w:type="dxa"/>
              <w:bottom w:w="0" w:type="dxa"/>
              <w:right w:w="15" w:type="dxa"/>
            </w:tcMar>
          </w:tcPr>
          <w:p w14:paraId="22858F37" w14:textId="77777777" w:rsidR="00FD4B3A" w:rsidRPr="009204F5" w:rsidRDefault="00FD4B3A" w:rsidP="00FD4B3A">
            <w:pPr>
              <w:spacing w:after="0" w:line="240" w:lineRule="auto"/>
              <w:ind w:right="103"/>
              <w:jc w:val="right"/>
              <w:rPr>
                <w:rFonts w:cs="Arial"/>
                <w:sz w:val="18"/>
                <w:szCs w:val="18"/>
                <w:lang w:val="en-US"/>
              </w:rPr>
            </w:pPr>
          </w:p>
        </w:tc>
        <w:tc>
          <w:tcPr>
            <w:tcW w:w="1134" w:type="dxa"/>
            <w:shd w:val="clear" w:color="auto" w:fill="auto"/>
            <w:vAlign w:val="center"/>
          </w:tcPr>
          <w:p w14:paraId="78D3E3B4" w14:textId="77777777" w:rsidR="00FD4B3A" w:rsidRPr="00B31BD0" w:rsidRDefault="00FD4B3A" w:rsidP="00FD4B3A">
            <w:pPr>
              <w:spacing w:after="0" w:line="240" w:lineRule="auto"/>
              <w:ind w:right="103"/>
              <w:jc w:val="right"/>
              <w:rPr>
                <w:rFonts w:cs="Arial"/>
                <w:sz w:val="18"/>
                <w:szCs w:val="18"/>
                <w:lang w:val="en-US"/>
              </w:rPr>
            </w:pPr>
          </w:p>
        </w:tc>
        <w:tc>
          <w:tcPr>
            <w:tcW w:w="1134" w:type="dxa"/>
            <w:shd w:val="clear" w:color="auto" w:fill="auto"/>
          </w:tcPr>
          <w:p w14:paraId="73D36F77" w14:textId="77777777" w:rsidR="00FD4B3A" w:rsidRPr="00557DEC" w:rsidRDefault="00FD4B3A" w:rsidP="00FD4B3A">
            <w:pPr>
              <w:spacing w:after="0" w:line="240" w:lineRule="auto"/>
              <w:ind w:right="103"/>
              <w:jc w:val="right"/>
              <w:rPr>
                <w:rFonts w:cs="Arial"/>
                <w:sz w:val="18"/>
                <w:szCs w:val="18"/>
                <w:lang w:val="en-US"/>
              </w:rPr>
            </w:pPr>
          </w:p>
        </w:tc>
      </w:tr>
      <w:tr w:rsidR="00FD4B3A" w:rsidRPr="000B4332" w14:paraId="36561C24" w14:textId="77777777" w:rsidTr="00865099">
        <w:trPr>
          <w:trHeight w:val="163"/>
          <w:jc w:val="center"/>
        </w:trPr>
        <w:tc>
          <w:tcPr>
            <w:tcW w:w="4111" w:type="dxa"/>
            <w:shd w:val="clear" w:color="auto" w:fill="auto"/>
            <w:noWrap/>
            <w:tcMar>
              <w:top w:w="15" w:type="dxa"/>
              <w:left w:w="15" w:type="dxa"/>
              <w:bottom w:w="0" w:type="dxa"/>
              <w:right w:w="15" w:type="dxa"/>
            </w:tcMar>
            <w:vAlign w:val="center"/>
          </w:tcPr>
          <w:p w14:paraId="643FF7EE"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Free Cash Flow</w:t>
            </w:r>
          </w:p>
        </w:tc>
        <w:tc>
          <w:tcPr>
            <w:tcW w:w="1134" w:type="dxa"/>
            <w:shd w:val="clear" w:color="auto" w:fill="auto"/>
            <w:noWrap/>
            <w:tcMar>
              <w:top w:w="15" w:type="dxa"/>
              <w:left w:w="15" w:type="dxa"/>
              <w:bottom w:w="0" w:type="dxa"/>
              <w:right w:w="15" w:type="dxa"/>
            </w:tcMar>
          </w:tcPr>
          <w:p w14:paraId="05175B67" w14:textId="2BCADD94" w:rsidR="00FD4B3A" w:rsidRPr="009204F5" w:rsidRDefault="00FD4B3A" w:rsidP="00FD4B3A">
            <w:pPr>
              <w:spacing w:after="0" w:line="240" w:lineRule="auto"/>
              <w:ind w:right="103"/>
              <w:jc w:val="right"/>
              <w:rPr>
                <w:rFonts w:cs="Arial"/>
                <w:sz w:val="18"/>
                <w:szCs w:val="18"/>
                <w:lang w:val="en-US"/>
              </w:rPr>
            </w:pPr>
            <w:r>
              <w:rPr>
                <w:rFonts w:cs="Arial"/>
                <w:sz w:val="18"/>
                <w:szCs w:val="18"/>
                <w:lang w:val="en-US"/>
              </w:rPr>
              <w:t>(</w:t>
            </w:r>
            <w:r w:rsidR="0075693F">
              <w:rPr>
                <w:rFonts w:cs="Arial"/>
                <w:sz w:val="18"/>
                <w:szCs w:val="18"/>
                <w:lang w:val="en-US"/>
              </w:rPr>
              <w:t>17</w:t>
            </w:r>
            <w:r>
              <w:rPr>
                <w:rFonts w:cs="Arial"/>
                <w:sz w:val="18"/>
                <w:szCs w:val="18"/>
                <w:lang w:val="en-US"/>
              </w:rPr>
              <w:t>.8)</w:t>
            </w:r>
          </w:p>
        </w:tc>
        <w:tc>
          <w:tcPr>
            <w:tcW w:w="1134" w:type="dxa"/>
            <w:shd w:val="clear" w:color="auto" w:fill="auto"/>
            <w:vAlign w:val="center"/>
          </w:tcPr>
          <w:p w14:paraId="6C1A2E25" w14:textId="77777777" w:rsidR="00FD4B3A" w:rsidRPr="00B31BD0" w:rsidRDefault="00FD4B3A" w:rsidP="00FD4B3A">
            <w:pPr>
              <w:spacing w:after="0" w:line="240" w:lineRule="auto"/>
              <w:ind w:right="103"/>
              <w:jc w:val="right"/>
              <w:rPr>
                <w:rFonts w:cs="Arial"/>
                <w:sz w:val="18"/>
                <w:szCs w:val="18"/>
                <w:lang w:val="en-US"/>
              </w:rPr>
            </w:pPr>
            <w:r w:rsidRPr="00B31BD0">
              <w:rPr>
                <w:rFonts w:cs="Arial"/>
                <w:sz w:val="18"/>
                <w:szCs w:val="18"/>
                <w:lang w:val="en-US"/>
              </w:rPr>
              <w:t>(</w:t>
            </w:r>
            <w:r>
              <w:rPr>
                <w:rFonts w:cs="Arial"/>
                <w:sz w:val="18"/>
                <w:szCs w:val="18"/>
                <w:lang w:val="en-US"/>
              </w:rPr>
              <w:t>23.6</w:t>
            </w:r>
            <w:r w:rsidRPr="00B31BD0">
              <w:rPr>
                <w:rFonts w:cs="Arial"/>
                <w:sz w:val="18"/>
                <w:szCs w:val="18"/>
                <w:lang w:val="en-US"/>
              </w:rPr>
              <w:t>)</w:t>
            </w:r>
          </w:p>
        </w:tc>
        <w:tc>
          <w:tcPr>
            <w:tcW w:w="1134" w:type="dxa"/>
            <w:shd w:val="clear" w:color="auto" w:fill="auto"/>
          </w:tcPr>
          <w:p w14:paraId="43693654" w14:textId="45D00B37" w:rsidR="00FD4B3A" w:rsidRPr="00557DEC" w:rsidRDefault="00FD4B3A" w:rsidP="00FD4B3A">
            <w:pPr>
              <w:spacing w:after="0" w:line="240" w:lineRule="auto"/>
              <w:ind w:right="103"/>
              <w:jc w:val="right"/>
              <w:rPr>
                <w:rFonts w:cs="Arial"/>
                <w:sz w:val="18"/>
                <w:szCs w:val="18"/>
                <w:lang w:val="en-US"/>
              </w:rPr>
            </w:pPr>
            <w:r w:rsidRPr="00557DEC">
              <w:rPr>
                <w:rFonts w:cs="Arial"/>
                <w:sz w:val="18"/>
                <w:szCs w:val="18"/>
                <w:lang w:val="en-US"/>
              </w:rPr>
              <w:t>£</w:t>
            </w:r>
            <w:r w:rsidR="0075693F">
              <w:rPr>
                <w:rFonts w:cs="Arial"/>
                <w:sz w:val="18"/>
                <w:szCs w:val="18"/>
                <w:lang w:val="en-US"/>
              </w:rPr>
              <w:t>5</w:t>
            </w:r>
            <w:r>
              <w:rPr>
                <w:rFonts w:cs="Arial"/>
                <w:sz w:val="18"/>
                <w:szCs w:val="18"/>
                <w:lang w:val="en-US"/>
              </w:rPr>
              <w:t>.8</w:t>
            </w:r>
            <w:r w:rsidRPr="00557DEC">
              <w:rPr>
                <w:rFonts w:cs="Arial"/>
                <w:sz w:val="18"/>
                <w:szCs w:val="18"/>
                <w:lang w:val="en-US"/>
              </w:rPr>
              <w:t>m</w:t>
            </w:r>
          </w:p>
        </w:tc>
      </w:tr>
      <w:tr w:rsidR="00FD4B3A" w:rsidRPr="000B4332" w14:paraId="43EC2A09" w14:textId="77777777" w:rsidTr="00865099">
        <w:trPr>
          <w:trHeight w:val="163"/>
          <w:jc w:val="center"/>
        </w:trPr>
        <w:tc>
          <w:tcPr>
            <w:tcW w:w="4111" w:type="dxa"/>
            <w:shd w:val="clear" w:color="auto" w:fill="auto"/>
            <w:noWrap/>
            <w:tcMar>
              <w:top w:w="15" w:type="dxa"/>
              <w:left w:w="15" w:type="dxa"/>
              <w:bottom w:w="0" w:type="dxa"/>
              <w:right w:w="15" w:type="dxa"/>
            </w:tcMar>
            <w:vAlign w:val="center"/>
          </w:tcPr>
          <w:p w14:paraId="208272F0" w14:textId="77777777" w:rsidR="00FD4B3A" w:rsidRPr="000B4332" w:rsidRDefault="00FD4B3A" w:rsidP="00FD4B3A">
            <w:pPr>
              <w:spacing w:after="0" w:line="240" w:lineRule="auto"/>
              <w:jc w:val="both"/>
              <w:rPr>
                <w:rFonts w:cs="Arial"/>
                <w:bCs/>
                <w:sz w:val="18"/>
                <w:szCs w:val="18"/>
                <w:lang w:val="en-US"/>
              </w:rPr>
            </w:pPr>
            <w:r>
              <w:rPr>
                <w:rFonts w:cs="Arial"/>
                <w:bCs/>
                <w:sz w:val="18"/>
                <w:szCs w:val="18"/>
                <w:lang w:val="en-US"/>
              </w:rPr>
              <w:t>Net Debt</w:t>
            </w:r>
          </w:p>
        </w:tc>
        <w:tc>
          <w:tcPr>
            <w:tcW w:w="1134" w:type="dxa"/>
            <w:shd w:val="clear" w:color="auto" w:fill="auto"/>
            <w:noWrap/>
            <w:tcMar>
              <w:top w:w="15" w:type="dxa"/>
              <w:left w:w="15" w:type="dxa"/>
              <w:bottom w:w="0" w:type="dxa"/>
              <w:right w:w="15" w:type="dxa"/>
            </w:tcMar>
          </w:tcPr>
          <w:p w14:paraId="47801D34" w14:textId="77777777" w:rsidR="00FD4B3A" w:rsidRPr="009204F5" w:rsidRDefault="00FD4B3A" w:rsidP="00FD4B3A">
            <w:pPr>
              <w:spacing w:after="0" w:line="240" w:lineRule="auto"/>
              <w:ind w:right="103"/>
              <w:jc w:val="right"/>
              <w:rPr>
                <w:rFonts w:cs="Arial"/>
                <w:sz w:val="18"/>
                <w:szCs w:val="18"/>
                <w:lang w:val="en-US"/>
              </w:rPr>
            </w:pPr>
            <w:r>
              <w:rPr>
                <w:rFonts w:cs="Arial"/>
                <w:sz w:val="18"/>
                <w:szCs w:val="18"/>
                <w:lang w:val="en-US"/>
              </w:rPr>
              <w:t>272.3</w:t>
            </w:r>
          </w:p>
        </w:tc>
        <w:tc>
          <w:tcPr>
            <w:tcW w:w="1134" w:type="dxa"/>
            <w:shd w:val="clear" w:color="auto" w:fill="auto"/>
            <w:vAlign w:val="center"/>
          </w:tcPr>
          <w:p w14:paraId="18ED40B0" w14:textId="77777777" w:rsidR="00FD4B3A" w:rsidRPr="00B31BD0" w:rsidRDefault="00FD4B3A" w:rsidP="00FD4B3A">
            <w:pPr>
              <w:spacing w:after="0" w:line="240" w:lineRule="auto"/>
              <w:ind w:right="103"/>
              <w:jc w:val="right"/>
              <w:rPr>
                <w:rFonts w:cs="Arial"/>
                <w:sz w:val="18"/>
                <w:szCs w:val="18"/>
                <w:lang w:val="en-US"/>
              </w:rPr>
            </w:pPr>
            <w:r>
              <w:rPr>
                <w:rFonts w:cs="Arial"/>
                <w:sz w:val="18"/>
                <w:szCs w:val="18"/>
                <w:lang w:val="en-US"/>
              </w:rPr>
              <w:t>332.1</w:t>
            </w:r>
          </w:p>
        </w:tc>
        <w:tc>
          <w:tcPr>
            <w:tcW w:w="1134" w:type="dxa"/>
            <w:shd w:val="clear" w:color="auto" w:fill="auto"/>
          </w:tcPr>
          <w:p w14:paraId="60D76FE2" w14:textId="1C79F554" w:rsidR="00FD4B3A" w:rsidRPr="007C2CBB" w:rsidRDefault="009C3D96" w:rsidP="00FD4B3A">
            <w:pPr>
              <w:spacing w:after="0" w:line="240" w:lineRule="auto"/>
              <w:ind w:right="103"/>
              <w:jc w:val="right"/>
              <w:rPr>
                <w:rFonts w:cs="Arial"/>
                <w:sz w:val="18"/>
                <w:szCs w:val="18"/>
                <w:highlight w:val="yellow"/>
                <w:lang w:val="en-US"/>
              </w:rPr>
            </w:pPr>
            <w:r w:rsidRPr="00CA1AE6">
              <w:rPr>
                <w:rFonts w:cs="Arial"/>
                <w:sz w:val="18"/>
                <w:szCs w:val="18"/>
                <w:lang w:val="en-US"/>
              </w:rPr>
              <w:t>£59.8m</w:t>
            </w:r>
          </w:p>
        </w:tc>
      </w:tr>
      <w:tr w:rsidR="00FD4B3A" w:rsidRPr="000B4332" w14:paraId="157F884B" w14:textId="77777777" w:rsidTr="00865099">
        <w:trPr>
          <w:jc w:val="center"/>
        </w:trPr>
        <w:tc>
          <w:tcPr>
            <w:tcW w:w="4111" w:type="dxa"/>
            <w:shd w:val="clear" w:color="auto" w:fill="auto"/>
            <w:noWrap/>
            <w:tcMar>
              <w:top w:w="15" w:type="dxa"/>
              <w:left w:w="15" w:type="dxa"/>
              <w:bottom w:w="0" w:type="dxa"/>
              <w:right w:w="15" w:type="dxa"/>
            </w:tcMar>
            <w:vAlign w:val="center"/>
            <w:hideMark/>
          </w:tcPr>
          <w:p w14:paraId="56157B8D"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 xml:space="preserve">Net Debt </w:t>
            </w:r>
            <w:r>
              <w:rPr>
                <w:rFonts w:cs="Arial"/>
                <w:bCs/>
                <w:sz w:val="18"/>
                <w:szCs w:val="18"/>
                <w:lang w:val="en-US"/>
              </w:rPr>
              <w:t>(excluding lease liabilities)</w:t>
            </w:r>
          </w:p>
        </w:tc>
        <w:tc>
          <w:tcPr>
            <w:tcW w:w="1134" w:type="dxa"/>
            <w:shd w:val="clear" w:color="auto" w:fill="auto"/>
            <w:noWrap/>
            <w:tcMar>
              <w:top w:w="15" w:type="dxa"/>
              <w:left w:w="15" w:type="dxa"/>
              <w:bottom w:w="0" w:type="dxa"/>
              <w:right w:w="15" w:type="dxa"/>
            </w:tcMar>
          </w:tcPr>
          <w:p w14:paraId="1131B9BA" w14:textId="77777777" w:rsidR="00FD4B3A" w:rsidRPr="009204F5" w:rsidRDefault="00FD4B3A" w:rsidP="00FD4B3A">
            <w:pPr>
              <w:spacing w:after="0" w:line="240" w:lineRule="auto"/>
              <w:ind w:right="103"/>
              <w:jc w:val="right"/>
              <w:rPr>
                <w:rFonts w:cs="Arial"/>
                <w:sz w:val="18"/>
                <w:szCs w:val="18"/>
                <w:lang w:val="en-US"/>
              </w:rPr>
            </w:pPr>
            <w:r>
              <w:rPr>
                <w:rFonts w:cs="Arial"/>
                <w:sz w:val="18"/>
                <w:szCs w:val="18"/>
                <w:lang w:val="en-US"/>
              </w:rPr>
              <w:t>219.3</w:t>
            </w:r>
          </w:p>
        </w:tc>
        <w:tc>
          <w:tcPr>
            <w:tcW w:w="1134" w:type="dxa"/>
            <w:shd w:val="clear" w:color="auto" w:fill="auto"/>
            <w:vAlign w:val="center"/>
          </w:tcPr>
          <w:p w14:paraId="3BAEBE75" w14:textId="77777777" w:rsidR="00FD4B3A" w:rsidRPr="00B31BD0" w:rsidRDefault="00FD4B3A" w:rsidP="00FD4B3A">
            <w:pPr>
              <w:spacing w:after="0" w:line="240" w:lineRule="auto"/>
              <w:ind w:right="103"/>
              <w:jc w:val="right"/>
              <w:rPr>
                <w:rFonts w:cs="Arial"/>
                <w:sz w:val="18"/>
                <w:szCs w:val="18"/>
                <w:lang w:val="en-US"/>
              </w:rPr>
            </w:pPr>
            <w:r>
              <w:rPr>
                <w:rFonts w:cs="Arial"/>
                <w:sz w:val="18"/>
                <w:szCs w:val="18"/>
                <w:lang w:val="en-US"/>
              </w:rPr>
              <w:t>271.3</w:t>
            </w:r>
          </w:p>
        </w:tc>
        <w:tc>
          <w:tcPr>
            <w:tcW w:w="1134" w:type="dxa"/>
            <w:shd w:val="clear" w:color="auto" w:fill="auto"/>
          </w:tcPr>
          <w:p w14:paraId="39CD5696" w14:textId="0DC55D34" w:rsidR="00FD4B3A" w:rsidRPr="007C2CBB" w:rsidRDefault="009C3D96" w:rsidP="00FD4B3A">
            <w:pPr>
              <w:spacing w:after="0" w:line="240" w:lineRule="auto"/>
              <w:ind w:right="103"/>
              <w:jc w:val="right"/>
              <w:rPr>
                <w:rFonts w:cs="Arial"/>
                <w:sz w:val="18"/>
                <w:szCs w:val="18"/>
                <w:highlight w:val="yellow"/>
                <w:lang w:val="en-US"/>
              </w:rPr>
            </w:pPr>
            <w:r w:rsidRPr="00CA1AE6">
              <w:rPr>
                <w:rFonts w:cs="Arial"/>
                <w:sz w:val="18"/>
                <w:szCs w:val="18"/>
                <w:lang w:val="en-US"/>
              </w:rPr>
              <w:t>£52.0m</w:t>
            </w:r>
          </w:p>
        </w:tc>
      </w:tr>
      <w:tr w:rsidR="00FD4B3A" w:rsidRPr="000B4332" w14:paraId="192BD43C" w14:textId="77777777" w:rsidTr="00865099">
        <w:trPr>
          <w:jc w:val="center"/>
        </w:trPr>
        <w:tc>
          <w:tcPr>
            <w:tcW w:w="4111" w:type="dxa"/>
            <w:shd w:val="clear" w:color="auto" w:fill="auto"/>
            <w:noWrap/>
            <w:tcMar>
              <w:top w:w="15" w:type="dxa"/>
              <w:left w:w="15" w:type="dxa"/>
              <w:bottom w:w="0" w:type="dxa"/>
              <w:right w:w="15" w:type="dxa"/>
            </w:tcMar>
            <w:vAlign w:val="center"/>
          </w:tcPr>
          <w:p w14:paraId="589C69E1"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Net Debt:EBITDA as per financing agreements</w:t>
            </w:r>
          </w:p>
        </w:tc>
        <w:tc>
          <w:tcPr>
            <w:tcW w:w="1134" w:type="dxa"/>
            <w:shd w:val="clear" w:color="auto" w:fill="auto"/>
            <w:noWrap/>
            <w:tcMar>
              <w:top w:w="15" w:type="dxa"/>
              <w:left w:w="15" w:type="dxa"/>
              <w:bottom w:w="0" w:type="dxa"/>
              <w:right w:w="15" w:type="dxa"/>
            </w:tcMar>
          </w:tcPr>
          <w:p w14:paraId="0396C544" w14:textId="44F6D673" w:rsidR="00FD4B3A" w:rsidRPr="009D373E" w:rsidRDefault="004D5C3E" w:rsidP="00FD4B3A">
            <w:pPr>
              <w:spacing w:after="0" w:line="240" w:lineRule="auto"/>
              <w:ind w:right="103"/>
              <w:jc w:val="right"/>
              <w:rPr>
                <w:rFonts w:cs="Arial"/>
                <w:sz w:val="18"/>
                <w:szCs w:val="18"/>
                <w:lang w:val="en-US"/>
              </w:rPr>
            </w:pPr>
            <w:r>
              <w:rPr>
                <w:rFonts w:cs="Arial"/>
                <w:sz w:val="18"/>
                <w:szCs w:val="18"/>
                <w:lang w:val="en-US"/>
              </w:rPr>
              <w:t>2.1</w:t>
            </w:r>
            <w:r w:rsidR="00FD4B3A" w:rsidRPr="009D373E">
              <w:rPr>
                <w:rFonts w:cs="Arial"/>
                <w:sz w:val="18"/>
                <w:szCs w:val="18"/>
                <w:lang w:val="en-US"/>
              </w:rPr>
              <w:t>x</w:t>
            </w:r>
          </w:p>
        </w:tc>
        <w:tc>
          <w:tcPr>
            <w:tcW w:w="1134" w:type="dxa"/>
            <w:shd w:val="clear" w:color="auto" w:fill="auto"/>
            <w:vAlign w:val="center"/>
          </w:tcPr>
          <w:p w14:paraId="4A1A8417" w14:textId="77777777" w:rsidR="00FD4B3A" w:rsidRPr="009D373E" w:rsidRDefault="00FD4B3A" w:rsidP="00FD4B3A">
            <w:pPr>
              <w:spacing w:after="0" w:line="240" w:lineRule="auto"/>
              <w:ind w:right="103"/>
              <w:jc w:val="right"/>
              <w:rPr>
                <w:rFonts w:cs="Arial"/>
                <w:sz w:val="18"/>
                <w:szCs w:val="18"/>
                <w:lang w:val="en-US"/>
              </w:rPr>
            </w:pPr>
            <w:r w:rsidRPr="009D373E">
              <w:rPr>
                <w:rFonts w:cs="Arial"/>
                <w:sz w:val="18"/>
                <w:szCs w:val="18"/>
                <w:lang w:val="en-US"/>
              </w:rPr>
              <w:t>7.2x</w:t>
            </w:r>
          </w:p>
        </w:tc>
        <w:tc>
          <w:tcPr>
            <w:tcW w:w="1134" w:type="dxa"/>
            <w:shd w:val="clear" w:color="auto" w:fill="auto"/>
          </w:tcPr>
          <w:p w14:paraId="764A3DA5" w14:textId="77777777" w:rsidR="00FD4B3A" w:rsidRPr="007C2CBB" w:rsidRDefault="00FD4B3A" w:rsidP="00FD4B3A">
            <w:pPr>
              <w:spacing w:after="0" w:line="240" w:lineRule="auto"/>
              <w:ind w:right="103"/>
              <w:jc w:val="right"/>
              <w:rPr>
                <w:rFonts w:cs="Arial"/>
                <w:sz w:val="18"/>
                <w:szCs w:val="18"/>
                <w:highlight w:val="yellow"/>
                <w:lang w:val="en-US"/>
              </w:rPr>
            </w:pPr>
          </w:p>
        </w:tc>
      </w:tr>
      <w:tr w:rsidR="00FD4B3A" w:rsidRPr="00962729" w14:paraId="667747BF" w14:textId="77777777" w:rsidTr="00865099">
        <w:trPr>
          <w:trHeight w:val="163"/>
          <w:jc w:val="center"/>
        </w:trPr>
        <w:tc>
          <w:tcPr>
            <w:tcW w:w="4111" w:type="dxa"/>
            <w:shd w:val="clear" w:color="auto" w:fill="auto"/>
            <w:noWrap/>
            <w:tcMar>
              <w:top w:w="15" w:type="dxa"/>
              <w:left w:w="15" w:type="dxa"/>
              <w:bottom w:w="0" w:type="dxa"/>
              <w:right w:w="15" w:type="dxa"/>
            </w:tcMar>
            <w:vAlign w:val="center"/>
          </w:tcPr>
          <w:p w14:paraId="4179CDD9" w14:textId="77777777" w:rsidR="00FD4B3A" w:rsidRPr="000B4332" w:rsidRDefault="00FD4B3A" w:rsidP="00FD4B3A">
            <w:pPr>
              <w:spacing w:after="0" w:line="240" w:lineRule="auto"/>
              <w:jc w:val="both"/>
              <w:rPr>
                <w:rFonts w:cs="Arial"/>
                <w:bCs/>
                <w:sz w:val="18"/>
                <w:szCs w:val="18"/>
                <w:lang w:val="en-US"/>
              </w:rPr>
            </w:pPr>
            <w:r w:rsidRPr="000B4332">
              <w:rPr>
                <w:rFonts w:cs="Arial"/>
                <w:bCs/>
                <w:sz w:val="18"/>
                <w:szCs w:val="18"/>
                <w:lang w:val="en-US"/>
              </w:rPr>
              <w:t>Return on Invested Capital (“ROIC”)</w:t>
            </w:r>
          </w:p>
        </w:tc>
        <w:tc>
          <w:tcPr>
            <w:tcW w:w="1134" w:type="dxa"/>
            <w:shd w:val="clear" w:color="auto" w:fill="auto"/>
            <w:noWrap/>
            <w:tcMar>
              <w:top w:w="15" w:type="dxa"/>
              <w:left w:w="15" w:type="dxa"/>
              <w:bottom w:w="0" w:type="dxa"/>
              <w:right w:w="15" w:type="dxa"/>
            </w:tcMar>
          </w:tcPr>
          <w:p w14:paraId="78DAE5AE" w14:textId="77777777" w:rsidR="00FD4B3A" w:rsidRPr="009204F5" w:rsidRDefault="00FD4B3A" w:rsidP="00FD4B3A">
            <w:pPr>
              <w:spacing w:after="0" w:line="240" w:lineRule="auto"/>
              <w:ind w:right="103"/>
              <w:jc w:val="right"/>
              <w:rPr>
                <w:rFonts w:cs="Arial"/>
                <w:sz w:val="18"/>
                <w:szCs w:val="18"/>
                <w:lang w:val="en-US"/>
              </w:rPr>
            </w:pPr>
            <w:r>
              <w:rPr>
                <w:rFonts w:cs="Arial"/>
                <w:sz w:val="18"/>
                <w:szCs w:val="18"/>
                <w:lang w:val="en-US"/>
              </w:rPr>
              <w:t>6.3%</w:t>
            </w:r>
          </w:p>
        </w:tc>
        <w:tc>
          <w:tcPr>
            <w:tcW w:w="1134" w:type="dxa"/>
            <w:shd w:val="clear" w:color="auto" w:fill="auto"/>
            <w:vAlign w:val="center"/>
          </w:tcPr>
          <w:p w14:paraId="00AA3AFA" w14:textId="77777777" w:rsidR="00FD4B3A" w:rsidRPr="00B31BD0" w:rsidRDefault="00FD4B3A" w:rsidP="00FD4B3A">
            <w:pPr>
              <w:spacing w:after="0" w:line="240" w:lineRule="auto"/>
              <w:ind w:right="103"/>
              <w:jc w:val="right"/>
              <w:rPr>
                <w:rFonts w:cs="Arial"/>
                <w:sz w:val="18"/>
                <w:szCs w:val="18"/>
                <w:lang w:val="en-US"/>
              </w:rPr>
            </w:pPr>
            <w:r>
              <w:rPr>
                <w:rFonts w:cs="Arial"/>
                <w:sz w:val="18"/>
                <w:szCs w:val="18"/>
                <w:lang w:val="en-US"/>
              </w:rPr>
              <w:t>(0.6)</w:t>
            </w:r>
            <w:r w:rsidRPr="00B31BD0">
              <w:rPr>
                <w:rFonts w:cs="Arial"/>
                <w:sz w:val="18"/>
                <w:szCs w:val="18"/>
                <w:lang w:val="en-US"/>
              </w:rPr>
              <w:t>%</w:t>
            </w:r>
          </w:p>
        </w:tc>
        <w:tc>
          <w:tcPr>
            <w:tcW w:w="1134" w:type="dxa"/>
            <w:shd w:val="clear" w:color="auto" w:fill="auto"/>
          </w:tcPr>
          <w:p w14:paraId="1DA5388D" w14:textId="77777777" w:rsidR="00FD4B3A" w:rsidRPr="007C2CBB" w:rsidRDefault="00FD4B3A" w:rsidP="00FD4B3A">
            <w:pPr>
              <w:spacing w:after="0" w:line="240" w:lineRule="auto"/>
              <w:ind w:right="103"/>
              <w:jc w:val="right"/>
              <w:rPr>
                <w:rFonts w:cs="Arial"/>
                <w:sz w:val="18"/>
                <w:szCs w:val="18"/>
                <w:highlight w:val="yellow"/>
                <w:lang w:val="en-US"/>
              </w:rPr>
            </w:pPr>
          </w:p>
        </w:tc>
      </w:tr>
      <w:tr w:rsidR="00FD4B3A" w:rsidRPr="00962729" w14:paraId="66796F2F" w14:textId="77777777" w:rsidTr="00865099">
        <w:trPr>
          <w:trHeight w:val="58"/>
          <w:jc w:val="center"/>
        </w:trPr>
        <w:tc>
          <w:tcPr>
            <w:tcW w:w="4111" w:type="dxa"/>
            <w:shd w:val="clear" w:color="auto" w:fill="auto"/>
            <w:noWrap/>
            <w:tcMar>
              <w:top w:w="15" w:type="dxa"/>
              <w:left w:w="15" w:type="dxa"/>
              <w:bottom w:w="0" w:type="dxa"/>
              <w:right w:w="15" w:type="dxa"/>
            </w:tcMar>
            <w:vAlign w:val="center"/>
          </w:tcPr>
          <w:p w14:paraId="09085D85" w14:textId="77777777" w:rsidR="00FD4B3A" w:rsidRPr="00962729" w:rsidRDefault="00FD4B3A" w:rsidP="00FD4B3A">
            <w:pPr>
              <w:spacing w:after="0" w:line="240" w:lineRule="auto"/>
              <w:jc w:val="both"/>
              <w:rPr>
                <w:rFonts w:cs="Arial"/>
                <w:bCs/>
                <w:sz w:val="18"/>
                <w:szCs w:val="18"/>
                <w:lang w:val="en-US"/>
              </w:rPr>
            </w:pPr>
          </w:p>
        </w:tc>
        <w:tc>
          <w:tcPr>
            <w:tcW w:w="1134" w:type="dxa"/>
            <w:shd w:val="clear" w:color="auto" w:fill="auto"/>
            <w:noWrap/>
            <w:tcMar>
              <w:top w:w="15" w:type="dxa"/>
              <w:left w:w="15" w:type="dxa"/>
              <w:bottom w:w="0" w:type="dxa"/>
              <w:right w:w="15" w:type="dxa"/>
            </w:tcMar>
            <w:vAlign w:val="center"/>
          </w:tcPr>
          <w:p w14:paraId="20F85B22" w14:textId="77777777" w:rsidR="00FD4B3A" w:rsidRDefault="00FD4B3A" w:rsidP="00FD4B3A">
            <w:pPr>
              <w:spacing w:after="0" w:line="240" w:lineRule="auto"/>
              <w:ind w:right="103"/>
              <w:jc w:val="right"/>
              <w:rPr>
                <w:rFonts w:cs="Arial"/>
                <w:sz w:val="18"/>
                <w:szCs w:val="18"/>
                <w:lang w:val="en-US"/>
              </w:rPr>
            </w:pPr>
          </w:p>
        </w:tc>
        <w:tc>
          <w:tcPr>
            <w:tcW w:w="1134" w:type="dxa"/>
            <w:shd w:val="clear" w:color="auto" w:fill="auto"/>
            <w:vAlign w:val="center"/>
          </w:tcPr>
          <w:p w14:paraId="72CCFA72" w14:textId="77777777" w:rsidR="00FD4B3A" w:rsidRPr="00B31BD0" w:rsidRDefault="00FD4B3A" w:rsidP="00FD4B3A">
            <w:pPr>
              <w:spacing w:after="0" w:line="240" w:lineRule="auto"/>
              <w:ind w:right="103"/>
              <w:jc w:val="right"/>
              <w:rPr>
                <w:rFonts w:cs="Arial"/>
                <w:sz w:val="18"/>
                <w:szCs w:val="18"/>
                <w:highlight w:val="yellow"/>
                <w:lang w:val="en-US"/>
              </w:rPr>
            </w:pPr>
          </w:p>
        </w:tc>
        <w:tc>
          <w:tcPr>
            <w:tcW w:w="1134" w:type="dxa"/>
            <w:shd w:val="clear" w:color="auto" w:fill="auto"/>
          </w:tcPr>
          <w:p w14:paraId="3CB0D21D" w14:textId="77777777" w:rsidR="00FD4B3A" w:rsidRPr="00962729" w:rsidRDefault="00FD4B3A" w:rsidP="00FD4B3A">
            <w:pPr>
              <w:spacing w:after="0" w:line="240" w:lineRule="auto"/>
              <w:ind w:right="103"/>
              <w:jc w:val="right"/>
              <w:rPr>
                <w:rFonts w:cs="Arial"/>
                <w:sz w:val="18"/>
                <w:szCs w:val="18"/>
                <w:lang w:val="en-US"/>
              </w:rPr>
            </w:pPr>
          </w:p>
        </w:tc>
      </w:tr>
    </w:tbl>
    <w:p w14:paraId="014299F4" w14:textId="77777777" w:rsidR="005E2C24" w:rsidRDefault="005E2C24" w:rsidP="00AE207A">
      <w:pPr>
        <w:tabs>
          <w:tab w:val="left" w:pos="5018"/>
        </w:tabs>
        <w:spacing w:after="0" w:line="240" w:lineRule="auto"/>
        <w:ind w:left="-284" w:right="-330"/>
        <w:jc w:val="both"/>
        <w:rPr>
          <w:b/>
          <w:sz w:val="18"/>
          <w:szCs w:val="18"/>
        </w:rPr>
      </w:pPr>
    </w:p>
    <w:p w14:paraId="7271C362" w14:textId="77777777" w:rsidR="00FD4B3A" w:rsidRPr="00E512C6" w:rsidRDefault="00FD4B3A" w:rsidP="00FD4B3A">
      <w:pPr>
        <w:jc w:val="both"/>
        <w:rPr>
          <w:rFonts w:cs="Arial"/>
          <w:b/>
          <w:sz w:val="20"/>
          <w:szCs w:val="18"/>
        </w:rPr>
      </w:pPr>
      <w:r w:rsidRPr="00E512C6">
        <w:rPr>
          <w:rFonts w:cs="Arial"/>
          <w:b/>
          <w:sz w:val="20"/>
          <w:szCs w:val="18"/>
        </w:rPr>
        <w:t xml:space="preserve">Commenting on the results, </w:t>
      </w:r>
      <w:r>
        <w:rPr>
          <w:rFonts w:cs="Arial"/>
          <w:b/>
          <w:sz w:val="20"/>
          <w:szCs w:val="18"/>
        </w:rPr>
        <w:t>Gary Kennedy</w:t>
      </w:r>
      <w:r w:rsidRPr="00E512C6">
        <w:rPr>
          <w:rFonts w:cs="Arial"/>
          <w:b/>
          <w:sz w:val="20"/>
          <w:szCs w:val="18"/>
        </w:rPr>
        <w:t xml:space="preserve">, </w:t>
      </w:r>
      <w:r>
        <w:rPr>
          <w:rFonts w:cs="Arial"/>
          <w:b/>
          <w:sz w:val="20"/>
          <w:szCs w:val="18"/>
        </w:rPr>
        <w:t>Executive Chair</w:t>
      </w:r>
      <w:r w:rsidRPr="00E512C6">
        <w:rPr>
          <w:rFonts w:cs="Arial"/>
          <w:b/>
          <w:sz w:val="20"/>
          <w:szCs w:val="18"/>
        </w:rPr>
        <w:t>, said:</w:t>
      </w:r>
      <w:r w:rsidRPr="00670490">
        <w:rPr>
          <w:rFonts w:cs="Arial"/>
          <w:noProof/>
          <w:sz w:val="18"/>
          <w:szCs w:val="18"/>
        </w:rPr>
        <w:t xml:space="preserve"> </w:t>
      </w:r>
    </w:p>
    <w:p w14:paraId="4A51D002" w14:textId="749D7CAA" w:rsidR="00FD4B3A" w:rsidRDefault="00A73B58" w:rsidP="00FD4B3A">
      <w:pPr>
        <w:jc w:val="both"/>
        <w:rPr>
          <w:rFonts w:cs="Arial"/>
          <w:sz w:val="18"/>
          <w:szCs w:val="18"/>
        </w:rPr>
      </w:pPr>
      <w:r w:rsidRPr="00A73B58">
        <w:rPr>
          <w:rFonts w:cs="Arial"/>
          <w:i/>
          <w:sz w:val="18"/>
          <w:szCs w:val="18"/>
        </w:rPr>
        <w:t>“</w:t>
      </w:r>
      <w:r w:rsidR="00433382" w:rsidRPr="00433382">
        <w:rPr>
          <w:rFonts w:cs="Arial"/>
          <w:i/>
          <w:sz w:val="18"/>
          <w:szCs w:val="18"/>
        </w:rPr>
        <w:t xml:space="preserve">We are very pleased to have delivered H1 revenues that are back above pre-Covid levels, which is a great achievement against a backdrop of mobility restrictions, supply challenges and emerging inflation. There has been encouraging </w:t>
      </w:r>
      <w:r w:rsidR="009C3D96">
        <w:rPr>
          <w:rFonts w:cs="Arial"/>
          <w:i/>
          <w:sz w:val="18"/>
          <w:szCs w:val="18"/>
        </w:rPr>
        <w:t xml:space="preserve">momentum in </w:t>
      </w:r>
      <w:r w:rsidR="00433382" w:rsidRPr="00433382">
        <w:rPr>
          <w:rFonts w:cs="Arial"/>
          <w:i/>
          <w:sz w:val="18"/>
          <w:szCs w:val="18"/>
        </w:rPr>
        <w:t xml:space="preserve">revenue and profit </w:t>
      </w:r>
      <w:r w:rsidR="009C3D96">
        <w:rPr>
          <w:rFonts w:cs="Arial"/>
          <w:i/>
          <w:sz w:val="18"/>
          <w:szCs w:val="18"/>
        </w:rPr>
        <w:t>conversion</w:t>
      </w:r>
      <w:r w:rsidR="009C3D96" w:rsidRPr="00433382">
        <w:rPr>
          <w:rFonts w:cs="Arial"/>
          <w:i/>
          <w:sz w:val="18"/>
          <w:szCs w:val="18"/>
        </w:rPr>
        <w:t xml:space="preserve"> </w:t>
      </w:r>
      <w:r w:rsidR="00433382" w:rsidRPr="00433382">
        <w:rPr>
          <w:rFonts w:cs="Arial"/>
          <w:i/>
          <w:sz w:val="18"/>
          <w:szCs w:val="18"/>
        </w:rPr>
        <w:t xml:space="preserve">in the first </w:t>
      </w:r>
      <w:r w:rsidR="009C3D96">
        <w:rPr>
          <w:rFonts w:cs="Arial"/>
          <w:i/>
          <w:sz w:val="18"/>
          <w:szCs w:val="18"/>
        </w:rPr>
        <w:t xml:space="preserve">seven </w:t>
      </w:r>
      <w:r w:rsidR="00433382" w:rsidRPr="00433382">
        <w:rPr>
          <w:rFonts w:cs="Arial"/>
          <w:i/>
          <w:sz w:val="18"/>
          <w:szCs w:val="18"/>
        </w:rPr>
        <w:t>weeks of H2, and we are confident in our ability to navigate our way through the current well-publicised macro challenges as we enter our peak seasonal trading period. Our strong market positions, close customer relationships and intense focus on efficiencies mean that we look to the future with optimism, and we expect to deliver a full year out-turn in line with market expectations</w:t>
      </w:r>
      <w:r w:rsidRPr="00A73B58">
        <w:rPr>
          <w:rFonts w:cs="Arial"/>
          <w:i/>
          <w:sz w:val="18"/>
          <w:szCs w:val="18"/>
        </w:rPr>
        <w:t>.”</w:t>
      </w:r>
    </w:p>
    <w:p w14:paraId="3FA5A808" w14:textId="7C1EA7BC" w:rsidR="00FD4B3A" w:rsidRPr="0059656F" w:rsidRDefault="00FD4B3A" w:rsidP="00FD4B3A">
      <w:pPr>
        <w:rPr>
          <w:rFonts w:cs="Arial"/>
          <w:b/>
          <w:sz w:val="18"/>
          <w:szCs w:val="18"/>
        </w:rPr>
      </w:pPr>
      <w:r w:rsidRPr="001028A0">
        <w:rPr>
          <w:rFonts w:cs="Arial"/>
          <w:b/>
          <w:sz w:val="18"/>
          <w:szCs w:val="18"/>
        </w:rPr>
        <w:t>__________________________________________________________________________________</w:t>
      </w:r>
      <w:r>
        <w:rPr>
          <w:rFonts w:cs="Arial"/>
          <w:b/>
          <w:sz w:val="18"/>
          <w:szCs w:val="18"/>
        </w:rPr>
        <w:t>__________________</w:t>
      </w:r>
    </w:p>
    <w:p w14:paraId="512C0370" w14:textId="77777777" w:rsidR="00FD4B3A" w:rsidRPr="00063D6F" w:rsidRDefault="00FD4B3A" w:rsidP="00FD4B3A">
      <w:pPr>
        <w:adjustRightInd w:val="0"/>
        <w:jc w:val="both"/>
        <w:rPr>
          <w:sz w:val="16"/>
          <w:szCs w:val="16"/>
        </w:rPr>
      </w:pPr>
      <w:r w:rsidRPr="00063D6F">
        <w:rPr>
          <w:sz w:val="16"/>
          <w:szCs w:val="16"/>
          <w:vertAlign w:val="superscript"/>
        </w:rPr>
        <w:t xml:space="preserve">1 </w:t>
      </w:r>
      <w:r w:rsidRPr="00063D6F">
        <w:rPr>
          <w:sz w:val="16"/>
          <w:szCs w:val="16"/>
        </w:rPr>
        <w:t>The Group uses Alternative Performance Measures ('APMs') which are non-IFRS measures to monitor the performance of its operations and of the Group as a whole. These APMs along with their definitions are provided in the Appendix to the Interim Financial Report.</w:t>
      </w:r>
    </w:p>
    <w:p w14:paraId="69529660" w14:textId="77777777" w:rsidR="00AD300F" w:rsidRDefault="00FD4B3A" w:rsidP="00AD300F">
      <w:pPr>
        <w:adjustRightInd w:val="0"/>
        <w:jc w:val="both"/>
        <w:rPr>
          <w:sz w:val="16"/>
          <w:szCs w:val="16"/>
        </w:rPr>
      </w:pPr>
      <w:r w:rsidRPr="00063D6F">
        <w:rPr>
          <w:sz w:val="16"/>
          <w:szCs w:val="16"/>
          <w:vertAlign w:val="superscript"/>
        </w:rPr>
        <w:t xml:space="preserve">2 </w:t>
      </w:r>
      <w:r w:rsidRPr="00063D6F">
        <w:rPr>
          <w:sz w:val="16"/>
          <w:szCs w:val="16"/>
        </w:rPr>
        <w:t xml:space="preserve">Consensus </w:t>
      </w:r>
      <w:r w:rsidR="00A96DF7">
        <w:rPr>
          <w:sz w:val="16"/>
          <w:szCs w:val="16"/>
        </w:rPr>
        <w:t xml:space="preserve">FY22 </w:t>
      </w:r>
      <w:r w:rsidRPr="00063D6F">
        <w:rPr>
          <w:sz w:val="16"/>
          <w:szCs w:val="16"/>
        </w:rPr>
        <w:t xml:space="preserve">market </w:t>
      </w:r>
      <w:r w:rsidRPr="009D373E">
        <w:rPr>
          <w:sz w:val="16"/>
          <w:szCs w:val="16"/>
        </w:rPr>
        <w:t>expectations of mean Adjusted Operating Profit of £</w:t>
      </w:r>
      <w:r w:rsidR="00A96DF7">
        <w:rPr>
          <w:sz w:val="16"/>
          <w:szCs w:val="16"/>
        </w:rPr>
        <w:t>77.7</w:t>
      </w:r>
      <w:r w:rsidRPr="009D373E">
        <w:rPr>
          <w:sz w:val="16"/>
          <w:szCs w:val="16"/>
        </w:rPr>
        <w:t>m</w:t>
      </w:r>
      <w:r w:rsidR="00AC7D47">
        <w:rPr>
          <w:sz w:val="16"/>
          <w:szCs w:val="16"/>
        </w:rPr>
        <w:t>,</w:t>
      </w:r>
      <w:r w:rsidRPr="009D373E">
        <w:rPr>
          <w:sz w:val="16"/>
          <w:szCs w:val="16"/>
        </w:rPr>
        <w:t xml:space="preserve"> mean Adjusted EPS of </w:t>
      </w:r>
      <w:r w:rsidR="00A96DF7">
        <w:rPr>
          <w:sz w:val="16"/>
          <w:szCs w:val="16"/>
        </w:rPr>
        <w:t>9.5</w:t>
      </w:r>
      <w:r w:rsidRPr="009D373E">
        <w:rPr>
          <w:sz w:val="16"/>
          <w:szCs w:val="16"/>
        </w:rPr>
        <w:t xml:space="preserve">p, </w:t>
      </w:r>
      <w:r w:rsidR="00AC7D47">
        <w:rPr>
          <w:sz w:val="16"/>
          <w:szCs w:val="16"/>
        </w:rPr>
        <w:t>and mean Net Debt (excluding lease liabilities) of £</w:t>
      </w:r>
      <w:r w:rsidR="00A96DF7">
        <w:rPr>
          <w:sz w:val="16"/>
          <w:szCs w:val="16"/>
        </w:rPr>
        <w:t>204.2</w:t>
      </w:r>
      <w:r w:rsidR="00AC7D47">
        <w:rPr>
          <w:sz w:val="16"/>
          <w:szCs w:val="16"/>
        </w:rPr>
        <w:t xml:space="preserve">m, </w:t>
      </w:r>
      <w:r w:rsidRPr="009D373E">
        <w:rPr>
          <w:sz w:val="16"/>
          <w:szCs w:val="16"/>
        </w:rPr>
        <w:t xml:space="preserve">as compiled by Greencore from available analyst estimates on </w:t>
      </w:r>
      <w:r w:rsidR="00A96DF7">
        <w:rPr>
          <w:sz w:val="16"/>
          <w:szCs w:val="16"/>
        </w:rPr>
        <w:t xml:space="preserve">18 May </w:t>
      </w:r>
      <w:r w:rsidRPr="009D373E">
        <w:rPr>
          <w:sz w:val="16"/>
          <w:szCs w:val="16"/>
        </w:rPr>
        <w:t>2022 and as reported in the Investor Relations section of the Group</w:t>
      </w:r>
      <w:r w:rsidRPr="00063D6F">
        <w:rPr>
          <w:sz w:val="16"/>
          <w:szCs w:val="16"/>
        </w:rPr>
        <w:t xml:space="preserve"> website.</w:t>
      </w:r>
      <w:r>
        <w:rPr>
          <w:sz w:val="16"/>
          <w:szCs w:val="16"/>
        </w:rPr>
        <w:t xml:space="preserve"> </w:t>
      </w:r>
      <w:bookmarkStart w:id="2" w:name="_Hlk86313629"/>
    </w:p>
    <w:p w14:paraId="403BD8D3" w14:textId="4AE90ADD" w:rsidR="00CF2405" w:rsidRPr="00E512C6" w:rsidRDefault="00CF2405" w:rsidP="00AD300F">
      <w:pPr>
        <w:adjustRightInd w:val="0"/>
        <w:jc w:val="both"/>
        <w:rPr>
          <w:rFonts w:cs="Arial"/>
          <w:sz w:val="20"/>
          <w:szCs w:val="18"/>
          <w:highlight w:val="yellow"/>
        </w:rPr>
      </w:pPr>
      <w:r w:rsidRPr="00E512C6">
        <w:rPr>
          <w:rFonts w:cs="Arial"/>
          <w:b/>
          <w:bCs/>
          <w:sz w:val="20"/>
          <w:szCs w:val="18"/>
        </w:rPr>
        <w:t>Forward‐looking statements</w:t>
      </w:r>
    </w:p>
    <w:p w14:paraId="52F9EE8B" w14:textId="3BC54527" w:rsidR="00CF2405" w:rsidRPr="0029497E" w:rsidRDefault="00CF2405" w:rsidP="00CF2405">
      <w:pPr>
        <w:spacing w:after="120"/>
        <w:jc w:val="both"/>
        <w:rPr>
          <w:rFonts w:cs="Arial"/>
          <w:bCs/>
          <w:sz w:val="18"/>
          <w:szCs w:val="18"/>
        </w:rPr>
      </w:pPr>
      <w:r w:rsidRPr="0029497E">
        <w:rPr>
          <w:rFonts w:cs="Arial"/>
          <w:bCs/>
          <w:sz w:val="18"/>
          <w:szCs w:val="18"/>
        </w:rPr>
        <w:t xml:space="preserve">Certain statements made in this document are, or may be deemed to be,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based on information currently available to the Group.  The forward-looking statements contained in this document include statements relating to the financial condition, results of operations, business, viability and future performance of the Group and certain of the Group’s plans and objectives.  These forward-looking statements include all statements that do not relate only to historical or current facts and may generally, but not always, be identified by the use of words such as ‘will’, ‘aims’, achieves’, ‘anticipates’, ‘continue’, ‘could’, ‘develop’, ‘should’, ‘expects’, ‘is expected to’, ‘may’, maintain’, ‘grow’, ‘estimates’, ‘ensure’, ‘believes’, ‘intends’, ‘projects’, ‘sustain’, ‘targets’, or the negative thereof, or similar future or conditional expressions, but their absence does not mean that a statement is not forward-looking. </w:t>
      </w:r>
    </w:p>
    <w:p w14:paraId="594126CE" w14:textId="77777777" w:rsidR="00CF2405" w:rsidRPr="0029497E" w:rsidRDefault="00CF2405" w:rsidP="00CF2405">
      <w:pPr>
        <w:spacing w:after="120"/>
        <w:jc w:val="both"/>
        <w:rPr>
          <w:rFonts w:cs="Arial"/>
          <w:bCs/>
          <w:sz w:val="18"/>
          <w:szCs w:val="18"/>
        </w:rPr>
      </w:pPr>
      <w:r w:rsidRPr="0029497E">
        <w:rPr>
          <w:rFonts w:cs="Arial"/>
          <w:bCs/>
          <w:sz w:val="18"/>
          <w:szCs w:val="18"/>
        </w:rPr>
        <w:t xml:space="preserve">By their nature, forward-looking statements are prospective and involve risk and uncertainty because they relate to events and depend on circumstances that may or may not occur in the future and reflect the Group's current expectations and assumptions as to such future events and circumstances that may not prove accurate. A number of material factors could cause actual results and developments to differ materially from those expressed or implied by forward-looking statements. Investors should read ‘Principal Risks and Uncertainties’ </w:t>
      </w:r>
      <w:r>
        <w:rPr>
          <w:rFonts w:cs="Arial"/>
          <w:bCs/>
          <w:sz w:val="18"/>
          <w:szCs w:val="18"/>
        </w:rPr>
        <w:t xml:space="preserve">as </w:t>
      </w:r>
      <w:r w:rsidRPr="0029497E">
        <w:rPr>
          <w:rFonts w:cs="Arial"/>
          <w:bCs/>
          <w:sz w:val="18"/>
          <w:szCs w:val="18"/>
        </w:rPr>
        <w:t xml:space="preserve">set out in the Appendix to the Interim Financial Report and also the discussion of risk in the </w:t>
      </w:r>
      <w:r>
        <w:rPr>
          <w:rFonts w:cs="Arial"/>
          <w:bCs/>
          <w:sz w:val="18"/>
          <w:szCs w:val="18"/>
        </w:rPr>
        <w:t xml:space="preserve">Group’s </w:t>
      </w:r>
      <w:r w:rsidRPr="00EE4F61">
        <w:rPr>
          <w:rFonts w:cs="Arial"/>
          <w:bCs/>
          <w:sz w:val="18"/>
          <w:szCs w:val="18"/>
        </w:rPr>
        <w:t>Annual Report and Financial Statements for the year ended 24 September 2021</w:t>
      </w:r>
      <w:r>
        <w:rPr>
          <w:rFonts w:cs="Arial"/>
          <w:bCs/>
          <w:sz w:val="18"/>
          <w:szCs w:val="18"/>
        </w:rPr>
        <w:t xml:space="preserve"> </w:t>
      </w:r>
      <w:r w:rsidRPr="00EE4F61">
        <w:rPr>
          <w:rFonts w:cs="Arial"/>
          <w:bCs/>
          <w:sz w:val="18"/>
          <w:szCs w:val="18"/>
        </w:rPr>
        <w:t>issued on 30 November 2021</w:t>
      </w:r>
      <w:r w:rsidRPr="0029497E">
        <w:rPr>
          <w:rFonts w:cs="Arial"/>
          <w:bCs/>
          <w:sz w:val="18"/>
          <w:szCs w:val="18"/>
        </w:rPr>
        <w:t>. There may be risks and uncertainties that the Group is unable to predict at this time or that the Group currently does not expect to have a material adverse effect on its business. None of the Company or any of its associates or Directors, officers or advisers provides any representation, assurance or guarantee that the occurrence of the events expressed or implied in any forward-looking statements in this document will actually occur.  You should not place undue reliance on any forward-looking statements. These forward-looking statements are made as of the date of this announcement. The Group expressly disclaims any obligation to publicly update or review these forward-looking statements, whether as a result of new information, future events or otherwise, other than as required by law.</w:t>
      </w:r>
    </w:p>
    <w:bookmarkEnd w:id="2"/>
    <w:p w14:paraId="030B38CB" w14:textId="77777777" w:rsidR="00CF2405" w:rsidRPr="00E512C6" w:rsidRDefault="00CF2405" w:rsidP="00CF2405">
      <w:pPr>
        <w:jc w:val="both"/>
        <w:rPr>
          <w:rFonts w:cs="Arial"/>
          <w:b/>
          <w:sz w:val="20"/>
          <w:szCs w:val="18"/>
        </w:rPr>
      </w:pPr>
      <w:r>
        <w:rPr>
          <w:rFonts w:cs="Arial"/>
          <w:b/>
          <w:sz w:val="20"/>
          <w:szCs w:val="18"/>
        </w:rPr>
        <w:t>Conference Call</w:t>
      </w:r>
    </w:p>
    <w:p w14:paraId="549D5616" w14:textId="5E701F7C" w:rsidR="00CF2405" w:rsidRPr="00966594" w:rsidRDefault="00CF2405" w:rsidP="00CF2405">
      <w:pPr>
        <w:jc w:val="both"/>
        <w:rPr>
          <w:rFonts w:cs="Arial"/>
          <w:sz w:val="18"/>
          <w:szCs w:val="18"/>
        </w:rPr>
      </w:pPr>
      <w:r w:rsidRPr="00E8393E">
        <w:rPr>
          <w:rFonts w:cs="Arial"/>
          <w:sz w:val="18"/>
          <w:szCs w:val="18"/>
        </w:rPr>
        <w:lastRenderedPageBreak/>
        <w:t>A webcast presentation of the results for analysts and institutional investors will take place at 8.</w:t>
      </w:r>
      <w:r w:rsidR="007C448A">
        <w:rPr>
          <w:rFonts w:cs="Arial"/>
          <w:sz w:val="18"/>
          <w:szCs w:val="18"/>
        </w:rPr>
        <w:t>0</w:t>
      </w:r>
      <w:r w:rsidR="007C448A" w:rsidRPr="00E8393E">
        <w:rPr>
          <w:rFonts w:cs="Arial"/>
          <w:sz w:val="18"/>
          <w:szCs w:val="18"/>
        </w:rPr>
        <w:t xml:space="preserve">0am </w:t>
      </w:r>
      <w:r w:rsidRPr="00E8393E">
        <w:rPr>
          <w:rFonts w:cs="Arial"/>
          <w:sz w:val="18"/>
          <w:szCs w:val="18"/>
        </w:rPr>
        <w:t xml:space="preserve">on 24 May 2022. </w:t>
      </w:r>
      <w:r>
        <w:rPr>
          <w:rFonts w:cs="Arial"/>
          <w:sz w:val="18"/>
          <w:szCs w:val="18"/>
        </w:rPr>
        <w:t xml:space="preserve">The presentation slides will be available on the Investor Relations section on </w:t>
      </w:r>
      <w:r w:rsidRPr="00D30136">
        <w:rPr>
          <w:rFonts w:cs="Arial"/>
          <w:sz w:val="18"/>
          <w:szCs w:val="18"/>
        </w:rPr>
        <w:t>www.greencore.com</w:t>
      </w:r>
      <w:r>
        <w:rPr>
          <w:rFonts w:cs="Arial"/>
          <w:sz w:val="18"/>
          <w:szCs w:val="18"/>
        </w:rPr>
        <w:t xml:space="preserve"> from 7.00am on 24 May 2022.</w:t>
      </w:r>
    </w:p>
    <w:p w14:paraId="1A82B20A" w14:textId="77777777" w:rsidR="00CF2405" w:rsidRPr="00966594" w:rsidRDefault="00CF2405" w:rsidP="00CF2405">
      <w:pPr>
        <w:jc w:val="both"/>
        <w:rPr>
          <w:rFonts w:cs="Arial"/>
          <w:sz w:val="18"/>
          <w:szCs w:val="18"/>
        </w:rPr>
      </w:pPr>
      <w:r w:rsidRPr="00966594">
        <w:rPr>
          <w:rFonts w:cs="Arial"/>
          <w:sz w:val="18"/>
          <w:szCs w:val="18"/>
        </w:rPr>
        <w:t xml:space="preserve">This presentation can also be accessed live from the Investor Relations section on www.greencore.com or alternatively via conference call. Registration and dial in details are available at </w:t>
      </w:r>
      <w:r w:rsidRPr="000D7AA1">
        <w:rPr>
          <w:rFonts w:cs="Arial"/>
          <w:color w:val="2E74B5" w:themeColor="accent5" w:themeShade="BF"/>
          <w:sz w:val="18"/>
          <w:szCs w:val="18"/>
        </w:rPr>
        <w:t>www. greencore.com/investor-relations/</w:t>
      </w:r>
    </w:p>
    <w:p w14:paraId="3B298997" w14:textId="77777777" w:rsidR="00CF2405" w:rsidRDefault="00CF2405" w:rsidP="00CF2405">
      <w:pPr>
        <w:jc w:val="both"/>
        <w:rPr>
          <w:rFonts w:cs="Arial"/>
          <w:b/>
          <w:sz w:val="20"/>
          <w:szCs w:val="18"/>
        </w:rPr>
      </w:pPr>
      <w:r w:rsidRPr="00E512C6">
        <w:rPr>
          <w:rFonts w:cs="Arial"/>
          <w:b/>
          <w:sz w:val="20"/>
          <w:szCs w:val="18"/>
        </w:rPr>
        <w:t>For further information, please contact:</w:t>
      </w:r>
    </w:p>
    <w:p w14:paraId="2C4A5BA0" w14:textId="3BA9C717" w:rsidR="00CF2405" w:rsidRDefault="00CF2405" w:rsidP="00CF2405">
      <w:pPr>
        <w:tabs>
          <w:tab w:val="left" w:pos="5018"/>
        </w:tabs>
        <w:spacing w:after="0" w:line="240" w:lineRule="auto"/>
        <w:ind w:left="-284" w:right="-330"/>
        <w:jc w:val="both"/>
        <w:rPr>
          <w:b/>
          <w:sz w:val="18"/>
          <w:szCs w:val="18"/>
        </w:rPr>
      </w:pPr>
    </w:p>
    <w:tbl>
      <w:tblPr>
        <w:tblW w:w="8820" w:type="dxa"/>
        <w:jc w:val="center"/>
        <w:tblLayout w:type="fixed"/>
        <w:tblCellMar>
          <w:left w:w="0" w:type="dxa"/>
        </w:tblCellMar>
        <w:tblLook w:val="04A0" w:firstRow="1" w:lastRow="0" w:firstColumn="1" w:lastColumn="0" w:noHBand="0" w:noVBand="1"/>
      </w:tblPr>
      <w:tblGrid>
        <w:gridCol w:w="3828"/>
        <w:gridCol w:w="2693"/>
        <w:gridCol w:w="2299"/>
      </w:tblGrid>
      <w:tr w:rsidR="00CF2405" w14:paraId="225B5AB0" w14:textId="77777777" w:rsidTr="001A00C9">
        <w:trPr>
          <w:jc w:val="center"/>
        </w:trPr>
        <w:tc>
          <w:tcPr>
            <w:tcW w:w="3828" w:type="dxa"/>
            <w:shd w:val="clear" w:color="auto" w:fill="auto"/>
            <w:hideMark/>
          </w:tcPr>
          <w:p w14:paraId="309AA6FF" w14:textId="77777777" w:rsidR="00CF2405" w:rsidRPr="00702E1E" w:rsidRDefault="00CF2405" w:rsidP="00CF2405">
            <w:pPr>
              <w:spacing w:after="0" w:line="240" w:lineRule="auto"/>
              <w:jc w:val="both"/>
              <w:rPr>
                <w:rFonts w:cs="Arial"/>
                <w:bCs/>
                <w:sz w:val="18"/>
                <w:szCs w:val="18"/>
                <w:lang w:val="en-US"/>
              </w:rPr>
            </w:pPr>
            <w:r w:rsidRPr="00702E1E">
              <w:rPr>
                <w:rFonts w:cs="Arial"/>
                <w:bCs/>
                <w:sz w:val="18"/>
                <w:szCs w:val="18"/>
                <w:lang w:val="en-US"/>
              </w:rPr>
              <w:t>Gary Kennedy</w:t>
            </w:r>
          </w:p>
        </w:tc>
        <w:tc>
          <w:tcPr>
            <w:tcW w:w="2693" w:type="dxa"/>
            <w:shd w:val="clear" w:color="auto" w:fill="auto"/>
            <w:hideMark/>
          </w:tcPr>
          <w:p w14:paraId="38054CA5" w14:textId="77777777" w:rsidR="00CF2405" w:rsidRPr="00702E1E" w:rsidRDefault="00CF2405" w:rsidP="00CF2405">
            <w:pPr>
              <w:spacing w:after="0" w:line="240" w:lineRule="auto"/>
              <w:jc w:val="both"/>
              <w:rPr>
                <w:rFonts w:cs="Arial"/>
                <w:bCs/>
                <w:sz w:val="18"/>
                <w:szCs w:val="18"/>
                <w:lang w:val="en-US"/>
              </w:rPr>
            </w:pPr>
            <w:r w:rsidRPr="00702E1E">
              <w:rPr>
                <w:rFonts w:cs="Arial"/>
                <w:bCs/>
                <w:sz w:val="18"/>
                <w:szCs w:val="18"/>
                <w:lang w:val="en-US"/>
              </w:rPr>
              <w:t>Executive Chair</w:t>
            </w:r>
          </w:p>
        </w:tc>
        <w:tc>
          <w:tcPr>
            <w:tcW w:w="2299" w:type="dxa"/>
            <w:shd w:val="clear" w:color="auto" w:fill="auto"/>
            <w:hideMark/>
          </w:tcPr>
          <w:p w14:paraId="3E5A1EC6" w14:textId="585F2CA2" w:rsidR="00CF2405" w:rsidRPr="00702E1E" w:rsidRDefault="00CF2405" w:rsidP="00CF2405">
            <w:pPr>
              <w:spacing w:after="0" w:line="240" w:lineRule="auto"/>
              <w:jc w:val="both"/>
              <w:rPr>
                <w:rFonts w:cs="Arial"/>
                <w:bCs/>
                <w:sz w:val="18"/>
                <w:szCs w:val="18"/>
                <w:lang w:val="en-US"/>
              </w:rPr>
            </w:pPr>
            <w:r w:rsidRPr="00702E1E">
              <w:rPr>
                <w:rFonts w:cs="Arial"/>
                <w:bCs/>
                <w:sz w:val="18"/>
                <w:szCs w:val="18"/>
                <w:lang w:val="en-US"/>
              </w:rPr>
              <w:t xml:space="preserve">Tel: +353 (0) 1 486 </w:t>
            </w:r>
            <w:r w:rsidR="004D5C3E" w:rsidRPr="00702E1E">
              <w:rPr>
                <w:rFonts w:cs="Arial"/>
                <w:bCs/>
                <w:sz w:val="18"/>
                <w:szCs w:val="18"/>
                <w:lang w:val="en-US"/>
              </w:rPr>
              <w:t>3313</w:t>
            </w:r>
          </w:p>
        </w:tc>
      </w:tr>
      <w:tr w:rsidR="00CF2405" w14:paraId="6133BD66" w14:textId="77777777" w:rsidTr="001A00C9">
        <w:trPr>
          <w:jc w:val="center"/>
        </w:trPr>
        <w:tc>
          <w:tcPr>
            <w:tcW w:w="3828" w:type="dxa"/>
            <w:shd w:val="clear" w:color="auto" w:fill="auto"/>
            <w:hideMark/>
          </w:tcPr>
          <w:p w14:paraId="25B2D3BA"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Emma Hynes</w:t>
            </w:r>
          </w:p>
        </w:tc>
        <w:tc>
          <w:tcPr>
            <w:tcW w:w="2693" w:type="dxa"/>
            <w:shd w:val="clear" w:color="auto" w:fill="auto"/>
            <w:hideMark/>
          </w:tcPr>
          <w:p w14:paraId="58714C7A"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Chief Financial Officer</w:t>
            </w:r>
          </w:p>
        </w:tc>
        <w:tc>
          <w:tcPr>
            <w:tcW w:w="2299" w:type="dxa"/>
            <w:shd w:val="clear" w:color="auto" w:fill="auto"/>
            <w:hideMark/>
          </w:tcPr>
          <w:p w14:paraId="0D8FD038"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Tel: +353 (0) 1 486 3307</w:t>
            </w:r>
          </w:p>
        </w:tc>
      </w:tr>
      <w:tr w:rsidR="00CF2405" w14:paraId="4C38196A" w14:textId="77777777" w:rsidTr="001A00C9">
        <w:trPr>
          <w:jc w:val="center"/>
        </w:trPr>
        <w:tc>
          <w:tcPr>
            <w:tcW w:w="3828" w:type="dxa"/>
            <w:shd w:val="clear" w:color="auto" w:fill="auto"/>
            <w:hideMark/>
          </w:tcPr>
          <w:p w14:paraId="18F5CFB8"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Jack Gorman</w:t>
            </w:r>
          </w:p>
        </w:tc>
        <w:tc>
          <w:tcPr>
            <w:tcW w:w="2693" w:type="dxa"/>
            <w:shd w:val="clear" w:color="auto" w:fill="auto"/>
            <w:hideMark/>
          </w:tcPr>
          <w:p w14:paraId="292E7B45"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 xml:space="preserve">Head of </w:t>
            </w:r>
            <w:r>
              <w:rPr>
                <w:rFonts w:cs="Arial"/>
                <w:bCs/>
                <w:sz w:val="18"/>
                <w:szCs w:val="18"/>
                <w:lang w:val="en-US"/>
              </w:rPr>
              <w:t>Investor Relations</w:t>
            </w:r>
          </w:p>
        </w:tc>
        <w:tc>
          <w:tcPr>
            <w:tcW w:w="2299" w:type="dxa"/>
            <w:shd w:val="clear" w:color="auto" w:fill="auto"/>
            <w:hideMark/>
          </w:tcPr>
          <w:p w14:paraId="773BCD18"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Tel: +353 (0) 1 486 3308</w:t>
            </w:r>
          </w:p>
        </w:tc>
      </w:tr>
      <w:tr w:rsidR="00CF2405" w14:paraId="56F15579" w14:textId="77777777" w:rsidTr="001A00C9">
        <w:trPr>
          <w:jc w:val="center"/>
        </w:trPr>
        <w:tc>
          <w:tcPr>
            <w:tcW w:w="3828" w:type="dxa"/>
            <w:shd w:val="clear" w:color="auto" w:fill="auto"/>
          </w:tcPr>
          <w:p w14:paraId="1F33CF8D" w14:textId="77777777" w:rsidR="00CF2405" w:rsidRPr="00E509A4" w:rsidRDefault="00CF2405" w:rsidP="00CF2405">
            <w:pPr>
              <w:spacing w:after="0" w:line="240" w:lineRule="auto"/>
              <w:jc w:val="both"/>
              <w:rPr>
                <w:rFonts w:cs="Arial"/>
                <w:bCs/>
                <w:sz w:val="18"/>
                <w:szCs w:val="18"/>
                <w:lang w:val="en-US"/>
              </w:rPr>
            </w:pPr>
          </w:p>
        </w:tc>
        <w:tc>
          <w:tcPr>
            <w:tcW w:w="2693" w:type="dxa"/>
            <w:shd w:val="clear" w:color="auto" w:fill="auto"/>
          </w:tcPr>
          <w:p w14:paraId="21AE181C" w14:textId="77777777" w:rsidR="00CF2405" w:rsidRPr="00E509A4" w:rsidRDefault="00CF2405" w:rsidP="00CF2405">
            <w:pPr>
              <w:spacing w:after="0" w:line="240" w:lineRule="auto"/>
              <w:jc w:val="both"/>
              <w:rPr>
                <w:rFonts w:cs="Arial"/>
                <w:bCs/>
                <w:sz w:val="18"/>
                <w:szCs w:val="18"/>
                <w:lang w:val="en-US"/>
              </w:rPr>
            </w:pPr>
          </w:p>
        </w:tc>
        <w:tc>
          <w:tcPr>
            <w:tcW w:w="2299" w:type="dxa"/>
            <w:shd w:val="clear" w:color="auto" w:fill="auto"/>
          </w:tcPr>
          <w:p w14:paraId="2EDFB361" w14:textId="77777777" w:rsidR="00CF2405" w:rsidRPr="00E509A4" w:rsidRDefault="00CF2405" w:rsidP="00CF2405">
            <w:pPr>
              <w:spacing w:after="0" w:line="240" w:lineRule="auto"/>
              <w:jc w:val="both"/>
              <w:rPr>
                <w:rFonts w:cs="Arial"/>
                <w:bCs/>
                <w:sz w:val="18"/>
                <w:szCs w:val="18"/>
                <w:lang w:val="en-US"/>
              </w:rPr>
            </w:pPr>
          </w:p>
        </w:tc>
      </w:tr>
      <w:tr w:rsidR="00CF2405" w14:paraId="4AD29A8D" w14:textId="77777777" w:rsidTr="001A00C9">
        <w:trPr>
          <w:jc w:val="center"/>
        </w:trPr>
        <w:tc>
          <w:tcPr>
            <w:tcW w:w="3828" w:type="dxa"/>
            <w:shd w:val="clear" w:color="auto" w:fill="auto"/>
            <w:hideMark/>
          </w:tcPr>
          <w:p w14:paraId="0368D682" w14:textId="77777777" w:rsidR="00CF2405" w:rsidRPr="00E509A4" w:rsidRDefault="00CF2405" w:rsidP="00CF2405">
            <w:pPr>
              <w:spacing w:after="0" w:line="240" w:lineRule="auto"/>
              <w:jc w:val="both"/>
              <w:rPr>
                <w:rFonts w:cs="Arial"/>
                <w:bCs/>
                <w:sz w:val="18"/>
                <w:szCs w:val="18"/>
                <w:lang w:val="en-US"/>
              </w:rPr>
            </w:pPr>
          </w:p>
        </w:tc>
        <w:tc>
          <w:tcPr>
            <w:tcW w:w="2693" w:type="dxa"/>
            <w:shd w:val="clear" w:color="auto" w:fill="auto"/>
            <w:hideMark/>
          </w:tcPr>
          <w:p w14:paraId="67F9DAA4" w14:textId="77777777" w:rsidR="00CF2405" w:rsidRPr="00E509A4" w:rsidRDefault="00CF2405" w:rsidP="00CF2405">
            <w:pPr>
              <w:spacing w:after="0" w:line="240" w:lineRule="auto"/>
              <w:jc w:val="both"/>
              <w:rPr>
                <w:rFonts w:cs="Arial"/>
                <w:bCs/>
                <w:sz w:val="18"/>
                <w:szCs w:val="18"/>
                <w:lang w:val="en-US"/>
              </w:rPr>
            </w:pPr>
          </w:p>
        </w:tc>
        <w:tc>
          <w:tcPr>
            <w:tcW w:w="2299" w:type="dxa"/>
            <w:shd w:val="clear" w:color="auto" w:fill="auto"/>
            <w:hideMark/>
          </w:tcPr>
          <w:p w14:paraId="7745C63A" w14:textId="77777777" w:rsidR="00CF2405" w:rsidRPr="00E509A4" w:rsidRDefault="00CF2405" w:rsidP="00CF2405">
            <w:pPr>
              <w:spacing w:after="0" w:line="240" w:lineRule="auto"/>
              <w:jc w:val="both"/>
              <w:rPr>
                <w:rFonts w:cs="Arial"/>
                <w:bCs/>
                <w:sz w:val="18"/>
                <w:szCs w:val="18"/>
                <w:lang w:val="en-US"/>
              </w:rPr>
            </w:pPr>
          </w:p>
        </w:tc>
      </w:tr>
      <w:tr w:rsidR="00CF2405" w14:paraId="6E888099" w14:textId="77777777" w:rsidTr="001A00C9">
        <w:trPr>
          <w:jc w:val="center"/>
        </w:trPr>
        <w:tc>
          <w:tcPr>
            <w:tcW w:w="3828" w:type="dxa"/>
            <w:shd w:val="clear" w:color="auto" w:fill="auto"/>
            <w:hideMark/>
          </w:tcPr>
          <w:p w14:paraId="0C7FFA41"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Rob Greening</w:t>
            </w:r>
            <w:r>
              <w:rPr>
                <w:rFonts w:cs="Arial"/>
                <w:bCs/>
                <w:sz w:val="18"/>
                <w:szCs w:val="18"/>
                <w:lang w:val="en-US"/>
              </w:rPr>
              <w:t>/ Nick Hayns/</w:t>
            </w:r>
            <w:r w:rsidRPr="00E509A4">
              <w:rPr>
                <w:rFonts w:cs="Arial"/>
                <w:bCs/>
                <w:sz w:val="18"/>
                <w:szCs w:val="18"/>
                <w:lang w:val="en-US"/>
              </w:rPr>
              <w:t xml:space="preserve"> Sam Austrums</w:t>
            </w:r>
          </w:p>
        </w:tc>
        <w:tc>
          <w:tcPr>
            <w:tcW w:w="2693" w:type="dxa"/>
            <w:shd w:val="clear" w:color="auto" w:fill="auto"/>
            <w:hideMark/>
          </w:tcPr>
          <w:p w14:paraId="24B039BA"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Powerscourt</w:t>
            </w:r>
          </w:p>
        </w:tc>
        <w:tc>
          <w:tcPr>
            <w:tcW w:w="2299" w:type="dxa"/>
            <w:shd w:val="clear" w:color="auto" w:fill="auto"/>
            <w:hideMark/>
          </w:tcPr>
          <w:p w14:paraId="17A34B32"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Tel: +44 (0) 20 7250 1446</w:t>
            </w:r>
          </w:p>
        </w:tc>
      </w:tr>
      <w:tr w:rsidR="00CF2405" w14:paraId="7BA3DC12" w14:textId="77777777" w:rsidTr="001A00C9">
        <w:trPr>
          <w:jc w:val="center"/>
        </w:trPr>
        <w:tc>
          <w:tcPr>
            <w:tcW w:w="3828" w:type="dxa"/>
            <w:shd w:val="clear" w:color="auto" w:fill="auto"/>
            <w:hideMark/>
          </w:tcPr>
          <w:p w14:paraId="05BA59B5" w14:textId="4F9383C6" w:rsidR="00CF2405" w:rsidRPr="00C3586E" w:rsidRDefault="00CF2405" w:rsidP="00CF2405">
            <w:pPr>
              <w:spacing w:after="0" w:line="240" w:lineRule="auto"/>
              <w:jc w:val="both"/>
              <w:rPr>
                <w:rFonts w:cs="Arial"/>
                <w:bCs/>
                <w:sz w:val="18"/>
                <w:szCs w:val="18"/>
                <w:lang w:val="en-US"/>
              </w:rPr>
            </w:pPr>
            <w:r w:rsidRPr="00C3586E">
              <w:rPr>
                <w:rFonts w:cs="Arial"/>
                <w:bCs/>
                <w:sz w:val="18"/>
                <w:szCs w:val="18"/>
                <w:lang w:val="en-US"/>
              </w:rPr>
              <w:t>Billy Murphy/ Claire Rowley</w:t>
            </w:r>
            <w:r w:rsidR="00433382">
              <w:rPr>
                <w:rFonts w:cs="Arial"/>
                <w:bCs/>
                <w:sz w:val="18"/>
                <w:szCs w:val="18"/>
                <w:lang w:val="en-US"/>
              </w:rPr>
              <w:t>/ Cian Doherty</w:t>
            </w:r>
          </w:p>
        </w:tc>
        <w:tc>
          <w:tcPr>
            <w:tcW w:w="2693" w:type="dxa"/>
            <w:shd w:val="clear" w:color="auto" w:fill="auto"/>
            <w:hideMark/>
          </w:tcPr>
          <w:p w14:paraId="59102C6D"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 xml:space="preserve">Drury </w:t>
            </w:r>
            <w:r>
              <w:rPr>
                <w:rFonts w:cs="Arial"/>
                <w:bCs/>
                <w:sz w:val="18"/>
                <w:szCs w:val="18"/>
                <w:lang w:val="en-US"/>
              </w:rPr>
              <w:t>Communications</w:t>
            </w:r>
          </w:p>
        </w:tc>
        <w:tc>
          <w:tcPr>
            <w:tcW w:w="2299" w:type="dxa"/>
            <w:shd w:val="clear" w:color="auto" w:fill="auto"/>
            <w:hideMark/>
          </w:tcPr>
          <w:p w14:paraId="5C8529DD" w14:textId="77777777" w:rsidR="00CF2405" w:rsidRPr="00E509A4" w:rsidRDefault="00CF2405" w:rsidP="00CF2405">
            <w:pPr>
              <w:spacing w:after="0" w:line="240" w:lineRule="auto"/>
              <w:jc w:val="both"/>
              <w:rPr>
                <w:rFonts w:cs="Arial"/>
                <w:bCs/>
                <w:sz w:val="18"/>
                <w:szCs w:val="18"/>
                <w:lang w:val="en-US"/>
              </w:rPr>
            </w:pPr>
            <w:r w:rsidRPr="00E509A4">
              <w:rPr>
                <w:rFonts w:cs="Arial"/>
                <w:bCs/>
                <w:sz w:val="18"/>
                <w:szCs w:val="18"/>
                <w:lang w:val="en-US"/>
              </w:rPr>
              <w:t>Tel: +353 (0) 1 260 5000</w:t>
            </w:r>
          </w:p>
        </w:tc>
      </w:tr>
    </w:tbl>
    <w:p w14:paraId="7B479F82" w14:textId="53983E0E" w:rsidR="00CF2405" w:rsidRDefault="00CF2405" w:rsidP="00AE207A">
      <w:pPr>
        <w:tabs>
          <w:tab w:val="left" w:pos="5018"/>
        </w:tabs>
        <w:spacing w:after="0" w:line="240" w:lineRule="auto"/>
        <w:ind w:left="-284" w:right="-330"/>
        <w:jc w:val="both"/>
        <w:rPr>
          <w:b/>
          <w:sz w:val="18"/>
          <w:szCs w:val="18"/>
        </w:rPr>
      </w:pPr>
    </w:p>
    <w:p w14:paraId="0AD58532" w14:textId="77777777" w:rsidR="00CF2405" w:rsidRPr="00E512C6" w:rsidRDefault="00CF2405" w:rsidP="00CF2405">
      <w:pPr>
        <w:adjustRightInd w:val="0"/>
        <w:jc w:val="both"/>
        <w:rPr>
          <w:b/>
          <w:bCs/>
          <w:color w:val="000000"/>
          <w:sz w:val="20"/>
          <w:szCs w:val="18"/>
        </w:rPr>
      </w:pPr>
      <w:r w:rsidRPr="00E512C6">
        <w:rPr>
          <w:b/>
          <w:bCs/>
          <w:color w:val="000000"/>
          <w:sz w:val="20"/>
          <w:szCs w:val="18"/>
        </w:rPr>
        <w:t xml:space="preserve">About Greencore </w:t>
      </w:r>
    </w:p>
    <w:p w14:paraId="53DEF97C" w14:textId="77777777" w:rsidR="00CF2405" w:rsidRPr="002B4347" w:rsidRDefault="00CF2405" w:rsidP="00CF2405">
      <w:pPr>
        <w:jc w:val="both"/>
        <w:rPr>
          <w:color w:val="000000"/>
          <w:sz w:val="18"/>
          <w:szCs w:val="18"/>
        </w:rPr>
      </w:pPr>
      <w:r w:rsidRPr="00010E54">
        <w:rPr>
          <w:color w:val="000000"/>
          <w:sz w:val="18"/>
          <w:szCs w:val="18"/>
        </w:rPr>
        <w:t xml:space="preserve">We are a leading manufacturer of convenience food in the UK and our purpose is to make every day taste better. We supply all of the major supermarkets in the UK. We also supply convenience and travel retail outlets, discounters, coffee shops, foodservice and other retailers. We have strong market positions in a range of categories including sandwiches, salads, sushi, chilled snacking, chilled ready meals, chilled soups and sauces, chilled quiche, ambient sauces and pickles, and frozen Yorkshire Puddings. </w:t>
      </w:r>
    </w:p>
    <w:p w14:paraId="62666402" w14:textId="77777777" w:rsidR="00CF2405" w:rsidRPr="000D1A44" w:rsidRDefault="00CF2405" w:rsidP="00CF2405">
      <w:pPr>
        <w:jc w:val="both"/>
        <w:rPr>
          <w:color w:val="000000"/>
          <w:sz w:val="18"/>
          <w:szCs w:val="18"/>
        </w:rPr>
      </w:pPr>
      <w:bookmarkStart w:id="3" w:name="_Hlk87868870"/>
      <w:r w:rsidRPr="000D1A44">
        <w:rPr>
          <w:color w:val="000000"/>
          <w:sz w:val="18"/>
          <w:szCs w:val="18"/>
        </w:rPr>
        <w:t xml:space="preserve">In FY21 we manufactured 645m sandwiches and other food to go products, 117m chilled prepared meals, and 256m bottles of cooking sauces, pickles and condiments. We carry out more than 10,500 direct to store deliveries each day. We have </w:t>
      </w:r>
      <w:r>
        <w:rPr>
          <w:color w:val="000000"/>
          <w:sz w:val="18"/>
          <w:szCs w:val="18"/>
        </w:rPr>
        <w:t>21</w:t>
      </w:r>
      <w:r w:rsidRPr="000D1A44">
        <w:rPr>
          <w:color w:val="000000"/>
          <w:sz w:val="18"/>
          <w:szCs w:val="18"/>
        </w:rPr>
        <w:t xml:space="preserve"> world-class manufacturing </w:t>
      </w:r>
      <w:r>
        <w:rPr>
          <w:color w:val="000000"/>
          <w:sz w:val="18"/>
          <w:szCs w:val="18"/>
        </w:rPr>
        <w:t>units across 16 locations</w:t>
      </w:r>
      <w:r w:rsidRPr="000D1A44">
        <w:rPr>
          <w:color w:val="000000"/>
          <w:sz w:val="18"/>
          <w:szCs w:val="18"/>
        </w:rPr>
        <w:t xml:space="preserve"> in the UK, with industry-leading technology and supply chain capabilities. We generated revenues of £1.3bn in FY21 and employ approximately 13,000 people. We are headquartered in Dublin, Ireland.</w:t>
      </w:r>
    </w:p>
    <w:bookmarkEnd w:id="3"/>
    <w:p w14:paraId="4C94DDAF" w14:textId="77777777" w:rsidR="00DE1759" w:rsidRDefault="00CF2405" w:rsidP="00AD300F">
      <w:pPr>
        <w:jc w:val="both"/>
        <w:rPr>
          <w:color w:val="000000"/>
          <w:sz w:val="18"/>
          <w:szCs w:val="18"/>
        </w:rPr>
      </w:pPr>
      <w:r w:rsidRPr="002B4347">
        <w:rPr>
          <w:color w:val="000000"/>
          <w:sz w:val="18"/>
          <w:szCs w:val="18"/>
        </w:rPr>
        <w:t>For further information go to</w:t>
      </w:r>
      <w:r>
        <w:t xml:space="preserve"> </w:t>
      </w:r>
      <w:r w:rsidRPr="00AA2704">
        <w:rPr>
          <w:color w:val="000000"/>
          <w:sz w:val="18"/>
          <w:szCs w:val="18"/>
        </w:rPr>
        <w:t>greencore.com</w:t>
      </w:r>
      <w:r w:rsidRPr="002B4347">
        <w:rPr>
          <w:color w:val="000000"/>
          <w:sz w:val="18"/>
          <w:szCs w:val="18"/>
        </w:rPr>
        <w:t xml:space="preserve"> or follow Greencore on social media.</w:t>
      </w:r>
    </w:p>
    <w:p w14:paraId="1E3CF762" w14:textId="0609572C" w:rsidR="00CF2405" w:rsidRPr="008B7B91" w:rsidRDefault="00CF2405" w:rsidP="00AD300F">
      <w:pPr>
        <w:jc w:val="both"/>
        <w:rPr>
          <w:rFonts w:cs="Arial"/>
          <w:b/>
          <w:szCs w:val="20"/>
        </w:rPr>
      </w:pPr>
      <w:r w:rsidRPr="008B7B91">
        <w:rPr>
          <w:rFonts w:cs="Arial"/>
          <w:b/>
          <w:szCs w:val="20"/>
        </w:rPr>
        <w:t xml:space="preserve">OPERATING REVIEW </w:t>
      </w:r>
      <w:r w:rsidRPr="008B7B91">
        <w:rPr>
          <w:rFonts w:cs="Arial"/>
          <w:b/>
          <w:szCs w:val="20"/>
          <w:vertAlign w:val="superscript"/>
        </w:rPr>
        <w:t>1</w:t>
      </w:r>
    </w:p>
    <w:p w14:paraId="0C6E5995" w14:textId="77777777" w:rsidR="00CF2405" w:rsidRPr="00E00C70" w:rsidRDefault="00CF2405" w:rsidP="00CF2405">
      <w:pPr>
        <w:jc w:val="both"/>
        <w:rPr>
          <w:rFonts w:cs="Arial"/>
          <w:b/>
          <w:sz w:val="20"/>
          <w:szCs w:val="20"/>
        </w:rPr>
      </w:pPr>
      <w:r w:rsidRPr="00E00C70">
        <w:rPr>
          <w:rFonts w:cs="Arial"/>
          <w:b/>
          <w:sz w:val="20"/>
          <w:szCs w:val="20"/>
        </w:rPr>
        <w:t>Strategic developments</w:t>
      </w:r>
    </w:p>
    <w:p w14:paraId="4D9EFCB1" w14:textId="7EF8DA62" w:rsidR="00CF2405" w:rsidRPr="00C320E7" w:rsidRDefault="00CF2405" w:rsidP="00CF2405">
      <w:pPr>
        <w:jc w:val="both"/>
        <w:rPr>
          <w:rFonts w:cs="Arial"/>
          <w:sz w:val="18"/>
          <w:szCs w:val="18"/>
        </w:rPr>
      </w:pPr>
      <w:r w:rsidRPr="007C1512">
        <w:rPr>
          <w:rFonts w:cs="Arial"/>
          <w:sz w:val="18"/>
          <w:szCs w:val="18"/>
        </w:rPr>
        <w:t xml:space="preserve">The Group progressed well against its </w:t>
      </w:r>
      <w:r w:rsidR="006E3C8E">
        <w:rPr>
          <w:rFonts w:cs="Arial"/>
          <w:sz w:val="18"/>
          <w:szCs w:val="18"/>
        </w:rPr>
        <w:t>strategic</w:t>
      </w:r>
      <w:r w:rsidRPr="007C1512">
        <w:rPr>
          <w:rFonts w:cs="Arial"/>
          <w:sz w:val="18"/>
          <w:szCs w:val="18"/>
        </w:rPr>
        <w:t xml:space="preserve"> objectives in H1 22, underpinned by close customer engagement in what remained a very challenging trading environment for the food industry. The Group improved output and service levels across all operational areas during the period.</w:t>
      </w:r>
    </w:p>
    <w:p w14:paraId="0E4CA241" w14:textId="2569BDA2" w:rsidR="006E3C8E" w:rsidRDefault="00CF2405" w:rsidP="00CF2405">
      <w:pPr>
        <w:jc w:val="both"/>
        <w:rPr>
          <w:rFonts w:cs="Arial"/>
          <w:sz w:val="18"/>
          <w:szCs w:val="18"/>
        </w:rPr>
      </w:pPr>
      <w:r w:rsidRPr="009D373E">
        <w:rPr>
          <w:rFonts w:cs="Arial"/>
          <w:sz w:val="18"/>
          <w:szCs w:val="18"/>
        </w:rPr>
        <w:t>The onboarding of new business wins, across food to go and other convenience categories and customers, progressed to plan</w:t>
      </w:r>
      <w:r w:rsidR="002F58EB">
        <w:rPr>
          <w:rFonts w:cs="Arial"/>
          <w:sz w:val="18"/>
          <w:szCs w:val="18"/>
        </w:rPr>
        <w:t xml:space="preserve">. This </w:t>
      </w:r>
      <w:r w:rsidRPr="009D373E">
        <w:rPr>
          <w:rFonts w:cs="Arial"/>
          <w:sz w:val="18"/>
          <w:szCs w:val="18"/>
        </w:rPr>
        <w:t xml:space="preserve">is supporting the diversification of the Group’s product and channel footprint. Revenue from these wins represented </w:t>
      </w:r>
      <w:r w:rsidR="00102F1F">
        <w:rPr>
          <w:rFonts w:cs="Arial"/>
          <w:sz w:val="18"/>
          <w:szCs w:val="18"/>
        </w:rPr>
        <w:t xml:space="preserve">just over </w:t>
      </w:r>
      <w:r w:rsidR="003F2644">
        <w:rPr>
          <w:rFonts w:cs="Arial"/>
          <w:sz w:val="18"/>
          <w:szCs w:val="18"/>
        </w:rPr>
        <w:t>one-third</w:t>
      </w:r>
      <w:r w:rsidRPr="009D373E">
        <w:rPr>
          <w:rFonts w:cs="Arial"/>
          <w:sz w:val="18"/>
          <w:szCs w:val="18"/>
        </w:rPr>
        <w:t xml:space="preserve"> of the Group’s pro forma revenue growth in the period. </w:t>
      </w:r>
    </w:p>
    <w:p w14:paraId="3532D96D" w14:textId="03F37D18" w:rsidR="00CF2405" w:rsidRPr="009D373E" w:rsidRDefault="00CF2405" w:rsidP="00CF2405">
      <w:pPr>
        <w:jc w:val="both"/>
        <w:rPr>
          <w:rFonts w:cs="Arial"/>
          <w:sz w:val="18"/>
          <w:szCs w:val="18"/>
        </w:rPr>
      </w:pPr>
      <w:r w:rsidRPr="009D373E">
        <w:rPr>
          <w:rFonts w:cs="Arial"/>
          <w:sz w:val="18"/>
          <w:szCs w:val="18"/>
        </w:rPr>
        <w:t>As previously announced the Group is investing approximately £30m, across three existing Greencore manufacturing sites, to support the delivery of previously announced new business over the course of FY22. This investment programme is on track and is expected to complete in Q4 22.</w:t>
      </w:r>
    </w:p>
    <w:p w14:paraId="71B4BBE9" w14:textId="68F740B6" w:rsidR="00CF2405" w:rsidRPr="00AE0790" w:rsidRDefault="00CF2405" w:rsidP="00CF2405">
      <w:pPr>
        <w:jc w:val="both"/>
        <w:rPr>
          <w:rFonts w:cs="Arial"/>
          <w:sz w:val="18"/>
          <w:szCs w:val="18"/>
        </w:rPr>
      </w:pPr>
      <w:r w:rsidRPr="009D373E">
        <w:rPr>
          <w:rFonts w:cs="Arial"/>
          <w:sz w:val="18"/>
          <w:szCs w:val="18"/>
        </w:rPr>
        <w:t xml:space="preserve">The return to pre-COVID manufacturing volume levels has enabled the Group to revitalise its Excellence cost efficiency programmes. These programmes are executed across the business, most notably in its manufacturing, purchasing, engineering and commercial functions. They form a critical element of the Group’s planned recovery in profit conversion in H2 22 and future years. </w:t>
      </w:r>
      <w:bookmarkStart w:id="4" w:name="_Hlk86932067"/>
      <w:r w:rsidR="009C3D96">
        <w:rPr>
          <w:rFonts w:cs="Arial"/>
          <w:sz w:val="18"/>
          <w:szCs w:val="18"/>
        </w:rPr>
        <w:t>The Group also advanced its automation initiatives in the period with further progress anticipated in</w:t>
      </w:r>
      <w:r w:rsidR="00CF34F5">
        <w:rPr>
          <w:rFonts w:cs="Arial"/>
          <w:sz w:val="18"/>
          <w:szCs w:val="18"/>
        </w:rPr>
        <w:t xml:space="preserve"> H2 22.</w:t>
      </w:r>
    </w:p>
    <w:bookmarkEnd w:id="4"/>
    <w:p w14:paraId="15BF6627" w14:textId="42288F45" w:rsidR="004B60C2" w:rsidRPr="000B3D41" w:rsidRDefault="00926B1D" w:rsidP="00CF2405">
      <w:pPr>
        <w:jc w:val="both"/>
        <w:rPr>
          <w:rFonts w:cs="Arial"/>
          <w:sz w:val="18"/>
          <w:szCs w:val="18"/>
        </w:rPr>
      </w:pPr>
      <w:r w:rsidRPr="004413E4">
        <w:rPr>
          <w:rFonts w:cs="Arial"/>
          <w:sz w:val="18"/>
          <w:szCs w:val="18"/>
        </w:rPr>
        <w:t>In H1</w:t>
      </w:r>
      <w:r w:rsidR="00F6558B">
        <w:rPr>
          <w:rFonts w:cs="Arial"/>
          <w:sz w:val="18"/>
          <w:szCs w:val="18"/>
        </w:rPr>
        <w:t xml:space="preserve"> 22</w:t>
      </w:r>
      <w:r w:rsidRPr="004413E4">
        <w:rPr>
          <w:rFonts w:cs="Arial"/>
          <w:sz w:val="18"/>
          <w:szCs w:val="18"/>
        </w:rPr>
        <w:t xml:space="preserve"> the Group </w:t>
      </w:r>
      <w:r w:rsidR="00307236">
        <w:rPr>
          <w:rFonts w:cs="Arial"/>
          <w:sz w:val="18"/>
          <w:szCs w:val="18"/>
        </w:rPr>
        <w:t>launched</w:t>
      </w:r>
      <w:r w:rsidRPr="004413E4">
        <w:rPr>
          <w:rFonts w:cs="Arial"/>
          <w:sz w:val="18"/>
          <w:szCs w:val="18"/>
        </w:rPr>
        <w:t xml:space="preserve"> its Better Greencore programme, that will augment the revitalisation of its Excellence cost efficiency initiatives. There are three areas of focus across multiple workstreams – organisation model and overheads, output optimisation and technology enabled efficiencies. </w:t>
      </w:r>
      <w:r w:rsidR="004B60C2" w:rsidRPr="000B3D41">
        <w:rPr>
          <w:rFonts w:cs="Arial"/>
          <w:sz w:val="18"/>
          <w:szCs w:val="18"/>
        </w:rPr>
        <w:t xml:space="preserve">The first phase of the programme </w:t>
      </w:r>
      <w:r w:rsidR="00307236">
        <w:rPr>
          <w:rFonts w:cs="Arial"/>
          <w:sz w:val="18"/>
          <w:szCs w:val="18"/>
        </w:rPr>
        <w:t>will</w:t>
      </w:r>
      <w:r w:rsidR="004B60C2" w:rsidRPr="000B3D41">
        <w:rPr>
          <w:rFonts w:cs="Arial"/>
          <w:sz w:val="18"/>
          <w:szCs w:val="18"/>
        </w:rPr>
        <w:t xml:space="preserve"> deliver an annual recurring benefit of approximately £30m in FY24. T</w:t>
      </w:r>
      <w:r w:rsidRPr="004413E4">
        <w:rPr>
          <w:rFonts w:cs="Arial"/>
          <w:sz w:val="18"/>
          <w:szCs w:val="18"/>
        </w:rPr>
        <w:t>he Group will invest a total of approximately £2</w:t>
      </w:r>
      <w:r w:rsidR="00B63D3A">
        <w:rPr>
          <w:rFonts w:cs="Arial"/>
          <w:sz w:val="18"/>
          <w:szCs w:val="18"/>
        </w:rPr>
        <w:t>4</w:t>
      </w:r>
      <w:r w:rsidRPr="004413E4">
        <w:rPr>
          <w:rFonts w:cs="Arial"/>
          <w:sz w:val="18"/>
          <w:szCs w:val="18"/>
        </w:rPr>
        <w:t>m during FY22 and FY23</w:t>
      </w:r>
      <w:r w:rsidR="00B63D3A">
        <w:rPr>
          <w:rFonts w:cs="Arial"/>
          <w:sz w:val="18"/>
          <w:szCs w:val="18"/>
        </w:rPr>
        <w:t>, including capital spend of approximately £8m,</w:t>
      </w:r>
      <w:r w:rsidRPr="004413E4">
        <w:rPr>
          <w:rFonts w:cs="Arial"/>
          <w:sz w:val="18"/>
          <w:szCs w:val="18"/>
        </w:rPr>
        <w:t xml:space="preserve"> to unlock these improvements. </w:t>
      </w:r>
      <w:r w:rsidR="00307236">
        <w:rPr>
          <w:rFonts w:cs="Arial"/>
          <w:sz w:val="18"/>
          <w:szCs w:val="18"/>
        </w:rPr>
        <w:t>An exceptional cost of £8.0m was incurred in H1 22 in this regard.</w:t>
      </w:r>
    </w:p>
    <w:p w14:paraId="2D4EF437" w14:textId="211A732A" w:rsidR="00CF2405" w:rsidRDefault="00E77924" w:rsidP="00CF2405">
      <w:pPr>
        <w:jc w:val="both"/>
        <w:rPr>
          <w:rFonts w:cs="Arial"/>
          <w:sz w:val="18"/>
          <w:szCs w:val="18"/>
        </w:rPr>
      </w:pPr>
      <w:bookmarkStart w:id="5" w:name="_Hlk103871382"/>
      <w:r w:rsidRPr="004413E4">
        <w:rPr>
          <w:rFonts w:cs="Arial"/>
          <w:sz w:val="18"/>
          <w:szCs w:val="18"/>
        </w:rPr>
        <w:t>F</w:t>
      </w:r>
      <w:r w:rsidR="00FB0A5B" w:rsidRPr="004413E4">
        <w:rPr>
          <w:rFonts w:cs="Arial"/>
          <w:sz w:val="18"/>
          <w:szCs w:val="18"/>
        </w:rPr>
        <w:t xml:space="preserve">urther </w:t>
      </w:r>
      <w:r w:rsidRPr="004413E4">
        <w:rPr>
          <w:rFonts w:cs="Arial"/>
          <w:sz w:val="18"/>
          <w:szCs w:val="18"/>
        </w:rPr>
        <w:t xml:space="preserve">phases of the </w:t>
      </w:r>
      <w:r w:rsidR="00FB0A5B" w:rsidRPr="004413E4">
        <w:rPr>
          <w:rFonts w:cs="Arial"/>
          <w:sz w:val="18"/>
          <w:szCs w:val="18"/>
        </w:rPr>
        <w:t>Better Greencore</w:t>
      </w:r>
      <w:r w:rsidRPr="004413E4">
        <w:rPr>
          <w:rFonts w:cs="Arial"/>
          <w:sz w:val="18"/>
          <w:szCs w:val="18"/>
        </w:rPr>
        <w:t xml:space="preserve"> programme</w:t>
      </w:r>
      <w:r w:rsidR="00926B1D" w:rsidRPr="004413E4">
        <w:rPr>
          <w:rFonts w:cs="Arial"/>
          <w:sz w:val="18"/>
          <w:szCs w:val="18"/>
        </w:rPr>
        <w:t xml:space="preserve"> are being developed and further detail will be provided as these are launched, with the expectation that these phases will deliver </w:t>
      </w:r>
      <w:r w:rsidR="00A83D8D">
        <w:rPr>
          <w:rFonts w:cs="Arial"/>
          <w:sz w:val="18"/>
          <w:szCs w:val="18"/>
        </w:rPr>
        <w:t>additional</w:t>
      </w:r>
      <w:r w:rsidR="00926B1D" w:rsidRPr="004413E4">
        <w:rPr>
          <w:rFonts w:cs="Arial"/>
          <w:sz w:val="18"/>
          <w:szCs w:val="18"/>
        </w:rPr>
        <w:t xml:space="preserve"> benefits</w:t>
      </w:r>
      <w:bookmarkEnd w:id="5"/>
      <w:r w:rsidR="00A83D8D">
        <w:rPr>
          <w:rFonts w:cs="Arial"/>
          <w:sz w:val="18"/>
          <w:szCs w:val="18"/>
        </w:rPr>
        <w:t xml:space="preserve"> to the Group</w:t>
      </w:r>
      <w:r w:rsidR="00926B1D" w:rsidRPr="004413E4">
        <w:rPr>
          <w:rFonts w:cs="Arial"/>
          <w:sz w:val="18"/>
          <w:szCs w:val="18"/>
        </w:rPr>
        <w:t>.</w:t>
      </w:r>
    </w:p>
    <w:p w14:paraId="141B0917" w14:textId="77777777" w:rsidR="00A26466" w:rsidRPr="00D44739" w:rsidRDefault="00A26466" w:rsidP="00CF2405">
      <w:pPr>
        <w:jc w:val="both"/>
        <w:rPr>
          <w:rFonts w:cs="Arial"/>
          <w:sz w:val="18"/>
          <w:szCs w:val="18"/>
        </w:rPr>
      </w:pPr>
    </w:p>
    <w:p w14:paraId="217FA52B" w14:textId="77777777" w:rsidR="00CF2405" w:rsidRPr="00E00C70" w:rsidRDefault="00CF2405" w:rsidP="00CF2405">
      <w:pPr>
        <w:jc w:val="both"/>
        <w:rPr>
          <w:rFonts w:cs="Arial"/>
          <w:b/>
          <w:sz w:val="20"/>
          <w:szCs w:val="20"/>
        </w:rPr>
      </w:pPr>
      <w:r>
        <w:rPr>
          <w:rFonts w:cs="Arial"/>
          <w:b/>
          <w:sz w:val="20"/>
          <w:szCs w:val="20"/>
        </w:rPr>
        <w:t xml:space="preserve">Trading </w:t>
      </w:r>
      <w:r w:rsidRPr="00E00C70">
        <w:rPr>
          <w:rFonts w:cs="Arial"/>
          <w:b/>
          <w:sz w:val="20"/>
          <w:szCs w:val="20"/>
        </w:rPr>
        <w:t>Performance</w:t>
      </w:r>
    </w:p>
    <w:p w14:paraId="38F030B2" w14:textId="6C3B9B13" w:rsidR="00CF2405" w:rsidRDefault="00CF2405" w:rsidP="00CF2405">
      <w:pPr>
        <w:spacing w:after="0" w:line="240" w:lineRule="auto"/>
        <w:jc w:val="both"/>
        <w:rPr>
          <w:rFonts w:cs="Arial"/>
          <w:b/>
          <w:sz w:val="18"/>
          <w:szCs w:val="1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630"/>
        <w:gridCol w:w="1630"/>
        <w:gridCol w:w="1630"/>
        <w:gridCol w:w="1631"/>
      </w:tblGrid>
      <w:tr w:rsidR="000B48DD" w:rsidRPr="00CB7CCC" w14:paraId="77FDB5E7" w14:textId="77777777" w:rsidTr="00946471">
        <w:tc>
          <w:tcPr>
            <w:tcW w:w="2835" w:type="dxa"/>
          </w:tcPr>
          <w:p w14:paraId="60DC58CA" w14:textId="77777777" w:rsidR="000B48DD" w:rsidRPr="00CB7CCC" w:rsidRDefault="000B48DD" w:rsidP="00946471">
            <w:pPr>
              <w:spacing w:after="0" w:line="240" w:lineRule="auto"/>
              <w:jc w:val="both"/>
              <w:rPr>
                <w:rFonts w:cs="Arial"/>
                <w:b/>
                <w:sz w:val="18"/>
                <w:szCs w:val="18"/>
                <w:lang w:val="en-US"/>
              </w:rPr>
            </w:pPr>
          </w:p>
        </w:tc>
        <w:tc>
          <w:tcPr>
            <w:tcW w:w="1630" w:type="dxa"/>
            <w:hideMark/>
          </w:tcPr>
          <w:p w14:paraId="00472516" w14:textId="77777777" w:rsidR="000B48DD" w:rsidRPr="00CB7CCC" w:rsidRDefault="000B48DD" w:rsidP="00946471">
            <w:pPr>
              <w:spacing w:after="0" w:line="240" w:lineRule="auto"/>
              <w:jc w:val="right"/>
              <w:rPr>
                <w:rFonts w:cs="Arial"/>
                <w:b/>
                <w:sz w:val="18"/>
                <w:szCs w:val="18"/>
                <w:lang w:val="en-US"/>
              </w:rPr>
            </w:pPr>
            <w:r>
              <w:rPr>
                <w:rFonts w:cs="Arial"/>
                <w:b/>
                <w:sz w:val="18"/>
                <w:szCs w:val="18"/>
                <w:lang w:val="en-US"/>
              </w:rPr>
              <w:t>H1 22</w:t>
            </w:r>
          </w:p>
          <w:p w14:paraId="44667F74" w14:textId="77777777" w:rsidR="000B48DD" w:rsidRPr="00CB7CCC" w:rsidRDefault="000B48DD" w:rsidP="00946471">
            <w:pPr>
              <w:spacing w:after="0" w:line="240" w:lineRule="auto"/>
              <w:jc w:val="right"/>
              <w:rPr>
                <w:rFonts w:cs="Arial"/>
                <w:b/>
                <w:sz w:val="18"/>
                <w:szCs w:val="18"/>
                <w:lang w:val="en-US"/>
              </w:rPr>
            </w:pPr>
            <w:r w:rsidRPr="00CB7CCC">
              <w:rPr>
                <w:rFonts w:cs="Arial"/>
                <w:b/>
                <w:sz w:val="18"/>
                <w:szCs w:val="18"/>
                <w:lang w:val="en-US"/>
              </w:rPr>
              <w:lastRenderedPageBreak/>
              <w:t>£m</w:t>
            </w:r>
          </w:p>
        </w:tc>
        <w:tc>
          <w:tcPr>
            <w:tcW w:w="1630" w:type="dxa"/>
          </w:tcPr>
          <w:p w14:paraId="2B346367" w14:textId="77777777" w:rsidR="000B48DD" w:rsidRPr="00CB7CCC" w:rsidRDefault="000B48DD" w:rsidP="00946471">
            <w:pPr>
              <w:spacing w:after="0" w:line="240" w:lineRule="auto"/>
              <w:jc w:val="right"/>
              <w:rPr>
                <w:rFonts w:cs="Arial"/>
                <w:b/>
                <w:sz w:val="18"/>
                <w:szCs w:val="18"/>
                <w:lang w:val="en-US"/>
              </w:rPr>
            </w:pPr>
            <w:r>
              <w:rPr>
                <w:rFonts w:cs="Arial"/>
                <w:b/>
                <w:sz w:val="18"/>
                <w:szCs w:val="18"/>
                <w:lang w:val="en-US"/>
              </w:rPr>
              <w:lastRenderedPageBreak/>
              <w:t>H1 21</w:t>
            </w:r>
          </w:p>
          <w:p w14:paraId="13D63B9D" w14:textId="77777777" w:rsidR="000B48DD" w:rsidRPr="00CB7CCC" w:rsidRDefault="000B48DD" w:rsidP="00946471">
            <w:pPr>
              <w:spacing w:after="0" w:line="240" w:lineRule="auto"/>
              <w:jc w:val="right"/>
              <w:rPr>
                <w:rFonts w:cs="Arial"/>
                <w:b/>
                <w:sz w:val="18"/>
                <w:szCs w:val="18"/>
                <w:lang w:val="en-US"/>
              </w:rPr>
            </w:pPr>
            <w:r w:rsidRPr="00CB7CCC">
              <w:rPr>
                <w:rFonts w:cs="Arial"/>
                <w:b/>
                <w:sz w:val="18"/>
                <w:szCs w:val="18"/>
                <w:lang w:val="en-US"/>
              </w:rPr>
              <w:lastRenderedPageBreak/>
              <w:t>£m</w:t>
            </w:r>
          </w:p>
        </w:tc>
        <w:tc>
          <w:tcPr>
            <w:tcW w:w="1630" w:type="dxa"/>
            <w:hideMark/>
          </w:tcPr>
          <w:p w14:paraId="1CB9BDAB" w14:textId="77777777" w:rsidR="000B48DD" w:rsidRPr="00CB7CCC" w:rsidRDefault="000B48DD" w:rsidP="00946471">
            <w:pPr>
              <w:spacing w:after="0" w:line="240" w:lineRule="auto"/>
              <w:jc w:val="right"/>
              <w:rPr>
                <w:rFonts w:cs="Arial"/>
                <w:b/>
                <w:sz w:val="18"/>
                <w:szCs w:val="18"/>
                <w:lang w:val="en-US"/>
              </w:rPr>
            </w:pPr>
            <w:r w:rsidRPr="00CB7CCC">
              <w:rPr>
                <w:rFonts w:cs="Arial"/>
                <w:b/>
                <w:sz w:val="18"/>
                <w:szCs w:val="18"/>
                <w:lang w:val="en-US"/>
              </w:rPr>
              <w:lastRenderedPageBreak/>
              <w:t>Change</w:t>
            </w:r>
          </w:p>
          <w:p w14:paraId="1CAE157A" w14:textId="77777777" w:rsidR="000B48DD" w:rsidRPr="00CB7CCC" w:rsidRDefault="000B48DD" w:rsidP="00946471">
            <w:pPr>
              <w:spacing w:after="0" w:line="240" w:lineRule="auto"/>
              <w:jc w:val="right"/>
              <w:rPr>
                <w:rFonts w:cs="Arial"/>
                <w:b/>
                <w:sz w:val="18"/>
                <w:szCs w:val="18"/>
                <w:lang w:val="en-US"/>
              </w:rPr>
            </w:pPr>
            <w:r w:rsidRPr="00CB7CCC">
              <w:rPr>
                <w:rFonts w:cs="Arial"/>
                <w:b/>
                <w:sz w:val="18"/>
                <w:szCs w:val="18"/>
                <w:lang w:val="en-US"/>
              </w:rPr>
              <w:lastRenderedPageBreak/>
              <w:t>(As reported)</w:t>
            </w:r>
          </w:p>
        </w:tc>
        <w:tc>
          <w:tcPr>
            <w:tcW w:w="1631" w:type="dxa"/>
            <w:hideMark/>
          </w:tcPr>
          <w:p w14:paraId="5D7AA051" w14:textId="77777777" w:rsidR="000B48DD" w:rsidRPr="00CB7CCC" w:rsidRDefault="000B48DD" w:rsidP="00946471">
            <w:pPr>
              <w:spacing w:after="0" w:line="240" w:lineRule="auto"/>
              <w:jc w:val="right"/>
              <w:rPr>
                <w:rFonts w:cs="Arial"/>
                <w:b/>
                <w:sz w:val="18"/>
                <w:szCs w:val="18"/>
                <w:lang w:val="en-US"/>
              </w:rPr>
            </w:pPr>
            <w:r w:rsidRPr="00CB7CCC">
              <w:rPr>
                <w:rFonts w:cs="Arial"/>
                <w:b/>
                <w:sz w:val="18"/>
                <w:szCs w:val="18"/>
                <w:lang w:val="en-US"/>
              </w:rPr>
              <w:lastRenderedPageBreak/>
              <w:t>Change</w:t>
            </w:r>
          </w:p>
          <w:p w14:paraId="446529B4" w14:textId="77777777" w:rsidR="000B48DD" w:rsidRPr="00CB7CCC" w:rsidRDefault="000B48DD" w:rsidP="00946471">
            <w:pPr>
              <w:spacing w:after="0" w:line="240" w:lineRule="auto"/>
              <w:jc w:val="right"/>
              <w:rPr>
                <w:rFonts w:cs="Arial"/>
                <w:b/>
                <w:sz w:val="18"/>
                <w:szCs w:val="18"/>
                <w:lang w:val="en-US"/>
              </w:rPr>
            </w:pPr>
            <w:r w:rsidRPr="00CB7CCC">
              <w:rPr>
                <w:rFonts w:cs="Arial"/>
                <w:b/>
                <w:sz w:val="18"/>
                <w:szCs w:val="18"/>
                <w:lang w:val="en-US"/>
              </w:rPr>
              <w:lastRenderedPageBreak/>
              <w:t>(Pro Forma basis)</w:t>
            </w:r>
          </w:p>
        </w:tc>
      </w:tr>
      <w:tr w:rsidR="000B48DD" w:rsidRPr="00CB7CCC" w14:paraId="630E8896" w14:textId="77777777" w:rsidTr="00946471">
        <w:tc>
          <w:tcPr>
            <w:tcW w:w="2835" w:type="dxa"/>
            <w:hideMark/>
          </w:tcPr>
          <w:p w14:paraId="5B38651D" w14:textId="77777777" w:rsidR="000B48DD" w:rsidRPr="00CB7CCC" w:rsidRDefault="000B48DD" w:rsidP="00946471">
            <w:pPr>
              <w:spacing w:after="0" w:line="240" w:lineRule="auto"/>
              <w:jc w:val="both"/>
              <w:rPr>
                <w:rFonts w:cs="Arial"/>
                <w:sz w:val="18"/>
                <w:szCs w:val="18"/>
                <w:lang w:val="en-US"/>
              </w:rPr>
            </w:pPr>
            <w:r w:rsidRPr="00CB7CCC">
              <w:rPr>
                <w:rFonts w:cs="Arial"/>
                <w:sz w:val="18"/>
                <w:szCs w:val="18"/>
                <w:lang w:val="en-US"/>
              </w:rPr>
              <w:lastRenderedPageBreak/>
              <w:t>Revenue</w:t>
            </w:r>
          </w:p>
        </w:tc>
        <w:tc>
          <w:tcPr>
            <w:tcW w:w="1630" w:type="dxa"/>
            <w:shd w:val="clear" w:color="auto" w:fill="auto"/>
          </w:tcPr>
          <w:p w14:paraId="1D8BEFAA" w14:textId="77777777" w:rsidR="000B48DD" w:rsidRPr="00557DEC" w:rsidRDefault="000B48DD" w:rsidP="00946471">
            <w:pPr>
              <w:spacing w:after="0" w:line="240" w:lineRule="auto"/>
              <w:jc w:val="right"/>
              <w:rPr>
                <w:rFonts w:cs="Arial"/>
                <w:sz w:val="18"/>
                <w:szCs w:val="18"/>
                <w:lang w:val="en-US"/>
              </w:rPr>
            </w:pPr>
            <w:r w:rsidRPr="00557DEC">
              <w:rPr>
                <w:rFonts w:cs="Arial"/>
                <w:sz w:val="18"/>
                <w:szCs w:val="18"/>
                <w:lang w:val="en-US"/>
              </w:rPr>
              <w:t>770.8</w:t>
            </w:r>
          </w:p>
        </w:tc>
        <w:tc>
          <w:tcPr>
            <w:tcW w:w="1630" w:type="dxa"/>
          </w:tcPr>
          <w:p w14:paraId="1C761657" w14:textId="77777777" w:rsidR="000B48DD" w:rsidRPr="00B31BD0" w:rsidRDefault="000B48DD" w:rsidP="00946471">
            <w:pPr>
              <w:spacing w:after="0" w:line="240" w:lineRule="auto"/>
              <w:jc w:val="right"/>
              <w:rPr>
                <w:rFonts w:cs="Arial"/>
                <w:sz w:val="18"/>
                <w:szCs w:val="18"/>
                <w:lang w:val="en-US"/>
              </w:rPr>
            </w:pPr>
            <w:r>
              <w:rPr>
                <w:rFonts w:cs="Arial"/>
                <w:sz w:val="18"/>
                <w:szCs w:val="18"/>
                <w:lang w:val="en-US"/>
              </w:rPr>
              <w:t>577.1</w:t>
            </w:r>
          </w:p>
        </w:tc>
        <w:tc>
          <w:tcPr>
            <w:tcW w:w="1630" w:type="dxa"/>
            <w:shd w:val="clear" w:color="auto" w:fill="auto"/>
          </w:tcPr>
          <w:p w14:paraId="7943C950" w14:textId="77777777" w:rsidR="000B48DD" w:rsidRPr="00AF2361" w:rsidRDefault="000B48DD" w:rsidP="00946471">
            <w:pPr>
              <w:spacing w:after="0" w:line="240" w:lineRule="auto"/>
              <w:jc w:val="right"/>
              <w:rPr>
                <w:rFonts w:cs="Arial"/>
                <w:sz w:val="18"/>
                <w:szCs w:val="18"/>
                <w:lang w:val="en-US"/>
              </w:rPr>
            </w:pPr>
            <w:r w:rsidRPr="00AF2361">
              <w:rPr>
                <w:rFonts w:cs="Arial"/>
                <w:bCs/>
                <w:sz w:val="18"/>
                <w:szCs w:val="18"/>
                <w:lang w:val="en-US"/>
              </w:rPr>
              <w:t>33.6%</w:t>
            </w:r>
          </w:p>
        </w:tc>
        <w:tc>
          <w:tcPr>
            <w:tcW w:w="1631" w:type="dxa"/>
          </w:tcPr>
          <w:p w14:paraId="388F0DBB" w14:textId="77777777" w:rsidR="000B48DD" w:rsidRPr="00AF2361" w:rsidRDefault="000B48DD" w:rsidP="00946471">
            <w:pPr>
              <w:spacing w:after="0" w:line="240" w:lineRule="auto"/>
              <w:jc w:val="right"/>
              <w:rPr>
                <w:rFonts w:cs="Arial"/>
                <w:sz w:val="18"/>
                <w:szCs w:val="18"/>
                <w:lang w:val="en-US"/>
              </w:rPr>
            </w:pPr>
            <w:r w:rsidRPr="00AF2361">
              <w:rPr>
                <w:rFonts w:cs="Arial"/>
                <w:bCs/>
                <w:sz w:val="18"/>
                <w:szCs w:val="18"/>
                <w:lang w:val="en-US"/>
              </w:rPr>
              <w:t>+</w:t>
            </w:r>
            <w:r>
              <w:rPr>
                <w:rFonts w:cs="Arial"/>
                <w:bCs/>
                <w:sz w:val="18"/>
                <w:szCs w:val="18"/>
                <w:lang w:val="en-US"/>
              </w:rPr>
              <w:t>34.9</w:t>
            </w:r>
            <w:r w:rsidRPr="00AF2361">
              <w:rPr>
                <w:rFonts w:cs="Arial"/>
                <w:bCs/>
                <w:sz w:val="18"/>
                <w:szCs w:val="18"/>
                <w:lang w:val="en-US"/>
              </w:rPr>
              <w:t>%</w:t>
            </w:r>
          </w:p>
        </w:tc>
      </w:tr>
      <w:tr w:rsidR="000B48DD" w:rsidRPr="00CB7CCC" w14:paraId="01BCB239" w14:textId="77777777" w:rsidTr="00946471">
        <w:tc>
          <w:tcPr>
            <w:tcW w:w="2835" w:type="dxa"/>
          </w:tcPr>
          <w:p w14:paraId="3F9AD189" w14:textId="77777777" w:rsidR="000B48DD" w:rsidRPr="00CB7CCC" w:rsidRDefault="000B48DD" w:rsidP="00946471">
            <w:pPr>
              <w:spacing w:after="0" w:line="240" w:lineRule="auto"/>
              <w:jc w:val="both"/>
              <w:rPr>
                <w:rFonts w:cs="Arial"/>
                <w:sz w:val="18"/>
                <w:szCs w:val="18"/>
                <w:lang w:val="en-US"/>
              </w:rPr>
            </w:pPr>
            <w:r w:rsidRPr="00CB7CCC">
              <w:rPr>
                <w:rFonts w:cs="Arial"/>
                <w:sz w:val="18"/>
                <w:szCs w:val="18"/>
                <w:lang w:val="en-US"/>
              </w:rPr>
              <w:t>Group Operating Profit</w:t>
            </w:r>
          </w:p>
        </w:tc>
        <w:tc>
          <w:tcPr>
            <w:tcW w:w="1630" w:type="dxa"/>
            <w:shd w:val="clear" w:color="auto" w:fill="auto"/>
          </w:tcPr>
          <w:p w14:paraId="316555F4" w14:textId="77777777" w:rsidR="000B48DD" w:rsidRPr="00557DEC" w:rsidRDefault="000B48DD" w:rsidP="00946471">
            <w:pPr>
              <w:spacing w:after="0" w:line="240" w:lineRule="auto"/>
              <w:jc w:val="right"/>
              <w:rPr>
                <w:rFonts w:cs="Arial"/>
                <w:sz w:val="18"/>
                <w:szCs w:val="18"/>
                <w:lang w:val="en-US"/>
              </w:rPr>
            </w:pPr>
            <w:r w:rsidRPr="00557DEC">
              <w:rPr>
                <w:rFonts w:cs="Arial"/>
                <w:sz w:val="18"/>
                <w:szCs w:val="18"/>
                <w:lang w:val="en-US"/>
              </w:rPr>
              <w:t>7.2</w:t>
            </w:r>
          </w:p>
        </w:tc>
        <w:tc>
          <w:tcPr>
            <w:tcW w:w="1630" w:type="dxa"/>
          </w:tcPr>
          <w:p w14:paraId="179F3BAC" w14:textId="77777777" w:rsidR="000B48DD" w:rsidRPr="00B31BD0" w:rsidRDefault="000B48DD" w:rsidP="00946471">
            <w:pPr>
              <w:spacing w:after="0" w:line="240" w:lineRule="auto"/>
              <w:jc w:val="right"/>
              <w:rPr>
                <w:rFonts w:cs="Arial"/>
                <w:sz w:val="18"/>
                <w:szCs w:val="18"/>
                <w:lang w:val="en-US"/>
              </w:rPr>
            </w:pPr>
            <w:r>
              <w:rPr>
                <w:rFonts w:cs="Arial"/>
                <w:sz w:val="18"/>
                <w:szCs w:val="18"/>
                <w:lang w:val="en-US"/>
              </w:rPr>
              <w:t>3.9</w:t>
            </w:r>
          </w:p>
        </w:tc>
        <w:tc>
          <w:tcPr>
            <w:tcW w:w="1630" w:type="dxa"/>
            <w:shd w:val="clear" w:color="auto" w:fill="auto"/>
          </w:tcPr>
          <w:p w14:paraId="52C0FAA4" w14:textId="77777777" w:rsidR="000B48DD" w:rsidRPr="00AF2361" w:rsidRDefault="000B48DD" w:rsidP="00946471">
            <w:pPr>
              <w:spacing w:after="0" w:line="240" w:lineRule="auto"/>
              <w:jc w:val="right"/>
              <w:rPr>
                <w:rFonts w:cs="Arial"/>
                <w:sz w:val="18"/>
                <w:szCs w:val="18"/>
                <w:lang w:val="en-US"/>
              </w:rPr>
            </w:pPr>
            <w:r w:rsidRPr="00AF2361">
              <w:rPr>
                <w:rFonts w:cs="Arial"/>
                <w:bCs/>
                <w:sz w:val="18"/>
                <w:szCs w:val="18"/>
                <w:lang w:val="en-US"/>
              </w:rPr>
              <w:t>+84.6%</w:t>
            </w:r>
          </w:p>
        </w:tc>
        <w:tc>
          <w:tcPr>
            <w:tcW w:w="1631" w:type="dxa"/>
          </w:tcPr>
          <w:p w14:paraId="505C5884" w14:textId="77777777" w:rsidR="000B48DD" w:rsidRPr="00AF2361" w:rsidRDefault="000B48DD" w:rsidP="00946471">
            <w:pPr>
              <w:spacing w:after="0" w:line="240" w:lineRule="auto"/>
              <w:jc w:val="right"/>
              <w:rPr>
                <w:rFonts w:cs="Arial"/>
                <w:sz w:val="18"/>
                <w:szCs w:val="18"/>
                <w:lang w:val="en-US"/>
              </w:rPr>
            </w:pPr>
          </w:p>
        </w:tc>
      </w:tr>
      <w:tr w:rsidR="000B48DD" w:rsidRPr="00CB7CCC" w14:paraId="6F9ADDAB" w14:textId="77777777" w:rsidTr="00946471">
        <w:tc>
          <w:tcPr>
            <w:tcW w:w="2835" w:type="dxa"/>
          </w:tcPr>
          <w:p w14:paraId="3F0DE842" w14:textId="77777777" w:rsidR="000B48DD" w:rsidRPr="00CB7CCC" w:rsidRDefault="000B48DD" w:rsidP="00946471">
            <w:pPr>
              <w:spacing w:after="0" w:line="240" w:lineRule="auto"/>
              <w:jc w:val="both"/>
              <w:rPr>
                <w:rFonts w:cs="Arial"/>
                <w:sz w:val="18"/>
                <w:szCs w:val="18"/>
                <w:lang w:val="en-US"/>
              </w:rPr>
            </w:pPr>
            <w:r w:rsidRPr="00CB7CCC">
              <w:rPr>
                <w:rFonts w:cs="Arial"/>
                <w:sz w:val="18"/>
                <w:szCs w:val="18"/>
                <w:lang w:val="en-US"/>
              </w:rPr>
              <w:t>Adjusted Operating Profit</w:t>
            </w:r>
          </w:p>
        </w:tc>
        <w:tc>
          <w:tcPr>
            <w:tcW w:w="1630" w:type="dxa"/>
            <w:shd w:val="clear" w:color="auto" w:fill="auto"/>
          </w:tcPr>
          <w:p w14:paraId="1394049F" w14:textId="77777777" w:rsidR="000B48DD" w:rsidRPr="00557DEC" w:rsidRDefault="000B48DD" w:rsidP="00946471">
            <w:pPr>
              <w:spacing w:after="0" w:line="240" w:lineRule="auto"/>
              <w:jc w:val="right"/>
              <w:rPr>
                <w:rFonts w:cs="Arial"/>
                <w:sz w:val="18"/>
                <w:szCs w:val="18"/>
                <w:lang w:val="en-US"/>
              </w:rPr>
            </w:pPr>
            <w:r w:rsidRPr="00557DEC">
              <w:rPr>
                <w:rFonts w:cs="Arial"/>
                <w:sz w:val="18"/>
                <w:szCs w:val="18"/>
                <w:lang w:val="en-US"/>
              </w:rPr>
              <w:t>17.2</w:t>
            </w:r>
          </w:p>
        </w:tc>
        <w:tc>
          <w:tcPr>
            <w:tcW w:w="1630" w:type="dxa"/>
          </w:tcPr>
          <w:p w14:paraId="30820DAC" w14:textId="77777777" w:rsidR="000B48DD" w:rsidRPr="00B31BD0" w:rsidRDefault="000B48DD" w:rsidP="00946471">
            <w:pPr>
              <w:spacing w:after="0" w:line="240" w:lineRule="auto"/>
              <w:jc w:val="right"/>
              <w:rPr>
                <w:rFonts w:cs="Arial"/>
                <w:sz w:val="18"/>
                <w:szCs w:val="18"/>
                <w:lang w:val="en-US"/>
              </w:rPr>
            </w:pPr>
            <w:r>
              <w:rPr>
                <w:rFonts w:cs="Arial"/>
                <w:sz w:val="18"/>
                <w:szCs w:val="18"/>
                <w:lang w:val="en-US"/>
              </w:rPr>
              <w:t>0.2</w:t>
            </w:r>
          </w:p>
        </w:tc>
        <w:tc>
          <w:tcPr>
            <w:tcW w:w="1630" w:type="dxa"/>
            <w:shd w:val="clear" w:color="auto" w:fill="auto"/>
          </w:tcPr>
          <w:p w14:paraId="08534506" w14:textId="4F0385E1" w:rsidR="000B48DD" w:rsidRPr="00AF2361" w:rsidRDefault="000B48DD" w:rsidP="00946471">
            <w:pPr>
              <w:spacing w:after="0" w:line="240" w:lineRule="auto"/>
              <w:jc w:val="right"/>
              <w:rPr>
                <w:rFonts w:cs="Arial"/>
                <w:sz w:val="18"/>
                <w:szCs w:val="18"/>
                <w:lang w:val="en-US"/>
              </w:rPr>
            </w:pPr>
            <w:r w:rsidRPr="00AF2361">
              <w:rPr>
                <w:rFonts w:cs="Arial"/>
                <w:bCs/>
                <w:sz w:val="18"/>
                <w:szCs w:val="18"/>
                <w:lang w:val="en-US"/>
              </w:rPr>
              <w:t>+</w:t>
            </w:r>
            <w:r>
              <w:rPr>
                <w:rFonts w:cs="Arial"/>
                <w:bCs/>
                <w:sz w:val="18"/>
                <w:szCs w:val="18"/>
                <w:lang w:val="en-US"/>
              </w:rPr>
              <w:t>£17.0m</w:t>
            </w:r>
          </w:p>
        </w:tc>
        <w:tc>
          <w:tcPr>
            <w:tcW w:w="1631" w:type="dxa"/>
          </w:tcPr>
          <w:p w14:paraId="7D8B99DE" w14:textId="77777777" w:rsidR="000B48DD" w:rsidRPr="00AF2361" w:rsidRDefault="000B48DD" w:rsidP="00946471">
            <w:pPr>
              <w:spacing w:after="0" w:line="240" w:lineRule="auto"/>
              <w:jc w:val="right"/>
              <w:rPr>
                <w:rFonts w:cs="Arial"/>
                <w:sz w:val="18"/>
                <w:szCs w:val="18"/>
                <w:lang w:val="en-US"/>
              </w:rPr>
            </w:pPr>
          </w:p>
        </w:tc>
      </w:tr>
      <w:tr w:rsidR="000B48DD" w:rsidRPr="00CB7CCC" w14:paraId="65C51398" w14:textId="77777777" w:rsidTr="00946471">
        <w:tc>
          <w:tcPr>
            <w:tcW w:w="2835" w:type="dxa"/>
            <w:hideMark/>
          </w:tcPr>
          <w:p w14:paraId="2336EB6C" w14:textId="77777777" w:rsidR="000B48DD" w:rsidRPr="00CB7CCC" w:rsidRDefault="000B48DD" w:rsidP="00946471">
            <w:pPr>
              <w:spacing w:after="0" w:line="240" w:lineRule="auto"/>
              <w:jc w:val="both"/>
              <w:rPr>
                <w:rFonts w:cs="Arial"/>
                <w:sz w:val="18"/>
                <w:szCs w:val="18"/>
                <w:lang w:val="en-US"/>
              </w:rPr>
            </w:pPr>
            <w:r w:rsidRPr="00CB7CCC">
              <w:rPr>
                <w:rFonts w:cs="Arial"/>
                <w:sz w:val="18"/>
                <w:szCs w:val="18"/>
                <w:lang w:val="en-US"/>
              </w:rPr>
              <w:t>Adjusted Operating Margin %</w:t>
            </w:r>
          </w:p>
        </w:tc>
        <w:tc>
          <w:tcPr>
            <w:tcW w:w="1630" w:type="dxa"/>
            <w:shd w:val="clear" w:color="auto" w:fill="auto"/>
          </w:tcPr>
          <w:p w14:paraId="0CF26348" w14:textId="77777777" w:rsidR="000B48DD" w:rsidRPr="00557DEC" w:rsidRDefault="000B48DD" w:rsidP="00946471">
            <w:pPr>
              <w:spacing w:after="0" w:line="240" w:lineRule="auto"/>
              <w:jc w:val="right"/>
              <w:rPr>
                <w:rFonts w:cs="Arial"/>
                <w:sz w:val="18"/>
                <w:szCs w:val="18"/>
                <w:lang w:val="en-US"/>
              </w:rPr>
            </w:pPr>
            <w:r w:rsidRPr="00557DEC">
              <w:rPr>
                <w:rFonts w:cs="Arial"/>
                <w:sz w:val="18"/>
                <w:szCs w:val="18"/>
                <w:lang w:val="en-US"/>
              </w:rPr>
              <w:t>2.2%</w:t>
            </w:r>
          </w:p>
        </w:tc>
        <w:tc>
          <w:tcPr>
            <w:tcW w:w="1630" w:type="dxa"/>
          </w:tcPr>
          <w:p w14:paraId="49D77ADA" w14:textId="77777777" w:rsidR="000B48DD" w:rsidRPr="00B31BD0" w:rsidRDefault="000B48DD" w:rsidP="00946471">
            <w:pPr>
              <w:spacing w:after="0" w:line="240" w:lineRule="auto"/>
              <w:jc w:val="right"/>
              <w:rPr>
                <w:rFonts w:cs="Arial"/>
                <w:sz w:val="18"/>
                <w:szCs w:val="18"/>
                <w:lang w:val="en-US"/>
              </w:rPr>
            </w:pPr>
            <w:r>
              <w:rPr>
                <w:rFonts w:cs="Arial"/>
                <w:sz w:val="18"/>
                <w:szCs w:val="18"/>
                <w:lang w:val="en-US"/>
              </w:rPr>
              <w:t>0.0</w:t>
            </w:r>
            <w:r w:rsidRPr="00B31BD0">
              <w:rPr>
                <w:rFonts w:cs="Arial"/>
                <w:sz w:val="18"/>
                <w:szCs w:val="18"/>
                <w:lang w:val="en-US"/>
              </w:rPr>
              <w:t>%</w:t>
            </w:r>
          </w:p>
        </w:tc>
        <w:tc>
          <w:tcPr>
            <w:tcW w:w="1630" w:type="dxa"/>
            <w:shd w:val="clear" w:color="auto" w:fill="auto"/>
          </w:tcPr>
          <w:p w14:paraId="6A90D1C9" w14:textId="77777777" w:rsidR="000B48DD" w:rsidRPr="00AF2361" w:rsidRDefault="000B48DD" w:rsidP="00946471">
            <w:pPr>
              <w:spacing w:after="0" w:line="240" w:lineRule="auto"/>
              <w:jc w:val="right"/>
              <w:rPr>
                <w:rFonts w:cs="Arial"/>
                <w:sz w:val="18"/>
                <w:szCs w:val="18"/>
                <w:lang w:val="en-US"/>
              </w:rPr>
            </w:pPr>
            <w:r w:rsidRPr="00AF2361">
              <w:rPr>
                <w:rFonts w:cs="Arial"/>
                <w:sz w:val="18"/>
                <w:szCs w:val="18"/>
                <w:lang w:val="en-US"/>
              </w:rPr>
              <w:t>+220bps</w:t>
            </w:r>
          </w:p>
        </w:tc>
        <w:tc>
          <w:tcPr>
            <w:tcW w:w="1631" w:type="dxa"/>
          </w:tcPr>
          <w:p w14:paraId="50CD0EFE" w14:textId="77777777" w:rsidR="000B48DD" w:rsidRPr="00AF2361" w:rsidRDefault="000B48DD" w:rsidP="00946471">
            <w:pPr>
              <w:spacing w:after="0" w:line="240" w:lineRule="auto"/>
              <w:jc w:val="right"/>
              <w:rPr>
                <w:rFonts w:cs="Arial"/>
                <w:sz w:val="18"/>
                <w:szCs w:val="18"/>
                <w:lang w:val="en-US"/>
              </w:rPr>
            </w:pPr>
          </w:p>
        </w:tc>
      </w:tr>
    </w:tbl>
    <w:p w14:paraId="45B9094F" w14:textId="66A6FAA2" w:rsidR="000B48DD" w:rsidRDefault="000B48DD" w:rsidP="00CF2405">
      <w:pPr>
        <w:spacing w:after="0" w:line="240" w:lineRule="auto"/>
        <w:jc w:val="both"/>
        <w:rPr>
          <w:rFonts w:cs="Arial"/>
          <w:b/>
          <w:sz w:val="18"/>
          <w:szCs w:val="18"/>
        </w:rPr>
      </w:pPr>
    </w:p>
    <w:p w14:paraId="2EE9F803" w14:textId="77777777" w:rsidR="000B48DD" w:rsidRPr="00CB7CCC" w:rsidRDefault="000B48DD" w:rsidP="00CF2405">
      <w:pPr>
        <w:spacing w:after="0" w:line="240" w:lineRule="auto"/>
        <w:jc w:val="both"/>
        <w:rPr>
          <w:rFonts w:cs="Arial"/>
          <w:b/>
          <w:sz w:val="18"/>
          <w:szCs w:val="18"/>
        </w:rPr>
      </w:pPr>
    </w:p>
    <w:tbl>
      <w:tblPr>
        <w:tblW w:w="7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1376"/>
        <w:gridCol w:w="1376"/>
        <w:gridCol w:w="1376"/>
      </w:tblGrid>
      <w:tr w:rsidR="00CF2405" w:rsidRPr="009D373E" w14:paraId="798F6A11" w14:textId="77777777" w:rsidTr="00865099">
        <w:trPr>
          <w:jc w:val="center"/>
        </w:trPr>
        <w:tc>
          <w:tcPr>
            <w:tcW w:w="2895" w:type="dxa"/>
          </w:tcPr>
          <w:p w14:paraId="718900D7" w14:textId="77777777" w:rsidR="00CF2405" w:rsidRPr="00CB7CCC" w:rsidRDefault="00CF2405" w:rsidP="00CF2405">
            <w:pPr>
              <w:spacing w:after="0" w:line="240" w:lineRule="auto"/>
              <w:jc w:val="both"/>
              <w:rPr>
                <w:rFonts w:cs="Arial"/>
                <w:b/>
                <w:sz w:val="18"/>
                <w:szCs w:val="18"/>
                <w:lang w:val="en-US"/>
              </w:rPr>
            </w:pPr>
          </w:p>
        </w:tc>
        <w:tc>
          <w:tcPr>
            <w:tcW w:w="4128" w:type="dxa"/>
            <w:gridSpan w:val="3"/>
            <w:hideMark/>
          </w:tcPr>
          <w:p w14:paraId="2FF232B1" w14:textId="77777777" w:rsidR="00CF2405" w:rsidRPr="009D373E" w:rsidRDefault="00CF2405" w:rsidP="00CF2405">
            <w:pPr>
              <w:tabs>
                <w:tab w:val="left" w:pos="1296"/>
                <w:tab w:val="center" w:pos="2584"/>
              </w:tabs>
              <w:spacing w:after="0" w:line="240" w:lineRule="auto"/>
              <w:jc w:val="center"/>
              <w:rPr>
                <w:rFonts w:cs="Arial"/>
                <w:b/>
                <w:sz w:val="18"/>
                <w:szCs w:val="18"/>
                <w:lang w:val="en-US"/>
              </w:rPr>
            </w:pPr>
            <w:r w:rsidRPr="009D373E">
              <w:rPr>
                <w:rFonts w:cs="Arial"/>
                <w:b/>
                <w:sz w:val="18"/>
                <w:szCs w:val="18"/>
                <w:lang w:val="en-US"/>
              </w:rPr>
              <w:t>Pro Forma Revenue Growth (versus FY21)</w:t>
            </w:r>
          </w:p>
        </w:tc>
      </w:tr>
      <w:tr w:rsidR="00CF2405" w:rsidRPr="009D373E" w14:paraId="54CA0CC8" w14:textId="77777777" w:rsidTr="00865099">
        <w:trPr>
          <w:jc w:val="center"/>
        </w:trPr>
        <w:tc>
          <w:tcPr>
            <w:tcW w:w="2895" w:type="dxa"/>
          </w:tcPr>
          <w:p w14:paraId="0DE5101B" w14:textId="77777777" w:rsidR="00CF2405" w:rsidRPr="009D373E" w:rsidRDefault="00CF2405" w:rsidP="00CF2405">
            <w:pPr>
              <w:spacing w:after="0" w:line="240" w:lineRule="auto"/>
              <w:jc w:val="both"/>
              <w:rPr>
                <w:rFonts w:cs="Arial"/>
                <w:b/>
                <w:sz w:val="18"/>
                <w:szCs w:val="18"/>
                <w:lang w:val="en-US"/>
              </w:rPr>
            </w:pPr>
          </w:p>
        </w:tc>
        <w:tc>
          <w:tcPr>
            <w:tcW w:w="1376" w:type="dxa"/>
          </w:tcPr>
          <w:p w14:paraId="27A78E16" w14:textId="77777777" w:rsidR="00CF2405" w:rsidRPr="009D373E" w:rsidRDefault="00CF2405" w:rsidP="00CF2405">
            <w:pPr>
              <w:spacing w:after="0" w:line="240" w:lineRule="auto"/>
              <w:jc w:val="right"/>
              <w:rPr>
                <w:rFonts w:cs="Arial"/>
                <w:b/>
                <w:sz w:val="18"/>
                <w:szCs w:val="18"/>
                <w:lang w:val="en-US"/>
              </w:rPr>
            </w:pPr>
            <w:r w:rsidRPr="009D373E">
              <w:rPr>
                <w:rFonts w:cs="Arial"/>
                <w:b/>
                <w:sz w:val="18"/>
                <w:szCs w:val="18"/>
                <w:lang w:val="en-US"/>
              </w:rPr>
              <w:t>Q1 22</w:t>
            </w:r>
          </w:p>
        </w:tc>
        <w:tc>
          <w:tcPr>
            <w:tcW w:w="1376" w:type="dxa"/>
          </w:tcPr>
          <w:p w14:paraId="6202B742" w14:textId="77777777" w:rsidR="00CF2405" w:rsidRPr="009D373E" w:rsidRDefault="00CF2405" w:rsidP="00CF2405">
            <w:pPr>
              <w:spacing w:after="0" w:line="240" w:lineRule="auto"/>
              <w:jc w:val="right"/>
              <w:rPr>
                <w:rFonts w:cs="Arial"/>
                <w:b/>
                <w:sz w:val="18"/>
                <w:szCs w:val="18"/>
                <w:lang w:val="en-US"/>
              </w:rPr>
            </w:pPr>
            <w:r w:rsidRPr="009D373E">
              <w:rPr>
                <w:rFonts w:cs="Arial"/>
                <w:b/>
                <w:sz w:val="18"/>
                <w:szCs w:val="18"/>
                <w:lang w:val="en-US"/>
              </w:rPr>
              <w:t>Q2 22</w:t>
            </w:r>
          </w:p>
        </w:tc>
        <w:tc>
          <w:tcPr>
            <w:tcW w:w="1376" w:type="dxa"/>
          </w:tcPr>
          <w:p w14:paraId="1D3D53F1" w14:textId="77777777" w:rsidR="00CF2405" w:rsidRPr="009D373E" w:rsidRDefault="00CF2405" w:rsidP="00CF2405">
            <w:pPr>
              <w:spacing w:after="0" w:line="240" w:lineRule="auto"/>
              <w:jc w:val="right"/>
              <w:rPr>
                <w:rFonts w:cs="Arial"/>
                <w:b/>
                <w:sz w:val="18"/>
                <w:szCs w:val="18"/>
                <w:lang w:val="en-US"/>
              </w:rPr>
            </w:pPr>
            <w:r w:rsidRPr="009D373E">
              <w:rPr>
                <w:rFonts w:cs="Arial"/>
                <w:b/>
                <w:sz w:val="18"/>
                <w:szCs w:val="18"/>
                <w:lang w:val="en-US"/>
              </w:rPr>
              <w:t>H1 22</w:t>
            </w:r>
          </w:p>
        </w:tc>
      </w:tr>
      <w:tr w:rsidR="00CF2405" w:rsidRPr="009D373E" w14:paraId="60E41C91" w14:textId="77777777" w:rsidTr="00865099">
        <w:trPr>
          <w:jc w:val="center"/>
        </w:trPr>
        <w:tc>
          <w:tcPr>
            <w:tcW w:w="2895" w:type="dxa"/>
            <w:hideMark/>
          </w:tcPr>
          <w:p w14:paraId="66593264" w14:textId="77777777" w:rsidR="00CF2405" w:rsidRPr="009D373E" w:rsidRDefault="00CF2405" w:rsidP="00CF2405">
            <w:pPr>
              <w:spacing w:after="0" w:line="240" w:lineRule="auto"/>
              <w:jc w:val="both"/>
              <w:rPr>
                <w:rFonts w:cs="Arial"/>
                <w:sz w:val="18"/>
                <w:szCs w:val="18"/>
                <w:lang w:val="en-US"/>
              </w:rPr>
            </w:pPr>
            <w:r w:rsidRPr="009D373E">
              <w:rPr>
                <w:rFonts w:cs="Arial"/>
                <w:sz w:val="18"/>
                <w:szCs w:val="18"/>
                <w:lang w:val="en-US"/>
              </w:rPr>
              <w:t>Group</w:t>
            </w:r>
          </w:p>
        </w:tc>
        <w:tc>
          <w:tcPr>
            <w:tcW w:w="1376" w:type="dxa"/>
            <w:shd w:val="clear" w:color="auto" w:fill="auto"/>
          </w:tcPr>
          <w:p w14:paraId="06EF0916" w14:textId="575847C0"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+26%</w:t>
            </w:r>
          </w:p>
        </w:tc>
        <w:tc>
          <w:tcPr>
            <w:tcW w:w="1376" w:type="dxa"/>
            <w:shd w:val="clear" w:color="auto" w:fill="auto"/>
          </w:tcPr>
          <w:p w14:paraId="1B3C53E8" w14:textId="1217B3E7"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w:t>
            </w:r>
            <w:r w:rsidR="001731DF">
              <w:rPr>
                <w:rFonts w:cs="Arial"/>
                <w:bCs/>
                <w:sz w:val="18"/>
                <w:szCs w:val="18"/>
                <w:lang w:val="en-US"/>
              </w:rPr>
              <w:t>45</w:t>
            </w:r>
            <w:r w:rsidRPr="009D373E">
              <w:rPr>
                <w:rFonts w:cs="Arial"/>
                <w:bCs/>
                <w:sz w:val="18"/>
                <w:szCs w:val="18"/>
                <w:lang w:val="en-US"/>
              </w:rPr>
              <w:t>%</w:t>
            </w:r>
          </w:p>
        </w:tc>
        <w:tc>
          <w:tcPr>
            <w:tcW w:w="1376" w:type="dxa"/>
            <w:shd w:val="clear" w:color="auto" w:fill="auto"/>
          </w:tcPr>
          <w:p w14:paraId="746BA69F" w14:textId="43317F8F"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+35%</w:t>
            </w:r>
          </w:p>
        </w:tc>
      </w:tr>
      <w:tr w:rsidR="00CF2405" w:rsidRPr="009D373E" w14:paraId="1043B0A7" w14:textId="77777777" w:rsidTr="00865099">
        <w:trPr>
          <w:jc w:val="center"/>
        </w:trPr>
        <w:tc>
          <w:tcPr>
            <w:tcW w:w="2895" w:type="dxa"/>
          </w:tcPr>
          <w:p w14:paraId="2A28DBCA" w14:textId="77777777" w:rsidR="00CF2405" w:rsidRPr="009D373E" w:rsidRDefault="00CF2405" w:rsidP="00CF2405">
            <w:pPr>
              <w:spacing w:after="0" w:line="240" w:lineRule="auto"/>
              <w:jc w:val="both"/>
              <w:rPr>
                <w:rFonts w:cs="Arial"/>
                <w:sz w:val="18"/>
                <w:szCs w:val="18"/>
                <w:lang w:val="en-US"/>
              </w:rPr>
            </w:pPr>
            <w:r w:rsidRPr="009D373E">
              <w:rPr>
                <w:rFonts w:cs="Arial"/>
                <w:sz w:val="18"/>
                <w:szCs w:val="18"/>
                <w:lang w:val="en-US"/>
              </w:rPr>
              <w:t>Food to go categories</w:t>
            </w:r>
          </w:p>
        </w:tc>
        <w:tc>
          <w:tcPr>
            <w:tcW w:w="1376" w:type="dxa"/>
            <w:shd w:val="clear" w:color="auto" w:fill="auto"/>
          </w:tcPr>
          <w:p w14:paraId="7C84AA8C" w14:textId="1CD0E1A6"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+35%</w:t>
            </w:r>
          </w:p>
        </w:tc>
        <w:tc>
          <w:tcPr>
            <w:tcW w:w="1376" w:type="dxa"/>
            <w:shd w:val="clear" w:color="auto" w:fill="auto"/>
          </w:tcPr>
          <w:p w14:paraId="088FB8B8" w14:textId="43E2D63F"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w:t>
            </w:r>
            <w:r w:rsidR="001731DF">
              <w:rPr>
                <w:rFonts w:cs="Arial"/>
                <w:bCs/>
                <w:sz w:val="18"/>
                <w:szCs w:val="18"/>
                <w:lang w:val="en-US"/>
              </w:rPr>
              <w:t>65</w:t>
            </w:r>
            <w:r w:rsidRPr="009D373E">
              <w:rPr>
                <w:rFonts w:cs="Arial"/>
                <w:bCs/>
                <w:sz w:val="18"/>
                <w:szCs w:val="18"/>
                <w:lang w:val="en-US"/>
              </w:rPr>
              <w:t>%</w:t>
            </w:r>
          </w:p>
        </w:tc>
        <w:tc>
          <w:tcPr>
            <w:tcW w:w="1376" w:type="dxa"/>
            <w:shd w:val="clear" w:color="auto" w:fill="auto"/>
          </w:tcPr>
          <w:p w14:paraId="0CAE2810" w14:textId="306F7814"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+48%</w:t>
            </w:r>
          </w:p>
        </w:tc>
      </w:tr>
      <w:tr w:rsidR="00CF2405" w:rsidRPr="009D373E" w14:paraId="7A9A3254" w14:textId="77777777" w:rsidTr="00865099">
        <w:trPr>
          <w:jc w:val="center"/>
        </w:trPr>
        <w:tc>
          <w:tcPr>
            <w:tcW w:w="2895" w:type="dxa"/>
            <w:hideMark/>
          </w:tcPr>
          <w:p w14:paraId="0FDCAB0C" w14:textId="77777777" w:rsidR="00CF2405" w:rsidRPr="009D373E" w:rsidRDefault="00CF2405" w:rsidP="00CF2405">
            <w:pPr>
              <w:spacing w:after="0" w:line="240" w:lineRule="auto"/>
              <w:jc w:val="both"/>
              <w:rPr>
                <w:rFonts w:cs="Arial"/>
                <w:sz w:val="18"/>
                <w:szCs w:val="18"/>
                <w:lang w:val="en-US"/>
              </w:rPr>
            </w:pPr>
            <w:r w:rsidRPr="009D373E">
              <w:rPr>
                <w:rFonts w:cs="Arial"/>
                <w:sz w:val="18"/>
                <w:szCs w:val="18"/>
                <w:lang w:val="en-US"/>
              </w:rPr>
              <w:t>Other convenience food categories</w:t>
            </w:r>
          </w:p>
        </w:tc>
        <w:tc>
          <w:tcPr>
            <w:tcW w:w="1376" w:type="dxa"/>
            <w:shd w:val="clear" w:color="auto" w:fill="auto"/>
          </w:tcPr>
          <w:p w14:paraId="1F9A9D90" w14:textId="254868EE"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+13%</w:t>
            </w:r>
          </w:p>
        </w:tc>
        <w:tc>
          <w:tcPr>
            <w:tcW w:w="1376" w:type="dxa"/>
            <w:shd w:val="clear" w:color="auto" w:fill="auto"/>
          </w:tcPr>
          <w:p w14:paraId="099B6B9E" w14:textId="00374B91"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w:t>
            </w:r>
            <w:r w:rsidR="001731DF">
              <w:rPr>
                <w:rFonts w:cs="Arial"/>
                <w:bCs/>
                <w:sz w:val="18"/>
                <w:szCs w:val="18"/>
                <w:lang w:val="en-US"/>
              </w:rPr>
              <w:t>19</w:t>
            </w:r>
            <w:r w:rsidRPr="009D373E">
              <w:rPr>
                <w:rFonts w:cs="Arial"/>
                <w:bCs/>
                <w:sz w:val="18"/>
                <w:szCs w:val="18"/>
                <w:lang w:val="en-US"/>
              </w:rPr>
              <w:t>%</w:t>
            </w:r>
          </w:p>
        </w:tc>
        <w:tc>
          <w:tcPr>
            <w:tcW w:w="1376" w:type="dxa"/>
            <w:shd w:val="clear" w:color="auto" w:fill="auto"/>
          </w:tcPr>
          <w:p w14:paraId="2A7C38C2" w14:textId="02FFA1E2"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+16%</w:t>
            </w:r>
          </w:p>
        </w:tc>
      </w:tr>
    </w:tbl>
    <w:p w14:paraId="0889C824" w14:textId="77777777" w:rsidR="00CF2405" w:rsidRPr="009D373E" w:rsidRDefault="00CF2405" w:rsidP="00CF2405">
      <w:pPr>
        <w:spacing w:after="0" w:line="240" w:lineRule="auto"/>
        <w:jc w:val="both"/>
        <w:rPr>
          <w:rFonts w:cs="Arial"/>
          <w:b/>
          <w:sz w:val="18"/>
          <w:szCs w:val="18"/>
        </w:rPr>
      </w:pPr>
    </w:p>
    <w:p w14:paraId="28CFB7DD" w14:textId="77777777" w:rsidR="00CF2405" w:rsidRPr="009D373E" w:rsidRDefault="00CF2405" w:rsidP="00CF2405">
      <w:pPr>
        <w:spacing w:after="0" w:line="240" w:lineRule="auto"/>
        <w:jc w:val="both"/>
        <w:rPr>
          <w:rFonts w:cs="Arial"/>
          <w:b/>
          <w:sz w:val="18"/>
          <w:szCs w:val="18"/>
        </w:rPr>
      </w:pPr>
    </w:p>
    <w:tbl>
      <w:tblPr>
        <w:tblW w:w="7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1376"/>
        <w:gridCol w:w="1376"/>
        <w:gridCol w:w="1376"/>
      </w:tblGrid>
      <w:tr w:rsidR="00CF2405" w:rsidRPr="009D373E" w14:paraId="4F2096DA" w14:textId="77777777" w:rsidTr="00865099">
        <w:trPr>
          <w:jc w:val="center"/>
        </w:trPr>
        <w:tc>
          <w:tcPr>
            <w:tcW w:w="2895" w:type="dxa"/>
          </w:tcPr>
          <w:p w14:paraId="43CD6842" w14:textId="77777777" w:rsidR="00CF2405" w:rsidRPr="009D373E" w:rsidRDefault="00CF2405" w:rsidP="00CF2405">
            <w:pPr>
              <w:spacing w:after="0" w:line="240" w:lineRule="auto"/>
              <w:jc w:val="both"/>
              <w:rPr>
                <w:rFonts w:cs="Arial"/>
                <w:b/>
                <w:sz w:val="18"/>
                <w:szCs w:val="18"/>
                <w:lang w:val="en-US"/>
              </w:rPr>
            </w:pPr>
          </w:p>
        </w:tc>
        <w:tc>
          <w:tcPr>
            <w:tcW w:w="4128" w:type="dxa"/>
            <w:gridSpan w:val="3"/>
            <w:hideMark/>
          </w:tcPr>
          <w:p w14:paraId="3A25970D" w14:textId="77777777" w:rsidR="00CF2405" w:rsidRPr="009D373E" w:rsidRDefault="00CF2405" w:rsidP="00CF2405">
            <w:pPr>
              <w:tabs>
                <w:tab w:val="left" w:pos="1296"/>
                <w:tab w:val="center" w:pos="2584"/>
              </w:tabs>
              <w:spacing w:after="0" w:line="240" w:lineRule="auto"/>
              <w:jc w:val="center"/>
              <w:rPr>
                <w:rFonts w:cs="Arial"/>
                <w:b/>
                <w:sz w:val="18"/>
                <w:szCs w:val="18"/>
                <w:lang w:val="en-US"/>
              </w:rPr>
            </w:pPr>
            <w:r w:rsidRPr="009D373E">
              <w:rPr>
                <w:rFonts w:cs="Arial"/>
                <w:b/>
                <w:sz w:val="18"/>
                <w:szCs w:val="18"/>
                <w:lang w:val="en-US"/>
              </w:rPr>
              <w:t>Pro Forma Revenue Growth (versus FY19)</w:t>
            </w:r>
          </w:p>
        </w:tc>
      </w:tr>
      <w:tr w:rsidR="00CF2405" w:rsidRPr="009D373E" w14:paraId="7C708D2D" w14:textId="77777777" w:rsidTr="00865099">
        <w:trPr>
          <w:jc w:val="center"/>
        </w:trPr>
        <w:tc>
          <w:tcPr>
            <w:tcW w:w="2895" w:type="dxa"/>
          </w:tcPr>
          <w:p w14:paraId="30480DD3" w14:textId="77777777" w:rsidR="00CF2405" w:rsidRPr="009D373E" w:rsidRDefault="00CF2405" w:rsidP="00CF2405">
            <w:pPr>
              <w:spacing w:after="0" w:line="240" w:lineRule="auto"/>
              <w:jc w:val="both"/>
              <w:rPr>
                <w:rFonts w:cs="Arial"/>
                <w:b/>
                <w:sz w:val="18"/>
                <w:szCs w:val="18"/>
                <w:lang w:val="en-US"/>
              </w:rPr>
            </w:pPr>
          </w:p>
        </w:tc>
        <w:tc>
          <w:tcPr>
            <w:tcW w:w="1376" w:type="dxa"/>
          </w:tcPr>
          <w:p w14:paraId="57472F51" w14:textId="77777777" w:rsidR="00CF2405" w:rsidRPr="009D373E" w:rsidRDefault="00CF2405" w:rsidP="00CF2405">
            <w:pPr>
              <w:spacing w:after="0" w:line="240" w:lineRule="auto"/>
              <w:jc w:val="right"/>
              <w:rPr>
                <w:rFonts w:cs="Arial"/>
                <w:b/>
                <w:sz w:val="18"/>
                <w:szCs w:val="18"/>
                <w:lang w:val="en-US"/>
              </w:rPr>
            </w:pPr>
            <w:r w:rsidRPr="009D373E">
              <w:rPr>
                <w:rFonts w:cs="Arial"/>
                <w:b/>
                <w:sz w:val="18"/>
                <w:szCs w:val="18"/>
                <w:lang w:val="en-US"/>
              </w:rPr>
              <w:t>Q1 22</w:t>
            </w:r>
          </w:p>
        </w:tc>
        <w:tc>
          <w:tcPr>
            <w:tcW w:w="1376" w:type="dxa"/>
          </w:tcPr>
          <w:p w14:paraId="60EF2432" w14:textId="77777777" w:rsidR="00CF2405" w:rsidRPr="009D373E" w:rsidRDefault="00CF2405" w:rsidP="00CF2405">
            <w:pPr>
              <w:spacing w:after="0" w:line="240" w:lineRule="auto"/>
              <w:jc w:val="right"/>
              <w:rPr>
                <w:rFonts w:cs="Arial"/>
                <w:b/>
                <w:sz w:val="18"/>
                <w:szCs w:val="18"/>
                <w:lang w:val="en-US"/>
              </w:rPr>
            </w:pPr>
            <w:r w:rsidRPr="009D373E">
              <w:rPr>
                <w:rFonts w:cs="Arial"/>
                <w:b/>
                <w:sz w:val="18"/>
                <w:szCs w:val="18"/>
                <w:lang w:val="en-US"/>
              </w:rPr>
              <w:t>Q2 22</w:t>
            </w:r>
          </w:p>
        </w:tc>
        <w:tc>
          <w:tcPr>
            <w:tcW w:w="1376" w:type="dxa"/>
          </w:tcPr>
          <w:p w14:paraId="514C6FF9" w14:textId="77777777" w:rsidR="00CF2405" w:rsidRPr="009D373E" w:rsidRDefault="00CF2405" w:rsidP="00CF2405">
            <w:pPr>
              <w:spacing w:after="0" w:line="240" w:lineRule="auto"/>
              <w:jc w:val="right"/>
              <w:rPr>
                <w:rFonts w:cs="Arial"/>
                <w:b/>
                <w:sz w:val="18"/>
                <w:szCs w:val="18"/>
                <w:lang w:val="en-US"/>
              </w:rPr>
            </w:pPr>
            <w:r w:rsidRPr="009D373E">
              <w:rPr>
                <w:rFonts w:cs="Arial"/>
                <w:b/>
                <w:sz w:val="18"/>
                <w:szCs w:val="18"/>
                <w:lang w:val="en-US"/>
              </w:rPr>
              <w:t>H1 22</w:t>
            </w:r>
          </w:p>
        </w:tc>
      </w:tr>
      <w:tr w:rsidR="00CF2405" w:rsidRPr="009D373E" w14:paraId="1E73CCF0" w14:textId="77777777" w:rsidTr="00865099">
        <w:trPr>
          <w:jc w:val="center"/>
        </w:trPr>
        <w:tc>
          <w:tcPr>
            <w:tcW w:w="2895" w:type="dxa"/>
            <w:hideMark/>
          </w:tcPr>
          <w:p w14:paraId="04E502DE" w14:textId="77777777" w:rsidR="00CF2405" w:rsidRPr="009D373E" w:rsidRDefault="00CF2405" w:rsidP="00CF2405">
            <w:pPr>
              <w:spacing w:after="0" w:line="240" w:lineRule="auto"/>
              <w:jc w:val="both"/>
              <w:rPr>
                <w:rFonts w:cs="Arial"/>
                <w:sz w:val="18"/>
                <w:szCs w:val="18"/>
                <w:lang w:val="en-US"/>
              </w:rPr>
            </w:pPr>
            <w:r w:rsidRPr="009D373E">
              <w:rPr>
                <w:rFonts w:cs="Arial"/>
                <w:sz w:val="18"/>
                <w:szCs w:val="18"/>
                <w:lang w:val="en-US"/>
              </w:rPr>
              <w:t>Group</w:t>
            </w:r>
          </w:p>
        </w:tc>
        <w:tc>
          <w:tcPr>
            <w:tcW w:w="1376" w:type="dxa"/>
            <w:shd w:val="clear" w:color="auto" w:fill="auto"/>
          </w:tcPr>
          <w:p w14:paraId="60ABBA84" w14:textId="18FACBDF"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+8%</w:t>
            </w:r>
          </w:p>
        </w:tc>
        <w:tc>
          <w:tcPr>
            <w:tcW w:w="1376" w:type="dxa"/>
            <w:shd w:val="clear" w:color="auto" w:fill="auto"/>
          </w:tcPr>
          <w:p w14:paraId="371F38D0" w14:textId="10C8CBCC"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w:t>
            </w:r>
            <w:r w:rsidR="001731DF">
              <w:rPr>
                <w:rFonts w:cs="Arial"/>
                <w:bCs/>
                <w:sz w:val="18"/>
                <w:szCs w:val="18"/>
                <w:lang w:val="en-US"/>
              </w:rPr>
              <w:t>12</w:t>
            </w:r>
            <w:r w:rsidRPr="009D373E">
              <w:rPr>
                <w:rFonts w:cs="Arial"/>
                <w:bCs/>
                <w:sz w:val="18"/>
                <w:szCs w:val="18"/>
                <w:lang w:val="en-US"/>
              </w:rPr>
              <w:t>%</w:t>
            </w:r>
          </w:p>
        </w:tc>
        <w:tc>
          <w:tcPr>
            <w:tcW w:w="1376" w:type="dxa"/>
            <w:shd w:val="clear" w:color="auto" w:fill="auto"/>
          </w:tcPr>
          <w:p w14:paraId="43D35BC1" w14:textId="45D3A959"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+10%</w:t>
            </w:r>
          </w:p>
        </w:tc>
      </w:tr>
      <w:tr w:rsidR="00CF2405" w:rsidRPr="009D373E" w14:paraId="0E1553E9" w14:textId="77777777" w:rsidTr="00865099">
        <w:trPr>
          <w:jc w:val="center"/>
        </w:trPr>
        <w:tc>
          <w:tcPr>
            <w:tcW w:w="2895" w:type="dxa"/>
          </w:tcPr>
          <w:p w14:paraId="5B89D426" w14:textId="77777777" w:rsidR="00CF2405" w:rsidRPr="009D373E" w:rsidRDefault="00CF2405" w:rsidP="00CF2405">
            <w:pPr>
              <w:spacing w:after="0" w:line="240" w:lineRule="auto"/>
              <w:jc w:val="both"/>
              <w:rPr>
                <w:rFonts w:cs="Arial"/>
                <w:sz w:val="18"/>
                <w:szCs w:val="18"/>
                <w:lang w:val="en-US"/>
              </w:rPr>
            </w:pPr>
            <w:r w:rsidRPr="009D373E">
              <w:rPr>
                <w:rFonts w:cs="Arial"/>
                <w:sz w:val="18"/>
                <w:szCs w:val="18"/>
                <w:lang w:val="en-US"/>
              </w:rPr>
              <w:t>Food to go categories</w:t>
            </w:r>
          </w:p>
        </w:tc>
        <w:tc>
          <w:tcPr>
            <w:tcW w:w="1376" w:type="dxa"/>
            <w:shd w:val="clear" w:color="auto" w:fill="auto"/>
          </w:tcPr>
          <w:p w14:paraId="519CA226" w14:textId="02755B24"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+6%</w:t>
            </w:r>
          </w:p>
        </w:tc>
        <w:tc>
          <w:tcPr>
            <w:tcW w:w="1376" w:type="dxa"/>
            <w:shd w:val="clear" w:color="auto" w:fill="auto"/>
          </w:tcPr>
          <w:p w14:paraId="01057EAD" w14:textId="6B362441"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w:t>
            </w:r>
            <w:r w:rsidR="001731DF">
              <w:rPr>
                <w:rFonts w:cs="Arial"/>
                <w:bCs/>
                <w:sz w:val="18"/>
                <w:szCs w:val="18"/>
                <w:lang w:val="en-US"/>
              </w:rPr>
              <w:t>10</w:t>
            </w:r>
            <w:r w:rsidRPr="009D373E">
              <w:rPr>
                <w:rFonts w:cs="Arial"/>
                <w:bCs/>
                <w:sz w:val="18"/>
                <w:szCs w:val="18"/>
                <w:lang w:val="en-US"/>
              </w:rPr>
              <w:t>%</w:t>
            </w:r>
          </w:p>
        </w:tc>
        <w:tc>
          <w:tcPr>
            <w:tcW w:w="1376" w:type="dxa"/>
            <w:shd w:val="clear" w:color="auto" w:fill="auto"/>
          </w:tcPr>
          <w:p w14:paraId="4AD9516B" w14:textId="53655541"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+8%</w:t>
            </w:r>
          </w:p>
        </w:tc>
      </w:tr>
      <w:tr w:rsidR="00CF2405" w:rsidRPr="00CB7CCC" w14:paraId="3DD3C2B7" w14:textId="77777777" w:rsidTr="00865099">
        <w:trPr>
          <w:jc w:val="center"/>
        </w:trPr>
        <w:tc>
          <w:tcPr>
            <w:tcW w:w="2895" w:type="dxa"/>
            <w:hideMark/>
          </w:tcPr>
          <w:p w14:paraId="6340CF02" w14:textId="77777777" w:rsidR="00CF2405" w:rsidRPr="009D373E" w:rsidRDefault="00CF2405" w:rsidP="00CF2405">
            <w:pPr>
              <w:spacing w:after="0" w:line="240" w:lineRule="auto"/>
              <w:jc w:val="both"/>
              <w:rPr>
                <w:rFonts w:cs="Arial"/>
                <w:sz w:val="18"/>
                <w:szCs w:val="18"/>
                <w:lang w:val="en-US"/>
              </w:rPr>
            </w:pPr>
            <w:r w:rsidRPr="009D373E">
              <w:rPr>
                <w:rFonts w:cs="Arial"/>
                <w:sz w:val="18"/>
                <w:szCs w:val="18"/>
                <w:lang w:val="en-US"/>
              </w:rPr>
              <w:t>Other convenience food categories</w:t>
            </w:r>
          </w:p>
        </w:tc>
        <w:tc>
          <w:tcPr>
            <w:tcW w:w="1376" w:type="dxa"/>
            <w:shd w:val="clear" w:color="auto" w:fill="auto"/>
          </w:tcPr>
          <w:p w14:paraId="485276DD" w14:textId="03471DB8"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+10%</w:t>
            </w:r>
          </w:p>
        </w:tc>
        <w:tc>
          <w:tcPr>
            <w:tcW w:w="1376" w:type="dxa"/>
            <w:shd w:val="clear" w:color="auto" w:fill="auto"/>
          </w:tcPr>
          <w:p w14:paraId="1EA6CEC9" w14:textId="5A4BDA1C"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w:t>
            </w:r>
            <w:r w:rsidR="001731DF">
              <w:rPr>
                <w:rFonts w:cs="Arial"/>
                <w:bCs/>
                <w:sz w:val="18"/>
                <w:szCs w:val="18"/>
                <w:lang w:val="en-US"/>
              </w:rPr>
              <w:t>17</w:t>
            </w:r>
            <w:r w:rsidRPr="009D373E">
              <w:rPr>
                <w:rFonts w:cs="Arial"/>
                <w:bCs/>
                <w:sz w:val="18"/>
                <w:szCs w:val="18"/>
                <w:lang w:val="en-US"/>
              </w:rPr>
              <w:t>%</w:t>
            </w:r>
          </w:p>
        </w:tc>
        <w:tc>
          <w:tcPr>
            <w:tcW w:w="1376" w:type="dxa"/>
            <w:shd w:val="clear" w:color="auto" w:fill="auto"/>
          </w:tcPr>
          <w:p w14:paraId="0057A7FA" w14:textId="03338585" w:rsidR="00CF2405" w:rsidRPr="009D373E" w:rsidRDefault="00CF2405" w:rsidP="00CF2405">
            <w:pPr>
              <w:spacing w:after="0" w:line="240" w:lineRule="auto"/>
              <w:jc w:val="right"/>
              <w:rPr>
                <w:rFonts w:cs="Arial"/>
                <w:sz w:val="18"/>
                <w:szCs w:val="18"/>
                <w:lang w:val="en-US"/>
              </w:rPr>
            </w:pPr>
            <w:r w:rsidRPr="009D373E">
              <w:rPr>
                <w:rFonts w:cs="Arial"/>
                <w:bCs/>
                <w:sz w:val="18"/>
                <w:szCs w:val="18"/>
                <w:lang w:val="en-US"/>
              </w:rPr>
              <w:t>+14%</w:t>
            </w:r>
          </w:p>
        </w:tc>
      </w:tr>
    </w:tbl>
    <w:p w14:paraId="7FE1B65A" w14:textId="77777777" w:rsidR="00CF2405" w:rsidRPr="00CB7CCC" w:rsidRDefault="00CF2405" w:rsidP="00CF2405">
      <w:pPr>
        <w:spacing w:after="0" w:line="240" w:lineRule="auto"/>
        <w:jc w:val="both"/>
        <w:rPr>
          <w:rFonts w:cs="Arial"/>
          <w:b/>
          <w:sz w:val="18"/>
          <w:szCs w:val="18"/>
        </w:rPr>
      </w:pPr>
    </w:p>
    <w:p w14:paraId="0046D526" w14:textId="0236EBE1" w:rsidR="001731DF" w:rsidRDefault="00CF2405" w:rsidP="001731DF">
      <w:pPr>
        <w:jc w:val="both"/>
        <w:rPr>
          <w:rFonts w:cs="Arial"/>
          <w:sz w:val="18"/>
          <w:szCs w:val="18"/>
        </w:rPr>
      </w:pPr>
      <w:r w:rsidRPr="001E60BC">
        <w:rPr>
          <w:rFonts w:cs="Arial"/>
          <w:sz w:val="18"/>
          <w:szCs w:val="18"/>
        </w:rPr>
        <w:t xml:space="preserve">Reported Group revenue increased by </w:t>
      </w:r>
      <w:r>
        <w:rPr>
          <w:rFonts w:cs="Arial"/>
          <w:sz w:val="18"/>
          <w:szCs w:val="18"/>
        </w:rPr>
        <w:t>33.6</w:t>
      </w:r>
      <w:r w:rsidRPr="001E60BC">
        <w:rPr>
          <w:rFonts w:cs="Arial"/>
          <w:sz w:val="18"/>
          <w:szCs w:val="18"/>
        </w:rPr>
        <w:t>% to £</w:t>
      </w:r>
      <w:r>
        <w:rPr>
          <w:rFonts w:cs="Arial"/>
          <w:sz w:val="18"/>
          <w:szCs w:val="18"/>
        </w:rPr>
        <w:t>770.8</w:t>
      </w:r>
      <w:r w:rsidRPr="001E60BC">
        <w:rPr>
          <w:rFonts w:cs="Arial"/>
          <w:sz w:val="18"/>
          <w:szCs w:val="18"/>
        </w:rPr>
        <w:t xml:space="preserve">m in H1 22. On a pro forma basis, revenue increased by </w:t>
      </w:r>
      <w:r>
        <w:rPr>
          <w:rFonts w:cs="Arial"/>
          <w:sz w:val="18"/>
          <w:szCs w:val="18"/>
        </w:rPr>
        <w:t>34.9</w:t>
      </w:r>
      <w:r w:rsidRPr="001E60BC">
        <w:rPr>
          <w:rFonts w:cs="Arial"/>
          <w:sz w:val="18"/>
          <w:szCs w:val="18"/>
        </w:rPr>
        <w:t xml:space="preserve">%, after adjusting for the disposal of the molasses businesses in Q1 21 and for movements in foreign exchange. </w:t>
      </w:r>
      <w:r w:rsidR="00A378F6" w:rsidRPr="00A378F6">
        <w:rPr>
          <w:rFonts w:cs="Arial"/>
          <w:sz w:val="18"/>
          <w:szCs w:val="18"/>
        </w:rPr>
        <w:t xml:space="preserve">On a pro forma basis, </w:t>
      </w:r>
      <w:r w:rsidR="00A378F6">
        <w:rPr>
          <w:rFonts w:cs="Arial"/>
          <w:sz w:val="18"/>
          <w:szCs w:val="18"/>
        </w:rPr>
        <w:t xml:space="preserve">Group </w:t>
      </w:r>
      <w:r w:rsidR="00A378F6" w:rsidRPr="00A378F6">
        <w:rPr>
          <w:rFonts w:cs="Arial"/>
          <w:sz w:val="18"/>
          <w:szCs w:val="18"/>
        </w:rPr>
        <w:t xml:space="preserve">revenue was approximately </w:t>
      </w:r>
      <w:r w:rsidR="00A378F6">
        <w:rPr>
          <w:rFonts w:cs="Arial"/>
          <w:sz w:val="18"/>
          <w:szCs w:val="18"/>
        </w:rPr>
        <w:t>10</w:t>
      </w:r>
      <w:r w:rsidR="00A378F6" w:rsidRPr="00A378F6">
        <w:rPr>
          <w:rFonts w:cs="Arial"/>
          <w:sz w:val="18"/>
          <w:szCs w:val="18"/>
        </w:rPr>
        <w:t>% above the equivalent pre-COVID levels in H1 19.</w:t>
      </w:r>
    </w:p>
    <w:p w14:paraId="37D1FB0B" w14:textId="276651D0" w:rsidR="00CF2405" w:rsidRPr="001E60BC" w:rsidRDefault="00CF2405" w:rsidP="00CF2405">
      <w:pPr>
        <w:jc w:val="both"/>
        <w:rPr>
          <w:rFonts w:cs="Arial"/>
          <w:sz w:val="18"/>
          <w:szCs w:val="18"/>
        </w:rPr>
      </w:pPr>
      <w:r w:rsidRPr="001E60BC">
        <w:rPr>
          <w:rFonts w:cs="Arial"/>
          <w:sz w:val="18"/>
          <w:szCs w:val="18"/>
        </w:rPr>
        <w:t>Adjusted Operating Profit rose from £0.2m to £</w:t>
      </w:r>
      <w:r>
        <w:rPr>
          <w:rFonts w:cs="Arial"/>
          <w:sz w:val="18"/>
          <w:szCs w:val="18"/>
        </w:rPr>
        <w:t>17.2</w:t>
      </w:r>
      <w:r w:rsidRPr="001E60BC">
        <w:rPr>
          <w:rFonts w:cs="Arial"/>
          <w:sz w:val="18"/>
          <w:szCs w:val="18"/>
        </w:rPr>
        <w:t xml:space="preserve">m and Adjusted Operating Margin advanced by </w:t>
      </w:r>
      <w:r>
        <w:rPr>
          <w:rFonts w:cs="Arial"/>
          <w:sz w:val="18"/>
          <w:szCs w:val="18"/>
        </w:rPr>
        <w:t>220</w:t>
      </w:r>
      <w:r w:rsidRPr="001E60BC">
        <w:rPr>
          <w:rFonts w:cs="Arial"/>
          <w:sz w:val="18"/>
          <w:szCs w:val="18"/>
        </w:rPr>
        <w:t xml:space="preserve">bps to </w:t>
      </w:r>
      <w:r>
        <w:rPr>
          <w:rFonts w:cs="Arial"/>
          <w:sz w:val="18"/>
          <w:szCs w:val="18"/>
        </w:rPr>
        <w:t>2.2</w:t>
      </w:r>
      <w:r w:rsidRPr="001E60BC">
        <w:rPr>
          <w:rFonts w:cs="Arial"/>
          <w:sz w:val="18"/>
          <w:szCs w:val="18"/>
        </w:rPr>
        <w:t>%. Group Profit Before Tax was £</w:t>
      </w:r>
      <w:r>
        <w:rPr>
          <w:rFonts w:cs="Arial"/>
          <w:sz w:val="18"/>
          <w:szCs w:val="18"/>
        </w:rPr>
        <w:t>1.0</w:t>
      </w:r>
      <w:r w:rsidRPr="001E60BC">
        <w:rPr>
          <w:rFonts w:cs="Arial"/>
          <w:sz w:val="18"/>
          <w:szCs w:val="18"/>
        </w:rPr>
        <w:t xml:space="preserve">m in </w:t>
      </w:r>
      <w:r>
        <w:rPr>
          <w:rFonts w:cs="Arial"/>
          <w:sz w:val="18"/>
          <w:szCs w:val="18"/>
        </w:rPr>
        <w:t>H1 22</w:t>
      </w:r>
      <w:r w:rsidRPr="001E60BC">
        <w:rPr>
          <w:rFonts w:cs="Arial"/>
          <w:sz w:val="18"/>
          <w:szCs w:val="18"/>
        </w:rPr>
        <w:t>, compared to a Loss Before Tax of £</w:t>
      </w:r>
      <w:r>
        <w:rPr>
          <w:rFonts w:cs="Arial"/>
          <w:sz w:val="18"/>
          <w:szCs w:val="18"/>
        </w:rPr>
        <w:t>1.8</w:t>
      </w:r>
      <w:r w:rsidRPr="001E60BC">
        <w:rPr>
          <w:rFonts w:cs="Arial"/>
          <w:sz w:val="18"/>
          <w:szCs w:val="18"/>
        </w:rPr>
        <w:t>m in H1 21.</w:t>
      </w:r>
    </w:p>
    <w:p w14:paraId="19EAC6F6" w14:textId="77777777" w:rsidR="006E3C8E" w:rsidRDefault="00CF2405" w:rsidP="00CF2405">
      <w:pPr>
        <w:jc w:val="both"/>
        <w:rPr>
          <w:rFonts w:cs="Arial"/>
          <w:sz w:val="18"/>
          <w:szCs w:val="18"/>
        </w:rPr>
      </w:pPr>
      <w:r w:rsidRPr="001E60BC">
        <w:rPr>
          <w:rFonts w:cs="Arial"/>
          <w:sz w:val="18"/>
          <w:szCs w:val="18"/>
        </w:rPr>
        <w:t xml:space="preserve">The UK trading environment, especially in food to go categories, continued to recover in H1 22 notwithstanding some demand volatility caused by mobility restrictions associated with the emergence of the Omicron COVID-19 variant during December </w:t>
      </w:r>
      <w:r>
        <w:rPr>
          <w:rFonts w:cs="Arial"/>
          <w:sz w:val="18"/>
          <w:szCs w:val="18"/>
        </w:rPr>
        <w:t xml:space="preserve">2021 </w:t>
      </w:r>
      <w:r w:rsidRPr="001E60BC">
        <w:rPr>
          <w:rFonts w:cs="Arial"/>
          <w:sz w:val="18"/>
          <w:szCs w:val="18"/>
        </w:rPr>
        <w:t>and January</w:t>
      </w:r>
      <w:r>
        <w:rPr>
          <w:rFonts w:cs="Arial"/>
          <w:sz w:val="18"/>
          <w:szCs w:val="18"/>
        </w:rPr>
        <w:t xml:space="preserve"> 2022</w:t>
      </w:r>
      <w:r w:rsidRPr="001E60BC">
        <w:rPr>
          <w:rFonts w:cs="Arial"/>
          <w:sz w:val="18"/>
          <w:szCs w:val="18"/>
        </w:rPr>
        <w:t xml:space="preserve">. </w:t>
      </w:r>
    </w:p>
    <w:p w14:paraId="3535FC64" w14:textId="0F0352A2" w:rsidR="00CF2405" w:rsidRPr="009D373E" w:rsidRDefault="00CF2405" w:rsidP="00CF2405">
      <w:pPr>
        <w:jc w:val="both"/>
        <w:rPr>
          <w:rFonts w:cs="Arial"/>
          <w:sz w:val="18"/>
          <w:szCs w:val="18"/>
        </w:rPr>
      </w:pPr>
      <w:r w:rsidRPr="001E60BC">
        <w:rPr>
          <w:rFonts w:cs="Arial"/>
          <w:sz w:val="18"/>
          <w:szCs w:val="18"/>
        </w:rPr>
        <w:t xml:space="preserve">In </w:t>
      </w:r>
      <w:r w:rsidRPr="009D373E">
        <w:rPr>
          <w:rFonts w:cs="Arial"/>
          <w:sz w:val="18"/>
          <w:szCs w:val="18"/>
        </w:rPr>
        <w:t xml:space="preserve">addition to the underlying market recovery, the Group benefitted from its strong market position in the grocery retail channel, its expanded customer and format mix, and its portfolio across food to go and other convenience categories. New business contributed meaningfully to Group revenue performance, representing </w:t>
      </w:r>
      <w:r w:rsidR="00102F1F">
        <w:rPr>
          <w:rFonts w:cs="Arial"/>
          <w:sz w:val="18"/>
          <w:szCs w:val="18"/>
        </w:rPr>
        <w:t xml:space="preserve">just over </w:t>
      </w:r>
      <w:r w:rsidR="001731DF">
        <w:rPr>
          <w:rFonts w:cs="Arial"/>
          <w:sz w:val="18"/>
          <w:szCs w:val="18"/>
        </w:rPr>
        <w:t>one-third</w:t>
      </w:r>
      <w:r w:rsidRPr="009D373E">
        <w:rPr>
          <w:rFonts w:cs="Arial"/>
          <w:sz w:val="18"/>
          <w:szCs w:val="18"/>
        </w:rPr>
        <w:t xml:space="preserve"> of pro forma growth in the period.</w:t>
      </w:r>
    </w:p>
    <w:p w14:paraId="1A00D5C8" w14:textId="00C99FD3" w:rsidR="006E3C8E" w:rsidRDefault="006E3C8E" w:rsidP="00CF2405">
      <w:pPr>
        <w:jc w:val="both"/>
        <w:rPr>
          <w:rFonts w:cs="Arial"/>
          <w:sz w:val="18"/>
          <w:szCs w:val="18"/>
        </w:rPr>
      </w:pPr>
      <w:r w:rsidRPr="00A26466">
        <w:rPr>
          <w:rFonts w:cs="Arial"/>
          <w:sz w:val="18"/>
          <w:szCs w:val="18"/>
        </w:rPr>
        <w:t xml:space="preserve">The Group managed a very active commercial agenda with customers in H1 22 to drive recovery in its core food to go categories. </w:t>
      </w:r>
      <w:r w:rsidR="00A26466" w:rsidRPr="001952EF">
        <w:rPr>
          <w:rFonts w:cs="Arial"/>
          <w:sz w:val="18"/>
          <w:szCs w:val="18"/>
        </w:rPr>
        <w:t>It</w:t>
      </w:r>
      <w:r w:rsidRPr="00A26466">
        <w:rPr>
          <w:rFonts w:cs="Arial"/>
          <w:sz w:val="18"/>
          <w:szCs w:val="18"/>
        </w:rPr>
        <w:t xml:space="preserve"> worked closely with customers to optimise output through a combination of careful range management and selective new product development activity. In H1 22 the Group launched </w:t>
      </w:r>
      <w:r w:rsidR="00350FE2">
        <w:rPr>
          <w:rFonts w:cs="Arial"/>
          <w:sz w:val="18"/>
          <w:szCs w:val="18"/>
        </w:rPr>
        <w:t>over</w:t>
      </w:r>
      <w:r w:rsidR="00350FE2" w:rsidRPr="00A26466">
        <w:rPr>
          <w:rFonts w:cs="Arial"/>
          <w:sz w:val="18"/>
          <w:szCs w:val="18"/>
        </w:rPr>
        <w:t xml:space="preserve"> </w:t>
      </w:r>
      <w:r w:rsidR="00350FE2">
        <w:rPr>
          <w:rFonts w:cs="Arial"/>
          <w:sz w:val="18"/>
          <w:szCs w:val="18"/>
        </w:rPr>
        <w:t>600</w:t>
      </w:r>
      <w:r w:rsidRPr="00A26466">
        <w:rPr>
          <w:rFonts w:cs="Arial"/>
          <w:sz w:val="18"/>
          <w:szCs w:val="18"/>
        </w:rPr>
        <w:t xml:space="preserve"> new or reformulated products with our customers, within the Group’s total Stock Keeping Unit (SKU) range of approximately 2,</w:t>
      </w:r>
      <w:r w:rsidR="00EE3CFA">
        <w:rPr>
          <w:rFonts w:cs="Arial"/>
          <w:sz w:val="18"/>
          <w:szCs w:val="18"/>
        </w:rPr>
        <w:t>0</w:t>
      </w:r>
      <w:r w:rsidRPr="00A26466">
        <w:rPr>
          <w:rFonts w:cs="Arial"/>
          <w:sz w:val="18"/>
          <w:szCs w:val="18"/>
        </w:rPr>
        <w:t xml:space="preserve">00 products. Examples of launches with key customers </w:t>
      </w:r>
      <w:r w:rsidR="00FA6F83">
        <w:rPr>
          <w:rFonts w:cs="Arial"/>
          <w:sz w:val="18"/>
          <w:szCs w:val="18"/>
        </w:rPr>
        <w:t xml:space="preserve">this year </w:t>
      </w:r>
      <w:r w:rsidRPr="00A26466">
        <w:rPr>
          <w:rFonts w:cs="Arial"/>
          <w:sz w:val="18"/>
          <w:szCs w:val="18"/>
        </w:rPr>
        <w:t>include</w:t>
      </w:r>
      <w:r w:rsidR="00FA6F83">
        <w:rPr>
          <w:rFonts w:cs="Arial"/>
          <w:sz w:val="18"/>
          <w:szCs w:val="18"/>
        </w:rPr>
        <w:t xml:space="preserve"> </w:t>
      </w:r>
      <w:r w:rsidR="00FA6F83" w:rsidRPr="008E415F">
        <w:rPr>
          <w:rFonts w:cs="Arial"/>
          <w:sz w:val="18"/>
          <w:szCs w:val="18"/>
        </w:rPr>
        <w:t xml:space="preserve">fresh meals </w:t>
      </w:r>
      <w:r w:rsidR="008E415F" w:rsidRPr="00702E1E">
        <w:rPr>
          <w:rFonts w:cs="Arial"/>
          <w:sz w:val="18"/>
          <w:szCs w:val="18"/>
        </w:rPr>
        <w:t>in food to go categories</w:t>
      </w:r>
      <w:r w:rsidRPr="00A26466">
        <w:rPr>
          <w:rFonts w:cs="Arial"/>
          <w:sz w:val="18"/>
          <w:szCs w:val="18"/>
        </w:rPr>
        <w:t>, fresh noodle pots, new plant based ready meals, and an extended range of ‘dine-at-home’ meal boxes.</w:t>
      </w:r>
    </w:p>
    <w:p w14:paraId="7943555E" w14:textId="06F51221" w:rsidR="006E3C8E" w:rsidRDefault="006E3C8E" w:rsidP="00CF2405">
      <w:pPr>
        <w:jc w:val="both"/>
        <w:rPr>
          <w:rFonts w:cs="Arial"/>
          <w:sz w:val="18"/>
          <w:szCs w:val="18"/>
        </w:rPr>
      </w:pPr>
      <w:r w:rsidRPr="00A26466">
        <w:rPr>
          <w:rFonts w:cs="Arial"/>
          <w:sz w:val="18"/>
          <w:szCs w:val="18"/>
        </w:rPr>
        <w:t>In H1 22, the Group also expanded its product offering and extended its category reach with existing customers, in the salads and fresh meals categories. Towards the end of the period, the Group worked closely with one of its key food to go customers to extend its offering into the store network of a leading UK coffee shop retailer. The Group is encouraged by the early progress in this initiative.</w:t>
      </w:r>
    </w:p>
    <w:p w14:paraId="3946A11E" w14:textId="13A322D8" w:rsidR="00CF2405" w:rsidRPr="009D373E" w:rsidRDefault="00CF2405" w:rsidP="00CF2405">
      <w:pPr>
        <w:jc w:val="both"/>
        <w:rPr>
          <w:rFonts w:cs="Arial"/>
          <w:sz w:val="18"/>
          <w:szCs w:val="18"/>
        </w:rPr>
      </w:pPr>
      <w:r w:rsidRPr="009D373E">
        <w:rPr>
          <w:rFonts w:cs="Arial"/>
          <w:sz w:val="18"/>
          <w:szCs w:val="18"/>
        </w:rPr>
        <w:t xml:space="preserve">H1 22 revenue in the Group’s food to go categories (comprising sandwiches, salads, sushi and chilled snacking) totalled £502.1m and accounted for approximately 65% of reported revenue. Reported and pro forma revenues increased by 48.0% in these categories, driven by a recovery in underlying demand as the year progressed and by strong execution on new business wins. </w:t>
      </w:r>
      <w:bookmarkStart w:id="6" w:name="_Hlk87869963"/>
      <w:r w:rsidRPr="009D373E">
        <w:rPr>
          <w:rFonts w:cs="Arial"/>
          <w:sz w:val="18"/>
          <w:szCs w:val="18"/>
        </w:rPr>
        <w:t xml:space="preserve">Revenue for the distribution of third party products accounted for approximately </w:t>
      </w:r>
      <w:r w:rsidR="000B48DD">
        <w:rPr>
          <w:rFonts w:cs="Arial"/>
          <w:sz w:val="18"/>
          <w:szCs w:val="18"/>
        </w:rPr>
        <w:t>8</w:t>
      </w:r>
      <w:r w:rsidRPr="009D373E">
        <w:rPr>
          <w:rFonts w:cs="Arial"/>
          <w:sz w:val="18"/>
          <w:szCs w:val="18"/>
        </w:rPr>
        <w:t>% of Group revenue in H1 22 (H1 21:</w:t>
      </w:r>
      <w:bookmarkEnd w:id="6"/>
      <w:r w:rsidR="00777A8C">
        <w:rPr>
          <w:rFonts w:cs="Arial"/>
          <w:sz w:val="18"/>
          <w:szCs w:val="18"/>
        </w:rPr>
        <w:t xml:space="preserve"> </w:t>
      </w:r>
      <w:r w:rsidRPr="009D373E">
        <w:rPr>
          <w:rFonts w:cs="Arial"/>
          <w:sz w:val="18"/>
          <w:szCs w:val="18"/>
        </w:rPr>
        <w:t>8%</w:t>
      </w:r>
      <w:r w:rsidR="00B63D3A">
        <w:rPr>
          <w:rFonts w:cs="Arial"/>
          <w:sz w:val="18"/>
          <w:szCs w:val="18"/>
        </w:rPr>
        <w:t>).</w:t>
      </w:r>
    </w:p>
    <w:p w14:paraId="3E61D625" w14:textId="0EF584A0" w:rsidR="00CF2405" w:rsidRPr="009D373E" w:rsidRDefault="00CF2405" w:rsidP="00CF2405">
      <w:pPr>
        <w:tabs>
          <w:tab w:val="num" w:pos="426"/>
        </w:tabs>
        <w:jc w:val="both"/>
        <w:rPr>
          <w:rFonts w:cs="Arial"/>
          <w:sz w:val="18"/>
          <w:szCs w:val="18"/>
        </w:rPr>
      </w:pPr>
      <w:r w:rsidRPr="009D373E">
        <w:rPr>
          <w:rFonts w:cs="Arial"/>
          <w:sz w:val="18"/>
          <w:szCs w:val="18"/>
        </w:rPr>
        <w:t xml:space="preserve">On a pro forma basis, revenue in food to go categories was approximately 8% above the equivalent pre-COVID levels in H1 19. Pro forma revenue growth accelerated during the period. In Q2 22, pro forma revenue in food to go categories increased by approximately </w:t>
      </w:r>
      <w:r w:rsidR="00350FE2">
        <w:rPr>
          <w:rFonts w:cs="Arial"/>
          <w:sz w:val="18"/>
          <w:szCs w:val="18"/>
        </w:rPr>
        <w:t>65</w:t>
      </w:r>
      <w:r w:rsidRPr="009D373E">
        <w:rPr>
          <w:rFonts w:cs="Arial"/>
          <w:sz w:val="18"/>
          <w:szCs w:val="18"/>
        </w:rPr>
        <w:t xml:space="preserve">% year on year and was approximately </w:t>
      </w:r>
      <w:r w:rsidR="00350FE2">
        <w:rPr>
          <w:rFonts w:cs="Arial"/>
          <w:sz w:val="18"/>
          <w:szCs w:val="18"/>
        </w:rPr>
        <w:t>10</w:t>
      </w:r>
      <w:r w:rsidRPr="009D373E">
        <w:rPr>
          <w:rFonts w:cs="Arial"/>
          <w:sz w:val="18"/>
          <w:szCs w:val="18"/>
        </w:rPr>
        <w:t>% above the equivalent pre-COVID levels in Q2 19.</w:t>
      </w:r>
    </w:p>
    <w:p w14:paraId="0B4E55EF" w14:textId="0D85C5FB" w:rsidR="00CF2405" w:rsidRPr="001E60BC" w:rsidRDefault="00CF2405" w:rsidP="00CF2405">
      <w:pPr>
        <w:jc w:val="both"/>
        <w:rPr>
          <w:rFonts w:cs="Arial"/>
          <w:sz w:val="18"/>
          <w:szCs w:val="18"/>
        </w:rPr>
      </w:pPr>
      <w:r w:rsidRPr="009D373E">
        <w:rPr>
          <w:rFonts w:cs="Arial"/>
          <w:sz w:val="18"/>
          <w:szCs w:val="18"/>
        </w:rPr>
        <w:t xml:space="preserve">The Group’s other convenience categories comprise activities in the chilled ready meals, chilled soups and sauces, chilled quiche, ambient sauces and pickles, and frozen Yorkshire Pudding categories, as well as an </w:t>
      </w:r>
      <w:r w:rsidR="00350FE2" w:rsidRPr="009D373E">
        <w:rPr>
          <w:rFonts w:cs="Arial"/>
          <w:sz w:val="18"/>
          <w:szCs w:val="18"/>
        </w:rPr>
        <w:t>Irish ingredient</w:t>
      </w:r>
      <w:r w:rsidRPr="009D373E">
        <w:rPr>
          <w:rFonts w:cs="Arial"/>
          <w:sz w:val="18"/>
          <w:szCs w:val="18"/>
        </w:rPr>
        <w:t xml:space="preserve"> trading business. Reported revenue across these businesses increased by 12.9% to £268.7m in H1 22. Adjusting for movements</w:t>
      </w:r>
      <w:r w:rsidRPr="001E60BC">
        <w:rPr>
          <w:rFonts w:cs="Arial"/>
          <w:sz w:val="18"/>
          <w:szCs w:val="18"/>
        </w:rPr>
        <w:t xml:space="preserve"> in foreign exchange and the disposal of the Irish molasses businesses in Q1 21, pro forma revenue increased by </w:t>
      </w:r>
      <w:r>
        <w:rPr>
          <w:rFonts w:cs="Arial"/>
          <w:sz w:val="18"/>
          <w:szCs w:val="18"/>
        </w:rPr>
        <w:t>15.8</w:t>
      </w:r>
      <w:r w:rsidRPr="001E60BC">
        <w:rPr>
          <w:rFonts w:cs="Arial"/>
          <w:sz w:val="18"/>
          <w:szCs w:val="18"/>
        </w:rPr>
        <w:t xml:space="preserve">%. This was driven by strong growth in the Group’s ready meals business through the </w:t>
      </w:r>
      <w:r>
        <w:rPr>
          <w:rFonts w:cs="Arial"/>
          <w:sz w:val="18"/>
          <w:szCs w:val="18"/>
        </w:rPr>
        <w:t>period</w:t>
      </w:r>
      <w:r w:rsidRPr="001E60BC">
        <w:rPr>
          <w:rFonts w:cs="Arial"/>
          <w:sz w:val="18"/>
          <w:szCs w:val="18"/>
        </w:rPr>
        <w:t xml:space="preserve">, </w:t>
      </w:r>
      <w:r>
        <w:rPr>
          <w:rFonts w:cs="Arial"/>
          <w:sz w:val="18"/>
          <w:szCs w:val="18"/>
        </w:rPr>
        <w:t xml:space="preserve">and increased revenue in the Group’s Irish ingredients trading business. H1 22 </w:t>
      </w:r>
      <w:r w:rsidRPr="001E60BC">
        <w:rPr>
          <w:rFonts w:cs="Arial"/>
          <w:sz w:val="18"/>
          <w:szCs w:val="18"/>
        </w:rPr>
        <w:t xml:space="preserve">revenue in the </w:t>
      </w:r>
      <w:r>
        <w:rPr>
          <w:rFonts w:cs="Arial"/>
          <w:sz w:val="18"/>
          <w:szCs w:val="18"/>
        </w:rPr>
        <w:t xml:space="preserve">Group’s </w:t>
      </w:r>
      <w:r w:rsidRPr="001E60BC">
        <w:rPr>
          <w:rFonts w:cs="Arial"/>
          <w:sz w:val="18"/>
          <w:szCs w:val="18"/>
        </w:rPr>
        <w:t xml:space="preserve">cooking sauce business </w:t>
      </w:r>
      <w:r w:rsidR="00350FE2">
        <w:rPr>
          <w:rFonts w:cs="Arial"/>
          <w:sz w:val="18"/>
          <w:szCs w:val="18"/>
        </w:rPr>
        <w:t>de</w:t>
      </w:r>
      <w:r>
        <w:rPr>
          <w:rFonts w:cs="Arial"/>
          <w:sz w:val="18"/>
          <w:szCs w:val="18"/>
        </w:rPr>
        <w:t>creased modestly</w:t>
      </w:r>
      <w:r w:rsidR="00350FE2">
        <w:rPr>
          <w:rFonts w:cs="Arial"/>
          <w:sz w:val="18"/>
          <w:szCs w:val="18"/>
        </w:rPr>
        <w:t xml:space="preserve"> against tough prior year comparatives</w:t>
      </w:r>
      <w:r w:rsidRPr="001E60BC">
        <w:rPr>
          <w:rFonts w:cs="Arial"/>
          <w:sz w:val="18"/>
          <w:szCs w:val="18"/>
        </w:rPr>
        <w:t>.</w:t>
      </w:r>
    </w:p>
    <w:p w14:paraId="7D7DA949" w14:textId="5BA86185" w:rsidR="00505185" w:rsidRPr="00505185" w:rsidRDefault="00A26466" w:rsidP="00505185">
      <w:pPr>
        <w:jc w:val="both"/>
        <w:rPr>
          <w:rFonts w:ascii="Calibri" w:eastAsia="Calibri" w:hAnsi="Calibri" w:cs="Arial"/>
          <w:sz w:val="18"/>
          <w:szCs w:val="18"/>
        </w:rPr>
      </w:pPr>
      <w:r w:rsidRPr="001952EF">
        <w:rPr>
          <w:rFonts w:cs="Arial"/>
          <w:sz w:val="18"/>
          <w:szCs w:val="18"/>
        </w:rPr>
        <w:t xml:space="preserve">Operationally, the Group has worked with its customers and supply partners to manage effectively through a period of </w:t>
      </w:r>
      <w:r w:rsidR="00C7423A" w:rsidRPr="001952EF">
        <w:rPr>
          <w:rFonts w:cs="Arial"/>
          <w:sz w:val="18"/>
          <w:szCs w:val="18"/>
        </w:rPr>
        <w:t>intensive</w:t>
      </w:r>
      <w:r w:rsidRPr="001952EF">
        <w:rPr>
          <w:rFonts w:cs="Arial"/>
          <w:sz w:val="18"/>
          <w:szCs w:val="18"/>
        </w:rPr>
        <w:t xml:space="preserve"> supply-side challenges</w:t>
      </w:r>
      <w:r w:rsidR="00C7423A" w:rsidRPr="001952EF">
        <w:rPr>
          <w:rFonts w:cs="Arial"/>
          <w:sz w:val="18"/>
          <w:szCs w:val="18"/>
        </w:rPr>
        <w:t xml:space="preserve"> across the industry</w:t>
      </w:r>
      <w:r w:rsidRPr="001952EF">
        <w:rPr>
          <w:rFonts w:cs="Arial"/>
          <w:sz w:val="18"/>
          <w:szCs w:val="18"/>
        </w:rPr>
        <w:t xml:space="preserve">, in particular tight labour availability. </w:t>
      </w:r>
      <w:r w:rsidR="00505185" w:rsidRPr="00505185">
        <w:rPr>
          <w:rFonts w:ascii="Calibri" w:eastAsia="Calibri" w:hAnsi="Calibri" w:cs="Arial"/>
          <w:sz w:val="18"/>
          <w:szCs w:val="18"/>
        </w:rPr>
        <w:t xml:space="preserve">Whilst the Group’s ability to meet demand and the pace of profit conversion were both impacted during the period by the emergence of the Omicron COVID-19 variant, the Group worked </w:t>
      </w:r>
      <w:r w:rsidR="00505185" w:rsidRPr="00505185">
        <w:rPr>
          <w:rFonts w:ascii="Calibri" w:eastAsia="Calibri" w:hAnsi="Calibri" w:cs="Arial"/>
          <w:sz w:val="18"/>
          <w:szCs w:val="18"/>
        </w:rPr>
        <w:lastRenderedPageBreak/>
        <w:t xml:space="preserve">to tighten and manage its network use and configuration to maximise output, with operational service levels improving across the business as H1 22 progressed. </w:t>
      </w:r>
    </w:p>
    <w:p w14:paraId="40C6CE68" w14:textId="548D2336" w:rsidR="00CF34F5" w:rsidRPr="009D373E" w:rsidRDefault="00CF2405" w:rsidP="00CF2405">
      <w:pPr>
        <w:jc w:val="both"/>
        <w:rPr>
          <w:rFonts w:cs="Arial"/>
          <w:sz w:val="18"/>
          <w:szCs w:val="18"/>
        </w:rPr>
      </w:pPr>
      <w:r w:rsidRPr="00975354">
        <w:rPr>
          <w:rFonts w:cs="Arial"/>
          <w:sz w:val="18"/>
          <w:szCs w:val="18"/>
        </w:rPr>
        <w:t>There was a substantial increase in inflation in the Group’s main cost components in H1 22</w:t>
      </w:r>
      <w:r w:rsidR="00CF34F5">
        <w:rPr>
          <w:rFonts w:cs="Arial"/>
          <w:sz w:val="18"/>
          <w:szCs w:val="18"/>
        </w:rPr>
        <w:t xml:space="preserve">, which led to a </w:t>
      </w:r>
      <w:r w:rsidR="000B48DD">
        <w:rPr>
          <w:rFonts w:cs="Arial"/>
          <w:sz w:val="18"/>
          <w:szCs w:val="18"/>
        </w:rPr>
        <w:t>high single-</w:t>
      </w:r>
      <w:r w:rsidR="00CF34F5">
        <w:rPr>
          <w:rFonts w:cs="Arial"/>
          <w:sz w:val="18"/>
          <w:szCs w:val="18"/>
        </w:rPr>
        <w:t>digit rate of inflation for the period</w:t>
      </w:r>
      <w:r w:rsidRPr="00975354">
        <w:rPr>
          <w:rFonts w:cs="Arial"/>
          <w:sz w:val="18"/>
          <w:szCs w:val="18"/>
        </w:rPr>
        <w:t xml:space="preserve">. </w:t>
      </w:r>
    </w:p>
    <w:p w14:paraId="088C38E9" w14:textId="32C996A9" w:rsidR="00CF2405" w:rsidRDefault="00D71858" w:rsidP="00CF2405">
      <w:pPr>
        <w:jc w:val="both"/>
        <w:rPr>
          <w:rFonts w:cs="Arial"/>
          <w:sz w:val="18"/>
          <w:szCs w:val="18"/>
        </w:rPr>
      </w:pPr>
      <w:r w:rsidRPr="009D373E">
        <w:rPr>
          <w:rFonts w:cs="Arial"/>
          <w:sz w:val="18"/>
          <w:szCs w:val="18"/>
        </w:rPr>
        <w:t>In H1 22 the Group received no UK Government assistance under the Coronavirus Job Retention Scheme (H1 21: £7.1m).</w:t>
      </w:r>
      <w:r>
        <w:rPr>
          <w:rFonts w:cs="Arial"/>
          <w:sz w:val="18"/>
          <w:szCs w:val="18"/>
        </w:rPr>
        <w:t xml:space="preserve"> In the prior year t</w:t>
      </w:r>
      <w:r w:rsidR="00CF2405" w:rsidRPr="009D373E">
        <w:rPr>
          <w:rFonts w:cs="Arial"/>
          <w:sz w:val="18"/>
          <w:szCs w:val="18"/>
        </w:rPr>
        <w:t>he Group incurred £</w:t>
      </w:r>
      <w:r>
        <w:rPr>
          <w:rFonts w:cs="Arial"/>
          <w:sz w:val="18"/>
          <w:szCs w:val="18"/>
        </w:rPr>
        <w:t>4.8</w:t>
      </w:r>
      <w:r w:rsidR="00CF2405" w:rsidRPr="009D373E">
        <w:rPr>
          <w:rFonts w:cs="Arial"/>
          <w:sz w:val="18"/>
          <w:szCs w:val="18"/>
        </w:rPr>
        <w:t xml:space="preserve">m of operating costs relating to COVID-19. </w:t>
      </w:r>
      <w:r>
        <w:rPr>
          <w:rFonts w:cs="Arial"/>
          <w:sz w:val="18"/>
          <w:szCs w:val="18"/>
        </w:rPr>
        <w:t>In H1 22 t</w:t>
      </w:r>
      <w:r w:rsidR="00CF2405" w:rsidRPr="009D373E">
        <w:rPr>
          <w:rFonts w:cs="Arial"/>
          <w:sz w:val="18"/>
          <w:szCs w:val="18"/>
        </w:rPr>
        <w:t xml:space="preserve">he Group recognised </w:t>
      </w:r>
      <w:r>
        <w:rPr>
          <w:rFonts w:cs="Arial"/>
          <w:sz w:val="18"/>
          <w:szCs w:val="18"/>
        </w:rPr>
        <w:t xml:space="preserve">net costs of £2.6m </w:t>
      </w:r>
      <w:r w:rsidR="00CF2405" w:rsidRPr="009D373E">
        <w:rPr>
          <w:rFonts w:cs="Arial"/>
          <w:sz w:val="18"/>
          <w:szCs w:val="18"/>
        </w:rPr>
        <w:t>incurred as a result of a cyber security incident that occurred in December 2021.</w:t>
      </w:r>
      <w:r w:rsidR="00CF34F5">
        <w:rPr>
          <w:rFonts w:cs="Arial"/>
          <w:sz w:val="18"/>
          <w:szCs w:val="18"/>
        </w:rPr>
        <w:t xml:space="preserve"> </w:t>
      </w:r>
      <w:r w:rsidR="00CF34F5" w:rsidRPr="00CF34F5">
        <w:rPr>
          <w:rFonts w:cs="Arial"/>
          <w:sz w:val="18"/>
          <w:szCs w:val="18"/>
        </w:rPr>
        <w:t xml:space="preserve">The Group responded </w:t>
      </w:r>
      <w:r w:rsidR="00CF34F5">
        <w:rPr>
          <w:rFonts w:cs="Arial"/>
          <w:sz w:val="18"/>
          <w:szCs w:val="18"/>
        </w:rPr>
        <w:t xml:space="preserve">rapidly and </w:t>
      </w:r>
      <w:r w:rsidR="00CF34F5" w:rsidRPr="00CF34F5">
        <w:rPr>
          <w:rFonts w:cs="Arial"/>
          <w:sz w:val="18"/>
          <w:szCs w:val="18"/>
        </w:rPr>
        <w:t xml:space="preserve">proactively </w:t>
      </w:r>
      <w:r w:rsidR="00CF34F5">
        <w:rPr>
          <w:rFonts w:cs="Arial"/>
          <w:sz w:val="18"/>
          <w:szCs w:val="18"/>
        </w:rPr>
        <w:t xml:space="preserve">to </w:t>
      </w:r>
      <w:r w:rsidR="00CF34F5" w:rsidRPr="00CF34F5">
        <w:rPr>
          <w:rFonts w:cs="Arial"/>
          <w:sz w:val="18"/>
          <w:szCs w:val="18"/>
        </w:rPr>
        <w:t>restor</w:t>
      </w:r>
      <w:r w:rsidR="00CF34F5">
        <w:rPr>
          <w:rFonts w:cs="Arial"/>
          <w:sz w:val="18"/>
          <w:szCs w:val="18"/>
        </w:rPr>
        <w:t>e</w:t>
      </w:r>
      <w:r w:rsidR="00CF34F5" w:rsidRPr="00CF34F5">
        <w:rPr>
          <w:rFonts w:cs="Arial"/>
          <w:sz w:val="18"/>
          <w:szCs w:val="18"/>
        </w:rPr>
        <w:t xml:space="preserve"> IT systems and applications used by the business</w:t>
      </w:r>
      <w:r w:rsidR="00223EB2">
        <w:rPr>
          <w:rFonts w:cs="Arial"/>
          <w:sz w:val="18"/>
          <w:szCs w:val="18"/>
        </w:rPr>
        <w:t xml:space="preserve"> in this </w:t>
      </w:r>
      <w:r w:rsidR="00CB2037">
        <w:rPr>
          <w:rFonts w:cs="Arial"/>
          <w:sz w:val="18"/>
          <w:szCs w:val="18"/>
        </w:rPr>
        <w:t>incident and</w:t>
      </w:r>
      <w:r w:rsidR="00CF34F5">
        <w:rPr>
          <w:rFonts w:cs="Arial"/>
          <w:sz w:val="18"/>
          <w:szCs w:val="18"/>
        </w:rPr>
        <w:t xml:space="preserve"> </w:t>
      </w:r>
      <w:r w:rsidR="000B48DD">
        <w:rPr>
          <w:rFonts w:cs="Arial"/>
          <w:sz w:val="18"/>
          <w:szCs w:val="18"/>
        </w:rPr>
        <w:t xml:space="preserve">the </w:t>
      </w:r>
      <w:r w:rsidR="00CF34F5" w:rsidRPr="00CF34F5">
        <w:rPr>
          <w:rFonts w:cs="Arial"/>
          <w:sz w:val="18"/>
          <w:szCs w:val="18"/>
        </w:rPr>
        <w:t>relevant authorities</w:t>
      </w:r>
      <w:r w:rsidR="00223EB2">
        <w:rPr>
          <w:rFonts w:cs="Arial"/>
          <w:sz w:val="18"/>
          <w:szCs w:val="18"/>
        </w:rPr>
        <w:t xml:space="preserve"> </w:t>
      </w:r>
      <w:r w:rsidR="000B48DD">
        <w:rPr>
          <w:rFonts w:cs="Arial"/>
          <w:sz w:val="18"/>
          <w:szCs w:val="18"/>
        </w:rPr>
        <w:t xml:space="preserve">have been notified </w:t>
      </w:r>
      <w:r w:rsidR="00223EB2">
        <w:rPr>
          <w:rFonts w:cs="Arial"/>
          <w:sz w:val="18"/>
          <w:szCs w:val="18"/>
        </w:rPr>
        <w:t>in this regard</w:t>
      </w:r>
      <w:r w:rsidR="00CF34F5" w:rsidRPr="00CF34F5">
        <w:rPr>
          <w:rFonts w:cs="Arial"/>
          <w:sz w:val="18"/>
          <w:szCs w:val="18"/>
        </w:rPr>
        <w:t>.</w:t>
      </w:r>
    </w:p>
    <w:p w14:paraId="04A3E1DD" w14:textId="787CD99B" w:rsidR="00CF2405" w:rsidRPr="009D373E" w:rsidRDefault="00CF2405" w:rsidP="00CF2405">
      <w:pPr>
        <w:jc w:val="both"/>
        <w:rPr>
          <w:rFonts w:cs="Arial"/>
          <w:sz w:val="18"/>
          <w:szCs w:val="18"/>
        </w:rPr>
      </w:pPr>
      <w:r w:rsidRPr="009D373E">
        <w:rPr>
          <w:rFonts w:cs="Arial"/>
          <w:sz w:val="18"/>
          <w:szCs w:val="18"/>
        </w:rPr>
        <w:t xml:space="preserve">Overall, Group Operating Profit </w:t>
      </w:r>
      <w:r w:rsidR="008A5E8B">
        <w:rPr>
          <w:rFonts w:cs="Arial"/>
          <w:sz w:val="18"/>
          <w:szCs w:val="18"/>
        </w:rPr>
        <w:t xml:space="preserve">in H1 22 </w:t>
      </w:r>
      <w:r w:rsidRPr="009D373E">
        <w:rPr>
          <w:rFonts w:cs="Arial"/>
          <w:sz w:val="18"/>
          <w:szCs w:val="18"/>
        </w:rPr>
        <w:t>increased to £7.2m</w:t>
      </w:r>
      <w:r w:rsidR="00793A66">
        <w:rPr>
          <w:rFonts w:cs="Arial"/>
          <w:sz w:val="18"/>
          <w:szCs w:val="18"/>
        </w:rPr>
        <w:t xml:space="preserve"> (H1 21: £3.9m)</w:t>
      </w:r>
      <w:r w:rsidRPr="009D373E">
        <w:rPr>
          <w:rFonts w:cs="Arial"/>
          <w:sz w:val="18"/>
          <w:szCs w:val="18"/>
        </w:rPr>
        <w:t>. Adjusted Operating Profit increased to £17.2m</w:t>
      </w:r>
      <w:r w:rsidR="00793A66">
        <w:rPr>
          <w:rFonts w:cs="Arial"/>
          <w:sz w:val="18"/>
          <w:szCs w:val="18"/>
        </w:rPr>
        <w:t xml:space="preserve"> (H1 21: £0.2m)</w:t>
      </w:r>
      <w:r w:rsidRPr="009D373E">
        <w:rPr>
          <w:rFonts w:cs="Arial"/>
          <w:sz w:val="18"/>
          <w:szCs w:val="18"/>
        </w:rPr>
        <w:t xml:space="preserve">. The increase in Adjusted Operating Profit was driven by a return to profitability in the Group’s food to go categories as profit conversion improved on an increased revenue base. Underlying profitability in the Group’s other convenience categories was below H1 21 levels, </w:t>
      </w:r>
      <w:r w:rsidR="00223EB2">
        <w:rPr>
          <w:rFonts w:cs="Arial"/>
          <w:sz w:val="18"/>
          <w:szCs w:val="18"/>
        </w:rPr>
        <w:t xml:space="preserve">impacted by the timing of </w:t>
      </w:r>
      <w:r w:rsidRPr="009D373E">
        <w:rPr>
          <w:rFonts w:cs="Arial"/>
          <w:sz w:val="18"/>
          <w:szCs w:val="18"/>
        </w:rPr>
        <w:t>inflation recovery.</w:t>
      </w:r>
    </w:p>
    <w:p w14:paraId="62A0FDB8" w14:textId="7FCE1809" w:rsidR="00CF2405" w:rsidRPr="00CB7CCC" w:rsidRDefault="00CF2405" w:rsidP="00CF2405">
      <w:pPr>
        <w:jc w:val="both"/>
        <w:rPr>
          <w:rFonts w:cs="Arial"/>
          <w:b/>
          <w:bCs/>
          <w:sz w:val="18"/>
          <w:szCs w:val="18"/>
        </w:rPr>
      </w:pPr>
      <w:r w:rsidRPr="009D373E">
        <w:rPr>
          <w:rFonts w:cs="Arial"/>
          <w:b/>
          <w:sz w:val="20"/>
          <w:szCs w:val="20"/>
        </w:rPr>
        <w:t>Group Cash Flow and Returns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086"/>
        <w:gridCol w:w="1087"/>
        <w:gridCol w:w="1087"/>
      </w:tblGrid>
      <w:tr w:rsidR="00CF2405" w:rsidRPr="00CB7CCC" w14:paraId="75464D25" w14:textId="77777777" w:rsidTr="00865099">
        <w:trPr>
          <w:jc w:val="center"/>
        </w:trPr>
        <w:tc>
          <w:tcPr>
            <w:tcW w:w="3823" w:type="dxa"/>
          </w:tcPr>
          <w:p w14:paraId="55325C20" w14:textId="77777777" w:rsidR="00CF2405" w:rsidRPr="00CB7CCC" w:rsidRDefault="00CF2405" w:rsidP="00CF2405">
            <w:pPr>
              <w:spacing w:after="0" w:line="240" w:lineRule="auto"/>
              <w:jc w:val="both"/>
              <w:rPr>
                <w:rFonts w:cs="Arial"/>
                <w:b/>
                <w:sz w:val="18"/>
                <w:szCs w:val="18"/>
                <w:lang w:val="en-US"/>
              </w:rPr>
            </w:pPr>
            <w:bookmarkStart w:id="7" w:name="_Hlk88043298"/>
          </w:p>
        </w:tc>
        <w:tc>
          <w:tcPr>
            <w:tcW w:w="1086" w:type="dxa"/>
            <w:hideMark/>
          </w:tcPr>
          <w:p w14:paraId="08052121" w14:textId="77777777" w:rsidR="00CF2405" w:rsidRPr="00CB7CCC" w:rsidRDefault="00CF2405" w:rsidP="00CF2405">
            <w:pPr>
              <w:spacing w:after="0" w:line="240" w:lineRule="auto"/>
              <w:jc w:val="right"/>
              <w:rPr>
                <w:rFonts w:cs="Arial"/>
                <w:b/>
                <w:sz w:val="18"/>
                <w:szCs w:val="18"/>
                <w:lang w:val="en-US"/>
              </w:rPr>
            </w:pPr>
            <w:r>
              <w:rPr>
                <w:rFonts w:cs="Arial"/>
                <w:b/>
                <w:sz w:val="18"/>
                <w:szCs w:val="18"/>
                <w:lang w:val="en-US"/>
              </w:rPr>
              <w:t>H1 22</w:t>
            </w:r>
          </w:p>
          <w:p w14:paraId="47D498E0" w14:textId="77777777" w:rsidR="00CF2405" w:rsidRPr="00CB7CCC" w:rsidRDefault="00CF2405" w:rsidP="00CF2405">
            <w:pPr>
              <w:spacing w:after="0" w:line="240" w:lineRule="auto"/>
              <w:jc w:val="right"/>
              <w:rPr>
                <w:rFonts w:cs="Arial"/>
                <w:b/>
                <w:sz w:val="18"/>
                <w:szCs w:val="18"/>
                <w:lang w:val="en-US"/>
              </w:rPr>
            </w:pPr>
            <w:r w:rsidRPr="00CB7CCC">
              <w:rPr>
                <w:rFonts w:cs="Arial"/>
                <w:b/>
                <w:sz w:val="18"/>
                <w:szCs w:val="18"/>
                <w:lang w:val="en-US"/>
              </w:rPr>
              <w:t>£m</w:t>
            </w:r>
          </w:p>
        </w:tc>
        <w:tc>
          <w:tcPr>
            <w:tcW w:w="1087" w:type="dxa"/>
          </w:tcPr>
          <w:p w14:paraId="41F99175" w14:textId="77777777" w:rsidR="00CF2405" w:rsidRPr="00CB7CCC" w:rsidRDefault="00CF2405" w:rsidP="00CF2405">
            <w:pPr>
              <w:spacing w:after="0" w:line="240" w:lineRule="auto"/>
              <w:jc w:val="right"/>
              <w:rPr>
                <w:rFonts w:cs="Arial"/>
                <w:b/>
                <w:sz w:val="18"/>
                <w:szCs w:val="18"/>
                <w:lang w:val="en-US"/>
              </w:rPr>
            </w:pPr>
            <w:r>
              <w:rPr>
                <w:rFonts w:cs="Arial"/>
                <w:b/>
                <w:sz w:val="18"/>
                <w:szCs w:val="18"/>
                <w:lang w:val="en-US"/>
              </w:rPr>
              <w:t>H1 21</w:t>
            </w:r>
          </w:p>
          <w:p w14:paraId="1E4E054E" w14:textId="77777777" w:rsidR="00CF2405" w:rsidRPr="00CB7CCC" w:rsidRDefault="00CF2405" w:rsidP="00CF2405">
            <w:pPr>
              <w:spacing w:after="0" w:line="240" w:lineRule="auto"/>
              <w:jc w:val="right"/>
              <w:rPr>
                <w:rFonts w:cs="Arial"/>
                <w:b/>
                <w:sz w:val="18"/>
                <w:szCs w:val="18"/>
                <w:lang w:val="en-US"/>
              </w:rPr>
            </w:pPr>
            <w:r w:rsidRPr="00CB7CCC">
              <w:rPr>
                <w:rFonts w:cs="Arial"/>
                <w:b/>
                <w:sz w:val="18"/>
                <w:szCs w:val="18"/>
                <w:lang w:val="en-US"/>
              </w:rPr>
              <w:t>£m</w:t>
            </w:r>
          </w:p>
        </w:tc>
        <w:tc>
          <w:tcPr>
            <w:tcW w:w="1087" w:type="dxa"/>
            <w:hideMark/>
          </w:tcPr>
          <w:p w14:paraId="322E45F9" w14:textId="77777777" w:rsidR="00CF2405" w:rsidRPr="00CB7CCC" w:rsidRDefault="00CF2405" w:rsidP="00CF2405">
            <w:pPr>
              <w:spacing w:after="0" w:line="240" w:lineRule="auto"/>
              <w:jc w:val="right"/>
              <w:rPr>
                <w:rFonts w:cs="Arial"/>
                <w:b/>
                <w:sz w:val="18"/>
                <w:szCs w:val="18"/>
                <w:lang w:val="en-US"/>
              </w:rPr>
            </w:pPr>
            <w:r w:rsidRPr="00CB7CCC">
              <w:rPr>
                <w:rFonts w:cs="Arial"/>
                <w:b/>
                <w:sz w:val="18"/>
                <w:szCs w:val="18"/>
                <w:lang w:val="en-US"/>
              </w:rPr>
              <w:t>Change (as reported)</w:t>
            </w:r>
          </w:p>
          <w:p w14:paraId="343F239F" w14:textId="77777777" w:rsidR="00CF2405" w:rsidRPr="00CB7CCC" w:rsidRDefault="00CF2405" w:rsidP="00CF2405">
            <w:pPr>
              <w:spacing w:after="0" w:line="240" w:lineRule="auto"/>
              <w:jc w:val="right"/>
              <w:rPr>
                <w:rFonts w:cs="Arial"/>
                <w:b/>
                <w:sz w:val="18"/>
                <w:szCs w:val="18"/>
                <w:lang w:val="en-US"/>
              </w:rPr>
            </w:pPr>
          </w:p>
        </w:tc>
      </w:tr>
      <w:tr w:rsidR="00CF2405" w:rsidRPr="00CB7CCC" w14:paraId="1A58B210" w14:textId="77777777" w:rsidTr="00865099">
        <w:trPr>
          <w:jc w:val="center"/>
        </w:trPr>
        <w:tc>
          <w:tcPr>
            <w:tcW w:w="3823" w:type="dxa"/>
          </w:tcPr>
          <w:p w14:paraId="250A8219" w14:textId="77777777" w:rsidR="00CF2405" w:rsidRPr="00CB7CCC" w:rsidRDefault="00CF2405" w:rsidP="00CF2405">
            <w:pPr>
              <w:spacing w:after="0" w:line="240" w:lineRule="auto"/>
              <w:jc w:val="both"/>
              <w:rPr>
                <w:rFonts w:cs="Arial"/>
                <w:sz w:val="18"/>
                <w:szCs w:val="18"/>
                <w:lang w:val="en-US"/>
              </w:rPr>
            </w:pPr>
            <w:r w:rsidRPr="00CB7CCC">
              <w:rPr>
                <w:rFonts w:cs="Arial"/>
                <w:sz w:val="18"/>
                <w:szCs w:val="18"/>
                <w:lang w:val="en-US"/>
              </w:rPr>
              <w:t>Free Cash Flow</w:t>
            </w:r>
          </w:p>
        </w:tc>
        <w:tc>
          <w:tcPr>
            <w:tcW w:w="1086" w:type="dxa"/>
          </w:tcPr>
          <w:p w14:paraId="1F2DC416" w14:textId="176E8DB6" w:rsidR="00CF2405" w:rsidRPr="00C8160C" w:rsidRDefault="00CF2405" w:rsidP="00CF2405">
            <w:pPr>
              <w:spacing w:after="0" w:line="240" w:lineRule="auto"/>
              <w:jc w:val="right"/>
              <w:rPr>
                <w:rFonts w:cs="Arial"/>
                <w:sz w:val="18"/>
                <w:szCs w:val="18"/>
                <w:highlight w:val="yellow"/>
                <w:lang w:val="en-US"/>
              </w:rPr>
            </w:pPr>
            <w:r>
              <w:rPr>
                <w:rFonts w:cs="Arial"/>
                <w:sz w:val="18"/>
                <w:szCs w:val="18"/>
                <w:lang w:val="en-US"/>
              </w:rPr>
              <w:t>(1</w:t>
            </w:r>
            <w:r w:rsidR="0075693F">
              <w:rPr>
                <w:rFonts w:cs="Arial"/>
                <w:sz w:val="18"/>
                <w:szCs w:val="18"/>
                <w:lang w:val="en-US"/>
              </w:rPr>
              <w:t>7</w:t>
            </w:r>
            <w:r>
              <w:rPr>
                <w:rFonts w:cs="Arial"/>
                <w:sz w:val="18"/>
                <w:szCs w:val="18"/>
                <w:lang w:val="en-US"/>
              </w:rPr>
              <w:t>.8)</w:t>
            </w:r>
          </w:p>
        </w:tc>
        <w:tc>
          <w:tcPr>
            <w:tcW w:w="1087" w:type="dxa"/>
          </w:tcPr>
          <w:p w14:paraId="39C85303" w14:textId="77777777" w:rsidR="00CF2405" w:rsidRPr="00D2345C" w:rsidRDefault="00CF2405" w:rsidP="00CF2405">
            <w:pPr>
              <w:spacing w:after="0" w:line="240" w:lineRule="auto"/>
              <w:jc w:val="right"/>
              <w:rPr>
                <w:rFonts w:cs="Arial"/>
                <w:sz w:val="18"/>
                <w:szCs w:val="18"/>
                <w:lang w:val="en-US"/>
              </w:rPr>
            </w:pPr>
            <w:r w:rsidRPr="00D2345C">
              <w:rPr>
                <w:rFonts w:cs="Arial"/>
                <w:sz w:val="18"/>
                <w:szCs w:val="18"/>
                <w:lang w:val="en-US"/>
              </w:rPr>
              <w:t>(2</w:t>
            </w:r>
            <w:r>
              <w:rPr>
                <w:rFonts w:cs="Arial"/>
                <w:sz w:val="18"/>
                <w:szCs w:val="18"/>
                <w:lang w:val="en-US"/>
              </w:rPr>
              <w:t>3.6</w:t>
            </w:r>
            <w:r w:rsidRPr="00D2345C">
              <w:rPr>
                <w:rFonts w:cs="Arial"/>
                <w:sz w:val="18"/>
                <w:szCs w:val="18"/>
                <w:lang w:val="en-US"/>
              </w:rPr>
              <w:t>)</w:t>
            </w:r>
          </w:p>
        </w:tc>
        <w:tc>
          <w:tcPr>
            <w:tcW w:w="1087" w:type="dxa"/>
          </w:tcPr>
          <w:p w14:paraId="55257DD2" w14:textId="68B51A99" w:rsidR="00CF2405" w:rsidRPr="00E2412A" w:rsidRDefault="00CF2405" w:rsidP="00CF2405">
            <w:pPr>
              <w:spacing w:after="0" w:line="240" w:lineRule="auto"/>
              <w:jc w:val="right"/>
              <w:rPr>
                <w:rFonts w:cs="Arial"/>
                <w:sz w:val="18"/>
                <w:szCs w:val="18"/>
                <w:lang w:val="en-US"/>
              </w:rPr>
            </w:pPr>
            <w:r w:rsidRPr="00E2412A">
              <w:rPr>
                <w:rFonts w:cs="Arial"/>
                <w:sz w:val="18"/>
                <w:szCs w:val="18"/>
                <w:lang w:val="en-US"/>
              </w:rPr>
              <w:t>£</w:t>
            </w:r>
            <w:r w:rsidR="0075693F">
              <w:rPr>
                <w:rFonts w:cs="Arial"/>
                <w:sz w:val="18"/>
                <w:szCs w:val="18"/>
                <w:lang w:val="en-US"/>
              </w:rPr>
              <w:t>5</w:t>
            </w:r>
            <w:r>
              <w:rPr>
                <w:rFonts w:cs="Arial"/>
                <w:sz w:val="18"/>
                <w:szCs w:val="18"/>
                <w:lang w:val="en-US"/>
              </w:rPr>
              <w:t>.8</w:t>
            </w:r>
            <w:r w:rsidRPr="00E2412A">
              <w:rPr>
                <w:rFonts w:cs="Arial"/>
                <w:sz w:val="18"/>
                <w:szCs w:val="18"/>
                <w:lang w:val="en-US"/>
              </w:rPr>
              <w:t>m</w:t>
            </w:r>
          </w:p>
        </w:tc>
      </w:tr>
      <w:tr w:rsidR="00CF2405" w:rsidRPr="00CB7CCC" w14:paraId="4405CEE0" w14:textId="77777777" w:rsidTr="00865099">
        <w:trPr>
          <w:jc w:val="center"/>
        </w:trPr>
        <w:tc>
          <w:tcPr>
            <w:tcW w:w="3823" w:type="dxa"/>
          </w:tcPr>
          <w:p w14:paraId="57B3E24F" w14:textId="77777777" w:rsidR="00CF2405" w:rsidRPr="00CB7CCC" w:rsidRDefault="00CF2405" w:rsidP="00CF2405">
            <w:pPr>
              <w:spacing w:after="0" w:line="240" w:lineRule="auto"/>
              <w:jc w:val="both"/>
              <w:rPr>
                <w:rFonts w:cs="Arial"/>
                <w:sz w:val="18"/>
                <w:szCs w:val="18"/>
                <w:lang w:val="en-US"/>
              </w:rPr>
            </w:pPr>
            <w:r>
              <w:rPr>
                <w:rFonts w:cs="Arial"/>
                <w:sz w:val="18"/>
                <w:szCs w:val="18"/>
                <w:lang w:val="en-US"/>
              </w:rPr>
              <w:t>Net Debt</w:t>
            </w:r>
          </w:p>
        </w:tc>
        <w:tc>
          <w:tcPr>
            <w:tcW w:w="1086" w:type="dxa"/>
          </w:tcPr>
          <w:p w14:paraId="2AFDCA04" w14:textId="77777777" w:rsidR="00CF2405" w:rsidRPr="00C8160C" w:rsidRDefault="00CF2405" w:rsidP="00CF2405">
            <w:pPr>
              <w:spacing w:after="0" w:line="240" w:lineRule="auto"/>
              <w:jc w:val="right"/>
              <w:rPr>
                <w:rFonts w:cs="Arial"/>
                <w:sz w:val="18"/>
                <w:szCs w:val="18"/>
                <w:highlight w:val="yellow"/>
                <w:lang w:val="en-US"/>
              </w:rPr>
            </w:pPr>
            <w:r>
              <w:rPr>
                <w:rFonts w:cs="Arial"/>
                <w:sz w:val="18"/>
                <w:szCs w:val="18"/>
                <w:lang w:val="en-US"/>
              </w:rPr>
              <w:t>272.3</w:t>
            </w:r>
          </w:p>
        </w:tc>
        <w:tc>
          <w:tcPr>
            <w:tcW w:w="1087" w:type="dxa"/>
          </w:tcPr>
          <w:p w14:paraId="653BC2B5" w14:textId="77777777" w:rsidR="00CF2405" w:rsidRPr="00D2345C" w:rsidRDefault="00CF2405" w:rsidP="00CF2405">
            <w:pPr>
              <w:spacing w:after="0" w:line="240" w:lineRule="auto"/>
              <w:jc w:val="right"/>
              <w:rPr>
                <w:rFonts w:cs="Arial"/>
                <w:sz w:val="18"/>
                <w:szCs w:val="18"/>
                <w:lang w:val="en-US"/>
              </w:rPr>
            </w:pPr>
            <w:r>
              <w:rPr>
                <w:rFonts w:cs="Arial"/>
                <w:sz w:val="18"/>
                <w:szCs w:val="18"/>
                <w:lang w:val="en-US"/>
              </w:rPr>
              <w:t>332.1</w:t>
            </w:r>
          </w:p>
        </w:tc>
        <w:tc>
          <w:tcPr>
            <w:tcW w:w="1087" w:type="dxa"/>
          </w:tcPr>
          <w:p w14:paraId="40A98FFE" w14:textId="5D3335B7" w:rsidR="00CF2405" w:rsidRPr="00CA1AE6" w:rsidRDefault="00223EB2" w:rsidP="00CF2405">
            <w:pPr>
              <w:spacing w:after="0" w:line="240" w:lineRule="auto"/>
              <w:jc w:val="right"/>
              <w:rPr>
                <w:rFonts w:cs="Arial"/>
                <w:sz w:val="18"/>
                <w:szCs w:val="18"/>
                <w:lang w:val="en-US"/>
              </w:rPr>
            </w:pPr>
            <w:r w:rsidRPr="00CA1AE6">
              <w:rPr>
                <w:rFonts w:cs="Arial"/>
                <w:sz w:val="18"/>
                <w:szCs w:val="18"/>
                <w:lang w:val="en-US"/>
              </w:rPr>
              <w:t>£59.8m</w:t>
            </w:r>
          </w:p>
        </w:tc>
      </w:tr>
      <w:tr w:rsidR="00CF2405" w:rsidRPr="00CB7CCC" w14:paraId="0FFB4CA2" w14:textId="77777777" w:rsidTr="00865099">
        <w:trPr>
          <w:jc w:val="center"/>
        </w:trPr>
        <w:tc>
          <w:tcPr>
            <w:tcW w:w="3823" w:type="dxa"/>
            <w:hideMark/>
          </w:tcPr>
          <w:p w14:paraId="2DDE4BC8" w14:textId="77777777" w:rsidR="00CF2405" w:rsidRPr="00CB7CCC" w:rsidRDefault="00CF2405" w:rsidP="00CF2405">
            <w:pPr>
              <w:spacing w:after="0" w:line="240" w:lineRule="auto"/>
              <w:jc w:val="both"/>
              <w:rPr>
                <w:rFonts w:cs="Arial"/>
                <w:sz w:val="18"/>
                <w:szCs w:val="18"/>
                <w:lang w:val="en-US"/>
              </w:rPr>
            </w:pPr>
            <w:r w:rsidRPr="00CB7CCC">
              <w:rPr>
                <w:rFonts w:cs="Arial"/>
                <w:sz w:val="18"/>
                <w:szCs w:val="18"/>
                <w:lang w:val="en-US"/>
              </w:rPr>
              <w:t>Net Debt</w:t>
            </w:r>
            <w:r>
              <w:rPr>
                <w:rFonts w:cs="Arial"/>
                <w:sz w:val="18"/>
                <w:szCs w:val="18"/>
                <w:lang w:val="en-US"/>
              </w:rPr>
              <w:t xml:space="preserve"> (excluding lease liabilities)</w:t>
            </w:r>
          </w:p>
        </w:tc>
        <w:tc>
          <w:tcPr>
            <w:tcW w:w="1086" w:type="dxa"/>
          </w:tcPr>
          <w:p w14:paraId="440DFA6B" w14:textId="77777777" w:rsidR="00CF2405" w:rsidRPr="00C8160C" w:rsidRDefault="00CF2405" w:rsidP="00CF2405">
            <w:pPr>
              <w:spacing w:after="0" w:line="240" w:lineRule="auto"/>
              <w:jc w:val="right"/>
              <w:rPr>
                <w:rFonts w:cs="Arial"/>
                <w:sz w:val="18"/>
                <w:szCs w:val="18"/>
                <w:highlight w:val="yellow"/>
                <w:lang w:val="en-US"/>
              </w:rPr>
            </w:pPr>
            <w:r>
              <w:rPr>
                <w:rFonts w:cs="Arial"/>
                <w:sz w:val="18"/>
                <w:szCs w:val="18"/>
                <w:lang w:val="en-US"/>
              </w:rPr>
              <w:t>219.3</w:t>
            </w:r>
          </w:p>
        </w:tc>
        <w:tc>
          <w:tcPr>
            <w:tcW w:w="1087" w:type="dxa"/>
          </w:tcPr>
          <w:p w14:paraId="674CAEA4" w14:textId="77777777" w:rsidR="00CF2405" w:rsidRPr="00D2345C" w:rsidRDefault="00CF2405" w:rsidP="00CF2405">
            <w:pPr>
              <w:spacing w:after="0" w:line="240" w:lineRule="auto"/>
              <w:jc w:val="right"/>
              <w:rPr>
                <w:rFonts w:cs="Arial"/>
                <w:sz w:val="18"/>
                <w:szCs w:val="18"/>
                <w:lang w:val="en-US"/>
              </w:rPr>
            </w:pPr>
            <w:r>
              <w:rPr>
                <w:rFonts w:cs="Arial"/>
                <w:sz w:val="18"/>
                <w:szCs w:val="18"/>
                <w:lang w:val="en-US"/>
              </w:rPr>
              <w:t>271.3</w:t>
            </w:r>
          </w:p>
        </w:tc>
        <w:tc>
          <w:tcPr>
            <w:tcW w:w="1087" w:type="dxa"/>
          </w:tcPr>
          <w:p w14:paraId="03D4A645" w14:textId="10A08FCA" w:rsidR="00CF2405" w:rsidRPr="00CA1AE6" w:rsidRDefault="00223EB2" w:rsidP="00CF2405">
            <w:pPr>
              <w:spacing w:after="0" w:line="240" w:lineRule="auto"/>
              <w:jc w:val="right"/>
              <w:rPr>
                <w:rFonts w:cs="Arial"/>
                <w:sz w:val="18"/>
                <w:szCs w:val="18"/>
                <w:lang w:val="en-US"/>
              </w:rPr>
            </w:pPr>
            <w:r w:rsidRPr="00CA1AE6">
              <w:rPr>
                <w:rFonts w:cs="Arial"/>
                <w:sz w:val="18"/>
                <w:szCs w:val="18"/>
                <w:lang w:val="en-US"/>
              </w:rPr>
              <w:t>£52.0m</w:t>
            </w:r>
          </w:p>
        </w:tc>
      </w:tr>
      <w:tr w:rsidR="00CF2405" w:rsidRPr="00CB7CCC" w14:paraId="40097391" w14:textId="77777777" w:rsidTr="00865099">
        <w:trPr>
          <w:jc w:val="center"/>
        </w:trPr>
        <w:tc>
          <w:tcPr>
            <w:tcW w:w="3823" w:type="dxa"/>
          </w:tcPr>
          <w:p w14:paraId="36B792BB" w14:textId="77777777" w:rsidR="00CF2405" w:rsidRPr="00CB7CCC" w:rsidRDefault="00CF2405" w:rsidP="00CF2405">
            <w:pPr>
              <w:spacing w:after="0" w:line="240" w:lineRule="auto"/>
              <w:jc w:val="both"/>
              <w:rPr>
                <w:rFonts w:cs="Arial"/>
                <w:sz w:val="18"/>
                <w:szCs w:val="18"/>
                <w:lang w:val="en-US"/>
              </w:rPr>
            </w:pPr>
            <w:r w:rsidRPr="00CB7CCC">
              <w:rPr>
                <w:rFonts w:cs="Arial"/>
                <w:sz w:val="18"/>
                <w:szCs w:val="18"/>
                <w:lang w:val="en-US"/>
              </w:rPr>
              <w:t>Net Debt:EBITDA as per financing agreements</w:t>
            </w:r>
          </w:p>
        </w:tc>
        <w:tc>
          <w:tcPr>
            <w:tcW w:w="1086" w:type="dxa"/>
          </w:tcPr>
          <w:p w14:paraId="3B84EC65" w14:textId="69C17B8F" w:rsidR="00CF2405" w:rsidRPr="009D373E" w:rsidRDefault="00FA6F83" w:rsidP="00CF2405">
            <w:pPr>
              <w:spacing w:after="0" w:line="240" w:lineRule="auto"/>
              <w:jc w:val="right"/>
              <w:rPr>
                <w:rFonts w:cs="Arial"/>
                <w:sz w:val="18"/>
                <w:szCs w:val="18"/>
                <w:lang w:val="en-US"/>
              </w:rPr>
            </w:pPr>
            <w:r>
              <w:rPr>
                <w:rFonts w:cs="Arial"/>
                <w:sz w:val="18"/>
                <w:szCs w:val="18"/>
                <w:lang w:val="en-US"/>
              </w:rPr>
              <w:t>2.1</w:t>
            </w:r>
            <w:r w:rsidR="00CF2405" w:rsidRPr="009D373E">
              <w:rPr>
                <w:rFonts w:cs="Arial"/>
                <w:sz w:val="18"/>
                <w:szCs w:val="18"/>
                <w:lang w:val="en-US"/>
              </w:rPr>
              <w:t>x</w:t>
            </w:r>
          </w:p>
        </w:tc>
        <w:tc>
          <w:tcPr>
            <w:tcW w:w="1087" w:type="dxa"/>
          </w:tcPr>
          <w:p w14:paraId="756DBE12" w14:textId="77777777" w:rsidR="00CF2405" w:rsidRPr="009D373E" w:rsidRDefault="00CF2405" w:rsidP="00CF2405">
            <w:pPr>
              <w:spacing w:after="0" w:line="240" w:lineRule="auto"/>
              <w:jc w:val="right"/>
              <w:rPr>
                <w:rFonts w:cs="Arial"/>
                <w:sz w:val="18"/>
                <w:szCs w:val="18"/>
                <w:lang w:val="en-US"/>
              </w:rPr>
            </w:pPr>
            <w:r w:rsidRPr="009D373E">
              <w:rPr>
                <w:rFonts w:cs="Arial"/>
                <w:sz w:val="18"/>
                <w:szCs w:val="18"/>
                <w:lang w:val="en-US"/>
              </w:rPr>
              <w:t>7.2x</w:t>
            </w:r>
          </w:p>
        </w:tc>
        <w:tc>
          <w:tcPr>
            <w:tcW w:w="1087" w:type="dxa"/>
          </w:tcPr>
          <w:p w14:paraId="0E21C183" w14:textId="77777777" w:rsidR="00CF2405" w:rsidRPr="00C8160C" w:rsidRDefault="00CF2405" w:rsidP="00CF2405">
            <w:pPr>
              <w:spacing w:after="0" w:line="240" w:lineRule="auto"/>
              <w:jc w:val="right"/>
              <w:rPr>
                <w:rFonts w:cs="Arial"/>
                <w:sz w:val="18"/>
                <w:szCs w:val="18"/>
                <w:highlight w:val="yellow"/>
                <w:lang w:val="en-US"/>
              </w:rPr>
            </w:pPr>
          </w:p>
        </w:tc>
      </w:tr>
      <w:tr w:rsidR="00CF2405" w:rsidRPr="00CB7CCC" w14:paraId="166A44E0" w14:textId="77777777" w:rsidTr="00865099">
        <w:trPr>
          <w:jc w:val="center"/>
        </w:trPr>
        <w:tc>
          <w:tcPr>
            <w:tcW w:w="3823" w:type="dxa"/>
            <w:hideMark/>
          </w:tcPr>
          <w:p w14:paraId="45A34543" w14:textId="77777777" w:rsidR="00CF2405" w:rsidRPr="00CB7CCC" w:rsidRDefault="00CF2405" w:rsidP="00CF2405">
            <w:pPr>
              <w:spacing w:after="0" w:line="240" w:lineRule="auto"/>
              <w:jc w:val="both"/>
              <w:rPr>
                <w:rFonts w:cs="Arial"/>
                <w:sz w:val="18"/>
                <w:szCs w:val="18"/>
                <w:lang w:val="en-US"/>
              </w:rPr>
            </w:pPr>
            <w:r w:rsidRPr="00CB7CCC">
              <w:rPr>
                <w:rFonts w:cs="Arial"/>
                <w:sz w:val="18"/>
                <w:szCs w:val="18"/>
                <w:lang w:val="en-US"/>
              </w:rPr>
              <w:t xml:space="preserve">ROIC </w:t>
            </w:r>
          </w:p>
        </w:tc>
        <w:tc>
          <w:tcPr>
            <w:tcW w:w="1086" w:type="dxa"/>
          </w:tcPr>
          <w:p w14:paraId="23A4EF09" w14:textId="77777777" w:rsidR="00CF2405" w:rsidRPr="00C8160C" w:rsidRDefault="00CF2405" w:rsidP="00CF2405">
            <w:pPr>
              <w:spacing w:after="0" w:line="240" w:lineRule="auto"/>
              <w:jc w:val="right"/>
              <w:rPr>
                <w:rFonts w:cs="Arial"/>
                <w:sz w:val="18"/>
                <w:szCs w:val="18"/>
                <w:highlight w:val="yellow"/>
                <w:lang w:val="en-US"/>
              </w:rPr>
            </w:pPr>
            <w:r>
              <w:rPr>
                <w:rFonts w:cs="Arial"/>
                <w:sz w:val="18"/>
                <w:szCs w:val="18"/>
                <w:lang w:val="en-US"/>
              </w:rPr>
              <w:t>6.3%</w:t>
            </w:r>
          </w:p>
        </w:tc>
        <w:tc>
          <w:tcPr>
            <w:tcW w:w="1087" w:type="dxa"/>
          </w:tcPr>
          <w:p w14:paraId="097301FE" w14:textId="77777777" w:rsidR="00CF2405" w:rsidRPr="00D2345C" w:rsidRDefault="00CF2405" w:rsidP="00CF2405">
            <w:pPr>
              <w:spacing w:after="0" w:line="240" w:lineRule="auto"/>
              <w:jc w:val="right"/>
              <w:rPr>
                <w:rFonts w:cs="Arial"/>
                <w:sz w:val="18"/>
                <w:szCs w:val="18"/>
                <w:lang w:val="en-US"/>
              </w:rPr>
            </w:pPr>
            <w:r>
              <w:rPr>
                <w:rFonts w:cs="Arial"/>
                <w:sz w:val="18"/>
                <w:szCs w:val="18"/>
                <w:lang w:val="en-US"/>
              </w:rPr>
              <w:t>(0.6)</w:t>
            </w:r>
            <w:r w:rsidRPr="00D2345C">
              <w:rPr>
                <w:rFonts w:cs="Arial"/>
                <w:sz w:val="18"/>
                <w:szCs w:val="18"/>
                <w:lang w:val="en-US"/>
              </w:rPr>
              <w:t>%</w:t>
            </w:r>
          </w:p>
        </w:tc>
        <w:tc>
          <w:tcPr>
            <w:tcW w:w="1087" w:type="dxa"/>
          </w:tcPr>
          <w:p w14:paraId="1C2018F6" w14:textId="77777777" w:rsidR="00CF2405" w:rsidRPr="00C8160C" w:rsidRDefault="00CF2405" w:rsidP="00CF2405">
            <w:pPr>
              <w:spacing w:after="0" w:line="240" w:lineRule="auto"/>
              <w:jc w:val="right"/>
              <w:rPr>
                <w:rFonts w:cs="Arial"/>
                <w:sz w:val="18"/>
                <w:szCs w:val="18"/>
                <w:highlight w:val="yellow"/>
                <w:lang w:val="en-US"/>
              </w:rPr>
            </w:pPr>
          </w:p>
        </w:tc>
      </w:tr>
    </w:tbl>
    <w:p w14:paraId="05E0FF00" w14:textId="77777777" w:rsidR="00CF2405" w:rsidRPr="00CB7CCC" w:rsidRDefault="00CF2405" w:rsidP="00CF2405">
      <w:pPr>
        <w:spacing w:after="0" w:line="240" w:lineRule="auto"/>
        <w:jc w:val="both"/>
        <w:rPr>
          <w:rFonts w:cs="Arial"/>
          <w:sz w:val="18"/>
          <w:szCs w:val="18"/>
        </w:rPr>
      </w:pPr>
    </w:p>
    <w:p w14:paraId="23A34A44" w14:textId="77777777" w:rsidR="00CF2405" w:rsidRPr="00262C5E" w:rsidRDefault="00CF2405" w:rsidP="00CF2405">
      <w:pPr>
        <w:adjustRightInd w:val="0"/>
        <w:jc w:val="both"/>
        <w:rPr>
          <w:sz w:val="18"/>
          <w:szCs w:val="18"/>
        </w:rPr>
      </w:pPr>
      <w:r w:rsidRPr="00262C5E">
        <w:rPr>
          <w:sz w:val="18"/>
          <w:szCs w:val="18"/>
        </w:rPr>
        <w:t xml:space="preserve">The Group continued to manage cashflows and leverage carefully in H1 22 in the context of recovering profitability, </w:t>
      </w:r>
      <w:r>
        <w:rPr>
          <w:sz w:val="18"/>
          <w:szCs w:val="18"/>
        </w:rPr>
        <w:t>seasonal</w:t>
      </w:r>
      <w:r w:rsidRPr="00262C5E">
        <w:rPr>
          <w:sz w:val="18"/>
          <w:szCs w:val="18"/>
        </w:rPr>
        <w:t xml:space="preserve"> working capital outflows, and its capital investment programme to support future growth in the business. </w:t>
      </w:r>
    </w:p>
    <w:p w14:paraId="181C187D" w14:textId="71918507" w:rsidR="00CF2405" w:rsidRPr="009D373E" w:rsidRDefault="00CF2405" w:rsidP="00CF2405">
      <w:pPr>
        <w:adjustRightInd w:val="0"/>
        <w:jc w:val="both"/>
        <w:rPr>
          <w:sz w:val="18"/>
          <w:szCs w:val="18"/>
        </w:rPr>
      </w:pPr>
      <w:r w:rsidRPr="00356D7B">
        <w:rPr>
          <w:sz w:val="18"/>
          <w:szCs w:val="18"/>
        </w:rPr>
        <w:t>Free Cash Flow was an outflow of £</w:t>
      </w:r>
      <w:r>
        <w:rPr>
          <w:sz w:val="18"/>
          <w:szCs w:val="18"/>
        </w:rPr>
        <w:t>1</w:t>
      </w:r>
      <w:r w:rsidR="0075693F">
        <w:rPr>
          <w:sz w:val="18"/>
          <w:szCs w:val="18"/>
        </w:rPr>
        <w:t>7</w:t>
      </w:r>
      <w:r>
        <w:rPr>
          <w:sz w:val="18"/>
          <w:szCs w:val="18"/>
        </w:rPr>
        <w:t>.8</w:t>
      </w:r>
      <w:r w:rsidRPr="00356D7B">
        <w:rPr>
          <w:sz w:val="18"/>
          <w:szCs w:val="18"/>
        </w:rPr>
        <w:t xml:space="preserve">m in H1 22 compared to an outflow of £23.6m in H1 21, the </w:t>
      </w:r>
      <w:r>
        <w:rPr>
          <w:sz w:val="18"/>
          <w:szCs w:val="18"/>
        </w:rPr>
        <w:t xml:space="preserve">reduction </w:t>
      </w:r>
      <w:r w:rsidRPr="00356D7B">
        <w:rPr>
          <w:sz w:val="18"/>
          <w:szCs w:val="18"/>
        </w:rPr>
        <w:t>primarily reflecting</w:t>
      </w:r>
      <w:r>
        <w:rPr>
          <w:sz w:val="18"/>
          <w:szCs w:val="18"/>
        </w:rPr>
        <w:t xml:space="preserve"> improved profitability</w:t>
      </w:r>
      <w:r w:rsidRPr="00356D7B">
        <w:rPr>
          <w:sz w:val="18"/>
          <w:szCs w:val="18"/>
        </w:rPr>
        <w:t xml:space="preserve">, partly offset by </w:t>
      </w:r>
      <w:r w:rsidR="001000B8">
        <w:rPr>
          <w:sz w:val="18"/>
          <w:szCs w:val="18"/>
        </w:rPr>
        <w:t xml:space="preserve">seasonally </w:t>
      </w:r>
      <w:r>
        <w:rPr>
          <w:sz w:val="18"/>
          <w:szCs w:val="18"/>
        </w:rPr>
        <w:t>higher working capital outflows</w:t>
      </w:r>
      <w:r w:rsidRPr="00356D7B">
        <w:rPr>
          <w:sz w:val="18"/>
          <w:szCs w:val="18"/>
        </w:rPr>
        <w:t xml:space="preserve">. Several other factors also contributed to the net cash outflow in </w:t>
      </w:r>
      <w:r w:rsidRPr="009D373E">
        <w:rPr>
          <w:sz w:val="18"/>
          <w:szCs w:val="18"/>
        </w:rPr>
        <w:t xml:space="preserve">H1 22, principally higher strategic capex. </w:t>
      </w:r>
      <w:r w:rsidR="00304946">
        <w:rPr>
          <w:sz w:val="18"/>
          <w:szCs w:val="18"/>
        </w:rPr>
        <w:t xml:space="preserve">Free cash flow conversion </w:t>
      </w:r>
      <w:r w:rsidR="00474A44">
        <w:rPr>
          <w:sz w:val="18"/>
          <w:szCs w:val="18"/>
        </w:rPr>
        <w:t xml:space="preserve">was </w:t>
      </w:r>
      <w:r w:rsidR="00304946">
        <w:rPr>
          <w:sz w:val="18"/>
          <w:szCs w:val="18"/>
        </w:rPr>
        <w:t>71.2% compared with (117.2</w:t>
      </w:r>
      <w:r w:rsidR="00307236">
        <w:rPr>
          <w:sz w:val="18"/>
          <w:szCs w:val="18"/>
        </w:rPr>
        <w:t>)</w:t>
      </w:r>
      <w:r w:rsidR="00304946">
        <w:rPr>
          <w:sz w:val="18"/>
          <w:szCs w:val="18"/>
        </w:rPr>
        <w:t>% in the 12 months to H1 21.</w:t>
      </w:r>
    </w:p>
    <w:p w14:paraId="344FDD27" w14:textId="74290ACD" w:rsidR="00CF2405" w:rsidRPr="009D373E" w:rsidRDefault="00CF2405" w:rsidP="00CF2405">
      <w:pPr>
        <w:adjustRightInd w:val="0"/>
        <w:jc w:val="both"/>
        <w:rPr>
          <w:sz w:val="18"/>
          <w:szCs w:val="18"/>
        </w:rPr>
      </w:pPr>
      <w:r w:rsidRPr="009D373E">
        <w:rPr>
          <w:sz w:val="18"/>
          <w:szCs w:val="18"/>
        </w:rPr>
        <w:t xml:space="preserve">The Group’s Net Debt at 25 March 2022 was £272.3m, a decrease of £59.8m compared to 26 March 2021. Net Debt excluding lease liabilities decreased to £219.3m from £271.3m at the end of H1 </w:t>
      </w:r>
      <w:r w:rsidR="007C448A" w:rsidRPr="009D373E">
        <w:rPr>
          <w:sz w:val="18"/>
          <w:szCs w:val="18"/>
        </w:rPr>
        <w:t>21</w:t>
      </w:r>
      <w:r w:rsidR="00474A44">
        <w:rPr>
          <w:sz w:val="18"/>
          <w:szCs w:val="18"/>
        </w:rPr>
        <w:t>. Net Debt excluding lease liabilities</w:t>
      </w:r>
      <w:r w:rsidR="007C448A" w:rsidRPr="009D373E">
        <w:rPr>
          <w:sz w:val="18"/>
          <w:szCs w:val="18"/>
        </w:rPr>
        <w:t xml:space="preserve"> </w:t>
      </w:r>
      <w:r w:rsidRPr="009D373E">
        <w:rPr>
          <w:sz w:val="18"/>
          <w:szCs w:val="18"/>
        </w:rPr>
        <w:t>increased from £183.1m at the end of FY21</w:t>
      </w:r>
      <w:r w:rsidR="00474A44">
        <w:rPr>
          <w:sz w:val="18"/>
          <w:szCs w:val="18"/>
        </w:rPr>
        <w:t xml:space="preserve"> due to seasonal working capital outflows</w:t>
      </w:r>
      <w:r w:rsidRPr="009D373E">
        <w:rPr>
          <w:sz w:val="18"/>
          <w:szCs w:val="18"/>
        </w:rPr>
        <w:t xml:space="preserve">. The Group’s Net Debt:EBITDA leverage as measured under financing agreements was </w:t>
      </w:r>
      <w:r w:rsidR="00054F43">
        <w:rPr>
          <w:rFonts w:cs="Arial"/>
          <w:sz w:val="18"/>
          <w:szCs w:val="18"/>
        </w:rPr>
        <w:t>2.1</w:t>
      </w:r>
      <w:r w:rsidRPr="009D373E">
        <w:rPr>
          <w:rFonts w:cs="Arial"/>
          <w:sz w:val="18"/>
          <w:szCs w:val="18"/>
        </w:rPr>
        <w:t>x</w:t>
      </w:r>
      <w:r w:rsidRPr="009D373E">
        <w:rPr>
          <w:sz w:val="18"/>
          <w:szCs w:val="18"/>
        </w:rPr>
        <w:t xml:space="preserve"> at period end, compared to 7.2x at the end of March 2021. </w:t>
      </w:r>
    </w:p>
    <w:p w14:paraId="243540FC" w14:textId="659055CD" w:rsidR="00CF2405" w:rsidRPr="009D373E" w:rsidRDefault="00CF2405" w:rsidP="00CF2405">
      <w:pPr>
        <w:adjustRightInd w:val="0"/>
        <w:jc w:val="both"/>
        <w:rPr>
          <w:rFonts w:cs="Arial"/>
          <w:sz w:val="18"/>
          <w:szCs w:val="18"/>
        </w:rPr>
      </w:pPr>
      <w:bookmarkStart w:id="8" w:name="_Hlk100569598"/>
      <w:r w:rsidRPr="009D373E">
        <w:rPr>
          <w:sz w:val="18"/>
          <w:szCs w:val="18"/>
        </w:rPr>
        <w:t>In November 2021</w:t>
      </w:r>
      <w:r w:rsidR="00474A44">
        <w:rPr>
          <w:sz w:val="18"/>
          <w:szCs w:val="18"/>
        </w:rPr>
        <w:t xml:space="preserve">, </w:t>
      </w:r>
      <w:r w:rsidRPr="009D373E">
        <w:rPr>
          <w:sz w:val="18"/>
          <w:szCs w:val="18"/>
        </w:rPr>
        <w:t xml:space="preserve">the Group further strengthened its balance sheet when it extended the maturity on its £340m revolving credit facility by one year to January 2026. </w:t>
      </w:r>
      <w:r w:rsidRPr="009D373E">
        <w:rPr>
          <w:rFonts w:cs="Arial"/>
          <w:sz w:val="18"/>
          <w:szCs w:val="18"/>
        </w:rPr>
        <w:t xml:space="preserve">As at 25 March 2022, the Group had total committed debt facilities of £570.4m and a weighted average maturity of 3.1 years. </w:t>
      </w:r>
      <w:bookmarkStart w:id="9" w:name="_Hlk86323890"/>
      <w:r w:rsidRPr="009D373E">
        <w:rPr>
          <w:sz w:val="18"/>
          <w:szCs w:val="18"/>
        </w:rPr>
        <w:t>At 25 March 2022 the Group had cash and undrawn committed bank facilities of £</w:t>
      </w:r>
      <w:r w:rsidR="007C448A" w:rsidRPr="009D373E">
        <w:rPr>
          <w:sz w:val="18"/>
          <w:szCs w:val="18"/>
        </w:rPr>
        <w:t>349.</w:t>
      </w:r>
      <w:r w:rsidR="00054F43">
        <w:rPr>
          <w:sz w:val="18"/>
          <w:szCs w:val="18"/>
        </w:rPr>
        <w:t>5</w:t>
      </w:r>
      <w:r w:rsidRPr="009D373E">
        <w:rPr>
          <w:sz w:val="18"/>
          <w:szCs w:val="18"/>
        </w:rPr>
        <w:t>m</w:t>
      </w:r>
      <w:bookmarkEnd w:id="9"/>
      <w:r w:rsidR="00C7423A">
        <w:rPr>
          <w:sz w:val="18"/>
          <w:szCs w:val="18"/>
        </w:rPr>
        <w:t xml:space="preserve">. </w:t>
      </w:r>
    </w:p>
    <w:bookmarkEnd w:id="8"/>
    <w:p w14:paraId="7C0485D8" w14:textId="34AB5419" w:rsidR="00CF2405" w:rsidRDefault="00CF2405" w:rsidP="00CF2405">
      <w:pPr>
        <w:jc w:val="both"/>
        <w:rPr>
          <w:sz w:val="18"/>
          <w:szCs w:val="18"/>
        </w:rPr>
      </w:pPr>
      <w:r w:rsidRPr="009D373E">
        <w:rPr>
          <w:sz w:val="18"/>
          <w:szCs w:val="18"/>
        </w:rPr>
        <w:t>ROIC increased to 6.3% for the 12 months ended 25 March 2022, compared to (0.6)% for the 12 months ended 26 March 2021</w:t>
      </w:r>
      <w:r w:rsidR="00223EB2">
        <w:rPr>
          <w:sz w:val="18"/>
          <w:szCs w:val="18"/>
        </w:rPr>
        <w:t xml:space="preserve"> and 4.5% for the 12 months ended 24 September 2021</w:t>
      </w:r>
      <w:r w:rsidRPr="009D373E">
        <w:rPr>
          <w:sz w:val="18"/>
          <w:szCs w:val="18"/>
        </w:rPr>
        <w:t xml:space="preserve">. The </w:t>
      </w:r>
      <w:r w:rsidR="00223EB2">
        <w:rPr>
          <w:sz w:val="18"/>
          <w:szCs w:val="18"/>
        </w:rPr>
        <w:t xml:space="preserve">year on year </w:t>
      </w:r>
      <w:r w:rsidRPr="009D373E">
        <w:rPr>
          <w:sz w:val="18"/>
          <w:szCs w:val="18"/>
        </w:rPr>
        <w:t xml:space="preserve">increase was driven primarily by increased profitability in the period. Average invested capital decreased modestly </w:t>
      </w:r>
      <w:r w:rsidR="00223EB2">
        <w:rPr>
          <w:sz w:val="18"/>
          <w:szCs w:val="18"/>
        </w:rPr>
        <w:t xml:space="preserve">year on year </w:t>
      </w:r>
      <w:r w:rsidRPr="009D373E">
        <w:rPr>
          <w:sz w:val="18"/>
          <w:szCs w:val="18"/>
        </w:rPr>
        <w:t>from £758.6m to £743.5m.</w:t>
      </w:r>
    </w:p>
    <w:p w14:paraId="4D12E719" w14:textId="77777777" w:rsidR="00C7423A" w:rsidRDefault="00C7423A" w:rsidP="00CF2405">
      <w:pPr>
        <w:jc w:val="both"/>
        <w:rPr>
          <w:rFonts w:cs="Arial"/>
          <w:b/>
          <w:sz w:val="20"/>
          <w:szCs w:val="18"/>
        </w:rPr>
      </w:pPr>
      <w:bookmarkStart w:id="10" w:name="_Hlk101962802"/>
      <w:bookmarkEnd w:id="7"/>
    </w:p>
    <w:p w14:paraId="250E855B" w14:textId="7A954F5F" w:rsidR="00CF2405" w:rsidRPr="00806816" w:rsidRDefault="00CF2405" w:rsidP="00CF2405">
      <w:pPr>
        <w:jc w:val="both"/>
        <w:rPr>
          <w:rFonts w:cs="Arial"/>
          <w:b/>
          <w:sz w:val="20"/>
          <w:szCs w:val="18"/>
        </w:rPr>
      </w:pPr>
      <w:r>
        <w:rPr>
          <w:rFonts w:cs="Arial"/>
          <w:b/>
          <w:sz w:val="20"/>
          <w:szCs w:val="18"/>
        </w:rPr>
        <w:t xml:space="preserve">Better Future Plan </w:t>
      </w:r>
    </w:p>
    <w:p w14:paraId="061B8686" w14:textId="6B895199" w:rsidR="008A5E8B" w:rsidRPr="008A5E8B" w:rsidRDefault="008A5E8B" w:rsidP="008A5E8B">
      <w:pPr>
        <w:spacing w:line="256" w:lineRule="auto"/>
        <w:jc w:val="both"/>
        <w:rPr>
          <w:rFonts w:ascii="Calibri" w:eastAsia="Calibri" w:hAnsi="Calibri" w:cs="Arial"/>
          <w:sz w:val="18"/>
          <w:szCs w:val="18"/>
        </w:rPr>
      </w:pPr>
      <w:r w:rsidRPr="008A5E8B">
        <w:rPr>
          <w:rFonts w:ascii="Calibri" w:eastAsia="Calibri" w:hAnsi="Calibri" w:cs="Arial"/>
          <w:sz w:val="18"/>
          <w:szCs w:val="18"/>
        </w:rPr>
        <w:t xml:space="preserve">Greencore’s sustainability strategy, the ‘Better Future Plan’, </w:t>
      </w:r>
      <w:r w:rsidR="00C218B6">
        <w:rPr>
          <w:rFonts w:ascii="Calibri" w:eastAsia="Calibri" w:hAnsi="Calibri" w:cs="Arial"/>
          <w:sz w:val="18"/>
          <w:szCs w:val="18"/>
        </w:rPr>
        <w:t xml:space="preserve">was </w:t>
      </w:r>
      <w:r w:rsidRPr="008A5E8B">
        <w:rPr>
          <w:rFonts w:ascii="Calibri" w:eastAsia="Calibri" w:hAnsi="Calibri" w:cs="Arial"/>
          <w:sz w:val="18"/>
          <w:szCs w:val="18"/>
        </w:rPr>
        <w:t>launched in November 2021</w:t>
      </w:r>
      <w:r w:rsidR="00C218B6">
        <w:rPr>
          <w:rFonts w:ascii="Calibri" w:eastAsia="Calibri" w:hAnsi="Calibri" w:cs="Arial"/>
          <w:sz w:val="18"/>
          <w:szCs w:val="18"/>
        </w:rPr>
        <w:t xml:space="preserve"> and </w:t>
      </w:r>
      <w:r w:rsidRPr="008A5E8B">
        <w:rPr>
          <w:rFonts w:ascii="Calibri" w:eastAsia="Calibri" w:hAnsi="Calibri" w:cs="Arial"/>
          <w:sz w:val="18"/>
          <w:szCs w:val="18"/>
        </w:rPr>
        <w:t>is built around three pillars and aspirations:</w:t>
      </w:r>
    </w:p>
    <w:p w14:paraId="69048597" w14:textId="77777777" w:rsidR="008A5E8B" w:rsidRPr="008A5E8B" w:rsidRDefault="008A5E8B" w:rsidP="006B25B9">
      <w:pPr>
        <w:widowControl w:val="0"/>
        <w:numPr>
          <w:ilvl w:val="0"/>
          <w:numId w:val="21"/>
        </w:numPr>
        <w:autoSpaceDE w:val="0"/>
        <w:autoSpaceDN w:val="0"/>
        <w:spacing w:after="0" w:line="240" w:lineRule="auto"/>
        <w:contextualSpacing/>
        <w:jc w:val="both"/>
        <w:rPr>
          <w:rFonts w:cs="Arial"/>
          <w:sz w:val="18"/>
          <w:szCs w:val="18"/>
        </w:rPr>
      </w:pPr>
      <w:r w:rsidRPr="008A5E8B">
        <w:rPr>
          <w:rFonts w:cs="Arial"/>
          <w:sz w:val="18"/>
          <w:szCs w:val="18"/>
        </w:rPr>
        <w:t>Sourcing with Integrity: By 2030 we will source our priority ingredients from a sustainable and fair supply chain</w:t>
      </w:r>
    </w:p>
    <w:p w14:paraId="6D85D38F" w14:textId="77777777" w:rsidR="008A5E8B" w:rsidRPr="008A5E8B" w:rsidRDefault="008A5E8B" w:rsidP="006B25B9">
      <w:pPr>
        <w:widowControl w:val="0"/>
        <w:numPr>
          <w:ilvl w:val="0"/>
          <w:numId w:val="21"/>
        </w:numPr>
        <w:autoSpaceDE w:val="0"/>
        <w:autoSpaceDN w:val="0"/>
        <w:spacing w:after="0" w:line="240" w:lineRule="auto"/>
        <w:contextualSpacing/>
        <w:jc w:val="both"/>
        <w:rPr>
          <w:rFonts w:cs="Arial"/>
          <w:sz w:val="18"/>
          <w:szCs w:val="18"/>
        </w:rPr>
      </w:pPr>
      <w:r w:rsidRPr="008A5E8B">
        <w:rPr>
          <w:rFonts w:cs="Arial"/>
          <w:sz w:val="18"/>
          <w:szCs w:val="18"/>
        </w:rPr>
        <w:t>Making with Care: By 2040 we will operate with net zero emissions</w:t>
      </w:r>
    </w:p>
    <w:p w14:paraId="42120FC2" w14:textId="77777777" w:rsidR="008A5E8B" w:rsidRPr="008A5E8B" w:rsidRDefault="008A5E8B" w:rsidP="006B25B9">
      <w:pPr>
        <w:widowControl w:val="0"/>
        <w:numPr>
          <w:ilvl w:val="0"/>
          <w:numId w:val="21"/>
        </w:numPr>
        <w:autoSpaceDE w:val="0"/>
        <w:autoSpaceDN w:val="0"/>
        <w:spacing w:line="360" w:lineRule="auto"/>
        <w:ind w:left="714" w:hanging="357"/>
        <w:contextualSpacing/>
        <w:jc w:val="both"/>
        <w:rPr>
          <w:rFonts w:cs="Arial"/>
          <w:sz w:val="18"/>
          <w:szCs w:val="18"/>
        </w:rPr>
      </w:pPr>
      <w:r w:rsidRPr="008A5E8B">
        <w:rPr>
          <w:rFonts w:cs="Arial"/>
          <w:sz w:val="18"/>
          <w:szCs w:val="18"/>
        </w:rPr>
        <w:t>Feeding with Pride: By 2030 we will have increased our positive impact on society through our products</w:t>
      </w:r>
    </w:p>
    <w:p w14:paraId="65DABFA8" w14:textId="0CA90B24" w:rsidR="00C218B6" w:rsidRPr="00702E1E" w:rsidRDefault="00A963C5" w:rsidP="00702E1E">
      <w:pPr>
        <w:spacing w:line="256" w:lineRule="auto"/>
        <w:jc w:val="both"/>
        <w:rPr>
          <w:rFonts w:ascii="Calibri" w:eastAsia="Calibri" w:hAnsi="Calibri" w:cs="Arial"/>
          <w:sz w:val="18"/>
          <w:szCs w:val="18"/>
        </w:rPr>
      </w:pPr>
      <w:r w:rsidRPr="00A963C5">
        <w:rPr>
          <w:rFonts w:ascii="Calibri" w:eastAsia="Calibri" w:hAnsi="Calibri" w:cs="Arial"/>
          <w:sz w:val="18"/>
          <w:szCs w:val="18"/>
          <w:lang w:bidi="en-GB"/>
        </w:rPr>
        <w:t xml:space="preserve">At the start of </w:t>
      </w:r>
      <w:r>
        <w:rPr>
          <w:rFonts w:ascii="Calibri" w:eastAsia="Calibri" w:hAnsi="Calibri" w:cs="Arial"/>
          <w:sz w:val="18"/>
          <w:szCs w:val="18"/>
          <w:lang w:bidi="en-GB"/>
        </w:rPr>
        <w:t>FY22</w:t>
      </w:r>
      <w:r w:rsidRPr="00A963C5">
        <w:rPr>
          <w:rFonts w:ascii="Calibri" w:eastAsia="Calibri" w:hAnsi="Calibri" w:cs="Arial"/>
          <w:sz w:val="18"/>
          <w:szCs w:val="18"/>
          <w:lang w:bidi="en-GB"/>
        </w:rPr>
        <w:t xml:space="preserve"> the Group set out several new commitments and action points under its Better Future Plan. </w:t>
      </w:r>
      <w:r w:rsidR="00C218B6" w:rsidRPr="00702E1E">
        <w:rPr>
          <w:rFonts w:ascii="Calibri" w:eastAsia="Calibri" w:hAnsi="Calibri" w:cs="Arial"/>
          <w:sz w:val="18"/>
          <w:szCs w:val="18"/>
        </w:rPr>
        <w:t xml:space="preserve">In FY22, the Group will transparently share data on the health and sustainability profile of its products with its stakeholders and will also ensure all the Group’s food surplus goes to feed those in need. </w:t>
      </w:r>
      <w:r w:rsidR="00C218B6">
        <w:rPr>
          <w:rFonts w:ascii="Calibri" w:eastAsia="Calibri" w:hAnsi="Calibri" w:cs="Arial"/>
          <w:sz w:val="18"/>
          <w:szCs w:val="18"/>
        </w:rPr>
        <w:t>B</w:t>
      </w:r>
      <w:r w:rsidR="00C218B6" w:rsidRPr="00702E1E">
        <w:rPr>
          <w:rFonts w:ascii="Calibri" w:eastAsia="Calibri" w:hAnsi="Calibri" w:cs="Arial"/>
          <w:sz w:val="18"/>
          <w:szCs w:val="18"/>
        </w:rPr>
        <w:t>y 2030 the Group also commits to reduce the average meat content across the Group’s product portfolio by 30%, in line with the recommendations of the UK Government’s National Food Strategy.</w:t>
      </w:r>
    </w:p>
    <w:p w14:paraId="71806104" w14:textId="061FEDE6" w:rsidR="00243F06" w:rsidRDefault="00A963C5" w:rsidP="00A963C5">
      <w:pPr>
        <w:spacing w:line="257" w:lineRule="auto"/>
        <w:jc w:val="both"/>
        <w:rPr>
          <w:rFonts w:ascii="Calibri" w:eastAsia="Calibri" w:hAnsi="Calibri" w:cs="Arial"/>
          <w:sz w:val="18"/>
          <w:szCs w:val="18"/>
          <w:lang w:bidi="en-GB"/>
        </w:rPr>
      </w:pPr>
      <w:r w:rsidRPr="00A963C5">
        <w:rPr>
          <w:rFonts w:ascii="Calibri" w:eastAsia="Calibri" w:hAnsi="Calibri" w:cs="Arial"/>
          <w:sz w:val="18"/>
          <w:szCs w:val="18"/>
          <w:lang w:bidi="en-GB"/>
        </w:rPr>
        <w:t xml:space="preserve">The Group advanced this sustainability agenda in H1 22, with </w:t>
      </w:r>
      <w:r w:rsidR="004369E0">
        <w:rPr>
          <w:rFonts w:ascii="Calibri" w:eastAsia="Calibri" w:hAnsi="Calibri" w:cs="Arial"/>
          <w:sz w:val="18"/>
          <w:szCs w:val="18"/>
          <w:lang w:bidi="en-GB"/>
        </w:rPr>
        <w:t>an ongoing</w:t>
      </w:r>
      <w:r w:rsidR="004369E0" w:rsidRPr="00A963C5">
        <w:rPr>
          <w:rFonts w:ascii="Calibri" w:eastAsia="Calibri" w:hAnsi="Calibri" w:cs="Arial"/>
          <w:sz w:val="18"/>
          <w:szCs w:val="18"/>
          <w:lang w:bidi="en-GB"/>
        </w:rPr>
        <w:t xml:space="preserve"> </w:t>
      </w:r>
      <w:r w:rsidRPr="00A963C5">
        <w:rPr>
          <w:rFonts w:ascii="Calibri" w:eastAsia="Calibri" w:hAnsi="Calibri" w:cs="Arial"/>
          <w:sz w:val="18"/>
          <w:szCs w:val="18"/>
          <w:lang w:bidi="en-GB"/>
        </w:rPr>
        <w:t xml:space="preserve">focus on building the necessary data and systems framework to measure performance effectively. The Group is building a substantial body of data on the nutritional profile of its </w:t>
      </w:r>
      <w:r w:rsidR="00054F43" w:rsidRPr="00A963C5">
        <w:rPr>
          <w:rFonts w:ascii="Calibri" w:eastAsia="Calibri" w:hAnsi="Calibri" w:cs="Arial"/>
          <w:sz w:val="18"/>
          <w:szCs w:val="18"/>
          <w:lang w:bidi="en-GB"/>
        </w:rPr>
        <w:t>portfolio and</w:t>
      </w:r>
      <w:r w:rsidRPr="00A963C5">
        <w:rPr>
          <w:rFonts w:ascii="Calibri" w:eastAsia="Calibri" w:hAnsi="Calibri" w:cs="Arial"/>
          <w:sz w:val="18"/>
          <w:szCs w:val="18"/>
          <w:lang w:bidi="en-GB"/>
        </w:rPr>
        <w:t xml:space="preserve"> is working with a number of customers to develop trials in product eco-footprinting. The Group’s energy management strategy is being </w:t>
      </w:r>
      <w:r w:rsidRPr="00A963C5">
        <w:rPr>
          <w:rFonts w:ascii="Calibri" w:eastAsia="Calibri" w:hAnsi="Calibri" w:cs="Arial"/>
          <w:sz w:val="18"/>
          <w:szCs w:val="18"/>
          <w:lang w:bidi="en-GB"/>
        </w:rPr>
        <w:lastRenderedPageBreak/>
        <w:t xml:space="preserve">enhanced at factory level, and work has commenced on conducting climate change scenario analysis that will be used as part of the Group’s disclosures on the Taskforce on Climate-related Financial Disclosures (TCFD) this year. In January 2022 the Group also introduced a new share ownership scheme for all colleagues. </w:t>
      </w:r>
    </w:p>
    <w:p w14:paraId="66E01F57" w14:textId="1B83FD3B" w:rsidR="00A963C5" w:rsidRPr="00A963C5" w:rsidRDefault="00243F06" w:rsidP="00A963C5">
      <w:pPr>
        <w:spacing w:line="257" w:lineRule="auto"/>
        <w:jc w:val="both"/>
        <w:rPr>
          <w:rFonts w:ascii="Calibri" w:eastAsia="Calibri" w:hAnsi="Calibri" w:cs="Arial"/>
          <w:sz w:val="18"/>
          <w:szCs w:val="18"/>
          <w:lang w:bidi="en-GB"/>
        </w:rPr>
      </w:pPr>
      <w:r>
        <w:rPr>
          <w:rFonts w:ascii="Calibri" w:eastAsia="Calibri" w:hAnsi="Calibri" w:cs="Arial"/>
          <w:sz w:val="18"/>
          <w:szCs w:val="18"/>
          <w:lang w:bidi="en-GB"/>
        </w:rPr>
        <w:t>Challenges in the Group’s operating environment</w:t>
      </w:r>
      <w:r w:rsidR="00223EB2">
        <w:rPr>
          <w:rFonts w:ascii="Calibri" w:eastAsia="Calibri" w:hAnsi="Calibri" w:cs="Arial"/>
          <w:sz w:val="18"/>
          <w:szCs w:val="18"/>
          <w:lang w:bidi="en-GB"/>
        </w:rPr>
        <w:t>, including supply chain disruption and labour availability,</w:t>
      </w:r>
      <w:r>
        <w:rPr>
          <w:rFonts w:ascii="Calibri" w:eastAsia="Calibri" w:hAnsi="Calibri" w:cs="Arial"/>
          <w:sz w:val="18"/>
          <w:szCs w:val="18"/>
          <w:lang w:bidi="en-GB"/>
        </w:rPr>
        <w:t xml:space="preserve"> have continued to </w:t>
      </w:r>
      <w:r>
        <w:rPr>
          <w:rFonts w:cs="Arial"/>
          <w:sz w:val="18"/>
          <w:szCs w:val="18"/>
        </w:rPr>
        <w:t xml:space="preserve">have an </w:t>
      </w:r>
      <w:r w:rsidR="002C1778">
        <w:rPr>
          <w:rFonts w:cs="Arial"/>
          <w:sz w:val="18"/>
          <w:szCs w:val="18"/>
        </w:rPr>
        <w:t>impact</w:t>
      </w:r>
      <w:r>
        <w:rPr>
          <w:rFonts w:cs="Arial"/>
          <w:sz w:val="18"/>
          <w:szCs w:val="18"/>
        </w:rPr>
        <w:t xml:space="preserve"> on key performance measures</w:t>
      </w:r>
      <w:r w:rsidR="002C1778">
        <w:rPr>
          <w:rFonts w:cs="Arial"/>
          <w:sz w:val="18"/>
          <w:szCs w:val="18"/>
        </w:rPr>
        <w:t xml:space="preserve"> </w:t>
      </w:r>
      <w:r>
        <w:rPr>
          <w:rFonts w:cs="Arial"/>
          <w:sz w:val="18"/>
          <w:szCs w:val="18"/>
        </w:rPr>
        <w:t>and the Group is mitigating these impacts through ongoing efficiency improvements and other measures</w:t>
      </w:r>
      <w:r w:rsidR="002C1778">
        <w:rPr>
          <w:rFonts w:cs="Arial"/>
          <w:sz w:val="18"/>
          <w:szCs w:val="18"/>
        </w:rPr>
        <w:t>.</w:t>
      </w:r>
      <w:r w:rsidR="002C1778" w:rsidRPr="007C0BB0">
        <w:rPr>
          <w:rFonts w:ascii="MuseoSans-300" w:hAnsi="MuseoSans-300" w:cs="MuseoSans-300"/>
          <w:color w:val="3D3C3B"/>
          <w:sz w:val="16"/>
          <w:szCs w:val="16"/>
        </w:rPr>
        <w:t xml:space="preserve"> </w:t>
      </w:r>
    </w:p>
    <w:bookmarkEnd w:id="10"/>
    <w:p w14:paraId="1C7A555D" w14:textId="2278FE19" w:rsidR="00CF2405" w:rsidRPr="008B7B91" w:rsidRDefault="00CF2405" w:rsidP="004B6C20">
      <w:pPr>
        <w:rPr>
          <w:sz w:val="20"/>
          <w:szCs w:val="20"/>
        </w:rPr>
      </w:pPr>
      <w:r w:rsidRPr="008B7B91">
        <w:rPr>
          <w:rFonts w:cs="Arial"/>
          <w:b/>
          <w:szCs w:val="20"/>
        </w:rPr>
        <w:t xml:space="preserve">FINANCIAL REVIEW </w:t>
      </w:r>
      <w:r w:rsidRPr="008B7B91">
        <w:rPr>
          <w:rFonts w:cs="Arial"/>
          <w:b/>
          <w:szCs w:val="20"/>
          <w:vertAlign w:val="superscript"/>
        </w:rPr>
        <w:t>1</w:t>
      </w:r>
    </w:p>
    <w:p w14:paraId="1C299619" w14:textId="77777777" w:rsidR="00CF2405" w:rsidRPr="00CB7CCC" w:rsidRDefault="00CF2405" w:rsidP="00CF2405">
      <w:pPr>
        <w:pStyle w:val="Default"/>
        <w:spacing w:after="120"/>
        <w:jc w:val="both"/>
        <w:rPr>
          <w:rFonts w:asciiTheme="minorHAnsi" w:hAnsiTheme="minorHAnsi" w:cs="Arial"/>
          <w:b/>
          <w:bCs/>
          <w:sz w:val="18"/>
          <w:szCs w:val="18"/>
        </w:rPr>
      </w:pPr>
      <w:r w:rsidRPr="002A5884">
        <w:rPr>
          <w:rFonts w:asciiTheme="minorHAnsi" w:hAnsiTheme="minorHAnsi" w:cs="Arial"/>
          <w:b/>
          <w:bCs/>
          <w:sz w:val="18"/>
          <w:szCs w:val="18"/>
        </w:rPr>
        <w:t>Revenue and Operating Profit</w:t>
      </w:r>
      <w:r w:rsidRPr="00CB7CCC">
        <w:rPr>
          <w:rFonts w:asciiTheme="minorHAnsi" w:hAnsiTheme="minorHAnsi" w:cs="Arial"/>
          <w:b/>
          <w:bCs/>
          <w:sz w:val="18"/>
          <w:szCs w:val="18"/>
        </w:rPr>
        <w:t xml:space="preserve"> </w:t>
      </w:r>
    </w:p>
    <w:p w14:paraId="026FF13C" w14:textId="7D0478E9" w:rsidR="00CF2405" w:rsidRPr="00E2412A" w:rsidRDefault="00CF2405" w:rsidP="00CF2405">
      <w:pPr>
        <w:adjustRightInd w:val="0"/>
        <w:jc w:val="both"/>
        <w:rPr>
          <w:sz w:val="18"/>
          <w:szCs w:val="18"/>
        </w:rPr>
      </w:pPr>
      <w:r w:rsidRPr="00E2412A">
        <w:rPr>
          <w:sz w:val="18"/>
          <w:szCs w:val="18"/>
        </w:rPr>
        <w:t>Reported revenue in the period was £</w:t>
      </w:r>
      <w:r w:rsidRPr="00E2412A">
        <w:rPr>
          <w:rFonts w:cs="Arial"/>
          <w:sz w:val="18"/>
          <w:szCs w:val="18"/>
        </w:rPr>
        <w:t>770.8</w:t>
      </w:r>
      <w:r w:rsidRPr="00E2412A">
        <w:rPr>
          <w:sz w:val="18"/>
          <w:szCs w:val="18"/>
        </w:rPr>
        <w:t xml:space="preserve">m, an increase of 33.6% compared to H1 21, primarily reflecting the recovery in demand in food to go categories and the impact of new business wins. Pro Forma Revenue increased by </w:t>
      </w:r>
      <w:r w:rsidR="005A5315">
        <w:rPr>
          <w:sz w:val="18"/>
          <w:szCs w:val="18"/>
        </w:rPr>
        <w:t>34.9</w:t>
      </w:r>
      <w:r w:rsidRPr="00E2412A">
        <w:rPr>
          <w:sz w:val="18"/>
          <w:szCs w:val="18"/>
        </w:rPr>
        <w:t xml:space="preserve">%. </w:t>
      </w:r>
    </w:p>
    <w:p w14:paraId="0A7CB92C" w14:textId="77777777" w:rsidR="00CF2405" w:rsidRPr="00CB7CCC" w:rsidRDefault="00CF2405" w:rsidP="00CF2405">
      <w:pPr>
        <w:jc w:val="both"/>
        <w:rPr>
          <w:sz w:val="18"/>
          <w:szCs w:val="18"/>
        </w:rPr>
      </w:pPr>
      <w:r w:rsidRPr="00E2412A">
        <w:rPr>
          <w:sz w:val="18"/>
          <w:szCs w:val="18"/>
        </w:rPr>
        <w:t xml:space="preserve">Group Operating Profit increased from £3.9m to £7.2m as a result of an improved revenue outturn in H1 22 and notwithstanding the movement from a net exceptional gain to a net exceptional charge in H1 22. Adjusted Operating Profit of £17.2m compared to £0.2m in H1 21, driven by an improvement in profits in food to go categories partly offset by a lower underlying performance in the Group’s other convenience categories. Adjusted Operating Margin was </w:t>
      </w:r>
      <w:r w:rsidRPr="00E2412A">
        <w:rPr>
          <w:rFonts w:cs="Arial"/>
          <w:sz w:val="18"/>
          <w:szCs w:val="18"/>
        </w:rPr>
        <w:t>2.2</w:t>
      </w:r>
      <w:r w:rsidRPr="00E2412A">
        <w:rPr>
          <w:sz w:val="18"/>
          <w:szCs w:val="18"/>
        </w:rPr>
        <w:t xml:space="preserve">%, </w:t>
      </w:r>
      <w:r w:rsidRPr="00E2412A">
        <w:rPr>
          <w:rFonts w:cs="Arial"/>
          <w:sz w:val="18"/>
          <w:szCs w:val="18"/>
        </w:rPr>
        <w:t>220</w:t>
      </w:r>
      <w:r w:rsidRPr="00E2412A">
        <w:rPr>
          <w:sz w:val="18"/>
          <w:szCs w:val="18"/>
        </w:rPr>
        <w:t xml:space="preserve"> basis points higher than H1 21.</w:t>
      </w:r>
      <w:r w:rsidRPr="00CB7CCC">
        <w:rPr>
          <w:sz w:val="18"/>
          <w:szCs w:val="18"/>
        </w:rPr>
        <w:t xml:space="preserve"> </w:t>
      </w:r>
    </w:p>
    <w:p w14:paraId="27FB4710" w14:textId="77777777" w:rsidR="00CF2405" w:rsidRPr="00CB7CCC" w:rsidRDefault="00CF2405" w:rsidP="00CF2405">
      <w:pPr>
        <w:spacing w:after="120"/>
        <w:jc w:val="both"/>
        <w:rPr>
          <w:rFonts w:cs="Arial"/>
          <w:b/>
          <w:sz w:val="18"/>
          <w:szCs w:val="18"/>
        </w:rPr>
      </w:pPr>
      <w:r w:rsidRPr="00CB7CCC">
        <w:rPr>
          <w:rFonts w:cs="Arial"/>
          <w:b/>
          <w:sz w:val="18"/>
          <w:szCs w:val="18"/>
        </w:rPr>
        <w:t xml:space="preserve">Net finance costs </w:t>
      </w:r>
    </w:p>
    <w:p w14:paraId="6DE2040E" w14:textId="7F355002" w:rsidR="00CF2405" w:rsidRPr="00212122" w:rsidRDefault="00CF2405" w:rsidP="00CF2405">
      <w:pPr>
        <w:adjustRightInd w:val="0"/>
        <w:jc w:val="both"/>
        <w:rPr>
          <w:sz w:val="18"/>
          <w:szCs w:val="18"/>
        </w:rPr>
      </w:pPr>
      <w:r w:rsidRPr="00212122">
        <w:rPr>
          <w:sz w:val="18"/>
          <w:szCs w:val="18"/>
        </w:rPr>
        <w:t>The Group’s net bank interest payable was £</w:t>
      </w:r>
      <w:r w:rsidRPr="00212122">
        <w:rPr>
          <w:rFonts w:cs="Arial"/>
          <w:sz w:val="18"/>
          <w:szCs w:val="18"/>
        </w:rPr>
        <w:t>4.9</w:t>
      </w:r>
      <w:r w:rsidRPr="00212122">
        <w:rPr>
          <w:sz w:val="18"/>
          <w:szCs w:val="18"/>
        </w:rPr>
        <w:t xml:space="preserve">m in </w:t>
      </w:r>
      <w:r w:rsidR="00617724">
        <w:rPr>
          <w:sz w:val="18"/>
          <w:szCs w:val="18"/>
        </w:rPr>
        <w:t>H1 22</w:t>
      </w:r>
      <w:r w:rsidRPr="00212122">
        <w:rPr>
          <w:sz w:val="18"/>
          <w:szCs w:val="18"/>
        </w:rPr>
        <w:t xml:space="preserve">, a decrease of £2.5m versus H1 21. The decrease was driven by lower debt levels during H1 22. The Group also recognised a £0.6m interest charge relating to the interest payable on lease liabilities in the period (H1 21: £0.7m). </w:t>
      </w:r>
    </w:p>
    <w:p w14:paraId="4B90CEC4" w14:textId="68191495" w:rsidR="00CF2405" w:rsidRPr="00CB7CCC" w:rsidRDefault="00CF2405" w:rsidP="00CF2405">
      <w:pPr>
        <w:adjustRightInd w:val="0"/>
        <w:jc w:val="both"/>
        <w:rPr>
          <w:sz w:val="18"/>
          <w:szCs w:val="18"/>
        </w:rPr>
      </w:pPr>
      <w:r w:rsidRPr="00212122">
        <w:rPr>
          <w:sz w:val="18"/>
          <w:szCs w:val="18"/>
        </w:rPr>
        <w:t>The Group’s non-cash finance charge in H1 22 was £0.7m (H1 21: £1.6m). The change in the fair value of derivatives and related debt adjustments</w:t>
      </w:r>
      <w:r w:rsidR="00261EF3">
        <w:rPr>
          <w:sz w:val="18"/>
          <w:szCs w:val="18"/>
        </w:rPr>
        <w:t xml:space="preserve"> including foreign exchange</w:t>
      </w:r>
      <w:r w:rsidRPr="00212122">
        <w:rPr>
          <w:sz w:val="18"/>
          <w:szCs w:val="18"/>
        </w:rPr>
        <w:t xml:space="preserve"> in the period was a £0.1m charge (H1 21: £0.7m charge) and the non-cash pension financing charge of £0.6m was £</w:t>
      </w:r>
      <w:r w:rsidRPr="00212122">
        <w:rPr>
          <w:rFonts w:cs="Arial"/>
          <w:sz w:val="18"/>
          <w:szCs w:val="18"/>
        </w:rPr>
        <w:t>0.3</w:t>
      </w:r>
      <w:r w:rsidRPr="00212122">
        <w:rPr>
          <w:sz w:val="18"/>
          <w:szCs w:val="18"/>
        </w:rPr>
        <w:t>m lower than the H1 21 charge of £0.9m.</w:t>
      </w:r>
    </w:p>
    <w:p w14:paraId="2DCAFD59" w14:textId="77777777" w:rsidR="00CF2405" w:rsidRPr="00CB7CCC" w:rsidRDefault="00CF2405" w:rsidP="00CF2405">
      <w:pPr>
        <w:spacing w:after="120"/>
        <w:jc w:val="both"/>
        <w:rPr>
          <w:rFonts w:cs="Arial"/>
          <w:b/>
          <w:sz w:val="18"/>
          <w:szCs w:val="18"/>
        </w:rPr>
      </w:pPr>
      <w:r w:rsidRPr="00CB7CCC">
        <w:rPr>
          <w:rFonts w:cs="Arial"/>
          <w:b/>
          <w:sz w:val="18"/>
          <w:szCs w:val="18"/>
        </w:rPr>
        <w:t xml:space="preserve">Profit before taxation </w:t>
      </w:r>
    </w:p>
    <w:p w14:paraId="5F66163F" w14:textId="77777777" w:rsidR="00CF2405" w:rsidRPr="00CB7CCC" w:rsidRDefault="00CF2405" w:rsidP="00CF2405">
      <w:pPr>
        <w:adjustRightInd w:val="0"/>
        <w:jc w:val="both"/>
        <w:rPr>
          <w:sz w:val="18"/>
          <w:szCs w:val="18"/>
        </w:rPr>
      </w:pPr>
      <w:r w:rsidRPr="00212122">
        <w:rPr>
          <w:sz w:val="18"/>
          <w:szCs w:val="18"/>
        </w:rPr>
        <w:t>The Group’s Profit before taxation increased from a loss of £1.8m in H1 21 to a profit of £1.0m in H1 22, driven by higher Group Operating Profit and lower finance costs. Adjusted Profit Before Tax in the period was £11.7m compared to an Adjusted Loss Before Tax of £7.9m in H1 21, primarily driven by an improvement in Adjusted Operating Profit.</w:t>
      </w:r>
    </w:p>
    <w:p w14:paraId="74ADAAAF" w14:textId="77777777" w:rsidR="00CF2405" w:rsidRPr="00CB7CCC" w:rsidRDefault="00CF2405" w:rsidP="00CF2405">
      <w:pPr>
        <w:pStyle w:val="Default"/>
        <w:spacing w:after="120"/>
        <w:jc w:val="both"/>
        <w:rPr>
          <w:rFonts w:asciiTheme="minorHAnsi" w:hAnsiTheme="minorHAnsi" w:cs="Arial"/>
          <w:sz w:val="18"/>
          <w:szCs w:val="18"/>
        </w:rPr>
      </w:pPr>
      <w:r w:rsidRPr="00CB7CCC">
        <w:rPr>
          <w:rFonts w:asciiTheme="minorHAnsi" w:hAnsiTheme="minorHAnsi" w:cs="Arial"/>
          <w:b/>
          <w:bCs/>
          <w:sz w:val="18"/>
          <w:szCs w:val="18"/>
        </w:rPr>
        <w:t xml:space="preserve">Taxation </w:t>
      </w:r>
    </w:p>
    <w:p w14:paraId="4579E18D" w14:textId="77777777" w:rsidR="00CF2405" w:rsidRPr="00093407" w:rsidRDefault="00CF2405" w:rsidP="00CF2405">
      <w:pPr>
        <w:adjustRightInd w:val="0"/>
        <w:jc w:val="both"/>
        <w:rPr>
          <w:sz w:val="18"/>
          <w:szCs w:val="18"/>
        </w:rPr>
      </w:pPr>
      <w:r w:rsidRPr="00212122">
        <w:rPr>
          <w:sz w:val="18"/>
          <w:szCs w:val="18"/>
        </w:rPr>
        <w:t xml:space="preserve">The Group’s effective tax rate in H1 22 (adjusting pre-exceptional profit for the change in fair value of derivatives) was </w:t>
      </w:r>
      <w:r w:rsidRPr="00212122">
        <w:rPr>
          <w:rFonts w:cs="Arial"/>
          <w:sz w:val="18"/>
          <w:szCs w:val="18"/>
        </w:rPr>
        <w:t>19</w:t>
      </w:r>
      <w:r w:rsidRPr="00212122">
        <w:rPr>
          <w:sz w:val="18"/>
          <w:szCs w:val="18"/>
        </w:rPr>
        <w:t xml:space="preserve">% (H1 21: 18%). In March 2021, the UK Government announced an increase in the UK rate of corporation tax from 19% to 25%, to be effective from 1 April 2023. </w:t>
      </w:r>
    </w:p>
    <w:p w14:paraId="69B44142" w14:textId="77777777" w:rsidR="00CF2405" w:rsidRPr="00CB7CCC" w:rsidRDefault="00CF2405" w:rsidP="00CF2405">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Exceptional items</w:t>
      </w:r>
    </w:p>
    <w:p w14:paraId="43386169" w14:textId="77777777" w:rsidR="00CF2405" w:rsidRPr="000D3805" w:rsidRDefault="00CF2405" w:rsidP="00CF2405">
      <w:pPr>
        <w:adjustRightInd w:val="0"/>
        <w:jc w:val="both"/>
        <w:rPr>
          <w:sz w:val="18"/>
          <w:szCs w:val="18"/>
        </w:rPr>
      </w:pPr>
      <w:r w:rsidRPr="000D3805">
        <w:rPr>
          <w:sz w:val="18"/>
          <w:szCs w:val="18"/>
        </w:rPr>
        <w:t>The Group had a pre‐tax exceptional charge of £8.0m in H1 22, and an after-tax charge of £6.5m, comprised as follows:</w:t>
      </w:r>
    </w:p>
    <w:tbl>
      <w:tblPr>
        <w:tblStyle w:val="TableGrid"/>
        <w:tblW w:w="0" w:type="auto"/>
        <w:jc w:val="center"/>
        <w:tblLook w:val="04A0" w:firstRow="1" w:lastRow="0" w:firstColumn="1" w:lastColumn="0" w:noHBand="0" w:noVBand="1"/>
      </w:tblPr>
      <w:tblGrid>
        <w:gridCol w:w="5255"/>
        <w:gridCol w:w="1347"/>
      </w:tblGrid>
      <w:tr w:rsidR="00CF2405" w:rsidRPr="000D3805" w14:paraId="4FCA92CC" w14:textId="77777777" w:rsidTr="00865099">
        <w:trPr>
          <w:jc w:val="center"/>
        </w:trPr>
        <w:tc>
          <w:tcPr>
            <w:tcW w:w="5255" w:type="dxa"/>
          </w:tcPr>
          <w:p w14:paraId="77438E59" w14:textId="77777777" w:rsidR="00CF2405" w:rsidRPr="000D3805" w:rsidRDefault="00CF2405" w:rsidP="00865099">
            <w:pPr>
              <w:autoSpaceDE w:val="0"/>
              <w:autoSpaceDN w:val="0"/>
              <w:adjustRightInd w:val="0"/>
              <w:rPr>
                <w:b/>
                <w:sz w:val="18"/>
                <w:szCs w:val="18"/>
              </w:rPr>
            </w:pPr>
            <w:r w:rsidRPr="000D3805">
              <w:rPr>
                <w:b/>
                <w:sz w:val="18"/>
                <w:szCs w:val="18"/>
              </w:rPr>
              <w:t>Exceptional Items</w:t>
            </w:r>
          </w:p>
        </w:tc>
        <w:tc>
          <w:tcPr>
            <w:tcW w:w="1347" w:type="dxa"/>
          </w:tcPr>
          <w:p w14:paraId="75B8DB86" w14:textId="77777777" w:rsidR="00CF2405" w:rsidRPr="000D3805" w:rsidRDefault="00CF2405" w:rsidP="00865099">
            <w:pPr>
              <w:autoSpaceDE w:val="0"/>
              <w:autoSpaceDN w:val="0"/>
              <w:adjustRightInd w:val="0"/>
              <w:jc w:val="right"/>
              <w:rPr>
                <w:b/>
                <w:sz w:val="18"/>
                <w:szCs w:val="18"/>
              </w:rPr>
            </w:pPr>
            <w:r w:rsidRPr="000D3805">
              <w:rPr>
                <w:b/>
                <w:sz w:val="18"/>
                <w:szCs w:val="18"/>
              </w:rPr>
              <w:t>£m</w:t>
            </w:r>
          </w:p>
        </w:tc>
      </w:tr>
      <w:tr w:rsidR="00CF2405" w:rsidRPr="000D3805" w14:paraId="5EBFFAAC" w14:textId="77777777" w:rsidTr="00865099">
        <w:trPr>
          <w:jc w:val="center"/>
        </w:trPr>
        <w:tc>
          <w:tcPr>
            <w:tcW w:w="5255" w:type="dxa"/>
          </w:tcPr>
          <w:p w14:paraId="296E8456" w14:textId="77777777" w:rsidR="00CF2405" w:rsidRPr="000D3805" w:rsidRDefault="00CF2405" w:rsidP="00865099">
            <w:pPr>
              <w:adjustRightInd w:val="0"/>
              <w:rPr>
                <w:sz w:val="18"/>
                <w:szCs w:val="18"/>
              </w:rPr>
            </w:pPr>
            <w:r w:rsidRPr="000D3805">
              <w:rPr>
                <w:sz w:val="18"/>
                <w:szCs w:val="18"/>
              </w:rPr>
              <w:t>Reorganisation costs</w:t>
            </w:r>
          </w:p>
        </w:tc>
        <w:tc>
          <w:tcPr>
            <w:tcW w:w="1347" w:type="dxa"/>
          </w:tcPr>
          <w:p w14:paraId="0FD7A41F" w14:textId="77777777" w:rsidR="00CF2405" w:rsidRPr="000D3805" w:rsidRDefault="00CF2405" w:rsidP="00865099">
            <w:pPr>
              <w:adjustRightInd w:val="0"/>
              <w:jc w:val="right"/>
              <w:rPr>
                <w:sz w:val="18"/>
                <w:szCs w:val="18"/>
              </w:rPr>
            </w:pPr>
            <w:r w:rsidRPr="000D3805">
              <w:rPr>
                <w:sz w:val="18"/>
                <w:szCs w:val="18"/>
              </w:rPr>
              <w:t>(8.0)</w:t>
            </w:r>
          </w:p>
        </w:tc>
      </w:tr>
      <w:tr w:rsidR="00CF2405" w:rsidRPr="000D3805" w14:paraId="0219C903" w14:textId="77777777" w:rsidTr="00865099">
        <w:trPr>
          <w:jc w:val="center"/>
        </w:trPr>
        <w:tc>
          <w:tcPr>
            <w:tcW w:w="5255" w:type="dxa"/>
          </w:tcPr>
          <w:p w14:paraId="06008848" w14:textId="77777777" w:rsidR="00CF2405" w:rsidRPr="000D3805" w:rsidRDefault="00CF2405" w:rsidP="00865099">
            <w:pPr>
              <w:autoSpaceDE w:val="0"/>
              <w:autoSpaceDN w:val="0"/>
              <w:adjustRightInd w:val="0"/>
              <w:rPr>
                <w:b/>
                <w:sz w:val="18"/>
                <w:szCs w:val="18"/>
              </w:rPr>
            </w:pPr>
            <w:r w:rsidRPr="000D3805">
              <w:rPr>
                <w:b/>
                <w:sz w:val="18"/>
                <w:szCs w:val="18"/>
              </w:rPr>
              <w:t xml:space="preserve">Exceptional items (before tax) </w:t>
            </w:r>
          </w:p>
        </w:tc>
        <w:tc>
          <w:tcPr>
            <w:tcW w:w="1347" w:type="dxa"/>
            <w:shd w:val="clear" w:color="auto" w:fill="auto"/>
          </w:tcPr>
          <w:p w14:paraId="5D78E5EE" w14:textId="77777777" w:rsidR="00CF2405" w:rsidRPr="000D3805" w:rsidRDefault="00CF2405" w:rsidP="00865099">
            <w:pPr>
              <w:autoSpaceDE w:val="0"/>
              <w:autoSpaceDN w:val="0"/>
              <w:adjustRightInd w:val="0"/>
              <w:jc w:val="right"/>
              <w:rPr>
                <w:b/>
                <w:sz w:val="18"/>
                <w:szCs w:val="18"/>
              </w:rPr>
            </w:pPr>
            <w:r w:rsidRPr="000D3805">
              <w:rPr>
                <w:b/>
                <w:sz w:val="18"/>
                <w:szCs w:val="18"/>
              </w:rPr>
              <w:t>(8.0)</w:t>
            </w:r>
          </w:p>
        </w:tc>
      </w:tr>
      <w:tr w:rsidR="00CF2405" w:rsidRPr="000D3805" w14:paraId="642F6A6F" w14:textId="77777777" w:rsidTr="00865099">
        <w:trPr>
          <w:jc w:val="center"/>
        </w:trPr>
        <w:tc>
          <w:tcPr>
            <w:tcW w:w="5255" w:type="dxa"/>
          </w:tcPr>
          <w:p w14:paraId="32411AA2" w14:textId="77777777" w:rsidR="00CF2405" w:rsidRPr="000D3805" w:rsidRDefault="00CF2405" w:rsidP="00865099">
            <w:pPr>
              <w:autoSpaceDE w:val="0"/>
              <w:autoSpaceDN w:val="0"/>
              <w:adjustRightInd w:val="0"/>
              <w:rPr>
                <w:sz w:val="18"/>
                <w:szCs w:val="18"/>
              </w:rPr>
            </w:pPr>
            <w:r w:rsidRPr="000D3805">
              <w:rPr>
                <w:sz w:val="18"/>
                <w:szCs w:val="18"/>
              </w:rPr>
              <w:t xml:space="preserve">Tax on exceptional items </w:t>
            </w:r>
          </w:p>
        </w:tc>
        <w:tc>
          <w:tcPr>
            <w:tcW w:w="1347" w:type="dxa"/>
            <w:shd w:val="clear" w:color="auto" w:fill="auto"/>
          </w:tcPr>
          <w:p w14:paraId="06A78895" w14:textId="77777777" w:rsidR="00CF2405" w:rsidRPr="000D3805" w:rsidRDefault="00CF2405" w:rsidP="00865099">
            <w:pPr>
              <w:autoSpaceDE w:val="0"/>
              <w:autoSpaceDN w:val="0"/>
              <w:adjustRightInd w:val="0"/>
              <w:jc w:val="right"/>
              <w:rPr>
                <w:sz w:val="18"/>
                <w:szCs w:val="18"/>
              </w:rPr>
            </w:pPr>
            <w:r w:rsidRPr="000D3805">
              <w:rPr>
                <w:sz w:val="18"/>
                <w:szCs w:val="18"/>
              </w:rPr>
              <w:t>1.5</w:t>
            </w:r>
          </w:p>
        </w:tc>
      </w:tr>
      <w:tr w:rsidR="00CF2405" w:rsidRPr="00CB7CCC" w14:paraId="377AE3A3" w14:textId="77777777" w:rsidTr="00865099">
        <w:trPr>
          <w:jc w:val="center"/>
        </w:trPr>
        <w:tc>
          <w:tcPr>
            <w:tcW w:w="5255" w:type="dxa"/>
          </w:tcPr>
          <w:p w14:paraId="0A1307E8" w14:textId="77777777" w:rsidR="00CF2405" w:rsidRPr="000D3805" w:rsidRDefault="00CF2405" w:rsidP="00865099">
            <w:pPr>
              <w:autoSpaceDE w:val="0"/>
              <w:autoSpaceDN w:val="0"/>
              <w:adjustRightInd w:val="0"/>
              <w:rPr>
                <w:b/>
                <w:sz w:val="18"/>
                <w:szCs w:val="18"/>
              </w:rPr>
            </w:pPr>
            <w:r w:rsidRPr="000D3805">
              <w:rPr>
                <w:b/>
                <w:sz w:val="18"/>
                <w:szCs w:val="18"/>
              </w:rPr>
              <w:t xml:space="preserve">Exceptional items (after tax) </w:t>
            </w:r>
          </w:p>
        </w:tc>
        <w:tc>
          <w:tcPr>
            <w:tcW w:w="1347" w:type="dxa"/>
            <w:shd w:val="clear" w:color="auto" w:fill="auto"/>
          </w:tcPr>
          <w:p w14:paraId="1723121F" w14:textId="77777777" w:rsidR="00CF2405" w:rsidRPr="00CB7CCC" w:rsidRDefault="00CF2405" w:rsidP="00865099">
            <w:pPr>
              <w:autoSpaceDE w:val="0"/>
              <w:autoSpaceDN w:val="0"/>
              <w:adjustRightInd w:val="0"/>
              <w:jc w:val="right"/>
              <w:rPr>
                <w:b/>
                <w:sz w:val="18"/>
                <w:szCs w:val="18"/>
              </w:rPr>
            </w:pPr>
            <w:r w:rsidRPr="000D3805">
              <w:rPr>
                <w:b/>
                <w:sz w:val="18"/>
                <w:szCs w:val="18"/>
              </w:rPr>
              <w:t>(6.5)</w:t>
            </w:r>
          </w:p>
        </w:tc>
      </w:tr>
    </w:tbl>
    <w:p w14:paraId="007BBCC9" w14:textId="7E9F13EA" w:rsidR="00CF2405" w:rsidRDefault="00CF2405" w:rsidP="00CF2405">
      <w:pPr>
        <w:pStyle w:val="Default"/>
        <w:spacing w:after="120"/>
        <w:jc w:val="both"/>
        <w:rPr>
          <w:rFonts w:asciiTheme="minorHAnsi" w:hAnsiTheme="minorHAnsi" w:cs="Arial"/>
          <w:b/>
          <w:bCs/>
          <w:sz w:val="18"/>
          <w:szCs w:val="18"/>
          <w:lang w:val="en-GB"/>
        </w:rPr>
      </w:pPr>
    </w:p>
    <w:p w14:paraId="7A96E87C" w14:textId="21EE6B25" w:rsidR="00054F43" w:rsidRPr="00966B64" w:rsidRDefault="00054F43" w:rsidP="00966B64">
      <w:pPr>
        <w:autoSpaceDE w:val="0"/>
        <w:autoSpaceDN w:val="0"/>
        <w:adjustRightInd w:val="0"/>
        <w:spacing w:after="120" w:line="240" w:lineRule="auto"/>
        <w:jc w:val="both"/>
        <w:rPr>
          <w:rFonts w:ascii="Calibri" w:eastAsia="Times New Roman" w:hAnsi="Calibri" w:cs="Arial"/>
          <w:sz w:val="18"/>
          <w:szCs w:val="18"/>
        </w:rPr>
      </w:pPr>
      <w:r w:rsidRPr="00054F43">
        <w:rPr>
          <w:rFonts w:ascii="Calibri" w:hAnsi="Calibri" w:cs="Arial"/>
          <w:sz w:val="18"/>
          <w:szCs w:val="18"/>
        </w:rPr>
        <w:t xml:space="preserve">In </w:t>
      </w:r>
      <w:r>
        <w:rPr>
          <w:rFonts w:ascii="Calibri" w:hAnsi="Calibri" w:cs="Arial"/>
          <w:sz w:val="18"/>
          <w:szCs w:val="18"/>
        </w:rPr>
        <w:t>H1 22</w:t>
      </w:r>
      <w:r w:rsidRPr="00054F43">
        <w:rPr>
          <w:rFonts w:ascii="Calibri" w:hAnsi="Calibri" w:cs="Arial"/>
          <w:sz w:val="18"/>
          <w:szCs w:val="18"/>
        </w:rPr>
        <w:t xml:space="preserve"> the Group commenced a Better Greencore programme to support </w:t>
      </w:r>
      <w:r>
        <w:rPr>
          <w:rFonts w:ascii="Calibri" w:hAnsi="Calibri" w:cs="Arial"/>
          <w:sz w:val="18"/>
          <w:szCs w:val="18"/>
        </w:rPr>
        <w:t xml:space="preserve">the </w:t>
      </w:r>
      <w:r w:rsidRPr="00054F43">
        <w:rPr>
          <w:rFonts w:ascii="Calibri" w:hAnsi="Calibri" w:cs="Arial"/>
          <w:sz w:val="18"/>
          <w:szCs w:val="18"/>
        </w:rPr>
        <w:t xml:space="preserve">revitalisation of its Excellence cost efficiency programmes and </w:t>
      </w:r>
      <w:r w:rsidR="00073D0F">
        <w:rPr>
          <w:rFonts w:ascii="Calibri" w:hAnsi="Calibri" w:cs="Arial"/>
          <w:sz w:val="18"/>
          <w:szCs w:val="18"/>
        </w:rPr>
        <w:t xml:space="preserve">to </w:t>
      </w:r>
      <w:r w:rsidRPr="00054F43">
        <w:rPr>
          <w:rFonts w:ascii="Calibri" w:hAnsi="Calibri" w:cs="Arial"/>
          <w:sz w:val="18"/>
          <w:szCs w:val="18"/>
        </w:rPr>
        <w:t xml:space="preserve">unlock further cost efficiencies by reducing organisational complexity. The Group recognised a charge of £8.0m in respect of work carried out </w:t>
      </w:r>
      <w:r w:rsidR="00073D0F">
        <w:rPr>
          <w:rFonts w:ascii="Calibri" w:hAnsi="Calibri" w:cs="Arial"/>
          <w:sz w:val="18"/>
          <w:szCs w:val="18"/>
        </w:rPr>
        <w:t>in the period</w:t>
      </w:r>
      <w:r w:rsidRPr="00054F43">
        <w:rPr>
          <w:rFonts w:ascii="Calibri" w:hAnsi="Calibri" w:cs="Arial"/>
          <w:sz w:val="18"/>
          <w:szCs w:val="18"/>
        </w:rPr>
        <w:t xml:space="preserve">. </w:t>
      </w:r>
    </w:p>
    <w:p w14:paraId="260612F5" w14:textId="28A0CDCD" w:rsidR="00CF2405" w:rsidRPr="00CB7CCC" w:rsidRDefault="00CF2405" w:rsidP="00CF2405">
      <w:pPr>
        <w:pStyle w:val="Default"/>
        <w:spacing w:after="120"/>
        <w:jc w:val="both"/>
        <w:rPr>
          <w:rFonts w:asciiTheme="minorHAnsi" w:hAnsiTheme="minorHAnsi" w:cs="Arial"/>
          <w:sz w:val="18"/>
          <w:szCs w:val="18"/>
          <w:lang w:val="en-GB"/>
        </w:rPr>
      </w:pPr>
      <w:r w:rsidRPr="00CB7CCC">
        <w:rPr>
          <w:rFonts w:asciiTheme="minorHAnsi" w:hAnsiTheme="minorHAnsi" w:cs="Arial"/>
          <w:b/>
          <w:bCs/>
          <w:sz w:val="18"/>
          <w:szCs w:val="18"/>
          <w:lang w:val="en-GB"/>
        </w:rPr>
        <w:t xml:space="preserve">Earnings per share </w:t>
      </w:r>
    </w:p>
    <w:p w14:paraId="521213BA" w14:textId="116EAA2D" w:rsidR="00CF2405" w:rsidRPr="00C40F4D" w:rsidRDefault="00CF2405" w:rsidP="00CF2405">
      <w:pPr>
        <w:adjustRightInd w:val="0"/>
        <w:jc w:val="both"/>
        <w:rPr>
          <w:sz w:val="18"/>
          <w:szCs w:val="18"/>
        </w:rPr>
      </w:pPr>
      <w:r w:rsidRPr="00C40F4D">
        <w:rPr>
          <w:sz w:val="18"/>
          <w:szCs w:val="18"/>
        </w:rPr>
        <w:t xml:space="preserve">The Group’s basic earnings per share for H1 22 was </w:t>
      </w:r>
      <w:r>
        <w:rPr>
          <w:sz w:val="18"/>
          <w:szCs w:val="18"/>
        </w:rPr>
        <w:t>0.2</w:t>
      </w:r>
      <w:r w:rsidRPr="00C40F4D">
        <w:rPr>
          <w:sz w:val="18"/>
          <w:szCs w:val="18"/>
        </w:rPr>
        <w:t xml:space="preserve"> pence compared to </w:t>
      </w:r>
      <w:r w:rsidR="00261EF3">
        <w:rPr>
          <w:sz w:val="18"/>
          <w:szCs w:val="18"/>
        </w:rPr>
        <w:t>0.0 pence</w:t>
      </w:r>
      <w:r w:rsidRPr="00C40F4D">
        <w:rPr>
          <w:sz w:val="18"/>
          <w:szCs w:val="18"/>
        </w:rPr>
        <w:t xml:space="preserve"> in H1 21. This was driven by a £</w:t>
      </w:r>
      <w:r>
        <w:rPr>
          <w:sz w:val="18"/>
          <w:szCs w:val="18"/>
        </w:rPr>
        <w:t>0.7</w:t>
      </w:r>
      <w:r w:rsidRPr="00C40F4D">
        <w:rPr>
          <w:sz w:val="18"/>
          <w:szCs w:val="18"/>
        </w:rPr>
        <w:t xml:space="preserve">m increase in </w:t>
      </w:r>
      <w:r w:rsidR="00261EF3">
        <w:rPr>
          <w:sz w:val="18"/>
          <w:szCs w:val="18"/>
        </w:rPr>
        <w:t>profit attributable to equity holders</w:t>
      </w:r>
      <w:r w:rsidR="00261EF3" w:rsidRPr="00C40F4D">
        <w:rPr>
          <w:sz w:val="18"/>
          <w:szCs w:val="18"/>
        </w:rPr>
        <w:t xml:space="preserve"> </w:t>
      </w:r>
      <w:r w:rsidRPr="00C40F4D">
        <w:rPr>
          <w:sz w:val="18"/>
          <w:szCs w:val="18"/>
        </w:rPr>
        <w:t>in H1 22, partially offset by an increase in the weighted average number of shares in issue in H1 22 to 524.8m (H1 21: 498.0m).</w:t>
      </w:r>
    </w:p>
    <w:p w14:paraId="789D090A" w14:textId="77777777" w:rsidR="00CF2405" w:rsidRPr="00CB7CCC" w:rsidRDefault="00CF2405" w:rsidP="00CF2405">
      <w:pPr>
        <w:adjustRightInd w:val="0"/>
        <w:jc w:val="both"/>
        <w:rPr>
          <w:sz w:val="18"/>
          <w:szCs w:val="18"/>
        </w:rPr>
      </w:pPr>
      <w:r w:rsidRPr="00C40F4D">
        <w:rPr>
          <w:sz w:val="18"/>
          <w:szCs w:val="18"/>
        </w:rPr>
        <w:t xml:space="preserve">Adjusted Earnings were </w:t>
      </w:r>
      <w:r w:rsidRPr="00C40F4D">
        <w:rPr>
          <w:rFonts w:cs="Arial"/>
          <w:sz w:val="18"/>
          <w:szCs w:val="18"/>
        </w:rPr>
        <w:t>£9.</w:t>
      </w:r>
      <w:r>
        <w:rPr>
          <w:rFonts w:cs="Arial"/>
          <w:sz w:val="18"/>
          <w:szCs w:val="18"/>
        </w:rPr>
        <w:t>4</w:t>
      </w:r>
      <w:r w:rsidRPr="00C40F4D">
        <w:rPr>
          <w:rFonts w:cs="Arial"/>
          <w:sz w:val="18"/>
          <w:szCs w:val="18"/>
        </w:rPr>
        <w:t>m</w:t>
      </w:r>
      <w:r w:rsidRPr="00C40F4D">
        <w:rPr>
          <w:sz w:val="18"/>
          <w:szCs w:val="18"/>
        </w:rPr>
        <w:t xml:space="preserve"> in the period, £16.</w:t>
      </w:r>
      <w:r>
        <w:rPr>
          <w:sz w:val="18"/>
          <w:szCs w:val="18"/>
        </w:rPr>
        <w:t>2</w:t>
      </w:r>
      <w:r w:rsidRPr="00C40F4D">
        <w:rPr>
          <w:sz w:val="18"/>
          <w:szCs w:val="18"/>
        </w:rPr>
        <w:t>m ahead of prior year levels largely due to an increase in Adjusted Operating Profit. Adjusted earnings per share of 1.8 pence compared to an adjusted loss per share of 1.4 pence in H1 21.</w:t>
      </w:r>
      <w:r w:rsidRPr="00CB7CCC">
        <w:rPr>
          <w:sz w:val="18"/>
          <w:szCs w:val="18"/>
        </w:rPr>
        <w:t xml:space="preserve"> </w:t>
      </w:r>
    </w:p>
    <w:p w14:paraId="6C9E8121" w14:textId="63E3C615" w:rsidR="00CF2405" w:rsidRPr="00CB7CCC" w:rsidRDefault="00CF2405" w:rsidP="00CF2405">
      <w:pPr>
        <w:pStyle w:val="Default"/>
        <w:spacing w:after="120"/>
        <w:jc w:val="both"/>
        <w:rPr>
          <w:rFonts w:asciiTheme="minorHAnsi" w:hAnsiTheme="minorHAnsi" w:cs="Arial"/>
          <w:b/>
          <w:bCs/>
          <w:sz w:val="18"/>
          <w:szCs w:val="18"/>
          <w:lang w:val="en-GB"/>
        </w:rPr>
      </w:pPr>
      <w:r w:rsidRPr="00CB7CCC">
        <w:rPr>
          <w:rFonts w:asciiTheme="minorHAnsi" w:hAnsiTheme="minorHAnsi" w:cs="Arial"/>
          <w:b/>
          <w:bCs/>
          <w:sz w:val="18"/>
          <w:szCs w:val="18"/>
          <w:lang w:val="en-GB"/>
        </w:rPr>
        <w:t>Cash Flow and Net Debt</w:t>
      </w:r>
    </w:p>
    <w:p w14:paraId="17CCC5FA" w14:textId="058AAB55" w:rsidR="00CF2405" w:rsidRDefault="00CF2405" w:rsidP="00CF2405">
      <w:pPr>
        <w:adjustRightInd w:val="0"/>
        <w:jc w:val="both"/>
        <w:rPr>
          <w:sz w:val="18"/>
          <w:szCs w:val="18"/>
        </w:rPr>
      </w:pPr>
      <w:r w:rsidRPr="007948DB">
        <w:rPr>
          <w:sz w:val="18"/>
          <w:szCs w:val="18"/>
        </w:rPr>
        <w:lastRenderedPageBreak/>
        <w:t xml:space="preserve">Adjusted EBITDA was £17.3m higher in H1 22 at £43.8m. The Group incurred a </w:t>
      </w:r>
      <w:r w:rsidR="00261EF3">
        <w:rPr>
          <w:sz w:val="18"/>
          <w:szCs w:val="18"/>
        </w:rPr>
        <w:t xml:space="preserve">seasonal </w:t>
      </w:r>
      <w:r w:rsidRPr="007948DB">
        <w:rPr>
          <w:sz w:val="18"/>
          <w:szCs w:val="18"/>
        </w:rPr>
        <w:t xml:space="preserve">net working capital </w:t>
      </w:r>
      <w:r w:rsidR="00EA453E">
        <w:rPr>
          <w:sz w:val="18"/>
          <w:szCs w:val="18"/>
        </w:rPr>
        <w:t>out</w:t>
      </w:r>
      <w:r w:rsidRPr="007948DB">
        <w:rPr>
          <w:sz w:val="18"/>
          <w:szCs w:val="18"/>
        </w:rPr>
        <w:t>flow of £</w:t>
      </w:r>
      <w:r>
        <w:rPr>
          <w:sz w:val="18"/>
          <w:szCs w:val="18"/>
        </w:rPr>
        <w:t>34.8</w:t>
      </w:r>
      <w:r w:rsidRPr="007948DB">
        <w:rPr>
          <w:sz w:val="18"/>
          <w:szCs w:val="18"/>
        </w:rPr>
        <w:t>m. Maintenance capital expenditure of £</w:t>
      </w:r>
      <w:r w:rsidR="003649CF">
        <w:rPr>
          <w:sz w:val="18"/>
          <w:szCs w:val="18"/>
        </w:rPr>
        <w:t>6</w:t>
      </w:r>
      <w:r>
        <w:rPr>
          <w:sz w:val="18"/>
          <w:szCs w:val="18"/>
        </w:rPr>
        <w:t>.0</w:t>
      </w:r>
      <w:r w:rsidRPr="007948DB">
        <w:rPr>
          <w:sz w:val="18"/>
          <w:szCs w:val="18"/>
        </w:rPr>
        <w:t>m was incurred in the period (H1 21: £7.9m). The cash outflow in respect of exceptional charges was £</w:t>
      </w:r>
      <w:r>
        <w:rPr>
          <w:sz w:val="18"/>
          <w:szCs w:val="18"/>
        </w:rPr>
        <w:t>0.3</w:t>
      </w:r>
      <w:r w:rsidRPr="007948DB">
        <w:rPr>
          <w:sz w:val="18"/>
          <w:szCs w:val="18"/>
        </w:rPr>
        <w:t xml:space="preserve">m (H1 21: £2.4m), </w:t>
      </w:r>
      <w:r>
        <w:rPr>
          <w:sz w:val="18"/>
          <w:szCs w:val="18"/>
        </w:rPr>
        <w:t xml:space="preserve">all </w:t>
      </w:r>
      <w:r w:rsidRPr="007948DB">
        <w:rPr>
          <w:sz w:val="18"/>
          <w:szCs w:val="18"/>
        </w:rPr>
        <w:t>of which related to prior year exceptional charges.</w:t>
      </w:r>
    </w:p>
    <w:p w14:paraId="62A535E2" w14:textId="5021093D" w:rsidR="00CF2405" w:rsidRPr="007948DB" w:rsidRDefault="00CF2405" w:rsidP="00CF2405">
      <w:pPr>
        <w:adjustRightInd w:val="0"/>
        <w:jc w:val="both"/>
        <w:rPr>
          <w:sz w:val="18"/>
          <w:szCs w:val="18"/>
        </w:rPr>
      </w:pPr>
      <w:r w:rsidRPr="007948DB">
        <w:rPr>
          <w:sz w:val="18"/>
          <w:szCs w:val="18"/>
        </w:rPr>
        <w:t>Interest paid in the period was £</w:t>
      </w:r>
      <w:r>
        <w:rPr>
          <w:sz w:val="18"/>
          <w:szCs w:val="18"/>
        </w:rPr>
        <w:t>9.6</w:t>
      </w:r>
      <w:r w:rsidRPr="007948DB">
        <w:rPr>
          <w:sz w:val="18"/>
          <w:szCs w:val="18"/>
        </w:rPr>
        <w:t>m (H1 21: £9.2m), including interest of £</w:t>
      </w:r>
      <w:r w:rsidR="00673335">
        <w:rPr>
          <w:sz w:val="18"/>
          <w:szCs w:val="18"/>
        </w:rPr>
        <w:t>0.6</w:t>
      </w:r>
      <w:r w:rsidRPr="007948DB">
        <w:rPr>
          <w:sz w:val="18"/>
          <w:szCs w:val="18"/>
        </w:rPr>
        <w:t>m on lease liabilities</w:t>
      </w:r>
      <w:r w:rsidRPr="00673335">
        <w:rPr>
          <w:sz w:val="18"/>
          <w:szCs w:val="18"/>
        </w:rPr>
        <w:t xml:space="preserve">, </w:t>
      </w:r>
      <w:r w:rsidRPr="004E335B">
        <w:rPr>
          <w:sz w:val="18"/>
          <w:szCs w:val="18"/>
        </w:rPr>
        <w:t>an increase on FY2</w:t>
      </w:r>
      <w:r w:rsidR="00673335" w:rsidRPr="004E335B">
        <w:rPr>
          <w:sz w:val="18"/>
          <w:szCs w:val="18"/>
        </w:rPr>
        <w:t>1</w:t>
      </w:r>
      <w:r w:rsidRPr="004E335B">
        <w:rPr>
          <w:sz w:val="18"/>
          <w:szCs w:val="18"/>
        </w:rPr>
        <w:t xml:space="preserve"> primarily reflecting the impact of higher debt costs associated with higher leverage during the year</w:t>
      </w:r>
      <w:r w:rsidRPr="007948DB">
        <w:rPr>
          <w:sz w:val="18"/>
          <w:szCs w:val="18"/>
        </w:rPr>
        <w:t xml:space="preserve">. </w:t>
      </w:r>
      <w:r>
        <w:rPr>
          <w:sz w:val="18"/>
          <w:szCs w:val="18"/>
        </w:rPr>
        <w:t>The Group recognised a c</w:t>
      </w:r>
      <w:r w:rsidRPr="007948DB">
        <w:rPr>
          <w:sz w:val="18"/>
          <w:szCs w:val="18"/>
        </w:rPr>
        <w:t xml:space="preserve">ash tax </w:t>
      </w:r>
      <w:r>
        <w:rPr>
          <w:sz w:val="18"/>
          <w:szCs w:val="18"/>
        </w:rPr>
        <w:t xml:space="preserve">credit of £1.9m </w:t>
      </w:r>
      <w:r w:rsidRPr="007948DB">
        <w:rPr>
          <w:sz w:val="18"/>
          <w:szCs w:val="18"/>
        </w:rPr>
        <w:t xml:space="preserve">reflecting </w:t>
      </w:r>
      <w:r>
        <w:rPr>
          <w:sz w:val="18"/>
          <w:szCs w:val="18"/>
        </w:rPr>
        <w:t>a refund received in the period</w:t>
      </w:r>
      <w:r w:rsidRPr="007948DB">
        <w:rPr>
          <w:sz w:val="18"/>
          <w:szCs w:val="18"/>
        </w:rPr>
        <w:t>. The cash tax rate for the Group is expected to rise towards the Group’s effective rate in the medium term as a result of increased profitability and a reduction in the degree to which UK losses may be utilised in any one year. Cash repayments on lease liabilities increased to £</w:t>
      </w:r>
      <w:r>
        <w:rPr>
          <w:sz w:val="18"/>
          <w:szCs w:val="18"/>
        </w:rPr>
        <w:t>8.7</w:t>
      </w:r>
      <w:r w:rsidRPr="007948DB">
        <w:rPr>
          <w:sz w:val="18"/>
          <w:szCs w:val="18"/>
        </w:rPr>
        <w:t>m (H1 21: £</w:t>
      </w:r>
      <w:r>
        <w:rPr>
          <w:sz w:val="18"/>
          <w:szCs w:val="18"/>
        </w:rPr>
        <w:t>7.9</w:t>
      </w:r>
      <w:r w:rsidRPr="007948DB">
        <w:rPr>
          <w:sz w:val="18"/>
          <w:szCs w:val="18"/>
        </w:rPr>
        <w:t>m). The Group’s cash funding for defined benefit pension schemes was £</w:t>
      </w:r>
      <w:r>
        <w:rPr>
          <w:sz w:val="18"/>
          <w:szCs w:val="18"/>
        </w:rPr>
        <w:t>5.8</w:t>
      </w:r>
      <w:r w:rsidRPr="007948DB">
        <w:rPr>
          <w:sz w:val="18"/>
          <w:szCs w:val="18"/>
        </w:rPr>
        <w:t>m (H1 21: £3.0m), reflecting the restoration of cash contributions after an agreement with Trustees to defer cash contributions for a period in FY21.</w:t>
      </w:r>
    </w:p>
    <w:p w14:paraId="626738FF" w14:textId="65B34C10" w:rsidR="00CF2405" w:rsidRPr="007948DB" w:rsidRDefault="00CF2405" w:rsidP="00CF2405">
      <w:pPr>
        <w:adjustRightInd w:val="0"/>
        <w:jc w:val="both"/>
        <w:rPr>
          <w:sz w:val="18"/>
          <w:szCs w:val="18"/>
        </w:rPr>
      </w:pPr>
      <w:r w:rsidRPr="007948DB">
        <w:rPr>
          <w:sz w:val="18"/>
          <w:szCs w:val="18"/>
        </w:rPr>
        <w:t xml:space="preserve">These movements resulted in </w:t>
      </w:r>
      <w:r>
        <w:rPr>
          <w:sz w:val="18"/>
          <w:szCs w:val="18"/>
        </w:rPr>
        <w:t xml:space="preserve">a free cash outflow </w:t>
      </w:r>
      <w:r w:rsidRPr="007948DB">
        <w:rPr>
          <w:sz w:val="18"/>
          <w:szCs w:val="18"/>
        </w:rPr>
        <w:t>of £</w:t>
      </w:r>
      <w:r>
        <w:rPr>
          <w:sz w:val="18"/>
          <w:szCs w:val="18"/>
        </w:rPr>
        <w:t>1</w:t>
      </w:r>
      <w:r w:rsidR="0075693F">
        <w:rPr>
          <w:sz w:val="18"/>
          <w:szCs w:val="18"/>
        </w:rPr>
        <w:t>7</w:t>
      </w:r>
      <w:r>
        <w:rPr>
          <w:sz w:val="18"/>
          <w:szCs w:val="18"/>
        </w:rPr>
        <w:t>.8</w:t>
      </w:r>
      <w:r w:rsidRPr="007948DB">
        <w:rPr>
          <w:sz w:val="18"/>
          <w:szCs w:val="18"/>
        </w:rPr>
        <w:t>m compared to an outflow of £23.6m in H1 21</w:t>
      </w:r>
      <w:r>
        <w:rPr>
          <w:sz w:val="18"/>
          <w:szCs w:val="18"/>
        </w:rPr>
        <w:t>, the improvement</w:t>
      </w:r>
      <w:r w:rsidRPr="007948DB">
        <w:rPr>
          <w:sz w:val="18"/>
          <w:szCs w:val="18"/>
        </w:rPr>
        <w:t xml:space="preserve"> driven primarily by higher profitability.</w:t>
      </w:r>
    </w:p>
    <w:p w14:paraId="516BD69C" w14:textId="2A7A016B" w:rsidR="00CF2405" w:rsidRPr="007948DB" w:rsidRDefault="00CF2405" w:rsidP="00CF2405">
      <w:pPr>
        <w:adjustRightInd w:val="0"/>
        <w:jc w:val="both"/>
        <w:rPr>
          <w:sz w:val="18"/>
          <w:szCs w:val="18"/>
        </w:rPr>
      </w:pPr>
      <w:r w:rsidRPr="007948DB">
        <w:rPr>
          <w:sz w:val="18"/>
          <w:szCs w:val="18"/>
        </w:rPr>
        <w:t>In H1 22, the Group incurred strategic capital expenditure of £</w:t>
      </w:r>
      <w:r w:rsidR="009D47E8">
        <w:rPr>
          <w:sz w:val="18"/>
          <w:szCs w:val="18"/>
        </w:rPr>
        <w:t>12</w:t>
      </w:r>
      <w:r>
        <w:rPr>
          <w:sz w:val="18"/>
          <w:szCs w:val="18"/>
        </w:rPr>
        <w:t>.6</w:t>
      </w:r>
      <w:r w:rsidRPr="007948DB">
        <w:rPr>
          <w:sz w:val="18"/>
          <w:szCs w:val="18"/>
        </w:rPr>
        <w:t>m (H1 21: £8.6m).</w:t>
      </w:r>
    </w:p>
    <w:p w14:paraId="0FA227D4" w14:textId="405844F5" w:rsidR="00CF2405" w:rsidRPr="009D373E" w:rsidRDefault="00CF2405" w:rsidP="00CF2405">
      <w:pPr>
        <w:adjustRightInd w:val="0"/>
        <w:jc w:val="both"/>
        <w:rPr>
          <w:sz w:val="18"/>
          <w:szCs w:val="18"/>
        </w:rPr>
      </w:pPr>
      <w:r w:rsidRPr="009D373E">
        <w:rPr>
          <w:sz w:val="18"/>
          <w:szCs w:val="18"/>
        </w:rPr>
        <w:t xml:space="preserve">The Group did not make any equity dividend cash payments in either period. </w:t>
      </w:r>
      <w:r w:rsidR="005A5315" w:rsidRPr="002D36EF">
        <w:rPr>
          <w:sz w:val="18"/>
          <w:szCs w:val="18"/>
        </w:rPr>
        <w:t xml:space="preserve">The Group made net share purchases of £3.0m </w:t>
      </w:r>
      <w:r w:rsidR="002D36EF" w:rsidRPr="001A00C9">
        <w:rPr>
          <w:sz w:val="18"/>
          <w:szCs w:val="18"/>
        </w:rPr>
        <w:t xml:space="preserve">as part of the new </w:t>
      </w:r>
      <w:r w:rsidR="00CD1880">
        <w:rPr>
          <w:sz w:val="18"/>
          <w:szCs w:val="18"/>
        </w:rPr>
        <w:t xml:space="preserve">employee </w:t>
      </w:r>
      <w:r w:rsidR="002D36EF" w:rsidRPr="001A00C9">
        <w:rPr>
          <w:sz w:val="18"/>
          <w:szCs w:val="18"/>
        </w:rPr>
        <w:t xml:space="preserve">share ownership scheme introduced in the period. This </w:t>
      </w:r>
      <w:r w:rsidRPr="002D36EF">
        <w:rPr>
          <w:sz w:val="18"/>
          <w:szCs w:val="18"/>
        </w:rPr>
        <w:t>compared to</w:t>
      </w:r>
      <w:r w:rsidR="005A5315" w:rsidRPr="002D36EF">
        <w:rPr>
          <w:sz w:val="18"/>
          <w:szCs w:val="18"/>
        </w:rPr>
        <w:t xml:space="preserve"> </w:t>
      </w:r>
      <w:r w:rsidR="002D36EF" w:rsidRPr="001A00C9">
        <w:rPr>
          <w:sz w:val="18"/>
          <w:szCs w:val="18"/>
        </w:rPr>
        <w:t xml:space="preserve">net </w:t>
      </w:r>
      <w:r w:rsidR="005A5315" w:rsidRPr="002D36EF">
        <w:rPr>
          <w:sz w:val="18"/>
          <w:szCs w:val="18"/>
        </w:rPr>
        <w:t>equity proceeds of</w:t>
      </w:r>
      <w:r w:rsidRPr="002D36EF">
        <w:rPr>
          <w:sz w:val="18"/>
          <w:szCs w:val="18"/>
        </w:rPr>
        <w:t xml:space="preserve"> £</w:t>
      </w:r>
      <w:r w:rsidR="00073D0F" w:rsidRPr="002D36EF">
        <w:rPr>
          <w:sz w:val="18"/>
          <w:szCs w:val="18"/>
        </w:rPr>
        <w:t>87.1</w:t>
      </w:r>
      <w:r w:rsidRPr="002D36EF">
        <w:rPr>
          <w:sz w:val="18"/>
          <w:szCs w:val="18"/>
        </w:rPr>
        <w:t>m in H1 21 when the Group completed an equity placing. In December 2020</w:t>
      </w:r>
      <w:r w:rsidR="00CD1880">
        <w:rPr>
          <w:sz w:val="18"/>
          <w:szCs w:val="18"/>
        </w:rPr>
        <w:t>,</w:t>
      </w:r>
      <w:r w:rsidRPr="002D36EF">
        <w:rPr>
          <w:sz w:val="18"/>
          <w:szCs w:val="18"/>
        </w:rPr>
        <w:t xml:space="preserve"> the Group also completed the sale of its interests in its molasses trading businesses for a final cash consideration of £16.3m.</w:t>
      </w:r>
    </w:p>
    <w:p w14:paraId="2D6345B8" w14:textId="6F881316" w:rsidR="00CF2405" w:rsidRPr="009D373E" w:rsidRDefault="00CF2405" w:rsidP="00CF2405">
      <w:pPr>
        <w:adjustRightInd w:val="0"/>
        <w:jc w:val="both"/>
        <w:rPr>
          <w:sz w:val="18"/>
          <w:szCs w:val="18"/>
        </w:rPr>
      </w:pPr>
      <w:r w:rsidRPr="009D373E">
        <w:rPr>
          <w:sz w:val="18"/>
          <w:szCs w:val="18"/>
        </w:rPr>
        <w:t xml:space="preserve">The Group’s Net Debt </w:t>
      </w:r>
      <w:r w:rsidR="00AB08E8">
        <w:rPr>
          <w:sz w:val="18"/>
          <w:szCs w:val="18"/>
        </w:rPr>
        <w:t xml:space="preserve">excluding lease liabilities </w:t>
      </w:r>
      <w:r w:rsidRPr="009D373E">
        <w:rPr>
          <w:sz w:val="18"/>
          <w:szCs w:val="18"/>
        </w:rPr>
        <w:t>at 25 March 2022 was £219.3m, a decrease of £</w:t>
      </w:r>
      <w:r w:rsidR="00DF3044" w:rsidRPr="009D373E">
        <w:rPr>
          <w:sz w:val="18"/>
          <w:szCs w:val="18"/>
        </w:rPr>
        <w:t>52.0</w:t>
      </w:r>
      <w:r w:rsidRPr="009D373E">
        <w:rPr>
          <w:sz w:val="18"/>
          <w:szCs w:val="18"/>
        </w:rPr>
        <w:t>m compared to the end of H1 21 but an increase of £</w:t>
      </w:r>
      <w:r w:rsidR="00DF3044" w:rsidRPr="009D373E">
        <w:rPr>
          <w:sz w:val="18"/>
          <w:szCs w:val="18"/>
        </w:rPr>
        <w:t>36.2</w:t>
      </w:r>
      <w:r w:rsidRPr="009D373E">
        <w:rPr>
          <w:sz w:val="18"/>
          <w:szCs w:val="18"/>
        </w:rPr>
        <w:t xml:space="preserve">m since the end of FY21. This increase on FY21 levels was driven primarily by the </w:t>
      </w:r>
      <w:r w:rsidR="00AB08E8">
        <w:rPr>
          <w:sz w:val="18"/>
          <w:szCs w:val="18"/>
        </w:rPr>
        <w:t xml:space="preserve">seasonal </w:t>
      </w:r>
      <w:r w:rsidRPr="009D373E">
        <w:rPr>
          <w:sz w:val="18"/>
          <w:szCs w:val="18"/>
        </w:rPr>
        <w:t>free cash outflows as described previously and higher strategic capex spending.</w:t>
      </w:r>
    </w:p>
    <w:p w14:paraId="5DC3D6A5" w14:textId="77777777" w:rsidR="00CF2405" w:rsidRPr="009D373E" w:rsidRDefault="00CF2405" w:rsidP="00CF2405">
      <w:pPr>
        <w:pStyle w:val="Default"/>
        <w:spacing w:after="120"/>
        <w:jc w:val="both"/>
        <w:rPr>
          <w:rFonts w:asciiTheme="minorHAnsi" w:hAnsiTheme="minorHAnsi" w:cs="Arial"/>
          <w:b/>
          <w:bCs/>
          <w:sz w:val="18"/>
          <w:szCs w:val="18"/>
          <w:lang w:val="en-GB"/>
        </w:rPr>
      </w:pPr>
      <w:bookmarkStart w:id="11" w:name="_Hlk86223438"/>
      <w:r w:rsidRPr="009D373E">
        <w:rPr>
          <w:rFonts w:asciiTheme="minorHAnsi" w:hAnsiTheme="minorHAnsi" w:cs="Arial"/>
          <w:b/>
          <w:bCs/>
          <w:sz w:val="18"/>
          <w:szCs w:val="18"/>
          <w:lang w:val="en-GB"/>
        </w:rPr>
        <w:t xml:space="preserve">Financing </w:t>
      </w:r>
    </w:p>
    <w:p w14:paraId="3D0E675C" w14:textId="4EF8C3D8" w:rsidR="00CF2405" w:rsidRPr="009D373E" w:rsidRDefault="00CF2405" w:rsidP="00CF2405">
      <w:pPr>
        <w:adjustRightInd w:val="0"/>
        <w:jc w:val="both"/>
        <w:rPr>
          <w:sz w:val="18"/>
          <w:szCs w:val="18"/>
        </w:rPr>
      </w:pPr>
      <w:r w:rsidRPr="009D373E">
        <w:rPr>
          <w:sz w:val="18"/>
          <w:szCs w:val="18"/>
        </w:rPr>
        <w:t>In November 2021 the Group further strengthened its balance sheet when it extended the maturity on its £340m revolving credit facility by one year to January 2026. As at 25 March 2022, the Group had total committed debt facilities of £570.4m and a weighted average maturity of 3.1 years. These facilities comprised:</w:t>
      </w:r>
    </w:p>
    <w:p w14:paraId="53E28B6A" w14:textId="77777777" w:rsidR="00CF2405" w:rsidRPr="009D373E" w:rsidRDefault="00CF2405" w:rsidP="006B25B9">
      <w:pPr>
        <w:pStyle w:val="ListParagraph"/>
        <w:numPr>
          <w:ilvl w:val="0"/>
          <w:numId w:val="8"/>
        </w:numPr>
        <w:autoSpaceDE w:val="0"/>
        <w:autoSpaceDN w:val="0"/>
        <w:adjustRightInd w:val="0"/>
        <w:spacing w:after="10" w:line="240" w:lineRule="auto"/>
        <w:ind w:left="709"/>
        <w:contextualSpacing w:val="0"/>
        <w:rPr>
          <w:color w:val="000000"/>
          <w:sz w:val="18"/>
          <w:szCs w:val="18"/>
        </w:rPr>
      </w:pPr>
      <w:r w:rsidRPr="009D373E">
        <w:rPr>
          <w:color w:val="000000"/>
          <w:sz w:val="18"/>
          <w:szCs w:val="18"/>
        </w:rPr>
        <w:t>A £340m revolving credit bank facility with a maturity date of January 2026</w:t>
      </w:r>
    </w:p>
    <w:p w14:paraId="350B4EFB" w14:textId="77777777" w:rsidR="00CF2405" w:rsidRPr="00E9173D" w:rsidRDefault="00CF2405" w:rsidP="006B25B9">
      <w:pPr>
        <w:pStyle w:val="ListParagraph"/>
        <w:numPr>
          <w:ilvl w:val="0"/>
          <w:numId w:val="8"/>
        </w:numPr>
        <w:autoSpaceDE w:val="0"/>
        <w:autoSpaceDN w:val="0"/>
        <w:adjustRightInd w:val="0"/>
        <w:spacing w:after="10" w:line="240" w:lineRule="auto"/>
        <w:ind w:left="709"/>
        <w:contextualSpacing w:val="0"/>
        <w:rPr>
          <w:color w:val="000000"/>
          <w:sz w:val="18"/>
          <w:szCs w:val="18"/>
        </w:rPr>
      </w:pPr>
      <w:r w:rsidRPr="00E9173D">
        <w:rPr>
          <w:color w:val="000000"/>
          <w:sz w:val="18"/>
          <w:szCs w:val="18"/>
        </w:rPr>
        <w:t>A £75m revolving credit bank facility with a maturity date of March 2023</w:t>
      </w:r>
    </w:p>
    <w:p w14:paraId="0DE1B520" w14:textId="77777777" w:rsidR="00CF2405" w:rsidRPr="00E9173D" w:rsidRDefault="00CF2405" w:rsidP="006B25B9">
      <w:pPr>
        <w:pStyle w:val="ListParagraph"/>
        <w:numPr>
          <w:ilvl w:val="0"/>
          <w:numId w:val="8"/>
        </w:numPr>
        <w:autoSpaceDE w:val="0"/>
        <w:autoSpaceDN w:val="0"/>
        <w:adjustRightInd w:val="0"/>
        <w:spacing w:after="10" w:line="240" w:lineRule="auto"/>
        <w:ind w:left="709"/>
        <w:contextualSpacing w:val="0"/>
        <w:rPr>
          <w:color w:val="000000"/>
          <w:sz w:val="18"/>
          <w:szCs w:val="18"/>
        </w:rPr>
      </w:pPr>
      <w:r w:rsidRPr="00E9173D">
        <w:rPr>
          <w:color w:val="000000"/>
          <w:sz w:val="18"/>
          <w:szCs w:val="18"/>
        </w:rPr>
        <w:t xml:space="preserve">A £50m bilateral bank facility with a maturity date of January 2024 </w:t>
      </w:r>
    </w:p>
    <w:p w14:paraId="26EE3A1C" w14:textId="77777777" w:rsidR="00CF2405" w:rsidRPr="00E9173D" w:rsidRDefault="00CF2405" w:rsidP="006B25B9">
      <w:pPr>
        <w:pStyle w:val="ListParagraph"/>
        <w:numPr>
          <w:ilvl w:val="0"/>
          <w:numId w:val="8"/>
        </w:numPr>
        <w:autoSpaceDE w:val="0"/>
        <w:autoSpaceDN w:val="0"/>
        <w:adjustRightInd w:val="0"/>
        <w:spacing w:after="10" w:line="240" w:lineRule="auto"/>
        <w:ind w:left="709"/>
        <w:contextualSpacing w:val="0"/>
        <w:rPr>
          <w:color w:val="000000"/>
          <w:sz w:val="18"/>
          <w:szCs w:val="18"/>
        </w:rPr>
      </w:pPr>
      <w:r w:rsidRPr="00E9173D">
        <w:rPr>
          <w:color w:val="000000"/>
          <w:sz w:val="18"/>
          <w:szCs w:val="18"/>
        </w:rPr>
        <w:t xml:space="preserve">A £45m bank term loan facility with a maturity date of June 2024 </w:t>
      </w:r>
    </w:p>
    <w:p w14:paraId="1C380177" w14:textId="45CB0E54" w:rsidR="00CF2405" w:rsidRPr="00E9173D" w:rsidRDefault="00CF2405" w:rsidP="006B25B9">
      <w:pPr>
        <w:pStyle w:val="ListParagraph"/>
        <w:numPr>
          <w:ilvl w:val="0"/>
          <w:numId w:val="8"/>
        </w:numPr>
        <w:autoSpaceDE w:val="0"/>
        <w:autoSpaceDN w:val="0"/>
        <w:adjustRightInd w:val="0"/>
        <w:spacing w:after="10" w:line="240" w:lineRule="auto"/>
        <w:ind w:left="709"/>
        <w:contextualSpacing w:val="0"/>
        <w:rPr>
          <w:color w:val="000000"/>
          <w:sz w:val="18"/>
          <w:szCs w:val="18"/>
        </w:rPr>
      </w:pPr>
      <w:r w:rsidRPr="00E9173D">
        <w:rPr>
          <w:color w:val="000000"/>
          <w:sz w:val="18"/>
          <w:szCs w:val="18"/>
        </w:rPr>
        <w:t xml:space="preserve">£18m and $55.9m of outstanding Private Placement </w:t>
      </w:r>
      <w:r w:rsidR="002675EF">
        <w:rPr>
          <w:color w:val="000000"/>
          <w:sz w:val="18"/>
          <w:szCs w:val="18"/>
        </w:rPr>
        <w:t>N</w:t>
      </w:r>
      <w:r w:rsidRPr="00E9173D">
        <w:rPr>
          <w:color w:val="000000"/>
          <w:sz w:val="18"/>
          <w:szCs w:val="18"/>
        </w:rPr>
        <w:t xml:space="preserve">otes with maturities ranging between </w:t>
      </w:r>
      <w:r w:rsidRPr="00DF3044">
        <w:rPr>
          <w:color w:val="000000"/>
          <w:sz w:val="18"/>
          <w:szCs w:val="18"/>
        </w:rPr>
        <w:t xml:space="preserve">June </w:t>
      </w:r>
      <w:r w:rsidRPr="004E335B">
        <w:rPr>
          <w:color w:val="000000"/>
          <w:sz w:val="18"/>
          <w:szCs w:val="18"/>
        </w:rPr>
        <w:t>2023</w:t>
      </w:r>
      <w:r w:rsidRPr="00E9173D">
        <w:rPr>
          <w:color w:val="000000"/>
          <w:sz w:val="18"/>
          <w:szCs w:val="18"/>
        </w:rPr>
        <w:t xml:space="preserve"> and June 2026 </w:t>
      </w:r>
    </w:p>
    <w:p w14:paraId="2A07DF99" w14:textId="77777777" w:rsidR="00374B93" w:rsidRDefault="00374B93" w:rsidP="00CF2405">
      <w:pPr>
        <w:adjustRightInd w:val="0"/>
        <w:jc w:val="both"/>
        <w:rPr>
          <w:sz w:val="18"/>
          <w:szCs w:val="18"/>
        </w:rPr>
      </w:pPr>
    </w:p>
    <w:p w14:paraId="407DBBE3" w14:textId="5579D1CA" w:rsidR="00CF2405" w:rsidRDefault="00CF2405" w:rsidP="00CF2405">
      <w:pPr>
        <w:adjustRightInd w:val="0"/>
        <w:jc w:val="both"/>
        <w:rPr>
          <w:sz w:val="18"/>
          <w:szCs w:val="18"/>
        </w:rPr>
      </w:pPr>
      <w:r w:rsidRPr="00913010">
        <w:rPr>
          <w:sz w:val="18"/>
          <w:szCs w:val="18"/>
        </w:rPr>
        <w:t>At 25 March 2022 the Group had cash and undrawn committed bank facilities of £</w:t>
      </w:r>
      <w:r w:rsidR="005A5315">
        <w:rPr>
          <w:sz w:val="18"/>
          <w:szCs w:val="18"/>
        </w:rPr>
        <w:t>349.5</w:t>
      </w:r>
      <w:r w:rsidRPr="00913010">
        <w:rPr>
          <w:sz w:val="18"/>
          <w:szCs w:val="18"/>
        </w:rPr>
        <w:t>m</w:t>
      </w:r>
      <w:r w:rsidR="00AB08E8">
        <w:rPr>
          <w:sz w:val="18"/>
          <w:szCs w:val="18"/>
        </w:rPr>
        <w:t xml:space="preserve">. </w:t>
      </w:r>
    </w:p>
    <w:bookmarkEnd w:id="11"/>
    <w:p w14:paraId="6AB77C8F" w14:textId="75C6EF69" w:rsidR="00CF2405" w:rsidRPr="00CB7CCC" w:rsidRDefault="00CF2405" w:rsidP="00CF2405">
      <w:pPr>
        <w:pStyle w:val="Default"/>
        <w:spacing w:after="120"/>
        <w:jc w:val="both"/>
        <w:rPr>
          <w:rFonts w:asciiTheme="minorHAnsi" w:hAnsiTheme="minorHAnsi" w:cs="Arial"/>
          <w:b/>
          <w:bCs/>
          <w:sz w:val="18"/>
          <w:szCs w:val="18"/>
          <w:lang w:val="en-GB"/>
        </w:rPr>
      </w:pPr>
      <w:r w:rsidRPr="0070139A">
        <w:rPr>
          <w:rFonts w:asciiTheme="minorHAnsi" w:hAnsiTheme="minorHAnsi" w:cs="Arial"/>
          <w:b/>
          <w:bCs/>
          <w:sz w:val="18"/>
          <w:szCs w:val="18"/>
          <w:lang w:val="en-GB"/>
        </w:rPr>
        <w:t>Pensions</w:t>
      </w:r>
    </w:p>
    <w:p w14:paraId="1C325E6E" w14:textId="76A947CA" w:rsidR="00CF2405" w:rsidRPr="00E9173D" w:rsidRDefault="00CF2405" w:rsidP="00CF2405">
      <w:pPr>
        <w:adjustRightInd w:val="0"/>
        <w:jc w:val="both"/>
        <w:rPr>
          <w:sz w:val="18"/>
          <w:szCs w:val="18"/>
        </w:rPr>
      </w:pPr>
      <w:r w:rsidRPr="00E9173D">
        <w:rPr>
          <w:sz w:val="18"/>
          <w:szCs w:val="18"/>
        </w:rPr>
        <w:t>All of the Group’s legacy defined benefit pension schemes are closed to future accrual. The net pension deficit relating to legacy defined pension schemes, before related deferred tax, at 25 March 2022 was £</w:t>
      </w:r>
      <w:r>
        <w:rPr>
          <w:sz w:val="18"/>
          <w:szCs w:val="18"/>
        </w:rPr>
        <w:t>18.2</w:t>
      </w:r>
      <w:r w:rsidRPr="00E9173D">
        <w:rPr>
          <w:sz w:val="18"/>
          <w:szCs w:val="18"/>
        </w:rPr>
        <w:t>m, £</w:t>
      </w:r>
      <w:r>
        <w:rPr>
          <w:sz w:val="18"/>
          <w:szCs w:val="18"/>
        </w:rPr>
        <w:t>27.8</w:t>
      </w:r>
      <w:r w:rsidRPr="00E9173D">
        <w:rPr>
          <w:sz w:val="18"/>
          <w:szCs w:val="18"/>
        </w:rPr>
        <w:t>m lower than the position at 24 September 2021. The net pension deficit after related deferred tax was £</w:t>
      </w:r>
      <w:r>
        <w:rPr>
          <w:sz w:val="18"/>
          <w:szCs w:val="18"/>
        </w:rPr>
        <w:t>8.7</w:t>
      </w:r>
      <w:r w:rsidRPr="00E9173D">
        <w:rPr>
          <w:sz w:val="18"/>
          <w:szCs w:val="18"/>
        </w:rPr>
        <w:t>m (FY21: £</w:t>
      </w:r>
      <w:r>
        <w:rPr>
          <w:sz w:val="18"/>
          <w:szCs w:val="18"/>
        </w:rPr>
        <w:t>29.3</w:t>
      </w:r>
      <w:r w:rsidRPr="00E9173D">
        <w:rPr>
          <w:sz w:val="18"/>
          <w:szCs w:val="18"/>
        </w:rPr>
        <w:t>m)</w:t>
      </w:r>
      <w:r w:rsidR="00482DE9">
        <w:rPr>
          <w:sz w:val="18"/>
          <w:szCs w:val="18"/>
        </w:rPr>
        <w:t xml:space="preserve">, comprising a </w:t>
      </w:r>
      <w:r w:rsidR="00AB08E8">
        <w:rPr>
          <w:sz w:val="18"/>
          <w:szCs w:val="18"/>
        </w:rPr>
        <w:t xml:space="preserve">net </w:t>
      </w:r>
      <w:r w:rsidR="00482DE9">
        <w:rPr>
          <w:sz w:val="18"/>
          <w:szCs w:val="18"/>
        </w:rPr>
        <w:t xml:space="preserve">deficit on UK schemes of £43.3m (H1 21: £65.3m) and a </w:t>
      </w:r>
      <w:r w:rsidR="00AB08E8">
        <w:rPr>
          <w:sz w:val="18"/>
          <w:szCs w:val="18"/>
        </w:rPr>
        <w:t xml:space="preserve">net </w:t>
      </w:r>
      <w:r w:rsidR="00482DE9">
        <w:rPr>
          <w:sz w:val="18"/>
          <w:szCs w:val="18"/>
        </w:rPr>
        <w:t>surplus on Irish schemes of £34.6m (H1 21: £36.0m)</w:t>
      </w:r>
      <w:r w:rsidRPr="00E9173D">
        <w:rPr>
          <w:sz w:val="18"/>
          <w:szCs w:val="18"/>
        </w:rPr>
        <w:t xml:space="preserve">. The decrease in </w:t>
      </w:r>
      <w:r w:rsidR="00482DE9">
        <w:rPr>
          <w:sz w:val="18"/>
          <w:szCs w:val="18"/>
        </w:rPr>
        <w:t xml:space="preserve">the Group’s </w:t>
      </w:r>
      <w:r w:rsidRPr="00E9173D">
        <w:rPr>
          <w:sz w:val="18"/>
          <w:szCs w:val="18"/>
        </w:rPr>
        <w:t xml:space="preserve">net pension deficit was driven principally by an actuarial gain on </w:t>
      </w:r>
      <w:r w:rsidR="00482DE9">
        <w:rPr>
          <w:sz w:val="18"/>
          <w:szCs w:val="18"/>
        </w:rPr>
        <w:t xml:space="preserve">UK scheme </w:t>
      </w:r>
      <w:r w:rsidRPr="00E9173D">
        <w:rPr>
          <w:sz w:val="18"/>
          <w:szCs w:val="18"/>
        </w:rPr>
        <w:t>liabilities arising from an increase in the discount rates used to value these liabilities. The movement in the discount rate is driven by the corporate bond rate.</w:t>
      </w:r>
    </w:p>
    <w:p w14:paraId="41F934F3" w14:textId="771B982E" w:rsidR="00CF2405" w:rsidRPr="009D373E" w:rsidRDefault="004A4D56" w:rsidP="00CF2405">
      <w:pPr>
        <w:adjustRightInd w:val="0"/>
        <w:jc w:val="both"/>
        <w:rPr>
          <w:sz w:val="18"/>
          <w:szCs w:val="18"/>
        </w:rPr>
      </w:pPr>
      <w:r>
        <w:rPr>
          <w:sz w:val="18"/>
          <w:szCs w:val="18"/>
        </w:rPr>
        <w:t xml:space="preserve">Separate to this </w:t>
      </w:r>
      <w:r w:rsidR="002D36EF">
        <w:rPr>
          <w:sz w:val="18"/>
          <w:szCs w:val="18"/>
        </w:rPr>
        <w:t xml:space="preserve">IAS 19 </w:t>
      </w:r>
      <w:r w:rsidR="002D36EF" w:rsidRPr="001A00C9">
        <w:rPr>
          <w:i/>
          <w:iCs/>
          <w:sz w:val="18"/>
          <w:szCs w:val="18"/>
        </w:rPr>
        <w:t>Employee Benefits</w:t>
      </w:r>
      <w:r w:rsidR="002D36EF">
        <w:rPr>
          <w:sz w:val="18"/>
          <w:szCs w:val="18"/>
        </w:rPr>
        <w:t xml:space="preserve"> valuation</w:t>
      </w:r>
      <w:r>
        <w:rPr>
          <w:sz w:val="18"/>
          <w:szCs w:val="18"/>
        </w:rPr>
        <w:t>, t</w:t>
      </w:r>
      <w:r w:rsidR="00CF2405" w:rsidRPr="00E9173D">
        <w:rPr>
          <w:sz w:val="18"/>
          <w:szCs w:val="18"/>
        </w:rPr>
        <w:t xml:space="preserve">he valuations and funding obligations of the Group’s legacy defined benefit pension schemes are assessed on a triennial basis with the relevant Trustees. During H2 21 the Group concluded the latest assessment of the valuation and funding plan for its principal UK legacy defined benefit pension scheme. The Group expects the annual cash funding requirement for all schemes to be </w:t>
      </w:r>
      <w:r w:rsidR="00CF2405" w:rsidRPr="009D373E">
        <w:rPr>
          <w:sz w:val="18"/>
          <w:szCs w:val="18"/>
        </w:rPr>
        <w:t>modestly below previously guided levels of £15m</w:t>
      </w:r>
      <w:r w:rsidR="00C9584F">
        <w:rPr>
          <w:sz w:val="18"/>
          <w:szCs w:val="18"/>
        </w:rPr>
        <w:t>.</w:t>
      </w:r>
      <w:r w:rsidR="00CF2405" w:rsidRPr="009D373E">
        <w:rPr>
          <w:sz w:val="18"/>
          <w:szCs w:val="18"/>
        </w:rPr>
        <w:t xml:space="preserve"> </w:t>
      </w:r>
    </w:p>
    <w:p w14:paraId="1645ECE8" w14:textId="120D0ED6" w:rsidR="00CF2405" w:rsidRPr="00CB7CCC" w:rsidRDefault="00CF2405" w:rsidP="001952EF">
      <w:pPr>
        <w:adjustRightInd w:val="0"/>
        <w:jc w:val="both"/>
        <w:rPr>
          <w:rFonts w:cs="Arial"/>
          <w:b/>
          <w:sz w:val="18"/>
          <w:szCs w:val="18"/>
        </w:rPr>
      </w:pPr>
      <w:r w:rsidRPr="009D373E">
        <w:rPr>
          <w:rFonts w:cs="Arial"/>
          <w:b/>
          <w:sz w:val="18"/>
          <w:szCs w:val="18"/>
        </w:rPr>
        <w:t>Dividends</w:t>
      </w:r>
    </w:p>
    <w:p w14:paraId="13A3958E" w14:textId="3B4B671F" w:rsidR="00966B64" w:rsidRPr="00966B64" w:rsidRDefault="00CF2405" w:rsidP="00966B64">
      <w:pPr>
        <w:adjustRightInd w:val="0"/>
        <w:jc w:val="both"/>
        <w:rPr>
          <w:rFonts w:ascii="Calibri" w:eastAsia="Calibri" w:hAnsi="Calibri" w:cs="Times New Roman"/>
          <w:sz w:val="18"/>
          <w:szCs w:val="18"/>
        </w:rPr>
      </w:pPr>
      <w:r w:rsidRPr="00C8160C">
        <w:rPr>
          <w:sz w:val="18"/>
          <w:szCs w:val="18"/>
        </w:rPr>
        <w:t xml:space="preserve">The Group did not pay dividends to shareholders in the </w:t>
      </w:r>
      <w:r w:rsidR="00966B64" w:rsidRPr="00966B64">
        <w:rPr>
          <w:rFonts w:ascii="Calibri" w:eastAsia="Calibri" w:hAnsi="Calibri" w:cs="Times New Roman"/>
          <w:sz w:val="18"/>
          <w:szCs w:val="18"/>
        </w:rPr>
        <w:t>period (H1 21: £0.0m).</w:t>
      </w:r>
    </w:p>
    <w:p w14:paraId="41742136" w14:textId="77777777" w:rsidR="00DE1759" w:rsidRDefault="00F565E8" w:rsidP="00CF2405">
      <w:pPr>
        <w:spacing w:after="120"/>
        <w:jc w:val="both"/>
        <w:rPr>
          <w:sz w:val="18"/>
          <w:szCs w:val="18"/>
        </w:rPr>
      </w:pPr>
      <w:r>
        <w:rPr>
          <w:sz w:val="18"/>
          <w:szCs w:val="18"/>
        </w:rPr>
        <w:t xml:space="preserve">The Group intends </w:t>
      </w:r>
      <w:r w:rsidRPr="00F565E8">
        <w:rPr>
          <w:sz w:val="18"/>
          <w:szCs w:val="18"/>
        </w:rPr>
        <w:t xml:space="preserve">to recommence value return </w:t>
      </w:r>
      <w:r>
        <w:rPr>
          <w:sz w:val="18"/>
          <w:szCs w:val="18"/>
        </w:rPr>
        <w:t xml:space="preserve">to shareholders </w:t>
      </w:r>
      <w:r w:rsidRPr="00F565E8">
        <w:rPr>
          <w:sz w:val="18"/>
          <w:szCs w:val="18"/>
        </w:rPr>
        <w:t>of up to £50m over the next two years, initially in the form of a share buyback programme and consistent with the Group’s capital management policy</w:t>
      </w:r>
      <w:r>
        <w:rPr>
          <w:sz w:val="18"/>
          <w:szCs w:val="18"/>
        </w:rPr>
        <w:t>.</w:t>
      </w:r>
    </w:p>
    <w:p w14:paraId="238A99D2" w14:textId="4C4758F8" w:rsidR="00CF2405" w:rsidRPr="003A653B" w:rsidRDefault="00CF2405" w:rsidP="00CF2405">
      <w:pPr>
        <w:spacing w:after="120"/>
        <w:jc w:val="both"/>
        <w:rPr>
          <w:rFonts w:cs="Arial"/>
          <w:b/>
          <w:sz w:val="18"/>
          <w:szCs w:val="18"/>
        </w:rPr>
      </w:pPr>
      <w:bookmarkStart w:id="12" w:name="_Hlk86313599"/>
      <w:r w:rsidRPr="003A653B">
        <w:rPr>
          <w:rFonts w:cs="Arial"/>
          <w:b/>
          <w:sz w:val="18"/>
          <w:szCs w:val="18"/>
        </w:rPr>
        <w:t>Principal risks and uncertainties</w:t>
      </w:r>
    </w:p>
    <w:p w14:paraId="173BC590" w14:textId="77777777" w:rsidR="00CF2405" w:rsidRPr="00C9416C" w:rsidRDefault="00CF2405" w:rsidP="00CF2405">
      <w:pPr>
        <w:jc w:val="both"/>
        <w:rPr>
          <w:sz w:val="18"/>
          <w:szCs w:val="18"/>
          <w:lang w:val="en-IE"/>
        </w:rPr>
      </w:pPr>
      <w:r w:rsidRPr="00484EEE">
        <w:rPr>
          <w:sz w:val="18"/>
          <w:szCs w:val="18"/>
        </w:rPr>
        <w:t xml:space="preserve">There are a number of potential risks and uncertainties which could have a material impact on future Group performance and could cause actual results to differ materially from expected and historical results. </w:t>
      </w:r>
      <w:r w:rsidRPr="00C9416C">
        <w:rPr>
          <w:bCs/>
          <w:sz w:val="18"/>
          <w:szCs w:val="18"/>
        </w:rPr>
        <w:t xml:space="preserve">The Board considers the risks and uncertainties as </w:t>
      </w:r>
      <w:r w:rsidRPr="00C9416C">
        <w:rPr>
          <w:bCs/>
          <w:sz w:val="18"/>
          <w:szCs w:val="18"/>
        </w:rPr>
        <w:lastRenderedPageBreak/>
        <w:t xml:space="preserve">described in detail in the Risks and Risk Management section in the Annual Report and Financial Statements for the year ended </w:t>
      </w:r>
      <w:r w:rsidRPr="00484EEE">
        <w:rPr>
          <w:sz w:val="18"/>
          <w:szCs w:val="18"/>
        </w:rPr>
        <w:t>24 September 2021 issued on 30 November 2021</w:t>
      </w:r>
      <w:r>
        <w:rPr>
          <w:sz w:val="18"/>
          <w:szCs w:val="18"/>
        </w:rPr>
        <w:t>,</w:t>
      </w:r>
      <w:bookmarkEnd w:id="12"/>
      <w:r>
        <w:rPr>
          <w:sz w:val="18"/>
          <w:szCs w:val="18"/>
        </w:rPr>
        <w:t xml:space="preserve"> </w:t>
      </w:r>
      <w:r w:rsidRPr="00C9416C">
        <w:rPr>
          <w:bCs/>
          <w:sz w:val="18"/>
          <w:szCs w:val="18"/>
        </w:rPr>
        <w:t xml:space="preserve">to remain applicable in the second half of the year. </w:t>
      </w:r>
    </w:p>
    <w:p w14:paraId="68E613C4" w14:textId="5EE7C352" w:rsidR="00CF2405" w:rsidRPr="00C9416C" w:rsidRDefault="00CF2405" w:rsidP="00CF2405">
      <w:pPr>
        <w:jc w:val="both"/>
        <w:rPr>
          <w:bCs/>
          <w:sz w:val="18"/>
          <w:szCs w:val="18"/>
        </w:rPr>
      </w:pPr>
      <w:r w:rsidRPr="00C9416C">
        <w:rPr>
          <w:bCs/>
          <w:sz w:val="18"/>
          <w:szCs w:val="18"/>
        </w:rPr>
        <w:t>A description of the risks and uncertainties</w:t>
      </w:r>
      <w:r w:rsidR="00D71858">
        <w:rPr>
          <w:bCs/>
          <w:sz w:val="18"/>
          <w:szCs w:val="18"/>
        </w:rPr>
        <w:t xml:space="preserve">, including any </w:t>
      </w:r>
      <w:r w:rsidR="009D44DB">
        <w:rPr>
          <w:bCs/>
          <w:sz w:val="18"/>
          <w:szCs w:val="18"/>
        </w:rPr>
        <w:t xml:space="preserve">updates </w:t>
      </w:r>
      <w:r w:rsidR="00D71858">
        <w:rPr>
          <w:bCs/>
          <w:sz w:val="18"/>
          <w:szCs w:val="18"/>
        </w:rPr>
        <w:t xml:space="preserve">since the issuance of the Annual Report and Financial Statements for the year ended 24 September 2021, </w:t>
      </w:r>
      <w:r w:rsidRPr="00C9416C">
        <w:rPr>
          <w:bCs/>
          <w:sz w:val="18"/>
          <w:szCs w:val="18"/>
        </w:rPr>
        <w:t xml:space="preserve">are </w:t>
      </w:r>
      <w:bookmarkStart w:id="13" w:name="_Hlk99628737"/>
      <w:r w:rsidRPr="00C9416C">
        <w:rPr>
          <w:bCs/>
          <w:sz w:val="18"/>
          <w:szCs w:val="18"/>
        </w:rPr>
        <w:t>set out in the Appendix to the Interim Financial Report</w:t>
      </w:r>
      <w:bookmarkEnd w:id="13"/>
      <w:r w:rsidRPr="00C9416C">
        <w:rPr>
          <w:bCs/>
          <w:sz w:val="18"/>
          <w:szCs w:val="18"/>
        </w:rPr>
        <w:t>.</w:t>
      </w:r>
    </w:p>
    <w:p w14:paraId="40FF4175" w14:textId="77777777" w:rsidR="009D373E" w:rsidRDefault="009D373E" w:rsidP="00CF2405">
      <w:pPr>
        <w:spacing w:after="120"/>
        <w:rPr>
          <w:b/>
          <w:sz w:val="18"/>
          <w:szCs w:val="18"/>
        </w:rPr>
      </w:pPr>
    </w:p>
    <w:p w14:paraId="25644234" w14:textId="57FDDC74" w:rsidR="00CF2405" w:rsidRPr="00C9416C" w:rsidRDefault="00CF2405" w:rsidP="00CF2405">
      <w:pPr>
        <w:spacing w:after="120"/>
        <w:rPr>
          <w:b/>
          <w:sz w:val="18"/>
          <w:szCs w:val="18"/>
        </w:rPr>
      </w:pPr>
      <w:r w:rsidRPr="00C9416C">
        <w:rPr>
          <w:b/>
          <w:sz w:val="18"/>
          <w:szCs w:val="18"/>
        </w:rPr>
        <w:t>Responsibility Statement</w:t>
      </w:r>
      <w:r w:rsidRPr="00C9416C">
        <w:rPr>
          <w:b/>
          <w:sz w:val="18"/>
          <w:szCs w:val="18"/>
        </w:rPr>
        <w:tab/>
      </w:r>
    </w:p>
    <w:p w14:paraId="124C7E5D" w14:textId="2CFB5C75" w:rsidR="00CF2405" w:rsidRPr="008A34C8" w:rsidRDefault="00CF2405" w:rsidP="00CF2405">
      <w:pPr>
        <w:rPr>
          <w:bCs/>
          <w:sz w:val="18"/>
          <w:szCs w:val="18"/>
        </w:rPr>
      </w:pPr>
      <w:r w:rsidRPr="008A34C8">
        <w:rPr>
          <w:bCs/>
          <w:sz w:val="18"/>
          <w:szCs w:val="18"/>
        </w:rPr>
        <w:t>Each of the Directors of Greencore Group plc confirm that, to the best of each person’s knowledge and belief as required by the Disclosure Guidance and Transparency Rules of the Financial Conduct Authority (</w:t>
      </w:r>
      <w:r w:rsidRPr="00E04F2D">
        <w:rPr>
          <w:bCs/>
          <w:sz w:val="18"/>
          <w:szCs w:val="18"/>
        </w:rPr>
        <w:t>‘</w:t>
      </w:r>
      <w:r w:rsidRPr="008A34C8">
        <w:rPr>
          <w:bCs/>
          <w:sz w:val="18"/>
          <w:szCs w:val="18"/>
        </w:rPr>
        <w:t>FCA</w:t>
      </w:r>
      <w:r w:rsidRPr="00E04F2D">
        <w:rPr>
          <w:bCs/>
          <w:sz w:val="18"/>
          <w:szCs w:val="18"/>
        </w:rPr>
        <w:t>’</w:t>
      </w:r>
      <w:r w:rsidRPr="008A34C8">
        <w:rPr>
          <w:bCs/>
          <w:sz w:val="18"/>
          <w:szCs w:val="18"/>
        </w:rPr>
        <w:t>):</w:t>
      </w:r>
    </w:p>
    <w:p w14:paraId="42DF8BEF" w14:textId="68D04ED3" w:rsidR="00CF2405" w:rsidRPr="00E04F2D" w:rsidRDefault="00CF2405" w:rsidP="006B25B9">
      <w:pPr>
        <w:widowControl w:val="0"/>
        <w:numPr>
          <w:ilvl w:val="0"/>
          <w:numId w:val="9"/>
        </w:numPr>
        <w:autoSpaceDE w:val="0"/>
        <w:autoSpaceDN w:val="0"/>
        <w:spacing w:after="120" w:line="240" w:lineRule="auto"/>
        <w:rPr>
          <w:bCs/>
          <w:sz w:val="18"/>
          <w:szCs w:val="18"/>
        </w:rPr>
      </w:pPr>
      <w:r w:rsidRPr="008A34C8">
        <w:rPr>
          <w:bCs/>
          <w:sz w:val="18"/>
          <w:szCs w:val="18"/>
        </w:rPr>
        <w:t>The Financial Statements</w:t>
      </w:r>
      <w:r w:rsidR="0098548C">
        <w:rPr>
          <w:bCs/>
          <w:sz w:val="18"/>
          <w:szCs w:val="18"/>
        </w:rPr>
        <w:t xml:space="preserve"> have been </w:t>
      </w:r>
      <w:r w:rsidRPr="008A34C8">
        <w:rPr>
          <w:bCs/>
          <w:sz w:val="18"/>
          <w:szCs w:val="18"/>
        </w:rPr>
        <w:t>prepared in accordance with</w:t>
      </w:r>
      <w:r w:rsidRPr="008A34C8">
        <w:rPr>
          <w:bCs/>
          <w:i/>
          <w:iCs/>
          <w:sz w:val="18"/>
          <w:szCs w:val="18"/>
        </w:rPr>
        <w:t xml:space="preserve"> IAS 34 Interim Financial Reporting </w:t>
      </w:r>
      <w:r w:rsidRPr="008A34C8">
        <w:rPr>
          <w:bCs/>
          <w:sz w:val="18"/>
          <w:szCs w:val="18"/>
        </w:rPr>
        <w:t>as adopted by the E</w:t>
      </w:r>
      <w:r w:rsidR="0098548C">
        <w:rPr>
          <w:bCs/>
          <w:sz w:val="18"/>
          <w:szCs w:val="18"/>
        </w:rPr>
        <w:t>uropean Union</w:t>
      </w:r>
      <w:r w:rsidRPr="008A34C8">
        <w:rPr>
          <w:bCs/>
          <w:sz w:val="18"/>
          <w:szCs w:val="18"/>
        </w:rPr>
        <w:t xml:space="preserve">; </w:t>
      </w:r>
    </w:p>
    <w:p w14:paraId="7233B2F5" w14:textId="240AAA63" w:rsidR="00CF2405" w:rsidRPr="008A34C8" w:rsidRDefault="00CF2405" w:rsidP="006B25B9">
      <w:pPr>
        <w:widowControl w:val="0"/>
        <w:numPr>
          <w:ilvl w:val="0"/>
          <w:numId w:val="9"/>
        </w:numPr>
        <w:autoSpaceDE w:val="0"/>
        <w:autoSpaceDN w:val="0"/>
        <w:spacing w:after="120" w:line="240" w:lineRule="auto"/>
        <w:rPr>
          <w:bCs/>
          <w:sz w:val="18"/>
          <w:szCs w:val="18"/>
        </w:rPr>
      </w:pPr>
      <w:r w:rsidRPr="008A34C8">
        <w:rPr>
          <w:bCs/>
          <w:sz w:val="18"/>
          <w:szCs w:val="18"/>
        </w:rPr>
        <w:t xml:space="preserve">The Interim Management Report includes a fair review of </w:t>
      </w:r>
      <w:r w:rsidR="0098548C">
        <w:rPr>
          <w:bCs/>
          <w:sz w:val="18"/>
          <w:szCs w:val="18"/>
        </w:rPr>
        <w:t>important events that have occurred during the first six months of the financial year, and their impact on the condensed financial statements, and a description of the principal risks and uncertainties for the remaining six months of the financial year; and</w:t>
      </w:r>
    </w:p>
    <w:p w14:paraId="7E6935EE" w14:textId="48374FB6" w:rsidR="00CF2405" w:rsidRPr="008A34C8" w:rsidRDefault="00CF2405" w:rsidP="006B25B9">
      <w:pPr>
        <w:widowControl w:val="0"/>
        <w:numPr>
          <w:ilvl w:val="0"/>
          <w:numId w:val="9"/>
        </w:numPr>
        <w:autoSpaceDE w:val="0"/>
        <w:autoSpaceDN w:val="0"/>
        <w:spacing w:after="120" w:line="240" w:lineRule="auto"/>
        <w:rPr>
          <w:bCs/>
          <w:sz w:val="18"/>
          <w:szCs w:val="18"/>
        </w:rPr>
      </w:pPr>
      <w:r w:rsidRPr="008A34C8">
        <w:rPr>
          <w:bCs/>
          <w:sz w:val="18"/>
          <w:szCs w:val="18"/>
        </w:rPr>
        <w:t xml:space="preserve">The Interim Management Report includes a fair review of the related party transactions that have taken place in the first six months of the current financial year and that have materially affected the financial position or performance of the entity during that period; and any changes in the related party transactions described in the last annual report that could </w:t>
      </w:r>
      <w:r w:rsidR="0098548C">
        <w:rPr>
          <w:bCs/>
          <w:sz w:val="18"/>
          <w:szCs w:val="18"/>
        </w:rPr>
        <w:t>have a material effect on the financial position or performance of the Group in the first six months of the current financial year.</w:t>
      </w:r>
    </w:p>
    <w:p w14:paraId="20C530C2" w14:textId="77777777" w:rsidR="00CF2405" w:rsidRPr="00C9416C" w:rsidRDefault="00CF2405" w:rsidP="00CF2405">
      <w:pPr>
        <w:rPr>
          <w:bCs/>
          <w:sz w:val="18"/>
          <w:szCs w:val="18"/>
        </w:rPr>
      </w:pPr>
    </w:p>
    <w:tbl>
      <w:tblPr>
        <w:tblW w:w="7088" w:type="dxa"/>
        <w:tblLook w:val="04A0" w:firstRow="1" w:lastRow="0" w:firstColumn="1" w:lastColumn="0" w:noHBand="0" w:noVBand="1"/>
      </w:tblPr>
      <w:tblGrid>
        <w:gridCol w:w="3544"/>
        <w:gridCol w:w="3544"/>
      </w:tblGrid>
      <w:tr w:rsidR="00CF2405" w:rsidRPr="00C9416C" w14:paraId="4CD288CC" w14:textId="77777777" w:rsidTr="00865099">
        <w:tc>
          <w:tcPr>
            <w:tcW w:w="3544" w:type="dxa"/>
          </w:tcPr>
          <w:p w14:paraId="47EC3667" w14:textId="6D75DE42" w:rsidR="00CF2405" w:rsidRPr="00F23174" w:rsidRDefault="00CF2405" w:rsidP="00865099">
            <w:pPr>
              <w:rPr>
                <w:bCs/>
                <w:sz w:val="18"/>
                <w:szCs w:val="18"/>
              </w:rPr>
            </w:pPr>
            <w:r w:rsidRPr="00702E1E">
              <w:rPr>
                <w:bCs/>
                <w:sz w:val="18"/>
                <w:szCs w:val="18"/>
              </w:rPr>
              <w:t>G.</w:t>
            </w:r>
            <w:r w:rsidR="009C50D9">
              <w:rPr>
                <w:bCs/>
                <w:sz w:val="18"/>
                <w:szCs w:val="18"/>
              </w:rPr>
              <w:t xml:space="preserve"> </w:t>
            </w:r>
            <w:r w:rsidRPr="00702E1E">
              <w:rPr>
                <w:bCs/>
                <w:sz w:val="18"/>
                <w:szCs w:val="18"/>
              </w:rPr>
              <w:t>Kennedy</w:t>
            </w:r>
            <w:r w:rsidRPr="00702E1E">
              <w:rPr>
                <w:bCs/>
                <w:sz w:val="18"/>
                <w:szCs w:val="18"/>
              </w:rPr>
              <w:br/>
              <w:t>Executive Chair</w:t>
            </w:r>
            <w:r w:rsidRPr="00F23174">
              <w:rPr>
                <w:bCs/>
                <w:sz w:val="18"/>
                <w:szCs w:val="18"/>
              </w:rPr>
              <w:br/>
              <w:t>Date: 23 May 2022</w:t>
            </w:r>
          </w:p>
        </w:tc>
        <w:tc>
          <w:tcPr>
            <w:tcW w:w="3544" w:type="dxa"/>
          </w:tcPr>
          <w:p w14:paraId="4BEFE289" w14:textId="77777777" w:rsidR="00CF2405" w:rsidRPr="00F23174" w:rsidRDefault="00CF2405" w:rsidP="00865099">
            <w:pPr>
              <w:rPr>
                <w:bCs/>
                <w:sz w:val="18"/>
                <w:szCs w:val="18"/>
              </w:rPr>
            </w:pPr>
            <w:r w:rsidRPr="00F23174">
              <w:rPr>
                <w:bCs/>
                <w:sz w:val="18"/>
                <w:szCs w:val="18"/>
              </w:rPr>
              <w:t>E. Hynes</w:t>
            </w:r>
            <w:r w:rsidRPr="00F23174">
              <w:rPr>
                <w:bCs/>
                <w:sz w:val="18"/>
                <w:szCs w:val="18"/>
              </w:rPr>
              <w:br/>
              <w:t>Chief Financial Officer</w:t>
            </w:r>
            <w:r w:rsidRPr="00F23174">
              <w:rPr>
                <w:bCs/>
                <w:sz w:val="18"/>
                <w:szCs w:val="18"/>
              </w:rPr>
              <w:br/>
              <w:t>Date: 23 May 2022</w:t>
            </w:r>
          </w:p>
        </w:tc>
      </w:tr>
    </w:tbl>
    <w:p w14:paraId="43D6CA95" w14:textId="77777777" w:rsidR="00CF2405" w:rsidRPr="00C9416C" w:rsidRDefault="00CF2405" w:rsidP="00CF2405">
      <w:pPr>
        <w:rPr>
          <w:b/>
          <w:sz w:val="18"/>
          <w:szCs w:val="18"/>
        </w:rPr>
      </w:pPr>
    </w:p>
    <w:p w14:paraId="37EBF30E" w14:textId="77777777" w:rsidR="00C550D6" w:rsidRDefault="00C550D6" w:rsidP="00C550D6">
      <w:pPr>
        <w:pStyle w:val="Heading2"/>
        <w:ind w:left="-567" w:hanging="142"/>
      </w:pPr>
      <w:r w:rsidRPr="00875751">
        <w:t xml:space="preserve">CONDENSED </w:t>
      </w:r>
      <w:r>
        <w:t>GROUP INCOME STATEMENT</w:t>
      </w:r>
    </w:p>
    <w:p w14:paraId="1FB3AD44" w14:textId="77777777" w:rsidR="00773F7B" w:rsidRDefault="00C550D6" w:rsidP="00AD300F">
      <w:pPr>
        <w:ind w:left="-709"/>
        <w:rPr>
          <w:b/>
          <w:color w:val="002060"/>
          <w:sz w:val="20"/>
          <w:szCs w:val="20"/>
        </w:rPr>
      </w:pPr>
      <w:r w:rsidRPr="00C550D6">
        <w:rPr>
          <w:b/>
          <w:color w:val="002060"/>
          <w:sz w:val="20"/>
          <w:szCs w:val="20"/>
        </w:rPr>
        <w:t>for the half year ended 25 March 2022</w:t>
      </w:r>
    </w:p>
    <w:tbl>
      <w:tblPr>
        <w:tblStyle w:val="TableGrid"/>
        <w:tblW w:w="10487" w:type="dxa"/>
        <w:jc w:val="center"/>
        <w:tblLayout w:type="fixed"/>
        <w:tblLook w:val="04A0" w:firstRow="1" w:lastRow="0" w:firstColumn="1" w:lastColumn="0" w:noHBand="0" w:noVBand="1"/>
      </w:tblPr>
      <w:tblGrid>
        <w:gridCol w:w="3686"/>
        <w:gridCol w:w="425"/>
        <w:gridCol w:w="1134"/>
        <w:gridCol w:w="1134"/>
        <w:gridCol w:w="851"/>
        <w:gridCol w:w="1264"/>
        <w:gridCol w:w="1134"/>
        <w:gridCol w:w="859"/>
      </w:tblGrid>
      <w:tr w:rsidR="003E307B" w14:paraId="44BE61AB" w14:textId="77777777" w:rsidTr="00F55D04">
        <w:trPr>
          <w:jc w:val="center"/>
        </w:trPr>
        <w:tc>
          <w:tcPr>
            <w:tcW w:w="4111" w:type="dxa"/>
            <w:gridSpan w:val="2"/>
            <w:vMerge w:val="restart"/>
            <w:tcBorders>
              <w:top w:val="nil"/>
              <w:left w:val="nil"/>
              <w:right w:val="nil"/>
            </w:tcBorders>
            <w:vAlign w:val="bottom"/>
          </w:tcPr>
          <w:p w14:paraId="04C008EE" w14:textId="77777777" w:rsidR="003E307B" w:rsidRPr="00E8718C" w:rsidRDefault="003E307B" w:rsidP="00773F7B">
            <w:pPr>
              <w:ind w:right="-109"/>
              <w:jc w:val="right"/>
              <w:rPr>
                <w:sz w:val="18"/>
                <w:szCs w:val="18"/>
              </w:rPr>
            </w:pPr>
          </w:p>
        </w:tc>
        <w:tc>
          <w:tcPr>
            <w:tcW w:w="3119" w:type="dxa"/>
            <w:gridSpan w:val="3"/>
            <w:tcBorders>
              <w:top w:val="nil"/>
              <w:left w:val="nil"/>
              <w:bottom w:val="nil"/>
              <w:right w:val="nil"/>
            </w:tcBorders>
            <w:vAlign w:val="bottom"/>
          </w:tcPr>
          <w:p w14:paraId="56234244" w14:textId="7B55BAD8" w:rsidR="003E307B" w:rsidRPr="00E8718C" w:rsidRDefault="003E307B" w:rsidP="00946079">
            <w:pPr>
              <w:pStyle w:val="Subtitle"/>
            </w:pPr>
            <w:r w:rsidRPr="00323878">
              <w:t xml:space="preserve">Half year ended </w:t>
            </w:r>
            <w:r w:rsidR="008A4891">
              <w:t>25 March 2022</w:t>
            </w:r>
          </w:p>
        </w:tc>
        <w:tc>
          <w:tcPr>
            <w:tcW w:w="3257" w:type="dxa"/>
            <w:gridSpan w:val="3"/>
            <w:tcBorders>
              <w:top w:val="nil"/>
              <w:left w:val="nil"/>
              <w:bottom w:val="nil"/>
              <w:right w:val="nil"/>
            </w:tcBorders>
            <w:vAlign w:val="bottom"/>
          </w:tcPr>
          <w:p w14:paraId="21B20033" w14:textId="6EF8553A" w:rsidR="003E307B" w:rsidRPr="00E8718C" w:rsidRDefault="003E307B" w:rsidP="00946079">
            <w:pPr>
              <w:pStyle w:val="T2"/>
            </w:pPr>
            <w:r w:rsidRPr="00A00268">
              <w:rPr>
                <w:rStyle w:val="SubtleEmphasis"/>
              </w:rPr>
              <w:t xml:space="preserve">Half year ended </w:t>
            </w:r>
            <w:r w:rsidR="008A4891">
              <w:rPr>
                <w:rStyle w:val="SubtleEmphasis"/>
              </w:rPr>
              <w:t>26 March 2021</w:t>
            </w:r>
          </w:p>
        </w:tc>
      </w:tr>
      <w:tr w:rsidR="003E307B" w14:paraId="4229C0F9" w14:textId="77777777" w:rsidTr="001F1616">
        <w:trPr>
          <w:jc w:val="center"/>
        </w:trPr>
        <w:tc>
          <w:tcPr>
            <w:tcW w:w="4111" w:type="dxa"/>
            <w:gridSpan w:val="2"/>
            <w:vMerge/>
            <w:tcBorders>
              <w:left w:val="nil"/>
              <w:bottom w:val="nil"/>
              <w:right w:val="nil"/>
            </w:tcBorders>
            <w:vAlign w:val="bottom"/>
          </w:tcPr>
          <w:p w14:paraId="56B5BF5A" w14:textId="77777777" w:rsidR="003E307B" w:rsidRPr="00E8718C" w:rsidRDefault="003E307B" w:rsidP="00773F7B">
            <w:pPr>
              <w:jc w:val="right"/>
              <w:rPr>
                <w:sz w:val="18"/>
                <w:szCs w:val="18"/>
              </w:rPr>
            </w:pPr>
          </w:p>
        </w:tc>
        <w:tc>
          <w:tcPr>
            <w:tcW w:w="1134" w:type="dxa"/>
            <w:tcBorders>
              <w:top w:val="nil"/>
              <w:left w:val="nil"/>
              <w:bottom w:val="nil"/>
              <w:right w:val="nil"/>
            </w:tcBorders>
            <w:vAlign w:val="bottom"/>
          </w:tcPr>
          <w:p w14:paraId="157ABE8F" w14:textId="77777777" w:rsidR="003E307B" w:rsidRPr="00E8718C" w:rsidRDefault="003E307B" w:rsidP="00773F7B">
            <w:pPr>
              <w:pStyle w:val="Subtitle"/>
            </w:pPr>
          </w:p>
        </w:tc>
        <w:tc>
          <w:tcPr>
            <w:tcW w:w="1134" w:type="dxa"/>
            <w:tcBorders>
              <w:top w:val="nil"/>
              <w:left w:val="nil"/>
              <w:bottom w:val="nil"/>
              <w:right w:val="nil"/>
            </w:tcBorders>
            <w:vAlign w:val="bottom"/>
          </w:tcPr>
          <w:p w14:paraId="20ED25C7" w14:textId="77777777" w:rsidR="003E307B" w:rsidRPr="00E8718C" w:rsidRDefault="003E307B" w:rsidP="00773F7B">
            <w:pPr>
              <w:pStyle w:val="Subtitle"/>
            </w:pPr>
            <w:r>
              <w:t>(Unaudited)</w:t>
            </w:r>
          </w:p>
        </w:tc>
        <w:tc>
          <w:tcPr>
            <w:tcW w:w="851" w:type="dxa"/>
            <w:tcBorders>
              <w:top w:val="nil"/>
              <w:left w:val="nil"/>
              <w:bottom w:val="nil"/>
              <w:right w:val="nil"/>
            </w:tcBorders>
            <w:vAlign w:val="bottom"/>
          </w:tcPr>
          <w:p w14:paraId="44CF151D" w14:textId="77777777" w:rsidR="003E307B" w:rsidRPr="00E8718C" w:rsidRDefault="003E307B" w:rsidP="00773F7B">
            <w:pPr>
              <w:pStyle w:val="Subtitle"/>
            </w:pPr>
          </w:p>
        </w:tc>
        <w:tc>
          <w:tcPr>
            <w:tcW w:w="1264" w:type="dxa"/>
            <w:tcBorders>
              <w:top w:val="nil"/>
              <w:left w:val="nil"/>
              <w:bottom w:val="nil"/>
              <w:right w:val="nil"/>
            </w:tcBorders>
            <w:vAlign w:val="bottom"/>
          </w:tcPr>
          <w:p w14:paraId="5769E0DC" w14:textId="77777777" w:rsidR="003E307B" w:rsidRPr="00E8718C" w:rsidRDefault="003E307B" w:rsidP="00773F7B">
            <w:pPr>
              <w:jc w:val="center"/>
              <w:rPr>
                <w:sz w:val="18"/>
                <w:szCs w:val="18"/>
              </w:rPr>
            </w:pPr>
          </w:p>
        </w:tc>
        <w:tc>
          <w:tcPr>
            <w:tcW w:w="1134" w:type="dxa"/>
            <w:tcBorders>
              <w:top w:val="nil"/>
              <w:left w:val="nil"/>
              <w:bottom w:val="nil"/>
              <w:right w:val="nil"/>
            </w:tcBorders>
            <w:vAlign w:val="bottom"/>
          </w:tcPr>
          <w:p w14:paraId="13E44445" w14:textId="77777777" w:rsidR="003E307B" w:rsidRPr="00E8718C" w:rsidRDefault="003E307B" w:rsidP="00773F7B">
            <w:pPr>
              <w:jc w:val="right"/>
              <w:rPr>
                <w:sz w:val="18"/>
                <w:szCs w:val="18"/>
              </w:rPr>
            </w:pPr>
            <w:r w:rsidRPr="00A00268">
              <w:rPr>
                <w:sz w:val="18"/>
                <w:szCs w:val="18"/>
              </w:rPr>
              <w:t>(Unaudited)</w:t>
            </w:r>
          </w:p>
        </w:tc>
        <w:tc>
          <w:tcPr>
            <w:tcW w:w="859" w:type="dxa"/>
            <w:tcBorders>
              <w:top w:val="nil"/>
              <w:left w:val="nil"/>
              <w:bottom w:val="nil"/>
              <w:right w:val="nil"/>
            </w:tcBorders>
            <w:vAlign w:val="bottom"/>
          </w:tcPr>
          <w:p w14:paraId="371BD792" w14:textId="77777777" w:rsidR="003E307B" w:rsidRPr="00E8718C" w:rsidRDefault="003E307B" w:rsidP="00773F7B">
            <w:pPr>
              <w:jc w:val="center"/>
              <w:rPr>
                <w:sz w:val="18"/>
                <w:szCs w:val="18"/>
              </w:rPr>
            </w:pPr>
          </w:p>
        </w:tc>
      </w:tr>
      <w:tr w:rsidR="00773F7B" w14:paraId="6A6E6492" w14:textId="77777777" w:rsidTr="001F1616">
        <w:trPr>
          <w:jc w:val="center"/>
        </w:trPr>
        <w:tc>
          <w:tcPr>
            <w:tcW w:w="4111" w:type="dxa"/>
            <w:gridSpan w:val="2"/>
            <w:tcBorders>
              <w:top w:val="nil"/>
              <w:left w:val="nil"/>
              <w:bottom w:val="nil"/>
              <w:right w:val="nil"/>
            </w:tcBorders>
            <w:vAlign w:val="bottom"/>
          </w:tcPr>
          <w:p w14:paraId="56DCEE7E" w14:textId="77777777" w:rsidR="00773F7B" w:rsidRPr="00E8718C" w:rsidRDefault="00773F7B" w:rsidP="00773F7B">
            <w:pPr>
              <w:jc w:val="right"/>
              <w:rPr>
                <w:sz w:val="18"/>
                <w:szCs w:val="18"/>
              </w:rPr>
            </w:pPr>
            <w:r w:rsidRPr="00323878">
              <w:rPr>
                <w:sz w:val="18"/>
                <w:szCs w:val="18"/>
              </w:rPr>
              <w:t>Notes</w:t>
            </w:r>
          </w:p>
        </w:tc>
        <w:tc>
          <w:tcPr>
            <w:tcW w:w="1134" w:type="dxa"/>
            <w:tcBorders>
              <w:top w:val="nil"/>
              <w:left w:val="nil"/>
              <w:bottom w:val="nil"/>
              <w:right w:val="nil"/>
            </w:tcBorders>
            <w:vAlign w:val="bottom"/>
          </w:tcPr>
          <w:p w14:paraId="74B63009" w14:textId="77777777" w:rsidR="00773F7B" w:rsidRPr="00A00268" w:rsidRDefault="00773F7B" w:rsidP="00773F7B">
            <w:pPr>
              <w:pStyle w:val="T2"/>
              <w:jc w:val="right"/>
              <w:rPr>
                <w:b/>
              </w:rPr>
            </w:pPr>
            <w:r w:rsidRPr="00A00268">
              <w:rPr>
                <w:b/>
              </w:rPr>
              <w:t>Pre</w:t>
            </w:r>
            <w:r>
              <w:rPr>
                <w:b/>
              </w:rPr>
              <w:t>–</w:t>
            </w:r>
            <w:r w:rsidRPr="00A00268">
              <w:rPr>
                <w:b/>
              </w:rPr>
              <w:t xml:space="preserve"> exceptional</w:t>
            </w:r>
          </w:p>
        </w:tc>
        <w:tc>
          <w:tcPr>
            <w:tcW w:w="1134" w:type="dxa"/>
            <w:tcBorders>
              <w:top w:val="nil"/>
              <w:left w:val="nil"/>
              <w:bottom w:val="nil"/>
              <w:right w:val="nil"/>
            </w:tcBorders>
            <w:vAlign w:val="bottom"/>
          </w:tcPr>
          <w:p w14:paraId="0C5DC86D" w14:textId="0CF9D85B" w:rsidR="00773F7B" w:rsidRPr="00A00268" w:rsidRDefault="00773F7B" w:rsidP="00773F7B">
            <w:pPr>
              <w:pStyle w:val="T2"/>
              <w:jc w:val="right"/>
              <w:rPr>
                <w:b/>
              </w:rPr>
            </w:pPr>
            <w:r w:rsidRPr="00A00268">
              <w:rPr>
                <w:b/>
              </w:rPr>
              <w:t>Exceptional</w:t>
            </w:r>
            <w:r w:rsidRPr="00A00268">
              <w:rPr>
                <w:b/>
              </w:rPr>
              <w:br/>
              <w:t xml:space="preserve">(Note </w:t>
            </w:r>
            <w:r w:rsidR="002675EF">
              <w:rPr>
                <w:b/>
              </w:rPr>
              <w:t>5</w:t>
            </w:r>
            <w:r w:rsidRPr="00A00268">
              <w:rPr>
                <w:b/>
              </w:rPr>
              <w:t>)</w:t>
            </w:r>
          </w:p>
        </w:tc>
        <w:tc>
          <w:tcPr>
            <w:tcW w:w="851" w:type="dxa"/>
            <w:tcBorders>
              <w:top w:val="nil"/>
              <w:left w:val="nil"/>
              <w:bottom w:val="nil"/>
              <w:right w:val="nil"/>
            </w:tcBorders>
            <w:vAlign w:val="bottom"/>
          </w:tcPr>
          <w:p w14:paraId="04DEBA85" w14:textId="77777777" w:rsidR="00773F7B" w:rsidRPr="00A00268" w:rsidRDefault="00773F7B" w:rsidP="00773F7B">
            <w:pPr>
              <w:pStyle w:val="T2"/>
              <w:jc w:val="right"/>
              <w:rPr>
                <w:b/>
              </w:rPr>
            </w:pPr>
            <w:r w:rsidRPr="00A00268">
              <w:rPr>
                <w:b/>
              </w:rPr>
              <w:t>Total</w:t>
            </w:r>
          </w:p>
        </w:tc>
        <w:tc>
          <w:tcPr>
            <w:tcW w:w="1264" w:type="dxa"/>
            <w:tcBorders>
              <w:top w:val="nil"/>
              <w:left w:val="nil"/>
              <w:bottom w:val="nil"/>
              <w:right w:val="nil"/>
            </w:tcBorders>
            <w:vAlign w:val="bottom"/>
          </w:tcPr>
          <w:p w14:paraId="6FA62747" w14:textId="089EEF08" w:rsidR="00773F7B" w:rsidRDefault="00773F7B" w:rsidP="00773F7B">
            <w:pPr>
              <w:pStyle w:val="T2"/>
              <w:jc w:val="right"/>
            </w:pPr>
            <w:r>
              <w:t>Pre– exceptional</w:t>
            </w:r>
          </w:p>
        </w:tc>
        <w:tc>
          <w:tcPr>
            <w:tcW w:w="1134" w:type="dxa"/>
            <w:tcBorders>
              <w:top w:val="nil"/>
              <w:left w:val="nil"/>
              <w:bottom w:val="nil"/>
              <w:right w:val="nil"/>
            </w:tcBorders>
            <w:vAlign w:val="bottom"/>
          </w:tcPr>
          <w:p w14:paraId="543DBA04" w14:textId="67EDC95D" w:rsidR="00773F7B" w:rsidRDefault="00773F7B" w:rsidP="00773F7B">
            <w:pPr>
              <w:pStyle w:val="T2"/>
              <w:jc w:val="right"/>
            </w:pPr>
            <w:r>
              <w:t>Exceptional</w:t>
            </w:r>
            <w:r>
              <w:br/>
              <w:t xml:space="preserve">(Note </w:t>
            </w:r>
            <w:r w:rsidR="002675EF">
              <w:t>5</w:t>
            </w:r>
            <w:r>
              <w:t>)</w:t>
            </w:r>
          </w:p>
        </w:tc>
        <w:tc>
          <w:tcPr>
            <w:tcW w:w="859" w:type="dxa"/>
            <w:tcBorders>
              <w:top w:val="nil"/>
              <w:left w:val="nil"/>
              <w:bottom w:val="nil"/>
              <w:right w:val="nil"/>
            </w:tcBorders>
            <w:vAlign w:val="bottom"/>
          </w:tcPr>
          <w:p w14:paraId="5F160298" w14:textId="18D398F0" w:rsidR="00773F7B" w:rsidRDefault="00773F7B" w:rsidP="00773F7B">
            <w:pPr>
              <w:pStyle w:val="T2"/>
              <w:jc w:val="right"/>
            </w:pPr>
            <w:r>
              <w:t>Total</w:t>
            </w:r>
          </w:p>
        </w:tc>
      </w:tr>
      <w:tr w:rsidR="003E307B" w14:paraId="0993B130" w14:textId="77777777" w:rsidTr="001F1616">
        <w:trPr>
          <w:jc w:val="center"/>
        </w:trPr>
        <w:tc>
          <w:tcPr>
            <w:tcW w:w="4111" w:type="dxa"/>
            <w:gridSpan w:val="2"/>
            <w:tcBorders>
              <w:top w:val="nil"/>
              <w:left w:val="nil"/>
              <w:bottom w:val="single" w:sz="2" w:space="0" w:color="auto"/>
              <w:right w:val="nil"/>
            </w:tcBorders>
            <w:shd w:val="clear" w:color="auto" w:fill="auto"/>
            <w:vAlign w:val="bottom"/>
          </w:tcPr>
          <w:p w14:paraId="28152FB3" w14:textId="77777777" w:rsidR="003E307B" w:rsidRPr="00E8718C" w:rsidRDefault="003E307B" w:rsidP="00773F7B">
            <w:pPr>
              <w:jc w:val="right"/>
              <w:rPr>
                <w:sz w:val="18"/>
                <w:szCs w:val="18"/>
              </w:rPr>
            </w:pPr>
          </w:p>
        </w:tc>
        <w:tc>
          <w:tcPr>
            <w:tcW w:w="1134" w:type="dxa"/>
            <w:tcBorders>
              <w:top w:val="nil"/>
              <w:left w:val="nil"/>
              <w:bottom w:val="single" w:sz="2" w:space="0" w:color="auto"/>
              <w:right w:val="nil"/>
            </w:tcBorders>
            <w:shd w:val="clear" w:color="auto" w:fill="auto"/>
            <w:vAlign w:val="bottom"/>
          </w:tcPr>
          <w:p w14:paraId="4FD3A6C4" w14:textId="77777777" w:rsidR="003E307B" w:rsidRPr="00F55D04" w:rsidRDefault="003E307B" w:rsidP="00773F7B">
            <w:pPr>
              <w:pStyle w:val="T2"/>
              <w:jc w:val="right"/>
              <w:rPr>
                <w:b/>
              </w:rPr>
            </w:pPr>
            <w:r w:rsidRPr="00F55D04">
              <w:rPr>
                <w:b/>
              </w:rPr>
              <w:t>£m</w:t>
            </w:r>
          </w:p>
        </w:tc>
        <w:tc>
          <w:tcPr>
            <w:tcW w:w="1134" w:type="dxa"/>
            <w:tcBorders>
              <w:top w:val="nil"/>
              <w:left w:val="nil"/>
              <w:bottom w:val="single" w:sz="2" w:space="0" w:color="auto"/>
              <w:right w:val="nil"/>
            </w:tcBorders>
            <w:shd w:val="clear" w:color="auto" w:fill="auto"/>
            <w:vAlign w:val="bottom"/>
          </w:tcPr>
          <w:p w14:paraId="05B184A6" w14:textId="77777777" w:rsidR="003E307B" w:rsidRPr="00F55D04" w:rsidRDefault="003E307B" w:rsidP="00773F7B">
            <w:pPr>
              <w:pStyle w:val="T2"/>
              <w:jc w:val="right"/>
              <w:rPr>
                <w:b/>
              </w:rPr>
            </w:pPr>
            <w:r w:rsidRPr="00F55D04">
              <w:rPr>
                <w:b/>
              </w:rPr>
              <w:t>£m</w:t>
            </w:r>
          </w:p>
        </w:tc>
        <w:tc>
          <w:tcPr>
            <w:tcW w:w="851" w:type="dxa"/>
            <w:tcBorders>
              <w:top w:val="nil"/>
              <w:left w:val="nil"/>
              <w:bottom w:val="single" w:sz="2" w:space="0" w:color="auto"/>
              <w:right w:val="nil"/>
            </w:tcBorders>
            <w:shd w:val="clear" w:color="auto" w:fill="auto"/>
            <w:vAlign w:val="bottom"/>
          </w:tcPr>
          <w:p w14:paraId="063A86CF" w14:textId="77777777" w:rsidR="003E307B" w:rsidRPr="00F55D04" w:rsidRDefault="003E307B" w:rsidP="00773F7B">
            <w:pPr>
              <w:pStyle w:val="T2"/>
              <w:jc w:val="right"/>
              <w:rPr>
                <w:b/>
              </w:rPr>
            </w:pPr>
            <w:r w:rsidRPr="00F55D04">
              <w:rPr>
                <w:b/>
              </w:rPr>
              <w:t>£m</w:t>
            </w:r>
          </w:p>
        </w:tc>
        <w:tc>
          <w:tcPr>
            <w:tcW w:w="1264" w:type="dxa"/>
            <w:tcBorders>
              <w:top w:val="nil"/>
              <w:left w:val="nil"/>
              <w:bottom w:val="single" w:sz="2" w:space="0" w:color="auto"/>
              <w:right w:val="nil"/>
            </w:tcBorders>
            <w:shd w:val="clear" w:color="auto" w:fill="auto"/>
            <w:vAlign w:val="bottom"/>
          </w:tcPr>
          <w:p w14:paraId="0E527703" w14:textId="77777777" w:rsidR="003E307B" w:rsidRPr="00F55D04" w:rsidRDefault="003E307B" w:rsidP="00773F7B">
            <w:pPr>
              <w:pStyle w:val="T2"/>
              <w:jc w:val="right"/>
            </w:pPr>
            <w:r w:rsidRPr="00F55D04">
              <w:t>£m</w:t>
            </w:r>
          </w:p>
        </w:tc>
        <w:tc>
          <w:tcPr>
            <w:tcW w:w="1134" w:type="dxa"/>
            <w:tcBorders>
              <w:top w:val="nil"/>
              <w:left w:val="nil"/>
              <w:bottom w:val="single" w:sz="2" w:space="0" w:color="auto"/>
              <w:right w:val="nil"/>
            </w:tcBorders>
            <w:shd w:val="clear" w:color="auto" w:fill="auto"/>
            <w:vAlign w:val="bottom"/>
          </w:tcPr>
          <w:p w14:paraId="0CAC7054" w14:textId="77777777" w:rsidR="003E307B" w:rsidRPr="00F55D04" w:rsidRDefault="003E307B" w:rsidP="00773F7B">
            <w:pPr>
              <w:pStyle w:val="T2"/>
              <w:jc w:val="right"/>
            </w:pPr>
            <w:r w:rsidRPr="00F55D04">
              <w:t>£m</w:t>
            </w:r>
          </w:p>
        </w:tc>
        <w:tc>
          <w:tcPr>
            <w:tcW w:w="859" w:type="dxa"/>
            <w:tcBorders>
              <w:top w:val="nil"/>
              <w:left w:val="nil"/>
              <w:bottom w:val="single" w:sz="2" w:space="0" w:color="auto"/>
              <w:right w:val="nil"/>
            </w:tcBorders>
            <w:shd w:val="clear" w:color="auto" w:fill="auto"/>
            <w:vAlign w:val="bottom"/>
          </w:tcPr>
          <w:p w14:paraId="4E5E0FDF" w14:textId="77777777" w:rsidR="003E307B" w:rsidRPr="00F55D04" w:rsidRDefault="003E307B" w:rsidP="00773F7B">
            <w:pPr>
              <w:pStyle w:val="T2"/>
              <w:jc w:val="right"/>
            </w:pPr>
            <w:r w:rsidRPr="00F55D04">
              <w:t>£m</w:t>
            </w:r>
          </w:p>
        </w:tc>
      </w:tr>
      <w:tr w:rsidR="00EE1554" w:rsidRPr="00CD4C0F" w14:paraId="42C44A5A" w14:textId="77777777" w:rsidTr="00BC5FF0">
        <w:trPr>
          <w:jc w:val="center"/>
        </w:trPr>
        <w:tc>
          <w:tcPr>
            <w:tcW w:w="3686" w:type="dxa"/>
            <w:tcBorders>
              <w:top w:val="single" w:sz="2" w:space="0" w:color="auto"/>
              <w:left w:val="nil"/>
              <w:bottom w:val="nil"/>
              <w:right w:val="nil"/>
            </w:tcBorders>
            <w:vAlign w:val="bottom"/>
          </w:tcPr>
          <w:p w14:paraId="02012362" w14:textId="77777777" w:rsidR="00EE1554" w:rsidRPr="00C65534" w:rsidRDefault="00EE1554" w:rsidP="00EE1554">
            <w:pPr>
              <w:pStyle w:val="T2"/>
              <w:jc w:val="left"/>
            </w:pPr>
            <w:r w:rsidRPr="00C65534">
              <w:t>Revenue</w:t>
            </w:r>
          </w:p>
        </w:tc>
        <w:tc>
          <w:tcPr>
            <w:tcW w:w="425" w:type="dxa"/>
            <w:tcBorders>
              <w:top w:val="single" w:sz="2" w:space="0" w:color="auto"/>
              <w:left w:val="nil"/>
              <w:bottom w:val="nil"/>
              <w:right w:val="nil"/>
            </w:tcBorders>
            <w:vAlign w:val="bottom"/>
          </w:tcPr>
          <w:p w14:paraId="00B708C6" w14:textId="77777777" w:rsidR="00EE1554" w:rsidRPr="00CD4C0F" w:rsidRDefault="00EE1554" w:rsidP="00EE1554">
            <w:pPr>
              <w:pStyle w:val="T2"/>
              <w:jc w:val="right"/>
            </w:pPr>
            <w:r>
              <w:t>2</w:t>
            </w:r>
          </w:p>
        </w:tc>
        <w:tc>
          <w:tcPr>
            <w:tcW w:w="1134" w:type="dxa"/>
            <w:tcBorders>
              <w:top w:val="single" w:sz="2" w:space="0" w:color="auto"/>
              <w:left w:val="nil"/>
              <w:bottom w:val="nil"/>
              <w:right w:val="nil"/>
            </w:tcBorders>
          </w:tcPr>
          <w:p w14:paraId="08D840D1" w14:textId="53BD5794" w:rsidR="00EE1554" w:rsidRPr="00A31437" w:rsidRDefault="005F5BB6" w:rsidP="00EE1554">
            <w:pPr>
              <w:pStyle w:val="T2"/>
              <w:jc w:val="right"/>
              <w:rPr>
                <w:b/>
              </w:rPr>
            </w:pPr>
            <w:r>
              <w:rPr>
                <w:b/>
                <w:bCs/>
              </w:rPr>
              <w:t>770.8</w:t>
            </w:r>
          </w:p>
        </w:tc>
        <w:tc>
          <w:tcPr>
            <w:tcW w:w="1134" w:type="dxa"/>
            <w:tcBorders>
              <w:top w:val="single" w:sz="2" w:space="0" w:color="auto"/>
              <w:left w:val="nil"/>
              <w:bottom w:val="nil"/>
              <w:right w:val="nil"/>
            </w:tcBorders>
          </w:tcPr>
          <w:p w14:paraId="6B3B54D4" w14:textId="67A5973E" w:rsidR="00EE1554" w:rsidRPr="00681334" w:rsidRDefault="00EE1554" w:rsidP="00EE1554">
            <w:pPr>
              <w:pStyle w:val="T2"/>
              <w:jc w:val="right"/>
              <w:rPr>
                <w:b/>
              </w:rPr>
            </w:pPr>
            <w:r w:rsidRPr="00D222FE">
              <w:rPr>
                <w:b/>
                <w:bCs/>
              </w:rPr>
              <w:t>–</w:t>
            </w:r>
          </w:p>
        </w:tc>
        <w:tc>
          <w:tcPr>
            <w:tcW w:w="851" w:type="dxa"/>
            <w:tcBorders>
              <w:top w:val="single" w:sz="2" w:space="0" w:color="auto"/>
              <w:left w:val="nil"/>
              <w:bottom w:val="nil"/>
              <w:right w:val="nil"/>
            </w:tcBorders>
          </w:tcPr>
          <w:p w14:paraId="5E323DF5" w14:textId="3DE3C869" w:rsidR="00EE1554" w:rsidRPr="00A31437" w:rsidRDefault="005F5BB6" w:rsidP="00EE1554">
            <w:pPr>
              <w:pStyle w:val="T2"/>
              <w:jc w:val="right"/>
              <w:rPr>
                <w:b/>
              </w:rPr>
            </w:pPr>
            <w:r>
              <w:rPr>
                <w:b/>
                <w:bCs/>
              </w:rPr>
              <w:t>770.8</w:t>
            </w:r>
          </w:p>
        </w:tc>
        <w:tc>
          <w:tcPr>
            <w:tcW w:w="1264" w:type="dxa"/>
            <w:tcBorders>
              <w:top w:val="single" w:sz="2" w:space="0" w:color="auto"/>
              <w:left w:val="nil"/>
              <w:bottom w:val="nil"/>
              <w:right w:val="nil"/>
            </w:tcBorders>
            <w:vAlign w:val="bottom"/>
          </w:tcPr>
          <w:p w14:paraId="487FD677" w14:textId="798B8062" w:rsidR="00EE1554" w:rsidRPr="00006931" w:rsidRDefault="00EE1554" w:rsidP="00EE1554">
            <w:pPr>
              <w:pStyle w:val="T2"/>
              <w:jc w:val="right"/>
              <w:rPr>
                <w:bCs/>
              </w:rPr>
            </w:pPr>
            <w:r>
              <w:rPr>
                <w:bCs/>
              </w:rPr>
              <w:t>577.1</w:t>
            </w:r>
          </w:p>
        </w:tc>
        <w:tc>
          <w:tcPr>
            <w:tcW w:w="1134" w:type="dxa"/>
            <w:tcBorders>
              <w:top w:val="single" w:sz="2" w:space="0" w:color="auto"/>
              <w:left w:val="nil"/>
              <w:bottom w:val="nil"/>
              <w:right w:val="nil"/>
            </w:tcBorders>
            <w:vAlign w:val="bottom"/>
          </w:tcPr>
          <w:p w14:paraId="6B5373BC" w14:textId="5471B632" w:rsidR="00EE1554" w:rsidRPr="008A4891" w:rsidRDefault="00EE1554" w:rsidP="00EE1554">
            <w:pPr>
              <w:pStyle w:val="T2"/>
              <w:jc w:val="right"/>
            </w:pPr>
            <w:r w:rsidRPr="008A4891">
              <w:t>–</w:t>
            </w:r>
          </w:p>
        </w:tc>
        <w:tc>
          <w:tcPr>
            <w:tcW w:w="859" w:type="dxa"/>
            <w:tcBorders>
              <w:top w:val="single" w:sz="2" w:space="0" w:color="auto"/>
              <w:left w:val="nil"/>
              <w:bottom w:val="nil"/>
              <w:right w:val="nil"/>
            </w:tcBorders>
          </w:tcPr>
          <w:p w14:paraId="7B8BF1B3" w14:textId="580DC890" w:rsidR="00EE1554" w:rsidRPr="008A4891" w:rsidRDefault="00EE1554" w:rsidP="00EE1554">
            <w:pPr>
              <w:pStyle w:val="T2"/>
              <w:jc w:val="right"/>
            </w:pPr>
            <w:r w:rsidRPr="008A4891">
              <w:t>577.1</w:t>
            </w:r>
          </w:p>
        </w:tc>
      </w:tr>
      <w:tr w:rsidR="00EE1554" w14:paraId="7ABE84C5" w14:textId="77777777" w:rsidTr="008F357E">
        <w:trPr>
          <w:jc w:val="center"/>
        </w:trPr>
        <w:tc>
          <w:tcPr>
            <w:tcW w:w="3686" w:type="dxa"/>
            <w:tcBorders>
              <w:top w:val="nil"/>
              <w:left w:val="nil"/>
              <w:bottom w:val="single" w:sz="2" w:space="0" w:color="auto"/>
              <w:right w:val="nil"/>
            </w:tcBorders>
            <w:vAlign w:val="bottom"/>
          </w:tcPr>
          <w:p w14:paraId="7F652EF1" w14:textId="77777777" w:rsidR="00EE1554" w:rsidRPr="00C65534" w:rsidRDefault="00EE1554" w:rsidP="00EE1554">
            <w:pPr>
              <w:pStyle w:val="T2"/>
              <w:jc w:val="left"/>
            </w:pPr>
            <w:r w:rsidRPr="00C65534">
              <w:t>Cost of sales</w:t>
            </w:r>
          </w:p>
        </w:tc>
        <w:tc>
          <w:tcPr>
            <w:tcW w:w="425" w:type="dxa"/>
            <w:tcBorders>
              <w:top w:val="nil"/>
              <w:left w:val="nil"/>
              <w:bottom w:val="single" w:sz="2" w:space="0" w:color="auto"/>
              <w:right w:val="nil"/>
            </w:tcBorders>
            <w:vAlign w:val="bottom"/>
          </w:tcPr>
          <w:p w14:paraId="67C6C1FE" w14:textId="77777777" w:rsidR="00EE1554" w:rsidRPr="00E8718C" w:rsidRDefault="00EE1554" w:rsidP="00EE1554">
            <w:pPr>
              <w:jc w:val="right"/>
              <w:rPr>
                <w:sz w:val="18"/>
                <w:szCs w:val="18"/>
              </w:rPr>
            </w:pPr>
          </w:p>
        </w:tc>
        <w:tc>
          <w:tcPr>
            <w:tcW w:w="1134" w:type="dxa"/>
            <w:tcBorders>
              <w:top w:val="nil"/>
              <w:left w:val="nil"/>
              <w:bottom w:val="single" w:sz="2" w:space="0" w:color="auto"/>
              <w:right w:val="nil"/>
            </w:tcBorders>
          </w:tcPr>
          <w:p w14:paraId="4F0D2396" w14:textId="1804FF47" w:rsidR="00EE1554" w:rsidRPr="00A31437" w:rsidRDefault="005F5BB6" w:rsidP="00EE1554">
            <w:pPr>
              <w:pStyle w:val="T2"/>
              <w:jc w:val="right"/>
              <w:rPr>
                <w:b/>
              </w:rPr>
            </w:pPr>
            <w:r>
              <w:rPr>
                <w:b/>
                <w:bCs/>
              </w:rPr>
              <w:t>(540.3)</w:t>
            </w:r>
          </w:p>
        </w:tc>
        <w:tc>
          <w:tcPr>
            <w:tcW w:w="1134" w:type="dxa"/>
            <w:tcBorders>
              <w:top w:val="nil"/>
              <w:left w:val="nil"/>
              <w:bottom w:val="single" w:sz="2" w:space="0" w:color="auto"/>
              <w:right w:val="nil"/>
            </w:tcBorders>
          </w:tcPr>
          <w:p w14:paraId="461B0410" w14:textId="09971AF2" w:rsidR="00EE1554" w:rsidRPr="00681334" w:rsidRDefault="00EE1554" w:rsidP="00EE1554">
            <w:pPr>
              <w:pStyle w:val="T2"/>
              <w:jc w:val="right"/>
              <w:rPr>
                <w:b/>
              </w:rPr>
            </w:pPr>
            <w:r w:rsidRPr="00D222FE">
              <w:rPr>
                <w:b/>
                <w:bCs/>
              </w:rPr>
              <w:t>–</w:t>
            </w:r>
          </w:p>
        </w:tc>
        <w:tc>
          <w:tcPr>
            <w:tcW w:w="851" w:type="dxa"/>
            <w:tcBorders>
              <w:top w:val="nil"/>
              <w:left w:val="nil"/>
              <w:bottom w:val="single" w:sz="2" w:space="0" w:color="auto"/>
              <w:right w:val="nil"/>
            </w:tcBorders>
          </w:tcPr>
          <w:p w14:paraId="1577BA19" w14:textId="2A33949D" w:rsidR="00EE1554" w:rsidRPr="00A31437" w:rsidRDefault="005F5BB6" w:rsidP="00EE1554">
            <w:pPr>
              <w:pStyle w:val="T2"/>
              <w:jc w:val="right"/>
              <w:rPr>
                <w:b/>
              </w:rPr>
            </w:pPr>
            <w:r>
              <w:rPr>
                <w:b/>
                <w:bCs/>
              </w:rPr>
              <w:t>(540.3)</w:t>
            </w:r>
          </w:p>
        </w:tc>
        <w:tc>
          <w:tcPr>
            <w:tcW w:w="1264" w:type="dxa"/>
            <w:tcBorders>
              <w:top w:val="nil"/>
              <w:left w:val="nil"/>
              <w:bottom w:val="single" w:sz="2" w:space="0" w:color="auto"/>
              <w:right w:val="nil"/>
            </w:tcBorders>
            <w:vAlign w:val="bottom"/>
          </w:tcPr>
          <w:p w14:paraId="2D2B1438" w14:textId="2D5CE6A5" w:rsidR="00EE1554" w:rsidRPr="00006931" w:rsidRDefault="00EE1554" w:rsidP="00EE1554">
            <w:pPr>
              <w:pStyle w:val="T2"/>
              <w:jc w:val="right"/>
              <w:rPr>
                <w:bCs/>
              </w:rPr>
            </w:pPr>
            <w:r>
              <w:rPr>
                <w:bCs/>
              </w:rPr>
              <w:t>(393.0)</w:t>
            </w:r>
          </w:p>
        </w:tc>
        <w:tc>
          <w:tcPr>
            <w:tcW w:w="1134" w:type="dxa"/>
            <w:tcBorders>
              <w:top w:val="nil"/>
              <w:left w:val="nil"/>
              <w:bottom w:val="single" w:sz="2" w:space="0" w:color="auto"/>
              <w:right w:val="nil"/>
            </w:tcBorders>
            <w:vAlign w:val="bottom"/>
          </w:tcPr>
          <w:p w14:paraId="68B37897" w14:textId="296782D1" w:rsidR="00EE1554" w:rsidRPr="008A4891" w:rsidRDefault="00EE1554" w:rsidP="00EE1554">
            <w:pPr>
              <w:pStyle w:val="T2"/>
              <w:jc w:val="right"/>
            </w:pPr>
            <w:r w:rsidRPr="008A4891">
              <w:t>–</w:t>
            </w:r>
          </w:p>
        </w:tc>
        <w:tc>
          <w:tcPr>
            <w:tcW w:w="859" w:type="dxa"/>
            <w:tcBorders>
              <w:top w:val="nil"/>
              <w:left w:val="nil"/>
              <w:bottom w:val="single" w:sz="2" w:space="0" w:color="auto"/>
              <w:right w:val="nil"/>
            </w:tcBorders>
          </w:tcPr>
          <w:p w14:paraId="4826274D" w14:textId="23D41195" w:rsidR="00EE1554" w:rsidRPr="008A4891" w:rsidRDefault="00EE1554" w:rsidP="00EE1554">
            <w:pPr>
              <w:pStyle w:val="T2"/>
              <w:jc w:val="right"/>
            </w:pPr>
            <w:r w:rsidRPr="008A4891">
              <w:t>(393.0)</w:t>
            </w:r>
          </w:p>
        </w:tc>
      </w:tr>
      <w:tr w:rsidR="00EE1554" w14:paraId="06ED48B1" w14:textId="77777777" w:rsidTr="004B6C20">
        <w:trPr>
          <w:jc w:val="center"/>
        </w:trPr>
        <w:tc>
          <w:tcPr>
            <w:tcW w:w="3686" w:type="dxa"/>
            <w:tcBorders>
              <w:top w:val="single" w:sz="2" w:space="0" w:color="auto"/>
              <w:left w:val="nil"/>
              <w:bottom w:val="nil"/>
              <w:right w:val="nil"/>
            </w:tcBorders>
            <w:vAlign w:val="bottom"/>
          </w:tcPr>
          <w:p w14:paraId="79F86490" w14:textId="77777777" w:rsidR="00EE1554" w:rsidRPr="00323878" w:rsidRDefault="00EE1554" w:rsidP="00EE1554">
            <w:pPr>
              <w:pStyle w:val="T2"/>
              <w:jc w:val="left"/>
              <w:rPr>
                <w:b/>
              </w:rPr>
            </w:pPr>
            <w:r w:rsidRPr="00323878">
              <w:rPr>
                <w:b/>
              </w:rPr>
              <w:t>Gross profit</w:t>
            </w:r>
          </w:p>
        </w:tc>
        <w:tc>
          <w:tcPr>
            <w:tcW w:w="425" w:type="dxa"/>
            <w:tcBorders>
              <w:top w:val="single" w:sz="2" w:space="0" w:color="auto"/>
              <w:left w:val="nil"/>
              <w:bottom w:val="nil"/>
              <w:right w:val="nil"/>
            </w:tcBorders>
            <w:vAlign w:val="bottom"/>
          </w:tcPr>
          <w:p w14:paraId="4936D0D6" w14:textId="77777777" w:rsidR="00EE1554" w:rsidRPr="00E8718C" w:rsidRDefault="00EE1554" w:rsidP="00EE1554">
            <w:pPr>
              <w:jc w:val="right"/>
              <w:rPr>
                <w:sz w:val="18"/>
                <w:szCs w:val="18"/>
              </w:rPr>
            </w:pPr>
          </w:p>
        </w:tc>
        <w:tc>
          <w:tcPr>
            <w:tcW w:w="1134" w:type="dxa"/>
            <w:tcBorders>
              <w:top w:val="single" w:sz="2" w:space="0" w:color="auto"/>
              <w:left w:val="nil"/>
              <w:bottom w:val="nil"/>
              <w:right w:val="nil"/>
            </w:tcBorders>
          </w:tcPr>
          <w:p w14:paraId="56F68A91" w14:textId="3428586C" w:rsidR="00EE1554" w:rsidRPr="00A31437" w:rsidRDefault="005F5BB6" w:rsidP="00EE1554">
            <w:pPr>
              <w:pStyle w:val="T2"/>
              <w:jc w:val="right"/>
              <w:rPr>
                <w:b/>
              </w:rPr>
            </w:pPr>
            <w:r>
              <w:rPr>
                <w:b/>
                <w:bCs/>
              </w:rPr>
              <w:t>230.5</w:t>
            </w:r>
          </w:p>
        </w:tc>
        <w:tc>
          <w:tcPr>
            <w:tcW w:w="1134" w:type="dxa"/>
            <w:tcBorders>
              <w:top w:val="single" w:sz="2" w:space="0" w:color="auto"/>
              <w:left w:val="nil"/>
              <w:bottom w:val="nil"/>
              <w:right w:val="nil"/>
            </w:tcBorders>
          </w:tcPr>
          <w:p w14:paraId="4B2EBAEF" w14:textId="3F4D7181" w:rsidR="00EE1554" w:rsidRPr="00681334" w:rsidRDefault="00EE1554" w:rsidP="00EE1554">
            <w:pPr>
              <w:pStyle w:val="T2"/>
              <w:jc w:val="right"/>
              <w:rPr>
                <w:b/>
              </w:rPr>
            </w:pPr>
            <w:r w:rsidRPr="00D222FE">
              <w:rPr>
                <w:b/>
                <w:bCs/>
              </w:rPr>
              <w:t>–</w:t>
            </w:r>
          </w:p>
        </w:tc>
        <w:tc>
          <w:tcPr>
            <w:tcW w:w="851" w:type="dxa"/>
            <w:tcBorders>
              <w:top w:val="single" w:sz="2" w:space="0" w:color="auto"/>
              <w:left w:val="nil"/>
              <w:bottom w:val="nil"/>
              <w:right w:val="nil"/>
            </w:tcBorders>
          </w:tcPr>
          <w:p w14:paraId="5AC64FFE" w14:textId="365DDA66" w:rsidR="00EE1554" w:rsidRPr="00A31437" w:rsidRDefault="005F5BB6" w:rsidP="00EE1554">
            <w:pPr>
              <w:pStyle w:val="T2"/>
              <w:jc w:val="right"/>
              <w:rPr>
                <w:b/>
              </w:rPr>
            </w:pPr>
            <w:r>
              <w:rPr>
                <w:b/>
                <w:bCs/>
              </w:rPr>
              <w:t>230.5</w:t>
            </w:r>
          </w:p>
        </w:tc>
        <w:tc>
          <w:tcPr>
            <w:tcW w:w="1264" w:type="dxa"/>
            <w:tcBorders>
              <w:top w:val="single" w:sz="2" w:space="0" w:color="auto"/>
              <w:left w:val="nil"/>
              <w:bottom w:val="nil"/>
              <w:right w:val="nil"/>
            </w:tcBorders>
            <w:vAlign w:val="bottom"/>
          </w:tcPr>
          <w:p w14:paraId="04F7B611" w14:textId="3BD37DF9" w:rsidR="00EE1554" w:rsidRPr="00006931" w:rsidRDefault="00EE1554" w:rsidP="00EE1554">
            <w:pPr>
              <w:pStyle w:val="T2"/>
              <w:jc w:val="right"/>
              <w:rPr>
                <w:bCs/>
              </w:rPr>
            </w:pPr>
            <w:r>
              <w:rPr>
                <w:bCs/>
              </w:rPr>
              <w:t>184.1</w:t>
            </w:r>
          </w:p>
        </w:tc>
        <w:tc>
          <w:tcPr>
            <w:tcW w:w="1134" w:type="dxa"/>
            <w:tcBorders>
              <w:top w:val="single" w:sz="2" w:space="0" w:color="auto"/>
              <w:left w:val="nil"/>
              <w:bottom w:val="nil"/>
              <w:right w:val="nil"/>
            </w:tcBorders>
            <w:vAlign w:val="bottom"/>
          </w:tcPr>
          <w:p w14:paraId="2E106825" w14:textId="03125FED" w:rsidR="00EE1554" w:rsidRPr="008A4891" w:rsidRDefault="00EE1554" w:rsidP="00EE1554">
            <w:pPr>
              <w:pStyle w:val="T2"/>
              <w:jc w:val="right"/>
            </w:pPr>
            <w:r w:rsidRPr="008A4891">
              <w:t>–</w:t>
            </w:r>
          </w:p>
        </w:tc>
        <w:tc>
          <w:tcPr>
            <w:tcW w:w="859" w:type="dxa"/>
            <w:tcBorders>
              <w:top w:val="single" w:sz="2" w:space="0" w:color="auto"/>
              <w:left w:val="nil"/>
              <w:bottom w:val="nil"/>
              <w:right w:val="nil"/>
            </w:tcBorders>
          </w:tcPr>
          <w:p w14:paraId="46780F3C" w14:textId="19B34FBB" w:rsidR="00EE1554" w:rsidRPr="008A4891" w:rsidRDefault="00EE1554" w:rsidP="00EE1554">
            <w:pPr>
              <w:pStyle w:val="T2"/>
              <w:jc w:val="right"/>
            </w:pPr>
            <w:r w:rsidRPr="008A4891">
              <w:t>184.1</w:t>
            </w:r>
          </w:p>
        </w:tc>
      </w:tr>
      <w:tr w:rsidR="00EE1554" w14:paraId="08ABC658" w14:textId="77777777" w:rsidTr="004B6C20">
        <w:trPr>
          <w:jc w:val="center"/>
        </w:trPr>
        <w:tc>
          <w:tcPr>
            <w:tcW w:w="3686" w:type="dxa"/>
            <w:tcBorders>
              <w:top w:val="nil"/>
              <w:left w:val="nil"/>
              <w:bottom w:val="nil"/>
              <w:right w:val="nil"/>
            </w:tcBorders>
            <w:vAlign w:val="bottom"/>
          </w:tcPr>
          <w:p w14:paraId="580A643F" w14:textId="77777777" w:rsidR="00EE1554" w:rsidRPr="00C65534" w:rsidRDefault="00EE1554" w:rsidP="00EE1554">
            <w:pPr>
              <w:pStyle w:val="T2"/>
              <w:jc w:val="left"/>
            </w:pPr>
            <w:r w:rsidRPr="00C65534">
              <w:t>Operating costs, net</w:t>
            </w:r>
          </w:p>
        </w:tc>
        <w:tc>
          <w:tcPr>
            <w:tcW w:w="425" w:type="dxa"/>
            <w:tcBorders>
              <w:top w:val="nil"/>
              <w:left w:val="nil"/>
              <w:bottom w:val="nil"/>
              <w:right w:val="nil"/>
            </w:tcBorders>
            <w:vAlign w:val="bottom"/>
          </w:tcPr>
          <w:p w14:paraId="21B4BCB3" w14:textId="1AB99684" w:rsidR="00EE1554" w:rsidRPr="00E8718C" w:rsidRDefault="00E75614" w:rsidP="00EE1554">
            <w:pPr>
              <w:jc w:val="right"/>
              <w:rPr>
                <w:sz w:val="18"/>
                <w:szCs w:val="18"/>
              </w:rPr>
            </w:pPr>
            <w:r>
              <w:rPr>
                <w:sz w:val="18"/>
                <w:szCs w:val="18"/>
              </w:rPr>
              <w:t>4</w:t>
            </w:r>
          </w:p>
        </w:tc>
        <w:tc>
          <w:tcPr>
            <w:tcW w:w="1134" w:type="dxa"/>
            <w:tcBorders>
              <w:top w:val="nil"/>
              <w:left w:val="nil"/>
              <w:bottom w:val="nil"/>
              <w:right w:val="nil"/>
            </w:tcBorders>
          </w:tcPr>
          <w:p w14:paraId="2DB7E383" w14:textId="2852D85E" w:rsidR="00EE1554" w:rsidRPr="00A31437" w:rsidRDefault="005F5BB6" w:rsidP="00EE1554">
            <w:pPr>
              <w:pStyle w:val="T2"/>
              <w:jc w:val="right"/>
              <w:rPr>
                <w:b/>
              </w:rPr>
            </w:pPr>
            <w:r>
              <w:rPr>
                <w:b/>
                <w:bCs/>
              </w:rPr>
              <w:t>(21</w:t>
            </w:r>
            <w:r w:rsidR="00495B16">
              <w:rPr>
                <w:b/>
                <w:bCs/>
              </w:rPr>
              <w:t>2.4</w:t>
            </w:r>
            <w:r>
              <w:rPr>
                <w:b/>
                <w:bCs/>
              </w:rPr>
              <w:t>)</w:t>
            </w:r>
          </w:p>
        </w:tc>
        <w:tc>
          <w:tcPr>
            <w:tcW w:w="1134" w:type="dxa"/>
            <w:tcBorders>
              <w:top w:val="nil"/>
              <w:left w:val="nil"/>
              <w:bottom w:val="nil"/>
              <w:right w:val="nil"/>
            </w:tcBorders>
          </w:tcPr>
          <w:p w14:paraId="029FF32F" w14:textId="44099A86" w:rsidR="00EE1554" w:rsidRPr="00A31437" w:rsidRDefault="005F5BB6" w:rsidP="00EE1554">
            <w:pPr>
              <w:pStyle w:val="T2"/>
              <w:jc w:val="right"/>
              <w:rPr>
                <w:b/>
              </w:rPr>
            </w:pPr>
            <w:r>
              <w:rPr>
                <w:b/>
                <w:bCs/>
              </w:rPr>
              <w:t>(8.0)</w:t>
            </w:r>
          </w:p>
        </w:tc>
        <w:tc>
          <w:tcPr>
            <w:tcW w:w="851" w:type="dxa"/>
            <w:tcBorders>
              <w:top w:val="nil"/>
              <w:left w:val="nil"/>
              <w:bottom w:val="nil"/>
              <w:right w:val="nil"/>
            </w:tcBorders>
          </w:tcPr>
          <w:p w14:paraId="4D40F657" w14:textId="0D4350FD" w:rsidR="00EE1554" w:rsidRPr="00A31437" w:rsidRDefault="005F5BB6" w:rsidP="00EE1554">
            <w:pPr>
              <w:pStyle w:val="T2"/>
              <w:jc w:val="right"/>
              <w:rPr>
                <w:b/>
              </w:rPr>
            </w:pPr>
            <w:r>
              <w:rPr>
                <w:b/>
                <w:bCs/>
              </w:rPr>
              <w:t>(22</w:t>
            </w:r>
            <w:r w:rsidR="00495B16">
              <w:rPr>
                <w:b/>
                <w:bCs/>
              </w:rPr>
              <w:t>0.4</w:t>
            </w:r>
            <w:r>
              <w:rPr>
                <w:b/>
                <w:bCs/>
              </w:rPr>
              <w:t>)</w:t>
            </w:r>
          </w:p>
        </w:tc>
        <w:tc>
          <w:tcPr>
            <w:tcW w:w="1264" w:type="dxa"/>
            <w:tcBorders>
              <w:top w:val="nil"/>
              <w:left w:val="nil"/>
              <w:bottom w:val="nil"/>
              <w:right w:val="nil"/>
            </w:tcBorders>
            <w:vAlign w:val="bottom"/>
          </w:tcPr>
          <w:p w14:paraId="50373E26" w14:textId="7B9C80F6" w:rsidR="00EE1554" w:rsidRPr="00006931" w:rsidRDefault="00EE1554" w:rsidP="00EE1554">
            <w:pPr>
              <w:pStyle w:val="T2"/>
              <w:jc w:val="right"/>
              <w:rPr>
                <w:bCs/>
              </w:rPr>
            </w:pPr>
            <w:r>
              <w:rPr>
                <w:bCs/>
              </w:rPr>
              <w:t>(183.9)</w:t>
            </w:r>
          </w:p>
        </w:tc>
        <w:tc>
          <w:tcPr>
            <w:tcW w:w="1134" w:type="dxa"/>
            <w:tcBorders>
              <w:top w:val="nil"/>
              <w:left w:val="nil"/>
              <w:bottom w:val="nil"/>
              <w:right w:val="nil"/>
            </w:tcBorders>
            <w:vAlign w:val="bottom"/>
          </w:tcPr>
          <w:p w14:paraId="725820C7" w14:textId="72F6ABF6" w:rsidR="00EE1554" w:rsidRPr="008A4891" w:rsidRDefault="00EE1554" w:rsidP="00EE1554">
            <w:pPr>
              <w:pStyle w:val="T2"/>
              <w:jc w:val="right"/>
            </w:pPr>
            <w:r w:rsidRPr="008A4891">
              <w:t>5.7</w:t>
            </w:r>
            <w:r w:rsidRPr="008A4891" w:rsidDel="00FB1D54">
              <w:t xml:space="preserve"> </w:t>
            </w:r>
          </w:p>
        </w:tc>
        <w:tc>
          <w:tcPr>
            <w:tcW w:w="859" w:type="dxa"/>
            <w:tcBorders>
              <w:top w:val="nil"/>
              <w:left w:val="nil"/>
              <w:bottom w:val="nil"/>
              <w:right w:val="nil"/>
            </w:tcBorders>
          </w:tcPr>
          <w:p w14:paraId="39EE5E7D" w14:textId="0F06812B" w:rsidR="00EE1554" w:rsidRPr="008A4891" w:rsidRDefault="00EE1554" w:rsidP="00EE1554">
            <w:pPr>
              <w:pStyle w:val="T2"/>
              <w:jc w:val="right"/>
            </w:pPr>
            <w:r w:rsidRPr="008A4891">
              <w:t>(178.2)</w:t>
            </w:r>
          </w:p>
        </w:tc>
      </w:tr>
      <w:tr w:rsidR="00495B16" w14:paraId="0CE39A9D" w14:textId="77777777" w:rsidTr="008F357E">
        <w:trPr>
          <w:jc w:val="center"/>
        </w:trPr>
        <w:tc>
          <w:tcPr>
            <w:tcW w:w="3686" w:type="dxa"/>
            <w:tcBorders>
              <w:top w:val="nil"/>
              <w:left w:val="nil"/>
              <w:bottom w:val="single" w:sz="2" w:space="0" w:color="auto"/>
              <w:right w:val="nil"/>
            </w:tcBorders>
            <w:vAlign w:val="bottom"/>
          </w:tcPr>
          <w:p w14:paraId="5E07D140" w14:textId="28AD3A97" w:rsidR="00495B16" w:rsidRPr="00C65534" w:rsidRDefault="00495B16" w:rsidP="00EE1554">
            <w:pPr>
              <w:pStyle w:val="T2"/>
              <w:jc w:val="left"/>
            </w:pPr>
            <w:r>
              <w:t>Impairment of trade receivables</w:t>
            </w:r>
          </w:p>
        </w:tc>
        <w:tc>
          <w:tcPr>
            <w:tcW w:w="425" w:type="dxa"/>
            <w:tcBorders>
              <w:top w:val="nil"/>
              <w:left w:val="nil"/>
              <w:bottom w:val="single" w:sz="2" w:space="0" w:color="auto"/>
              <w:right w:val="nil"/>
            </w:tcBorders>
            <w:vAlign w:val="bottom"/>
          </w:tcPr>
          <w:p w14:paraId="6CF3771D" w14:textId="77777777" w:rsidR="00495B16" w:rsidRPr="00E8718C" w:rsidRDefault="00495B16" w:rsidP="00EE1554">
            <w:pPr>
              <w:jc w:val="right"/>
              <w:rPr>
                <w:sz w:val="18"/>
                <w:szCs w:val="18"/>
              </w:rPr>
            </w:pPr>
          </w:p>
        </w:tc>
        <w:tc>
          <w:tcPr>
            <w:tcW w:w="1134" w:type="dxa"/>
            <w:tcBorders>
              <w:top w:val="nil"/>
              <w:left w:val="nil"/>
              <w:bottom w:val="single" w:sz="2" w:space="0" w:color="auto"/>
              <w:right w:val="nil"/>
            </w:tcBorders>
          </w:tcPr>
          <w:p w14:paraId="532D7ED5" w14:textId="4F979869" w:rsidR="00495B16" w:rsidRDefault="00495B16" w:rsidP="00EE1554">
            <w:pPr>
              <w:pStyle w:val="T2"/>
              <w:jc w:val="right"/>
              <w:rPr>
                <w:b/>
                <w:bCs/>
              </w:rPr>
            </w:pPr>
            <w:r>
              <w:rPr>
                <w:b/>
                <w:bCs/>
              </w:rPr>
              <w:t>(0.9)</w:t>
            </w:r>
          </w:p>
        </w:tc>
        <w:tc>
          <w:tcPr>
            <w:tcW w:w="1134" w:type="dxa"/>
            <w:tcBorders>
              <w:top w:val="nil"/>
              <w:left w:val="nil"/>
              <w:bottom w:val="single" w:sz="2" w:space="0" w:color="auto"/>
              <w:right w:val="nil"/>
            </w:tcBorders>
          </w:tcPr>
          <w:p w14:paraId="13678F6B" w14:textId="3989C6CA" w:rsidR="00495B16" w:rsidRDefault="00495B16" w:rsidP="00EE1554">
            <w:pPr>
              <w:pStyle w:val="T2"/>
              <w:jc w:val="right"/>
              <w:rPr>
                <w:b/>
                <w:bCs/>
              </w:rPr>
            </w:pPr>
            <w:r w:rsidRPr="00D222FE">
              <w:rPr>
                <w:b/>
                <w:bCs/>
              </w:rPr>
              <w:t>–</w:t>
            </w:r>
          </w:p>
        </w:tc>
        <w:tc>
          <w:tcPr>
            <w:tcW w:w="851" w:type="dxa"/>
            <w:tcBorders>
              <w:top w:val="nil"/>
              <w:left w:val="nil"/>
              <w:bottom w:val="single" w:sz="2" w:space="0" w:color="auto"/>
              <w:right w:val="nil"/>
            </w:tcBorders>
          </w:tcPr>
          <w:p w14:paraId="06F5ADC7" w14:textId="071BA9C1" w:rsidR="00495B16" w:rsidRDefault="00495B16">
            <w:pPr>
              <w:pStyle w:val="T2"/>
              <w:jc w:val="right"/>
              <w:rPr>
                <w:b/>
                <w:bCs/>
              </w:rPr>
            </w:pPr>
            <w:r>
              <w:rPr>
                <w:b/>
                <w:bCs/>
              </w:rPr>
              <w:t>(0.9)</w:t>
            </w:r>
          </w:p>
        </w:tc>
        <w:tc>
          <w:tcPr>
            <w:tcW w:w="1264" w:type="dxa"/>
            <w:tcBorders>
              <w:top w:val="nil"/>
              <w:left w:val="nil"/>
              <w:bottom w:val="single" w:sz="2" w:space="0" w:color="auto"/>
              <w:right w:val="nil"/>
            </w:tcBorders>
            <w:vAlign w:val="bottom"/>
          </w:tcPr>
          <w:p w14:paraId="1A185DB9" w14:textId="2E13A3A6" w:rsidR="00495B16" w:rsidRDefault="00495B16" w:rsidP="00EE1554">
            <w:pPr>
              <w:pStyle w:val="T2"/>
              <w:jc w:val="right"/>
              <w:rPr>
                <w:bCs/>
              </w:rPr>
            </w:pPr>
            <w:r w:rsidRPr="008A4891">
              <w:t>–</w:t>
            </w:r>
          </w:p>
        </w:tc>
        <w:tc>
          <w:tcPr>
            <w:tcW w:w="1134" w:type="dxa"/>
            <w:tcBorders>
              <w:top w:val="nil"/>
              <w:left w:val="nil"/>
              <w:bottom w:val="single" w:sz="2" w:space="0" w:color="auto"/>
              <w:right w:val="nil"/>
            </w:tcBorders>
            <w:vAlign w:val="bottom"/>
          </w:tcPr>
          <w:p w14:paraId="33D03F0D" w14:textId="4279E6CE" w:rsidR="00495B16" w:rsidRPr="008A4891" w:rsidRDefault="00495B16" w:rsidP="00EE1554">
            <w:pPr>
              <w:pStyle w:val="T2"/>
              <w:jc w:val="right"/>
            </w:pPr>
            <w:r w:rsidRPr="008A4891">
              <w:t>–</w:t>
            </w:r>
          </w:p>
        </w:tc>
        <w:tc>
          <w:tcPr>
            <w:tcW w:w="859" w:type="dxa"/>
            <w:tcBorders>
              <w:top w:val="nil"/>
              <w:left w:val="nil"/>
              <w:bottom w:val="single" w:sz="2" w:space="0" w:color="auto"/>
              <w:right w:val="nil"/>
            </w:tcBorders>
          </w:tcPr>
          <w:p w14:paraId="570F9C14" w14:textId="59983BF5" w:rsidR="00495B16" w:rsidRPr="008A4891" w:rsidRDefault="00495B16" w:rsidP="00EE1554">
            <w:pPr>
              <w:pStyle w:val="T2"/>
              <w:jc w:val="right"/>
            </w:pPr>
            <w:r w:rsidRPr="008A4891">
              <w:t>–</w:t>
            </w:r>
          </w:p>
        </w:tc>
      </w:tr>
      <w:tr w:rsidR="00EE1554" w14:paraId="57F8F949" w14:textId="77777777" w:rsidTr="005F5BB6">
        <w:trPr>
          <w:jc w:val="center"/>
        </w:trPr>
        <w:tc>
          <w:tcPr>
            <w:tcW w:w="3686" w:type="dxa"/>
            <w:tcBorders>
              <w:top w:val="single" w:sz="2" w:space="0" w:color="auto"/>
              <w:left w:val="nil"/>
              <w:bottom w:val="nil"/>
              <w:right w:val="nil"/>
            </w:tcBorders>
            <w:vAlign w:val="bottom"/>
          </w:tcPr>
          <w:p w14:paraId="40E4C4C8" w14:textId="77777777" w:rsidR="00EE1554" w:rsidRPr="00323878" w:rsidRDefault="00EE1554" w:rsidP="00EE1554">
            <w:pPr>
              <w:pStyle w:val="T2"/>
              <w:jc w:val="left"/>
              <w:rPr>
                <w:b/>
              </w:rPr>
            </w:pPr>
            <w:bookmarkStart w:id="14" w:name="_Hlk94525265"/>
            <w:r>
              <w:rPr>
                <w:b/>
              </w:rPr>
              <w:t>Group operating p</w:t>
            </w:r>
            <w:r w:rsidRPr="00323878">
              <w:rPr>
                <w:b/>
              </w:rPr>
              <w:t>rofit before acquisition related amortisation</w:t>
            </w:r>
          </w:p>
        </w:tc>
        <w:tc>
          <w:tcPr>
            <w:tcW w:w="425" w:type="dxa"/>
            <w:tcBorders>
              <w:top w:val="single" w:sz="2" w:space="0" w:color="auto"/>
              <w:left w:val="nil"/>
              <w:bottom w:val="nil"/>
              <w:right w:val="nil"/>
            </w:tcBorders>
            <w:vAlign w:val="bottom"/>
          </w:tcPr>
          <w:p w14:paraId="235E09F2" w14:textId="77777777" w:rsidR="00EE1554" w:rsidRPr="00E8718C" w:rsidRDefault="00EE1554" w:rsidP="00EE1554">
            <w:pPr>
              <w:jc w:val="right"/>
              <w:rPr>
                <w:sz w:val="18"/>
                <w:szCs w:val="18"/>
              </w:rPr>
            </w:pPr>
            <w:r>
              <w:rPr>
                <w:sz w:val="18"/>
                <w:szCs w:val="18"/>
              </w:rPr>
              <w:t>2</w:t>
            </w:r>
          </w:p>
        </w:tc>
        <w:tc>
          <w:tcPr>
            <w:tcW w:w="1134" w:type="dxa"/>
            <w:tcBorders>
              <w:top w:val="single" w:sz="2" w:space="0" w:color="auto"/>
              <w:left w:val="nil"/>
              <w:bottom w:val="nil"/>
              <w:right w:val="nil"/>
            </w:tcBorders>
            <w:vAlign w:val="bottom"/>
          </w:tcPr>
          <w:p w14:paraId="69B041DB" w14:textId="5B616203" w:rsidR="00EE1554" w:rsidRPr="00A31437" w:rsidRDefault="005F5BB6" w:rsidP="005F5BB6">
            <w:pPr>
              <w:pStyle w:val="T2"/>
              <w:jc w:val="right"/>
              <w:rPr>
                <w:b/>
              </w:rPr>
            </w:pPr>
            <w:r>
              <w:rPr>
                <w:b/>
                <w:bCs/>
              </w:rPr>
              <w:t>17.2</w:t>
            </w:r>
          </w:p>
        </w:tc>
        <w:tc>
          <w:tcPr>
            <w:tcW w:w="1134" w:type="dxa"/>
            <w:tcBorders>
              <w:top w:val="single" w:sz="2" w:space="0" w:color="auto"/>
              <w:left w:val="nil"/>
              <w:bottom w:val="nil"/>
              <w:right w:val="nil"/>
            </w:tcBorders>
            <w:vAlign w:val="bottom"/>
          </w:tcPr>
          <w:p w14:paraId="29DB7090" w14:textId="7B886DE4" w:rsidR="00EE1554" w:rsidRPr="00A31437" w:rsidRDefault="005F5BB6" w:rsidP="005F5BB6">
            <w:pPr>
              <w:pStyle w:val="T2"/>
              <w:jc w:val="right"/>
              <w:rPr>
                <w:b/>
              </w:rPr>
            </w:pPr>
            <w:r>
              <w:rPr>
                <w:b/>
                <w:bCs/>
              </w:rPr>
              <w:t>(8.0)</w:t>
            </w:r>
          </w:p>
        </w:tc>
        <w:tc>
          <w:tcPr>
            <w:tcW w:w="851" w:type="dxa"/>
            <w:tcBorders>
              <w:top w:val="single" w:sz="2" w:space="0" w:color="auto"/>
              <w:left w:val="nil"/>
              <w:bottom w:val="nil"/>
              <w:right w:val="nil"/>
            </w:tcBorders>
            <w:vAlign w:val="bottom"/>
          </w:tcPr>
          <w:p w14:paraId="6279FD68" w14:textId="4C4F42AC" w:rsidR="00EE1554" w:rsidRPr="00A31437" w:rsidRDefault="005F5BB6" w:rsidP="005F5BB6">
            <w:pPr>
              <w:pStyle w:val="T2"/>
              <w:jc w:val="right"/>
              <w:rPr>
                <w:b/>
              </w:rPr>
            </w:pPr>
            <w:r>
              <w:rPr>
                <w:b/>
                <w:bCs/>
              </w:rPr>
              <w:t>9.2</w:t>
            </w:r>
          </w:p>
        </w:tc>
        <w:tc>
          <w:tcPr>
            <w:tcW w:w="1264" w:type="dxa"/>
            <w:tcBorders>
              <w:top w:val="single" w:sz="2" w:space="0" w:color="auto"/>
              <w:left w:val="nil"/>
              <w:bottom w:val="nil"/>
              <w:right w:val="nil"/>
            </w:tcBorders>
            <w:vAlign w:val="bottom"/>
          </w:tcPr>
          <w:p w14:paraId="7CFB685A" w14:textId="16C5C132" w:rsidR="00EE1554" w:rsidRPr="008A4891" w:rsidRDefault="00EE1554" w:rsidP="00EE1554">
            <w:pPr>
              <w:pStyle w:val="T2"/>
              <w:jc w:val="right"/>
            </w:pPr>
            <w:r w:rsidRPr="008A4891">
              <w:t>0.2</w:t>
            </w:r>
          </w:p>
        </w:tc>
        <w:tc>
          <w:tcPr>
            <w:tcW w:w="1134" w:type="dxa"/>
            <w:tcBorders>
              <w:top w:val="single" w:sz="2" w:space="0" w:color="auto"/>
              <w:left w:val="nil"/>
              <w:bottom w:val="nil"/>
              <w:right w:val="nil"/>
            </w:tcBorders>
            <w:vAlign w:val="bottom"/>
          </w:tcPr>
          <w:p w14:paraId="53DF4246" w14:textId="7C2FE44B" w:rsidR="00EE1554" w:rsidRPr="008A4891" w:rsidRDefault="00EE1554" w:rsidP="00EE1554">
            <w:pPr>
              <w:pStyle w:val="T2"/>
              <w:jc w:val="right"/>
            </w:pPr>
            <w:r w:rsidRPr="008A4891">
              <w:t>5.7</w:t>
            </w:r>
          </w:p>
        </w:tc>
        <w:tc>
          <w:tcPr>
            <w:tcW w:w="859" w:type="dxa"/>
            <w:tcBorders>
              <w:top w:val="single" w:sz="2" w:space="0" w:color="auto"/>
              <w:left w:val="nil"/>
              <w:bottom w:val="nil"/>
              <w:right w:val="nil"/>
            </w:tcBorders>
            <w:vAlign w:val="bottom"/>
          </w:tcPr>
          <w:p w14:paraId="36FE61C1" w14:textId="079605FF" w:rsidR="00EE1554" w:rsidRPr="008A4891" w:rsidRDefault="00EE1554" w:rsidP="00EE1554">
            <w:pPr>
              <w:pStyle w:val="T2"/>
              <w:jc w:val="right"/>
            </w:pPr>
            <w:r w:rsidRPr="008A4891">
              <w:t>5.9</w:t>
            </w:r>
          </w:p>
        </w:tc>
      </w:tr>
      <w:tr w:rsidR="00EE1554" w14:paraId="162F9C7E" w14:textId="77777777" w:rsidTr="008F357E">
        <w:trPr>
          <w:jc w:val="center"/>
        </w:trPr>
        <w:tc>
          <w:tcPr>
            <w:tcW w:w="3686" w:type="dxa"/>
            <w:tcBorders>
              <w:top w:val="nil"/>
              <w:left w:val="nil"/>
              <w:bottom w:val="single" w:sz="2" w:space="0" w:color="auto"/>
              <w:right w:val="nil"/>
            </w:tcBorders>
            <w:vAlign w:val="bottom"/>
          </w:tcPr>
          <w:p w14:paraId="05804D00" w14:textId="77777777" w:rsidR="00EE1554" w:rsidRPr="00C65534" w:rsidRDefault="00EE1554" w:rsidP="00EE1554">
            <w:pPr>
              <w:pStyle w:val="T2"/>
              <w:jc w:val="left"/>
            </w:pPr>
            <w:r w:rsidRPr="00C65534">
              <w:t>Amortisation of acquisition related intangibles</w:t>
            </w:r>
          </w:p>
        </w:tc>
        <w:tc>
          <w:tcPr>
            <w:tcW w:w="425" w:type="dxa"/>
            <w:tcBorders>
              <w:top w:val="nil"/>
              <w:left w:val="nil"/>
              <w:bottom w:val="single" w:sz="2" w:space="0" w:color="auto"/>
              <w:right w:val="nil"/>
            </w:tcBorders>
            <w:vAlign w:val="bottom"/>
          </w:tcPr>
          <w:p w14:paraId="2616A68F" w14:textId="77777777" w:rsidR="00EE1554" w:rsidRPr="00E8718C" w:rsidRDefault="00EE1554" w:rsidP="00EE1554">
            <w:pPr>
              <w:jc w:val="right"/>
              <w:rPr>
                <w:sz w:val="18"/>
                <w:szCs w:val="18"/>
              </w:rPr>
            </w:pPr>
          </w:p>
        </w:tc>
        <w:tc>
          <w:tcPr>
            <w:tcW w:w="1134" w:type="dxa"/>
            <w:tcBorders>
              <w:top w:val="nil"/>
              <w:left w:val="nil"/>
              <w:bottom w:val="single" w:sz="2" w:space="0" w:color="auto"/>
              <w:right w:val="nil"/>
            </w:tcBorders>
          </w:tcPr>
          <w:p w14:paraId="4E008035" w14:textId="7071BA9B" w:rsidR="00EE1554" w:rsidRPr="00A31437" w:rsidRDefault="005F5BB6" w:rsidP="00EE1554">
            <w:pPr>
              <w:pStyle w:val="T2"/>
              <w:jc w:val="right"/>
              <w:rPr>
                <w:b/>
              </w:rPr>
            </w:pPr>
            <w:r>
              <w:rPr>
                <w:b/>
                <w:bCs/>
              </w:rPr>
              <w:t>(2.0)</w:t>
            </w:r>
          </w:p>
        </w:tc>
        <w:tc>
          <w:tcPr>
            <w:tcW w:w="1134" w:type="dxa"/>
            <w:tcBorders>
              <w:top w:val="nil"/>
              <w:left w:val="nil"/>
              <w:bottom w:val="single" w:sz="2" w:space="0" w:color="auto"/>
              <w:right w:val="nil"/>
            </w:tcBorders>
          </w:tcPr>
          <w:p w14:paraId="04435D4E" w14:textId="44AC75A0" w:rsidR="00EE1554" w:rsidRPr="00A31437" w:rsidRDefault="00EE1554" w:rsidP="00EE1554">
            <w:pPr>
              <w:pStyle w:val="T2"/>
              <w:jc w:val="right"/>
              <w:rPr>
                <w:b/>
              </w:rPr>
            </w:pPr>
            <w:r w:rsidRPr="00D222FE">
              <w:rPr>
                <w:b/>
                <w:bCs/>
              </w:rPr>
              <w:t>–</w:t>
            </w:r>
          </w:p>
        </w:tc>
        <w:tc>
          <w:tcPr>
            <w:tcW w:w="851" w:type="dxa"/>
            <w:tcBorders>
              <w:top w:val="nil"/>
              <w:left w:val="nil"/>
              <w:bottom w:val="single" w:sz="2" w:space="0" w:color="auto"/>
              <w:right w:val="nil"/>
            </w:tcBorders>
          </w:tcPr>
          <w:p w14:paraId="275F29F7" w14:textId="62458805" w:rsidR="00EE1554" w:rsidRPr="00A31437" w:rsidRDefault="005F5BB6" w:rsidP="00EE1554">
            <w:pPr>
              <w:pStyle w:val="T2"/>
              <w:jc w:val="right"/>
              <w:rPr>
                <w:b/>
              </w:rPr>
            </w:pPr>
            <w:r>
              <w:rPr>
                <w:b/>
                <w:bCs/>
              </w:rPr>
              <w:t>(2.0)</w:t>
            </w:r>
          </w:p>
        </w:tc>
        <w:tc>
          <w:tcPr>
            <w:tcW w:w="1264" w:type="dxa"/>
            <w:tcBorders>
              <w:top w:val="nil"/>
              <w:left w:val="nil"/>
              <w:bottom w:val="single" w:sz="2" w:space="0" w:color="auto"/>
              <w:right w:val="nil"/>
            </w:tcBorders>
          </w:tcPr>
          <w:p w14:paraId="08D9BE27" w14:textId="3B914653" w:rsidR="00EE1554" w:rsidRPr="008A4891" w:rsidRDefault="00EE1554" w:rsidP="00EE1554">
            <w:pPr>
              <w:pStyle w:val="T2"/>
              <w:jc w:val="right"/>
            </w:pPr>
            <w:r w:rsidRPr="008A4891">
              <w:t>(2.0)</w:t>
            </w:r>
          </w:p>
        </w:tc>
        <w:tc>
          <w:tcPr>
            <w:tcW w:w="1134" w:type="dxa"/>
            <w:tcBorders>
              <w:top w:val="nil"/>
              <w:left w:val="nil"/>
              <w:bottom w:val="single" w:sz="2" w:space="0" w:color="auto"/>
              <w:right w:val="nil"/>
            </w:tcBorders>
            <w:vAlign w:val="bottom"/>
          </w:tcPr>
          <w:p w14:paraId="24609458" w14:textId="5455FF9D" w:rsidR="00EE1554" w:rsidRPr="008A4891" w:rsidRDefault="00EE1554" w:rsidP="00EE1554">
            <w:pPr>
              <w:pStyle w:val="T2"/>
              <w:jc w:val="right"/>
            </w:pPr>
            <w:r w:rsidRPr="008A4891">
              <w:t>–</w:t>
            </w:r>
          </w:p>
        </w:tc>
        <w:tc>
          <w:tcPr>
            <w:tcW w:w="859" w:type="dxa"/>
            <w:tcBorders>
              <w:top w:val="nil"/>
              <w:left w:val="nil"/>
              <w:bottom w:val="single" w:sz="2" w:space="0" w:color="auto"/>
              <w:right w:val="nil"/>
            </w:tcBorders>
          </w:tcPr>
          <w:p w14:paraId="2827B3F6" w14:textId="2170C408" w:rsidR="00EE1554" w:rsidRPr="008A4891" w:rsidRDefault="00EE1554" w:rsidP="00EE1554">
            <w:pPr>
              <w:pStyle w:val="T2"/>
              <w:jc w:val="right"/>
            </w:pPr>
            <w:r w:rsidRPr="008A4891">
              <w:t>(2.0)</w:t>
            </w:r>
          </w:p>
        </w:tc>
      </w:tr>
      <w:tr w:rsidR="00EE1554" w14:paraId="634DA882" w14:textId="77777777" w:rsidTr="008F357E">
        <w:trPr>
          <w:jc w:val="center"/>
        </w:trPr>
        <w:tc>
          <w:tcPr>
            <w:tcW w:w="3686" w:type="dxa"/>
            <w:tcBorders>
              <w:top w:val="single" w:sz="2" w:space="0" w:color="auto"/>
              <w:left w:val="nil"/>
              <w:bottom w:val="nil"/>
              <w:right w:val="nil"/>
            </w:tcBorders>
            <w:vAlign w:val="bottom"/>
          </w:tcPr>
          <w:p w14:paraId="3B93431F" w14:textId="4D665911" w:rsidR="00EE1554" w:rsidRPr="00323878" w:rsidRDefault="00EE1554" w:rsidP="00EE1554">
            <w:pPr>
              <w:pStyle w:val="T2"/>
              <w:jc w:val="left"/>
              <w:rPr>
                <w:b/>
              </w:rPr>
            </w:pPr>
            <w:r>
              <w:rPr>
                <w:b/>
              </w:rPr>
              <w:t xml:space="preserve">Group </w:t>
            </w:r>
            <w:r w:rsidR="00E75614">
              <w:rPr>
                <w:b/>
              </w:rPr>
              <w:t>O</w:t>
            </w:r>
            <w:r>
              <w:rPr>
                <w:b/>
              </w:rPr>
              <w:t xml:space="preserve">perating </w:t>
            </w:r>
            <w:r w:rsidR="00E75614">
              <w:rPr>
                <w:b/>
              </w:rPr>
              <w:t>P</w:t>
            </w:r>
            <w:r w:rsidRPr="00323878">
              <w:rPr>
                <w:b/>
              </w:rPr>
              <w:t>rofit</w:t>
            </w:r>
            <w:r w:rsidR="00555002">
              <w:rPr>
                <w:b/>
              </w:rPr>
              <w:t>/</w:t>
            </w:r>
            <w:r w:rsidR="00E75614">
              <w:rPr>
                <w:b/>
              </w:rPr>
              <w:t>L</w:t>
            </w:r>
            <w:r w:rsidR="00555002">
              <w:rPr>
                <w:b/>
              </w:rPr>
              <w:t>oss)</w:t>
            </w:r>
          </w:p>
        </w:tc>
        <w:tc>
          <w:tcPr>
            <w:tcW w:w="425" w:type="dxa"/>
            <w:tcBorders>
              <w:top w:val="single" w:sz="2" w:space="0" w:color="auto"/>
              <w:left w:val="nil"/>
              <w:bottom w:val="nil"/>
              <w:right w:val="nil"/>
            </w:tcBorders>
            <w:vAlign w:val="bottom"/>
          </w:tcPr>
          <w:p w14:paraId="1B82E2B1" w14:textId="77777777" w:rsidR="00EE1554" w:rsidRPr="00E8718C" w:rsidRDefault="00EE1554" w:rsidP="00EE1554">
            <w:pPr>
              <w:jc w:val="right"/>
              <w:rPr>
                <w:sz w:val="18"/>
                <w:szCs w:val="18"/>
              </w:rPr>
            </w:pPr>
          </w:p>
        </w:tc>
        <w:tc>
          <w:tcPr>
            <w:tcW w:w="1134" w:type="dxa"/>
            <w:tcBorders>
              <w:top w:val="single" w:sz="2" w:space="0" w:color="auto"/>
              <w:left w:val="nil"/>
              <w:bottom w:val="nil"/>
              <w:right w:val="nil"/>
            </w:tcBorders>
          </w:tcPr>
          <w:p w14:paraId="073F5F65" w14:textId="49FD2D33" w:rsidR="00EE1554" w:rsidRPr="00A31437" w:rsidRDefault="005F5BB6" w:rsidP="00EE1554">
            <w:pPr>
              <w:pStyle w:val="T2"/>
              <w:jc w:val="right"/>
              <w:rPr>
                <w:b/>
              </w:rPr>
            </w:pPr>
            <w:r>
              <w:rPr>
                <w:b/>
                <w:bCs/>
              </w:rPr>
              <w:t>15.2</w:t>
            </w:r>
          </w:p>
        </w:tc>
        <w:tc>
          <w:tcPr>
            <w:tcW w:w="1134" w:type="dxa"/>
            <w:tcBorders>
              <w:top w:val="single" w:sz="2" w:space="0" w:color="auto"/>
              <w:left w:val="nil"/>
              <w:bottom w:val="nil"/>
              <w:right w:val="nil"/>
            </w:tcBorders>
          </w:tcPr>
          <w:p w14:paraId="253B56EC" w14:textId="0D5FB533" w:rsidR="00EE1554" w:rsidRPr="00A31437" w:rsidRDefault="005F5BB6" w:rsidP="00EE1554">
            <w:pPr>
              <w:pStyle w:val="T2"/>
              <w:jc w:val="right"/>
              <w:rPr>
                <w:b/>
              </w:rPr>
            </w:pPr>
            <w:r>
              <w:rPr>
                <w:b/>
                <w:bCs/>
              </w:rPr>
              <w:t>(8.0)</w:t>
            </w:r>
          </w:p>
        </w:tc>
        <w:tc>
          <w:tcPr>
            <w:tcW w:w="851" w:type="dxa"/>
            <w:tcBorders>
              <w:top w:val="single" w:sz="2" w:space="0" w:color="auto"/>
              <w:left w:val="nil"/>
              <w:bottom w:val="nil"/>
              <w:right w:val="nil"/>
            </w:tcBorders>
          </w:tcPr>
          <w:p w14:paraId="70825C2C" w14:textId="757A3FD3" w:rsidR="00EE1554" w:rsidRPr="00A31437" w:rsidRDefault="005F5BB6" w:rsidP="00EE1554">
            <w:pPr>
              <w:pStyle w:val="T2"/>
              <w:jc w:val="right"/>
              <w:rPr>
                <w:b/>
              </w:rPr>
            </w:pPr>
            <w:r>
              <w:rPr>
                <w:b/>
                <w:bCs/>
              </w:rPr>
              <w:t>7.2</w:t>
            </w:r>
          </w:p>
        </w:tc>
        <w:tc>
          <w:tcPr>
            <w:tcW w:w="1264" w:type="dxa"/>
            <w:tcBorders>
              <w:top w:val="single" w:sz="2" w:space="0" w:color="auto"/>
              <w:left w:val="nil"/>
              <w:bottom w:val="nil"/>
              <w:right w:val="nil"/>
            </w:tcBorders>
          </w:tcPr>
          <w:p w14:paraId="5416E5EA" w14:textId="4F43A99B" w:rsidR="00EE1554" w:rsidRPr="008A4891" w:rsidRDefault="00EE1554" w:rsidP="00EE1554">
            <w:pPr>
              <w:pStyle w:val="T2"/>
              <w:jc w:val="right"/>
            </w:pPr>
            <w:r w:rsidRPr="008A4891">
              <w:t>(1.8)</w:t>
            </w:r>
          </w:p>
        </w:tc>
        <w:tc>
          <w:tcPr>
            <w:tcW w:w="1134" w:type="dxa"/>
            <w:tcBorders>
              <w:top w:val="single" w:sz="2" w:space="0" w:color="auto"/>
              <w:left w:val="nil"/>
              <w:bottom w:val="nil"/>
              <w:right w:val="nil"/>
            </w:tcBorders>
            <w:vAlign w:val="bottom"/>
          </w:tcPr>
          <w:p w14:paraId="0D7F2B6F" w14:textId="023C194F" w:rsidR="00EE1554" w:rsidRPr="008A4891" w:rsidRDefault="00EE1554" w:rsidP="00EE1554">
            <w:pPr>
              <w:pStyle w:val="T2"/>
              <w:jc w:val="right"/>
            </w:pPr>
            <w:r w:rsidRPr="008A4891">
              <w:t>5.7</w:t>
            </w:r>
          </w:p>
        </w:tc>
        <w:tc>
          <w:tcPr>
            <w:tcW w:w="859" w:type="dxa"/>
            <w:tcBorders>
              <w:top w:val="single" w:sz="2" w:space="0" w:color="auto"/>
              <w:left w:val="nil"/>
              <w:bottom w:val="nil"/>
              <w:right w:val="nil"/>
            </w:tcBorders>
          </w:tcPr>
          <w:p w14:paraId="62B20A9A" w14:textId="7E1D29D0" w:rsidR="00EE1554" w:rsidRPr="008A4891" w:rsidRDefault="00EE1554" w:rsidP="00EE1554">
            <w:pPr>
              <w:pStyle w:val="T2"/>
              <w:jc w:val="right"/>
            </w:pPr>
            <w:r w:rsidRPr="008A4891">
              <w:t>3.9</w:t>
            </w:r>
          </w:p>
        </w:tc>
      </w:tr>
      <w:tr w:rsidR="00EE1554" w14:paraId="47E1FC85" w14:textId="77777777" w:rsidTr="008F357E">
        <w:trPr>
          <w:jc w:val="center"/>
        </w:trPr>
        <w:tc>
          <w:tcPr>
            <w:tcW w:w="3686" w:type="dxa"/>
            <w:tcBorders>
              <w:top w:val="nil"/>
              <w:left w:val="nil"/>
              <w:bottom w:val="nil"/>
              <w:right w:val="nil"/>
            </w:tcBorders>
            <w:vAlign w:val="bottom"/>
          </w:tcPr>
          <w:p w14:paraId="35467904" w14:textId="77777777" w:rsidR="00EE1554" w:rsidRPr="00C65534" w:rsidRDefault="00EE1554" w:rsidP="00EE1554">
            <w:pPr>
              <w:pStyle w:val="T2"/>
              <w:jc w:val="left"/>
            </w:pPr>
            <w:r w:rsidRPr="00C65534">
              <w:t>Finance income</w:t>
            </w:r>
          </w:p>
        </w:tc>
        <w:tc>
          <w:tcPr>
            <w:tcW w:w="425" w:type="dxa"/>
            <w:tcBorders>
              <w:top w:val="nil"/>
              <w:left w:val="nil"/>
              <w:bottom w:val="nil"/>
              <w:right w:val="nil"/>
            </w:tcBorders>
            <w:vAlign w:val="bottom"/>
          </w:tcPr>
          <w:p w14:paraId="6B9D569B" w14:textId="6A86AE48" w:rsidR="00EE1554" w:rsidRPr="00E8718C" w:rsidRDefault="002675EF" w:rsidP="00EE1554">
            <w:pPr>
              <w:ind w:left="-108"/>
              <w:jc w:val="right"/>
              <w:rPr>
                <w:sz w:val="18"/>
                <w:szCs w:val="18"/>
              </w:rPr>
            </w:pPr>
            <w:r>
              <w:rPr>
                <w:sz w:val="18"/>
                <w:szCs w:val="18"/>
              </w:rPr>
              <w:t>6</w:t>
            </w:r>
          </w:p>
        </w:tc>
        <w:tc>
          <w:tcPr>
            <w:tcW w:w="1134" w:type="dxa"/>
            <w:tcBorders>
              <w:top w:val="nil"/>
              <w:left w:val="nil"/>
              <w:bottom w:val="nil"/>
              <w:right w:val="nil"/>
            </w:tcBorders>
          </w:tcPr>
          <w:p w14:paraId="0E107571" w14:textId="365032E9" w:rsidR="00EE1554" w:rsidRPr="00A31437" w:rsidRDefault="00EE1554" w:rsidP="00EE1554">
            <w:pPr>
              <w:pStyle w:val="T2"/>
              <w:jc w:val="right"/>
              <w:rPr>
                <w:b/>
              </w:rPr>
            </w:pPr>
            <w:r w:rsidRPr="000E1409">
              <w:rPr>
                <w:b/>
                <w:bCs/>
              </w:rPr>
              <w:t>–</w:t>
            </w:r>
          </w:p>
        </w:tc>
        <w:tc>
          <w:tcPr>
            <w:tcW w:w="1134" w:type="dxa"/>
            <w:tcBorders>
              <w:top w:val="nil"/>
              <w:left w:val="nil"/>
              <w:bottom w:val="nil"/>
              <w:right w:val="nil"/>
            </w:tcBorders>
          </w:tcPr>
          <w:p w14:paraId="287630B7" w14:textId="5A69A3A9" w:rsidR="00EE1554" w:rsidRPr="00A31437" w:rsidRDefault="00EE1554" w:rsidP="00EE1554">
            <w:pPr>
              <w:pStyle w:val="T2"/>
              <w:jc w:val="right"/>
              <w:rPr>
                <w:b/>
              </w:rPr>
            </w:pPr>
            <w:r w:rsidRPr="00D222FE">
              <w:rPr>
                <w:b/>
                <w:bCs/>
              </w:rPr>
              <w:t>–</w:t>
            </w:r>
          </w:p>
        </w:tc>
        <w:tc>
          <w:tcPr>
            <w:tcW w:w="851" w:type="dxa"/>
            <w:tcBorders>
              <w:top w:val="nil"/>
              <w:left w:val="nil"/>
              <w:bottom w:val="nil"/>
              <w:right w:val="nil"/>
            </w:tcBorders>
          </w:tcPr>
          <w:p w14:paraId="5937ACF4" w14:textId="5AEB7815" w:rsidR="00EE1554" w:rsidRPr="00A31437" w:rsidRDefault="00EE1554" w:rsidP="00EE1554">
            <w:pPr>
              <w:pStyle w:val="T2"/>
              <w:jc w:val="right"/>
              <w:rPr>
                <w:b/>
              </w:rPr>
            </w:pPr>
            <w:r w:rsidRPr="00767A94">
              <w:rPr>
                <w:b/>
                <w:bCs/>
              </w:rPr>
              <w:t>–</w:t>
            </w:r>
          </w:p>
        </w:tc>
        <w:tc>
          <w:tcPr>
            <w:tcW w:w="1264" w:type="dxa"/>
            <w:tcBorders>
              <w:top w:val="nil"/>
              <w:left w:val="nil"/>
              <w:bottom w:val="nil"/>
              <w:right w:val="nil"/>
            </w:tcBorders>
          </w:tcPr>
          <w:p w14:paraId="47F2E9A0" w14:textId="71CE75C6" w:rsidR="00EE1554" w:rsidRPr="008A4891" w:rsidRDefault="00EE1554" w:rsidP="00EE1554">
            <w:pPr>
              <w:pStyle w:val="T2"/>
              <w:jc w:val="right"/>
            </w:pPr>
            <w:r w:rsidRPr="008A4891">
              <w:t>0.4</w:t>
            </w:r>
          </w:p>
        </w:tc>
        <w:tc>
          <w:tcPr>
            <w:tcW w:w="1134" w:type="dxa"/>
            <w:tcBorders>
              <w:top w:val="nil"/>
              <w:left w:val="nil"/>
              <w:bottom w:val="nil"/>
              <w:right w:val="nil"/>
            </w:tcBorders>
            <w:vAlign w:val="bottom"/>
          </w:tcPr>
          <w:p w14:paraId="4CF988EC" w14:textId="56A3950F" w:rsidR="00EE1554" w:rsidRPr="008A4891" w:rsidRDefault="00EE1554" w:rsidP="00EE1554">
            <w:pPr>
              <w:pStyle w:val="T2"/>
              <w:jc w:val="right"/>
            </w:pPr>
            <w:r w:rsidRPr="008A4891">
              <w:t>–</w:t>
            </w:r>
          </w:p>
        </w:tc>
        <w:tc>
          <w:tcPr>
            <w:tcW w:w="859" w:type="dxa"/>
            <w:tcBorders>
              <w:top w:val="nil"/>
              <w:left w:val="nil"/>
              <w:bottom w:val="nil"/>
              <w:right w:val="nil"/>
            </w:tcBorders>
          </w:tcPr>
          <w:p w14:paraId="1C06B1DC" w14:textId="3FDA18A2" w:rsidR="00EE1554" w:rsidRPr="008A4891" w:rsidRDefault="00EE1554" w:rsidP="00EE1554">
            <w:pPr>
              <w:pStyle w:val="T2"/>
              <w:jc w:val="right"/>
            </w:pPr>
            <w:r w:rsidRPr="008A4891">
              <w:t>0.4</w:t>
            </w:r>
          </w:p>
        </w:tc>
      </w:tr>
      <w:tr w:rsidR="00EE1554" w14:paraId="5540AC0E" w14:textId="77777777" w:rsidTr="008F357E">
        <w:trPr>
          <w:jc w:val="center"/>
        </w:trPr>
        <w:tc>
          <w:tcPr>
            <w:tcW w:w="3686" w:type="dxa"/>
            <w:tcBorders>
              <w:top w:val="nil"/>
              <w:left w:val="nil"/>
              <w:bottom w:val="nil"/>
              <w:right w:val="nil"/>
            </w:tcBorders>
            <w:vAlign w:val="bottom"/>
          </w:tcPr>
          <w:p w14:paraId="43A14B9D" w14:textId="77777777" w:rsidR="00EE1554" w:rsidRPr="00C65534" w:rsidRDefault="00EE1554" w:rsidP="00EE1554">
            <w:pPr>
              <w:pStyle w:val="T2"/>
              <w:jc w:val="left"/>
            </w:pPr>
            <w:r w:rsidRPr="00C65534">
              <w:t>Finance costs</w:t>
            </w:r>
          </w:p>
        </w:tc>
        <w:tc>
          <w:tcPr>
            <w:tcW w:w="425" w:type="dxa"/>
            <w:tcBorders>
              <w:top w:val="nil"/>
              <w:left w:val="nil"/>
              <w:bottom w:val="nil"/>
              <w:right w:val="nil"/>
            </w:tcBorders>
            <w:vAlign w:val="bottom"/>
          </w:tcPr>
          <w:p w14:paraId="1DDEA2F3" w14:textId="4BD8FF16" w:rsidR="00EE1554" w:rsidRPr="00E8718C" w:rsidRDefault="002675EF" w:rsidP="00EE1554">
            <w:pPr>
              <w:ind w:left="-108"/>
              <w:jc w:val="right"/>
              <w:rPr>
                <w:sz w:val="18"/>
                <w:szCs w:val="18"/>
              </w:rPr>
            </w:pPr>
            <w:r>
              <w:rPr>
                <w:sz w:val="18"/>
                <w:szCs w:val="18"/>
              </w:rPr>
              <w:t>6</w:t>
            </w:r>
          </w:p>
        </w:tc>
        <w:tc>
          <w:tcPr>
            <w:tcW w:w="1134" w:type="dxa"/>
            <w:tcBorders>
              <w:top w:val="nil"/>
              <w:left w:val="nil"/>
              <w:bottom w:val="nil"/>
              <w:right w:val="nil"/>
            </w:tcBorders>
          </w:tcPr>
          <w:p w14:paraId="011E00C0" w14:textId="288447A7" w:rsidR="00EE1554" w:rsidRPr="00A31437" w:rsidRDefault="005F5BB6" w:rsidP="00EE1554">
            <w:pPr>
              <w:pStyle w:val="T2"/>
              <w:jc w:val="right"/>
              <w:rPr>
                <w:b/>
              </w:rPr>
            </w:pPr>
            <w:r>
              <w:rPr>
                <w:b/>
                <w:bCs/>
              </w:rPr>
              <w:t>(6.2)</w:t>
            </w:r>
          </w:p>
        </w:tc>
        <w:tc>
          <w:tcPr>
            <w:tcW w:w="1134" w:type="dxa"/>
            <w:tcBorders>
              <w:top w:val="nil"/>
              <w:left w:val="nil"/>
              <w:bottom w:val="nil"/>
              <w:right w:val="nil"/>
            </w:tcBorders>
          </w:tcPr>
          <w:p w14:paraId="770F6943" w14:textId="3B8810D9" w:rsidR="00EE1554" w:rsidRPr="00A31437" w:rsidRDefault="00EE1554" w:rsidP="00EE1554">
            <w:pPr>
              <w:pStyle w:val="T2"/>
              <w:jc w:val="right"/>
              <w:rPr>
                <w:b/>
              </w:rPr>
            </w:pPr>
            <w:r w:rsidRPr="00D222FE">
              <w:rPr>
                <w:b/>
                <w:bCs/>
              </w:rPr>
              <w:t>–</w:t>
            </w:r>
          </w:p>
        </w:tc>
        <w:tc>
          <w:tcPr>
            <w:tcW w:w="851" w:type="dxa"/>
            <w:tcBorders>
              <w:top w:val="nil"/>
              <w:left w:val="nil"/>
              <w:bottom w:val="nil"/>
              <w:right w:val="nil"/>
            </w:tcBorders>
          </w:tcPr>
          <w:p w14:paraId="2546334B" w14:textId="0299D184" w:rsidR="00EE1554" w:rsidRPr="00A31437" w:rsidRDefault="005F5BB6" w:rsidP="00EE1554">
            <w:pPr>
              <w:pStyle w:val="T2"/>
              <w:jc w:val="right"/>
              <w:rPr>
                <w:b/>
              </w:rPr>
            </w:pPr>
            <w:r>
              <w:rPr>
                <w:b/>
                <w:bCs/>
              </w:rPr>
              <w:t>(6.2)</w:t>
            </w:r>
          </w:p>
        </w:tc>
        <w:tc>
          <w:tcPr>
            <w:tcW w:w="1264" w:type="dxa"/>
            <w:tcBorders>
              <w:top w:val="nil"/>
              <w:left w:val="nil"/>
              <w:bottom w:val="nil"/>
              <w:right w:val="nil"/>
            </w:tcBorders>
          </w:tcPr>
          <w:p w14:paraId="112A7E52" w14:textId="18891E4D" w:rsidR="00EE1554" w:rsidRPr="008A4891" w:rsidRDefault="00EE1554" w:rsidP="00EE1554">
            <w:pPr>
              <w:pStyle w:val="T2"/>
              <w:jc w:val="right"/>
            </w:pPr>
            <w:r w:rsidRPr="008A4891">
              <w:t>(10.1)</w:t>
            </w:r>
          </w:p>
        </w:tc>
        <w:tc>
          <w:tcPr>
            <w:tcW w:w="1134" w:type="dxa"/>
            <w:tcBorders>
              <w:top w:val="nil"/>
              <w:left w:val="nil"/>
              <w:bottom w:val="nil"/>
              <w:right w:val="nil"/>
            </w:tcBorders>
            <w:vAlign w:val="bottom"/>
          </w:tcPr>
          <w:p w14:paraId="263CBA80" w14:textId="5C9A447B" w:rsidR="00EE1554" w:rsidRPr="008A4891" w:rsidRDefault="00EE1554" w:rsidP="00EE1554">
            <w:pPr>
              <w:pStyle w:val="T2"/>
              <w:jc w:val="right"/>
            </w:pPr>
            <w:r w:rsidRPr="008A4891">
              <w:t>–</w:t>
            </w:r>
          </w:p>
        </w:tc>
        <w:tc>
          <w:tcPr>
            <w:tcW w:w="859" w:type="dxa"/>
            <w:tcBorders>
              <w:top w:val="nil"/>
              <w:left w:val="nil"/>
              <w:bottom w:val="nil"/>
              <w:right w:val="nil"/>
            </w:tcBorders>
          </w:tcPr>
          <w:p w14:paraId="02CB8883" w14:textId="2CEFD34C" w:rsidR="00EE1554" w:rsidRPr="008A4891" w:rsidRDefault="00EE1554" w:rsidP="00EE1554">
            <w:pPr>
              <w:pStyle w:val="T2"/>
              <w:jc w:val="right"/>
            </w:pPr>
            <w:r w:rsidRPr="008A4891">
              <w:t>(10.1)</w:t>
            </w:r>
          </w:p>
        </w:tc>
      </w:tr>
      <w:tr w:rsidR="00EE1554" w14:paraId="35F1B60C" w14:textId="77777777" w:rsidTr="008F357E">
        <w:trPr>
          <w:jc w:val="center"/>
        </w:trPr>
        <w:tc>
          <w:tcPr>
            <w:tcW w:w="3686" w:type="dxa"/>
            <w:tcBorders>
              <w:top w:val="nil"/>
              <w:left w:val="nil"/>
              <w:bottom w:val="single" w:sz="2" w:space="0" w:color="auto"/>
              <w:right w:val="nil"/>
            </w:tcBorders>
            <w:vAlign w:val="bottom"/>
          </w:tcPr>
          <w:p w14:paraId="259FA180" w14:textId="77777777" w:rsidR="00EE1554" w:rsidRPr="00F55D04" w:rsidRDefault="00EE1554" w:rsidP="00EE1554">
            <w:pPr>
              <w:pStyle w:val="T2"/>
              <w:jc w:val="left"/>
            </w:pPr>
            <w:r w:rsidRPr="00F55D04">
              <w:t>Profit on disposal of associates</w:t>
            </w:r>
          </w:p>
        </w:tc>
        <w:tc>
          <w:tcPr>
            <w:tcW w:w="425" w:type="dxa"/>
            <w:tcBorders>
              <w:top w:val="nil"/>
              <w:left w:val="nil"/>
              <w:bottom w:val="single" w:sz="2" w:space="0" w:color="auto"/>
              <w:right w:val="nil"/>
            </w:tcBorders>
            <w:vAlign w:val="bottom"/>
          </w:tcPr>
          <w:p w14:paraId="7803747A" w14:textId="1F5733B0" w:rsidR="00EE1554" w:rsidRPr="00E8718C" w:rsidRDefault="00EE1554" w:rsidP="00EE1554">
            <w:pPr>
              <w:jc w:val="right"/>
              <w:rPr>
                <w:sz w:val="18"/>
                <w:szCs w:val="18"/>
              </w:rPr>
            </w:pPr>
          </w:p>
        </w:tc>
        <w:tc>
          <w:tcPr>
            <w:tcW w:w="1134" w:type="dxa"/>
            <w:tcBorders>
              <w:top w:val="nil"/>
              <w:left w:val="nil"/>
              <w:bottom w:val="single" w:sz="2" w:space="0" w:color="auto"/>
              <w:right w:val="nil"/>
            </w:tcBorders>
          </w:tcPr>
          <w:p w14:paraId="37986960" w14:textId="7F27FC11" w:rsidR="00EE1554" w:rsidRDefault="00EE1554" w:rsidP="00EE1554">
            <w:pPr>
              <w:pStyle w:val="T2"/>
              <w:jc w:val="right"/>
              <w:rPr>
                <w:b/>
                <w:bCs/>
              </w:rPr>
            </w:pPr>
            <w:r w:rsidRPr="000E1409">
              <w:rPr>
                <w:b/>
                <w:bCs/>
              </w:rPr>
              <w:t>–</w:t>
            </w:r>
          </w:p>
        </w:tc>
        <w:tc>
          <w:tcPr>
            <w:tcW w:w="1134" w:type="dxa"/>
            <w:tcBorders>
              <w:top w:val="nil"/>
              <w:left w:val="nil"/>
              <w:bottom w:val="single" w:sz="2" w:space="0" w:color="auto"/>
              <w:right w:val="nil"/>
            </w:tcBorders>
          </w:tcPr>
          <w:p w14:paraId="6D0F67DB" w14:textId="14FA7315" w:rsidR="00EE1554" w:rsidRDefault="00EE1554" w:rsidP="00EE1554">
            <w:pPr>
              <w:pStyle w:val="T2"/>
              <w:jc w:val="right"/>
              <w:rPr>
                <w:b/>
                <w:bCs/>
              </w:rPr>
            </w:pPr>
            <w:r w:rsidRPr="00D222FE">
              <w:rPr>
                <w:b/>
                <w:bCs/>
              </w:rPr>
              <w:t>–</w:t>
            </w:r>
          </w:p>
        </w:tc>
        <w:tc>
          <w:tcPr>
            <w:tcW w:w="851" w:type="dxa"/>
            <w:tcBorders>
              <w:top w:val="nil"/>
              <w:left w:val="nil"/>
              <w:bottom w:val="single" w:sz="2" w:space="0" w:color="auto"/>
              <w:right w:val="nil"/>
            </w:tcBorders>
          </w:tcPr>
          <w:p w14:paraId="0310308D" w14:textId="205CA319" w:rsidR="00EE1554" w:rsidRDefault="00EE1554" w:rsidP="00EE1554">
            <w:pPr>
              <w:pStyle w:val="T2"/>
              <w:jc w:val="right"/>
              <w:rPr>
                <w:b/>
                <w:bCs/>
              </w:rPr>
            </w:pPr>
            <w:r w:rsidRPr="00767A94">
              <w:rPr>
                <w:b/>
                <w:bCs/>
              </w:rPr>
              <w:t>–</w:t>
            </w:r>
          </w:p>
        </w:tc>
        <w:tc>
          <w:tcPr>
            <w:tcW w:w="1264" w:type="dxa"/>
            <w:tcBorders>
              <w:top w:val="nil"/>
              <w:left w:val="nil"/>
              <w:bottom w:val="single" w:sz="2" w:space="0" w:color="auto"/>
              <w:right w:val="nil"/>
            </w:tcBorders>
          </w:tcPr>
          <w:p w14:paraId="1F234B98" w14:textId="6BC61016" w:rsidR="00EE1554" w:rsidRPr="008A4891" w:rsidRDefault="00EE1554" w:rsidP="00EE1554">
            <w:pPr>
              <w:pStyle w:val="T2"/>
              <w:jc w:val="right"/>
            </w:pPr>
            <w:r w:rsidRPr="008A4891">
              <w:t>–</w:t>
            </w:r>
          </w:p>
        </w:tc>
        <w:tc>
          <w:tcPr>
            <w:tcW w:w="1134" w:type="dxa"/>
            <w:tcBorders>
              <w:top w:val="nil"/>
              <w:left w:val="nil"/>
              <w:bottom w:val="single" w:sz="2" w:space="0" w:color="auto"/>
              <w:right w:val="nil"/>
            </w:tcBorders>
            <w:vAlign w:val="bottom"/>
          </w:tcPr>
          <w:p w14:paraId="2817CCCE" w14:textId="7005AC66" w:rsidR="00EE1554" w:rsidRPr="008A4891" w:rsidRDefault="00EE1554" w:rsidP="00EE1554">
            <w:pPr>
              <w:pStyle w:val="T2"/>
              <w:jc w:val="right"/>
            </w:pPr>
            <w:r w:rsidRPr="008A4891">
              <w:t>4.0</w:t>
            </w:r>
          </w:p>
        </w:tc>
        <w:tc>
          <w:tcPr>
            <w:tcW w:w="859" w:type="dxa"/>
            <w:tcBorders>
              <w:top w:val="nil"/>
              <w:left w:val="nil"/>
              <w:bottom w:val="single" w:sz="2" w:space="0" w:color="auto"/>
              <w:right w:val="nil"/>
            </w:tcBorders>
          </w:tcPr>
          <w:p w14:paraId="3418C95D" w14:textId="4E6194B8" w:rsidR="00EE1554" w:rsidRPr="008A4891" w:rsidRDefault="00EE1554" w:rsidP="00EE1554">
            <w:pPr>
              <w:pStyle w:val="T2"/>
              <w:jc w:val="right"/>
            </w:pPr>
            <w:r w:rsidRPr="008A4891">
              <w:t>4.0</w:t>
            </w:r>
          </w:p>
        </w:tc>
      </w:tr>
      <w:tr w:rsidR="00EE1554" w14:paraId="1F213CDE" w14:textId="77777777" w:rsidTr="00811370">
        <w:trPr>
          <w:jc w:val="center"/>
        </w:trPr>
        <w:tc>
          <w:tcPr>
            <w:tcW w:w="3686" w:type="dxa"/>
            <w:tcBorders>
              <w:top w:val="single" w:sz="2" w:space="0" w:color="auto"/>
              <w:left w:val="nil"/>
              <w:bottom w:val="nil"/>
              <w:right w:val="nil"/>
            </w:tcBorders>
            <w:vAlign w:val="bottom"/>
          </w:tcPr>
          <w:p w14:paraId="14E1CC38" w14:textId="54DBA6AD" w:rsidR="00EE1554" w:rsidRPr="00323878" w:rsidRDefault="00880AF6" w:rsidP="00EE1554">
            <w:pPr>
              <w:pStyle w:val="T2"/>
              <w:jc w:val="left"/>
              <w:rPr>
                <w:b/>
              </w:rPr>
            </w:pPr>
            <w:r>
              <w:rPr>
                <w:b/>
              </w:rPr>
              <w:t>Profit/(loss)</w:t>
            </w:r>
            <w:r w:rsidR="00EE1554" w:rsidRPr="00323878">
              <w:rPr>
                <w:b/>
              </w:rPr>
              <w:t xml:space="preserve"> before taxation</w:t>
            </w:r>
          </w:p>
        </w:tc>
        <w:tc>
          <w:tcPr>
            <w:tcW w:w="425" w:type="dxa"/>
            <w:tcBorders>
              <w:top w:val="single" w:sz="2" w:space="0" w:color="auto"/>
              <w:left w:val="nil"/>
              <w:bottom w:val="nil"/>
              <w:right w:val="nil"/>
            </w:tcBorders>
            <w:vAlign w:val="bottom"/>
          </w:tcPr>
          <w:p w14:paraId="35643C5D" w14:textId="77777777" w:rsidR="00EE1554" w:rsidRPr="00E8718C" w:rsidRDefault="00EE1554" w:rsidP="00EE1554">
            <w:pPr>
              <w:jc w:val="right"/>
              <w:rPr>
                <w:sz w:val="18"/>
                <w:szCs w:val="18"/>
              </w:rPr>
            </w:pPr>
          </w:p>
        </w:tc>
        <w:tc>
          <w:tcPr>
            <w:tcW w:w="1134" w:type="dxa"/>
            <w:tcBorders>
              <w:top w:val="single" w:sz="2" w:space="0" w:color="auto"/>
              <w:left w:val="nil"/>
              <w:bottom w:val="nil"/>
              <w:right w:val="nil"/>
            </w:tcBorders>
          </w:tcPr>
          <w:p w14:paraId="616C8237" w14:textId="240A031D" w:rsidR="00EE1554" w:rsidRPr="00A31437" w:rsidRDefault="005F5BB6" w:rsidP="00EE1554">
            <w:pPr>
              <w:pStyle w:val="T2"/>
              <w:jc w:val="right"/>
              <w:rPr>
                <w:b/>
              </w:rPr>
            </w:pPr>
            <w:r>
              <w:rPr>
                <w:b/>
                <w:bCs/>
              </w:rPr>
              <w:t>9.0</w:t>
            </w:r>
          </w:p>
        </w:tc>
        <w:tc>
          <w:tcPr>
            <w:tcW w:w="1134" w:type="dxa"/>
            <w:tcBorders>
              <w:top w:val="single" w:sz="2" w:space="0" w:color="auto"/>
              <w:left w:val="nil"/>
              <w:bottom w:val="nil"/>
              <w:right w:val="nil"/>
            </w:tcBorders>
          </w:tcPr>
          <w:p w14:paraId="1ACC6E4B" w14:textId="0E909EF4" w:rsidR="00EE1554" w:rsidRPr="00A31437" w:rsidRDefault="005F5BB6" w:rsidP="00EE1554">
            <w:pPr>
              <w:pStyle w:val="T2"/>
              <w:jc w:val="right"/>
              <w:rPr>
                <w:b/>
              </w:rPr>
            </w:pPr>
            <w:r>
              <w:rPr>
                <w:b/>
                <w:bCs/>
              </w:rPr>
              <w:t>(8.0)</w:t>
            </w:r>
          </w:p>
        </w:tc>
        <w:tc>
          <w:tcPr>
            <w:tcW w:w="851" w:type="dxa"/>
            <w:tcBorders>
              <w:top w:val="single" w:sz="2" w:space="0" w:color="auto"/>
              <w:left w:val="nil"/>
              <w:bottom w:val="nil"/>
              <w:right w:val="nil"/>
            </w:tcBorders>
          </w:tcPr>
          <w:p w14:paraId="2FB005D2" w14:textId="2AF61421" w:rsidR="00EE1554" w:rsidRPr="00A31437" w:rsidRDefault="005F5BB6" w:rsidP="00EE1554">
            <w:pPr>
              <w:pStyle w:val="T2"/>
              <w:jc w:val="right"/>
              <w:rPr>
                <w:b/>
              </w:rPr>
            </w:pPr>
            <w:r>
              <w:rPr>
                <w:b/>
                <w:bCs/>
              </w:rPr>
              <w:t>1.0</w:t>
            </w:r>
          </w:p>
        </w:tc>
        <w:tc>
          <w:tcPr>
            <w:tcW w:w="1264" w:type="dxa"/>
            <w:tcBorders>
              <w:top w:val="single" w:sz="2" w:space="0" w:color="auto"/>
              <w:left w:val="nil"/>
              <w:bottom w:val="nil"/>
              <w:right w:val="nil"/>
            </w:tcBorders>
          </w:tcPr>
          <w:p w14:paraId="0EDC0336" w14:textId="28640F02" w:rsidR="00EE1554" w:rsidRPr="008A4891" w:rsidRDefault="00EE1554" w:rsidP="00EE1554">
            <w:pPr>
              <w:pStyle w:val="T2"/>
              <w:jc w:val="right"/>
            </w:pPr>
            <w:r w:rsidRPr="008A4891">
              <w:t>(11.5)</w:t>
            </w:r>
          </w:p>
        </w:tc>
        <w:tc>
          <w:tcPr>
            <w:tcW w:w="1134" w:type="dxa"/>
            <w:tcBorders>
              <w:top w:val="single" w:sz="2" w:space="0" w:color="auto"/>
              <w:left w:val="nil"/>
              <w:bottom w:val="nil"/>
              <w:right w:val="nil"/>
            </w:tcBorders>
          </w:tcPr>
          <w:p w14:paraId="2973F1C1" w14:textId="24B3C70F" w:rsidR="00EE1554" w:rsidRPr="008A4891" w:rsidRDefault="00EE1554" w:rsidP="00EE1554">
            <w:pPr>
              <w:pStyle w:val="T2"/>
              <w:jc w:val="right"/>
            </w:pPr>
            <w:r w:rsidRPr="008A4891">
              <w:t>9.7</w:t>
            </w:r>
          </w:p>
        </w:tc>
        <w:tc>
          <w:tcPr>
            <w:tcW w:w="859" w:type="dxa"/>
            <w:tcBorders>
              <w:top w:val="single" w:sz="2" w:space="0" w:color="auto"/>
              <w:left w:val="nil"/>
              <w:bottom w:val="nil"/>
              <w:right w:val="nil"/>
            </w:tcBorders>
          </w:tcPr>
          <w:p w14:paraId="600E495C" w14:textId="10933076" w:rsidR="00EE1554" w:rsidRPr="008A4891" w:rsidRDefault="00EE1554" w:rsidP="00EE1554">
            <w:pPr>
              <w:pStyle w:val="T2"/>
              <w:jc w:val="right"/>
            </w:pPr>
            <w:r w:rsidRPr="008A4891">
              <w:t>(1.8)</w:t>
            </w:r>
          </w:p>
        </w:tc>
      </w:tr>
      <w:tr w:rsidR="00EE1554" w14:paraId="71C0BC54" w14:textId="77777777" w:rsidTr="00811370">
        <w:trPr>
          <w:jc w:val="center"/>
        </w:trPr>
        <w:tc>
          <w:tcPr>
            <w:tcW w:w="3686" w:type="dxa"/>
            <w:tcBorders>
              <w:top w:val="nil"/>
              <w:left w:val="nil"/>
              <w:bottom w:val="single" w:sz="2" w:space="0" w:color="auto"/>
              <w:right w:val="nil"/>
            </w:tcBorders>
            <w:vAlign w:val="bottom"/>
          </w:tcPr>
          <w:p w14:paraId="5928E072" w14:textId="77777777" w:rsidR="00EE1554" w:rsidRPr="00C65534" w:rsidRDefault="00EE1554" w:rsidP="00EE1554">
            <w:pPr>
              <w:pStyle w:val="T2"/>
              <w:jc w:val="left"/>
            </w:pPr>
            <w:r w:rsidRPr="00C65534">
              <w:t>Taxation</w:t>
            </w:r>
          </w:p>
        </w:tc>
        <w:tc>
          <w:tcPr>
            <w:tcW w:w="425" w:type="dxa"/>
            <w:tcBorders>
              <w:top w:val="nil"/>
              <w:left w:val="nil"/>
              <w:bottom w:val="single" w:sz="2" w:space="0" w:color="auto"/>
              <w:right w:val="nil"/>
            </w:tcBorders>
            <w:vAlign w:val="bottom"/>
          </w:tcPr>
          <w:p w14:paraId="1037606A" w14:textId="5EBEBD4A" w:rsidR="00EE1554" w:rsidRPr="00E8718C" w:rsidRDefault="002675EF" w:rsidP="00EE1554">
            <w:pPr>
              <w:jc w:val="right"/>
              <w:rPr>
                <w:sz w:val="18"/>
                <w:szCs w:val="18"/>
              </w:rPr>
            </w:pPr>
            <w:r>
              <w:rPr>
                <w:sz w:val="18"/>
                <w:szCs w:val="18"/>
              </w:rPr>
              <w:t>7</w:t>
            </w:r>
          </w:p>
        </w:tc>
        <w:tc>
          <w:tcPr>
            <w:tcW w:w="1134" w:type="dxa"/>
            <w:tcBorders>
              <w:top w:val="nil"/>
              <w:left w:val="nil"/>
              <w:bottom w:val="single" w:sz="2" w:space="0" w:color="auto"/>
              <w:right w:val="nil"/>
            </w:tcBorders>
          </w:tcPr>
          <w:p w14:paraId="377A84AC" w14:textId="05A49E7D" w:rsidR="00EE1554" w:rsidRPr="00A31437" w:rsidRDefault="005F5BB6" w:rsidP="00EE1554">
            <w:pPr>
              <w:pStyle w:val="T2"/>
              <w:jc w:val="right"/>
              <w:rPr>
                <w:b/>
              </w:rPr>
            </w:pPr>
            <w:r>
              <w:rPr>
                <w:b/>
                <w:bCs/>
              </w:rPr>
              <w:t>(1.7)</w:t>
            </w:r>
          </w:p>
        </w:tc>
        <w:tc>
          <w:tcPr>
            <w:tcW w:w="1134" w:type="dxa"/>
            <w:tcBorders>
              <w:top w:val="nil"/>
              <w:left w:val="nil"/>
              <w:bottom w:val="single" w:sz="2" w:space="0" w:color="auto"/>
              <w:right w:val="nil"/>
            </w:tcBorders>
          </w:tcPr>
          <w:p w14:paraId="72407CDE" w14:textId="3E770E80" w:rsidR="00EE1554" w:rsidRPr="00A31437" w:rsidRDefault="00880AF6" w:rsidP="00EE1554">
            <w:pPr>
              <w:pStyle w:val="T2"/>
              <w:jc w:val="right"/>
              <w:rPr>
                <w:b/>
              </w:rPr>
            </w:pPr>
            <w:r>
              <w:rPr>
                <w:b/>
              </w:rPr>
              <w:t>1.5</w:t>
            </w:r>
          </w:p>
        </w:tc>
        <w:tc>
          <w:tcPr>
            <w:tcW w:w="851" w:type="dxa"/>
            <w:tcBorders>
              <w:top w:val="nil"/>
              <w:left w:val="nil"/>
              <w:bottom w:val="single" w:sz="2" w:space="0" w:color="auto"/>
              <w:right w:val="nil"/>
            </w:tcBorders>
          </w:tcPr>
          <w:p w14:paraId="2F034E4E" w14:textId="7685F80A" w:rsidR="00EE1554" w:rsidRPr="00A31437" w:rsidRDefault="005F5BB6" w:rsidP="00EE1554">
            <w:pPr>
              <w:pStyle w:val="T2"/>
              <w:jc w:val="right"/>
              <w:rPr>
                <w:b/>
              </w:rPr>
            </w:pPr>
            <w:r>
              <w:rPr>
                <w:b/>
                <w:bCs/>
              </w:rPr>
              <w:t>(0.2)</w:t>
            </w:r>
          </w:p>
        </w:tc>
        <w:tc>
          <w:tcPr>
            <w:tcW w:w="1264" w:type="dxa"/>
            <w:tcBorders>
              <w:top w:val="nil"/>
              <w:left w:val="nil"/>
              <w:bottom w:val="single" w:sz="2" w:space="0" w:color="auto"/>
              <w:right w:val="nil"/>
            </w:tcBorders>
          </w:tcPr>
          <w:p w14:paraId="2CDFD157" w14:textId="21A092AD" w:rsidR="00EE1554" w:rsidRPr="008A4891" w:rsidRDefault="00EE1554" w:rsidP="00EE1554">
            <w:pPr>
              <w:pStyle w:val="T2"/>
              <w:jc w:val="right"/>
            </w:pPr>
            <w:r w:rsidRPr="008A4891">
              <w:t>2.0</w:t>
            </w:r>
          </w:p>
        </w:tc>
        <w:tc>
          <w:tcPr>
            <w:tcW w:w="1134" w:type="dxa"/>
            <w:tcBorders>
              <w:top w:val="nil"/>
              <w:left w:val="nil"/>
              <w:bottom w:val="single" w:sz="2" w:space="0" w:color="auto"/>
              <w:right w:val="nil"/>
            </w:tcBorders>
          </w:tcPr>
          <w:p w14:paraId="216EC9A1" w14:textId="1FE8439F" w:rsidR="00EE1554" w:rsidRPr="008A4891" w:rsidRDefault="00EE1554" w:rsidP="00EE1554">
            <w:pPr>
              <w:pStyle w:val="T2"/>
              <w:jc w:val="right"/>
            </w:pPr>
            <w:r w:rsidRPr="008A4891">
              <w:t>0.2</w:t>
            </w:r>
          </w:p>
        </w:tc>
        <w:tc>
          <w:tcPr>
            <w:tcW w:w="859" w:type="dxa"/>
            <w:tcBorders>
              <w:top w:val="nil"/>
              <w:left w:val="nil"/>
              <w:bottom w:val="single" w:sz="2" w:space="0" w:color="auto"/>
              <w:right w:val="nil"/>
            </w:tcBorders>
          </w:tcPr>
          <w:p w14:paraId="3239E2DB" w14:textId="79B6DBA1" w:rsidR="00EE1554" w:rsidRPr="008A4891" w:rsidRDefault="00EE1554" w:rsidP="00EE1554">
            <w:pPr>
              <w:pStyle w:val="T2"/>
              <w:jc w:val="right"/>
            </w:pPr>
            <w:r w:rsidRPr="008A4891">
              <w:t>2.2</w:t>
            </w:r>
          </w:p>
        </w:tc>
      </w:tr>
      <w:tr w:rsidR="00EE1554" w14:paraId="44814EE2" w14:textId="77777777" w:rsidTr="00811370">
        <w:trPr>
          <w:jc w:val="center"/>
        </w:trPr>
        <w:tc>
          <w:tcPr>
            <w:tcW w:w="3686" w:type="dxa"/>
            <w:tcBorders>
              <w:top w:val="single" w:sz="2" w:space="0" w:color="auto"/>
              <w:left w:val="nil"/>
              <w:bottom w:val="single" w:sz="2" w:space="0" w:color="auto"/>
              <w:right w:val="nil"/>
            </w:tcBorders>
            <w:vAlign w:val="bottom"/>
          </w:tcPr>
          <w:p w14:paraId="0A05DB61" w14:textId="31766EDA" w:rsidR="00EE1554" w:rsidRPr="00323878" w:rsidRDefault="00880AF6" w:rsidP="00EE1554">
            <w:pPr>
              <w:pStyle w:val="T2"/>
              <w:jc w:val="left"/>
              <w:rPr>
                <w:b/>
              </w:rPr>
            </w:pPr>
            <w:r>
              <w:rPr>
                <w:b/>
              </w:rPr>
              <w:t>Profit/(loss)</w:t>
            </w:r>
            <w:r w:rsidR="00EE1554" w:rsidRPr="00323878">
              <w:rPr>
                <w:b/>
              </w:rPr>
              <w:t xml:space="preserve"> for the financial period </w:t>
            </w:r>
          </w:p>
        </w:tc>
        <w:tc>
          <w:tcPr>
            <w:tcW w:w="425" w:type="dxa"/>
            <w:tcBorders>
              <w:top w:val="single" w:sz="2" w:space="0" w:color="auto"/>
              <w:left w:val="nil"/>
              <w:bottom w:val="single" w:sz="2" w:space="0" w:color="auto"/>
              <w:right w:val="nil"/>
            </w:tcBorders>
            <w:vAlign w:val="bottom"/>
          </w:tcPr>
          <w:p w14:paraId="1DBDCB44" w14:textId="77777777" w:rsidR="00EE1554" w:rsidRPr="00E8718C" w:rsidRDefault="00EE1554" w:rsidP="00EE1554">
            <w:pPr>
              <w:jc w:val="right"/>
              <w:rPr>
                <w:sz w:val="18"/>
                <w:szCs w:val="18"/>
              </w:rPr>
            </w:pPr>
          </w:p>
        </w:tc>
        <w:tc>
          <w:tcPr>
            <w:tcW w:w="1134" w:type="dxa"/>
            <w:tcBorders>
              <w:top w:val="single" w:sz="2" w:space="0" w:color="auto"/>
              <w:left w:val="nil"/>
              <w:bottom w:val="single" w:sz="2" w:space="0" w:color="auto"/>
              <w:right w:val="nil"/>
            </w:tcBorders>
          </w:tcPr>
          <w:p w14:paraId="152BBDEE" w14:textId="20459D54" w:rsidR="00EE1554" w:rsidRPr="00A31437" w:rsidRDefault="005F5BB6" w:rsidP="00EE1554">
            <w:pPr>
              <w:pStyle w:val="T2"/>
              <w:jc w:val="right"/>
              <w:rPr>
                <w:b/>
              </w:rPr>
            </w:pPr>
            <w:r>
              <w:rPr>
                <w:b/>
                <w:bCs/>
              </w:rPr>
              <w:t>7.3</w:t>
            </w:r>
          </w:p>
        </w:tc>
        <w:tc>
          <w:tcPr>
            <w:tcW w:w="1134" w:type="dxa"/>
            <w:tcBorders>
              <w:top w:val="single" w:sz="2" w:space="0" w:color="auto"/>
              <w:left w:val="nil"/>
              <w:bottom w:val="single" w:sz="2" w:space="0" w:color="auto"/>
              <w:right w:val="nil"/>
            </w:tcBorders>
          </w:tcPr>
          <w:p w14:paraId="4A221F37" w14:textId="1A050335" w:rsidR="00EE1554" w:rsidRPr="00A31437" w:rsidRDefault="005F5BB6" w:rsidP="00EE1554">
            <w:pPr>
              <w:pStyle w:val="T2"/>
              <w:jc w:val="right"/>
              <w:rPr>
                <w:b/>
              </w:rPr>
            </w:pPr>
            <w:r>
              <w:rPr>
                <w:b/>
                <w:bCs/>
              </w:rPr>
              <w:t>(6.5)</w:t>
            </w:r>
          </w:p>
        </w:tc>
        <w:tc>
          <w:tcPr>
            <w:tcW w:w="851" w:type="dxa"/>
            <w:tcBorders>
              <w:top w:val="single" w:sz="2" w:space="0" w:color="auto"/>
              <w:left w:val="nil"/>
              <w:bottom w:val="single" w:sz="2" w:space="0" w:color="auto"/>
              <w:right w:val="nil"/>
            </w:tcBorders>
          </w:tcPr>
          <w:p w14:paraId="1A144CF6" w14:textId="179E06BB" w:rsidR="00EE1554" w:rsidRPr="00A31437" w:rsidRDefault="005F5BB6" w:rsidP="00EE1554">
            <w:pPr>
              <w:pStyle w:val="T2"/>
              <w:jc w:val="right"/>
              <w:rPr>
                <w:b/>
              </w:rPr>
            </w:pPr>
            <w:r>
              <w:rPr>
                <w:b/>
                <w:bCs/>
              </w:rPr>
              <w:t>0.8</w:t>
            </w:r>
          </w:p>
        </w:tc>
        <w:tc>
          <w:tcPr>
            <w:tcW w:w="1264" w:type="dxa"/>
            <w:tcBorders>
              <w:top w:val="single" w:sz="2" w:space="0" w:color="auto"/>
              <w:left w:val="nil"/>
              <w:bottom w:val="single" w:sz="2" w:space="0" w:color="auto"/>
              <w:right w:val="nil"/>
            </w:tcBorders>
          </w:tcPr>
          <w:p w14:paraId="17D933E4" w14:textId="2827AD3F" w:rsidR="00EE1554" w:rsidRPr="008A4891" w:rsidRDefault="00EE1554" w:rsidP="00EE1554">
            <w:pPr>
              <w:pStyle w:val="T2"/>
              <w:jc w:val="right"/>
            </w:pPr>
            <w:r w:rsidRPr="008A4891">
              <w:t>(9.5)</w:t>
            </w:r>
          </w:p>
        </w:tc>
        <w:tc>
          <w:tcPr>
            <w:tcW w:w="1134" w:type="dxa"/>
            <w:tcBorders>
              <w:top w:val="single" w:sz="2" w:space="0" w:color="auto"/>
              <w:left w:val="nil"/>
              <w:bottom w:val="single" w:sz="2" w:space="0" w:color="auto"/>
              <w:right w:val="nil"/>
            </w:tcBorders>
          </w:tcPr>
          <w:p w14:paraId="02A85FFD" w14:textId="2C76F4F1" w:rsidR="00EE1554" w:rsidRPr="008A4891" w:rsidRDefault="00EE1554" w:rsidP="00EE1554">
            <w:pPr>
              <w:pStyle w:val="T2"/>
              <w:jc w:val="right"/>
            </w:pPr>
            <w:r w:rsidRPr="008A4891">
              <w:t>9.9</w:t>
            </w:r>
          </w:p>
        </w:tc>
        <w:tc>
          <w:tcPr>
            <w:tcW w:w="859" w:type="dxa"/>
            <w:tcBorders>
              <w:top w:val="single" w:sz="2" w:space="0" w:color="auto"/>
              <w:left w:val="nil"/>
              <w:bottom w:val="single" w:sz="2" w:space="0" w:color="auto"/>
              <w:right w:val="nil"/>
            </w:tcBorders>
          </w:tcPr>
          <w:p w14:paraId="10771C31" w14:textId="7714BB9A" w:rsidR="00EE1554" w:rsidRPr="008A4891" w:rsidRDefault="00EE1554" w:rsidP="00EE1554">
            <w:pPr>
              <w:pStyle w:val="T2"/>
              <w:jc w:val="right"/>
            </w:pPr>
            <w:r w:rsidRPr="008A4891">
              <w:t>0.4</w:t>
            </w:r>
          </w:p>
        </w:tc>
      </w:tr>
      <w:bookmarkEnd w:id="14"/>
      <w:tr w:rsidR="00EE1554" w14:paraId="5531A808" w14:textId="77777777" w:rsidTr="001F1616">
        <w:trPr>
          <w:jc w:val="center"/>
        </w:trPr>
        <w:tc>
          <w:tcPr>
            <w:tcW w:w="3686" w:type="dxa"/>
            <w:tcBorders>
              <w:top w:val="single" w:sz="2" w:space="0" w:color="auto"/>
              <w:left w:val="nil"/>
              <w:bottom w:val="nil"/>
              <w:right w:val="nil"/>
            </w:tcBorders>
            <w:vAlign w:val="bottom"/>
          </w:tcPr>
          <w:p w14:paraId="2FBBFEBB" w14:textId="77777777" w:rsidR="00EE1554" w:rsidRPr="00E8718C" w:rsidRDefault="00EE1554" w:rsidP="00EE1554">
            <w:pPr>
              <w:rPr>
                <w:sz w:val="18"/>
                <w:szCs w:val="18"/>
              </w:rPr>
            </w:pPr>
          </w:p>
        </w:tc>
        <w:tc>
          <w:tcPr>
            <w:tcW w:w="425" w:type="dxa"/>
            <w:tcBorders>
              <w:top w:val="single" w:sz="2" w:space="0" w:color="auto"/>
              <w:left w:val="nil"/>
              <w:bottom w:val="nil"/>
              <w:right w:val="nil"/>
            </w:tcBorders>
            <w:vAlign w:val="bottom"/>
          </w:tcPr>
          <w:p w14:paraId="5A282279" w14:textId="77777777" w:rsidR="00EE1554" w:rsidRPr="00E8718C" w:rsidRDefault="00EE1554" w:rsidP="00EE1554">
            <w:pPr>
              <w:jc w:val="right"/>
              <w:rPr>
                <w:sz w:val="18"/>
                <w:szCs w:val="18"/>
              </w:rPr>
            </w:pPr>
          </w:p>
        </w:tc>
        <w:tc>
          <w:tcPr>
            <w:tcW w:w="1134" w:type="dxa"/>
            <w:tcBorders>
              <w:top w:val="single" w:sz="2" w:space="0" w:color="auto"/>
              <w:left w:val="nil"/>
              <w:bottom w:val="nil"/>
              <w:right w:val="nil"/>
            </w:tcBorders>
            <w:vAlign w:val="bottom"/>
          </w:tcPr>
          <w:p w14:paraId="50BF744B" w14:textId="77777777" w:rsidR="00EE1554" w:rsidRPr="00A31437" w:rsidRDefault="00EE1554" w:rsidP="00EE1554">
            <w:pPr>
              <w:pStyle w:val="T2"/>
              <w:jc w:val="right"/>
              <w:rPr>
                <w:b/>
              </w:rPr>
            </w:pPr>
          </w:p>
        </w:tc>
        <w:tc>
          <w:tcPr>
            <w:tcW w:w="1134" w:type="dxa"/>
            <w:tcBorders>
              <w:top w:val="single" w:sz="2" w:space="0" w:color="auto"/>
              <w:left w:val="nil"/>
              <w:bottom w:val="nil"/>
              <w:right w:val="nil"/>
            </w:tcBorders>
            <w:vAlign w:val="bottom"/>
          </w:tcPr>
          <w:p w14:paraId="5BDD3025" w14:textId="77777777" w:rsidR="00EE1554" w:rsidRPr="00A31437" w:rsidRDefault="00EE1554" w:rsidP="00EE1554">
            <w:pPr>
              <w:pStyle w:val="T2"/>
              <w:jc w:val="right"/>
              <w:rPr>
                <w:b/>
              </w:rPr>
            </w:pPr>
          </w:p>
        </w:tc>
        <w:tc>
          <w:tcPr>
            <w:tcW w:w="851" w:type="dxa"/>
            <w:tcBorders>
              <w:top w:val="single" w:sz="2" w:space="0" w:color="auto"/>
              <w:left w:val="nil"/>
              <w:bottom w:val="nil"/>
              <w:right w:val="nil"/>
            </w:tcBorders>
            <w:vAlign w:val="bottom"/>
          </w:tcPr>
          <w:p w14:paraId="4F8CDF8C" w14:textId="77777777" w:rsidR="00EE1554" w:rsidRPr="00A31437" w:rsidRDefault="00EE1554" w:rsidP="00EE1554">
            <w:pPr>
              <w:pStyle w:val="T2"/>
              <w:jc w:val="right"/>
              <w:rPr>
                <w:b/>
              </w:rPr>
            </w:pPr>
          </w:p>
        </w:tc>
        <w:tc>
          <w:tcPr>
            <w:tcW w:w="1264" w:type="dxa"/>
            <w:tcBorders>
              <w:top w:val="single" w:sz="2" w:space="0" w:color="auto"/>
              <w:left w:val="nil"/>
              <w:bottom w:val="nil"/>
              <w:right w:val="nil"/>
            </w:tcBorders>
            <w:vAlign w:val="bottom"/>
          </w:tcPr>
          <w:p w14:paraId="6A68CB1C" w14:textId="77777777" w:rsidR="00EE1554" w:rsidRPr="00006931" w:rsidRDefault="00EE1554" w:rsidP="00EE1554">
            <w:pPr>
              <w:pStyle w:val="T2"/>
              <w:jc w:val="right"/>
              <w:rPr>
                <w:bCs/>
              </w:rPr>
            </w:pPr>
          </w:p>
        </w:tc>
        <w:tc>
          <w:tcPr>
            <w:tcW w:w="1134" w:type="dxa"/>
            <w:tcBorders>
              <w:top w:val="single" w:sz="2" w:space="0" w:color="auto"/>
              <w:left w:val="nil"/>
              <w:bottom w:val="nil"/>
              <w:right w:val="nil"/>
            </w:tcBorders>
            <w:vAlign w:val="bottom"/>
          </w:tcPr>
          <w:p w14:paraId="5144D56D" w14:textId="77777777" w:rsidR="00EE1554" w:rsidRPr="005D0EFF" w:rsidRDefault="00EE1554" w:rsidP="00EE1554">
            <w:pPr>
              <w:pStyle w:val="T2"/>
              <w:jc w:val="right"/>
              <w:rPr>
                <w:bCs/>
              </w:rPr>
            </w:pPr>
          </w:p>
        </w:tc>
        <w:tc>
          <w:tcPr>
            <w:tcW w:w="859" w:type="dxa"/>
            <w:tcBorders>
              <w:top w:val="single" w:sz="2" w:space="0" w:color="auto"/>
              <w:left w:val="nil"/>
              <w:bottom w:val="nil"/>
              <w:right w:val="nil"/>
            </w:tcBorders>
            <w:vAlign w:val="bottom"/>
          </w:tcPr>
          <w:p w14:paraId="58BC91C9" w14:textId="77777777" w:rsidR="00EE1554" w:rsidRPr="005D0EFF" w:rsidRDefault="00EE1554" w:rsidP="00EE1554">
            <w:pPr>
              <w:pStyle w:val="T2"/>
              <w:jc w:val="right"/>
              <w:rPr>
                <w:bCs/>
              </w:rPr>
            </w:pPr>
          </w:p>
        </w:tc>
      </w:tr>
      <w:tr w:rsidR="00EE1554" w14:paraId="495A9B31" w14:textId="77777777" w:rsidTr="001F1616">
        <w:trPr>
          <w:jc w:val="center"/>
        </w:trPr>
        <w:tc>
          <w:tcPr>
            <w:tcW w:w="3686" w:type="dxa"/>
            <w:tcBorders>
              <w:top w:val="nil"/>
              <w:left w:val="nil"/>
              <w:bottom w:val="nil"/>
              <w:right w:val="nil"/>
            </w:tcBorders>
            <w:vAlign w:val="bottom"/>
          </w:tcPr>
          <w:p w14:paraId="6D0816D7" w14:textId="77777777" w:rsidR="00EE1554" w:rsidRPr="00323878" w:rsidRDefault="00EE1554" w:rsidP="00EE1554">
            <w:pPr>
              <w:pStyle w:val="T2"/>
              <w:jc w:val="left"/>
              <w:rPr>
                <w:b/>
              </w:rPr>
            </w:pPr>
            <w:r w:rsidRPr="00323878">
              <w:rPr>
                <w:b/>
              </w:rPr>
              <w:t>Attributable to:</w:t>
            </w:r>
          </w:p>
        </w:tc>
        <w:tc>
          <w:tcPr>
            <w:tcW w:w="425" w:type="dxa"/>
            <w:tcBorders>
              <w:top w:val="nil"/>
              <w:left w:val="nil"/>
              <w:bottom w:val="nil"/>
              <w:right w:val="nil"/>
            </w:tcBorders>
            <w:vAlign w:val="bottom"/>
          </w:tcPr>
          <w:p w14:paraId="6A61316F" w14:textId="77777777" w:rsidR="00EE1554" w:rsidRPr="00E8718C" w:rsidRDefault="00EE1554" w:rsidP="00EE1554">
            <w:pPr>
              <w:jc w:val="right"/>
              <w:rPr>
                <w:sz w:val="18"/>
                <w:szCs w:val="18"/>
              </w:rPr>
            </w:pPr>
          </w:p>
        </w:tc>
        <w:tc>
          <w:tcPr>
            <w:tcW w:w="1134" w:type="dxa"/>
            <w:tcBorders>
              <w:top w:val="nil"/>
              <w:left w:val="nil"/>
              <w:bottom w:val="nil"/>
              <w:right w:val="nil"/>
            </w:tcBorders>
            <w:vAlign w:val="bottom"/>
          </w:tcPr>
          <w:p w14:paraId="2DB26EEE" w14:textId="77777777" w:rsidR="00EE1554" w:rsidRPr="00A31437" w:rsidRDefault="00EE1554" w:rsidP="00EE1554">
            <w:pPr>
              <w:pStyle w:val="T2"/>
              <w:jc w:val="right"/>
              <w:rPr>
                <w:b/>
              </w:rPr>
            </w:pPr>
          </w:p>
        </w:tc>
        <w:tc>
          <w:tcPr>
            <w:tcW w:w="1134" w:type="dxa"/>
            <w:tcBorders>
              <w:top w:val="nil"/>
              <w:left w:val="nil"/>
              <w:bottom w:val="nil"/>
              <w:right w:val="nil"/>
            </w:tcBorders>
            <w:vAlign w:val="bottom"/>
          </w:tcPr>
          <w:p w14:paraId="315660C0" w14:textId="77777777" w:rsidR="00EE1554" w:rsidRPr="00A31437" w:rsidRDefault="00EE1554" w:rsidP="00EE1554">
            <w:pPr>
              <w:pStyle w:val="T2"/>
              <w:jc w:val="right"/>
              <w:rPr>
                <w:b/>
              </w:rPr>
            </w:pPr>
          </w:p>
        </w:tc>
        <w:tc>
          <w:tcPr>
            <w:tcW w:w="851" w:type="dxa"/>
            <w:tcBorders>
              <w:top w:val="nil"/>
              <w:left w:val="nil"/>
              <w:bottom w:val="nil"/>
              <w:right w:val="nil"/>
            </w:tcBorders>
            <w:vAlign w:val="bottom"/>
          </w:tcPr>
          <w:p w14:paraId="59CA79BE" w14:textId="77777777" w:rsidR="00EE1554" w:rsidRPr="00A31437" w:rsidRDefault="00EE1554" w:rsidP="00EE1554">
            <w:pPr>
              <w:pStyle w:val="T2"/>
              <w:jc w:val="right"/>
              <w:rPr>
                <w:b/>
              </w:rPr>
            </w:pPr>
          </w:p>
        </w:tc>
        <w:tc>
          <w:tcPr>
            <w:tcW w:w="1264" w:type="dxa"/>
            <w:tcBorders>
              <w:top w:val="nil"/>
              <w:left w:val="nil"/>
              <w:bottom w:val="nil"/>
              <w:right w:val="nil"/>
            </w:tcBorders>
            <w:vAlign w:val="bottom"/>
          </w:tcPr>
          <w:p w14:paraId="47AD5F9D" w14:textId="77777777" w:rsidR="00EE1554" w:rsidRPr="00006931" w:rsidRDefault="00EE1554" w:rsidP="00EE1554">
            <w:pPr>
              <w:pStyle w:val="T2"/>
              <w:jc w:val="right"/>
              <w:rPr>
                <w:bCs/>
              </w:rPr>
            </w:pPr>
          </w:p>
        </w:tc>
        <w:tc>
          <w:tcPr>
            <w:tcW w:w="1134" w:type="dxa"/>
            <w:tcBorders>
              <w:top w:val="nil"/>
              <w:left w:val="nil"/>
              <w:bottom w:val="nil"/>
              <w:right w:val="nil"/>
            </w:tcBorders>
            <w:vAlign w:val="bottom"/>
          </w:tcPr>
          <w:p w14:paraId="6139F1F6" w14:textId="77777777" w:rsidR="00EE1554" w:rsidRPr="005D0EFF" w:rsidRDefault="00EE1554" w:rsidP="00EE1554">
            <w:pPr>
              <w:pStyle w:val="T2"/>
              <w:jc w:val="right"/>
              <w:rPr>
                <w:bCs/>
              </w:rPr>
            </w:pPr>
          </w:p>
        </w:tc>
        <w:tc>
          <w:tcPr>
            <w:tcW w:w="859" w:type="dxa"/>
            <w:tcBorders>
              <w:top w:val="nil"/>
              <w:left w:val="nil"/>
              <w:bottom w:val="nil"/>
              <w:right w:val="nil"/>
            </w:tcBorders>
            <w:vAlign w:val="bottom"/>
          </w:tcPr>
          <w:p w14:paraId="070441BD" w14:textId="77777777" w:rsidR="00EE1554" w:rsidRPr="005D0EFF" w:rsidRDefault="00EE1554" w:rsidP="00EE1554">
            <w:pPr>
              <w:pStyle w:val="T2"/>
              <w:jc w:val="right"/>
              <w:rPr>
                <w:bCs/>
              </w:rPr>
            </w:pPr>
          </w:p>
        </w:tc>
      </w:tr>
      <w:tr w:rsidR="00EE1554" w14:paraId="1EFB1A73" w14:textId="77777777" w:rsidTr="00167D00">
        <w:trPr>
          <w:jc w:val="center"/>
        </w:trPr>
        <w:tc>
          <w:tcPr>
            <w:tcW w:w="3686" w:type="dxa"/>
            <w:tcBorders>
              <w:top w:val="nil"/>
              <w:left w:val="nil"/>
              <w:bottom w:val="nil"/>
              <w:right w:val="nil"/>
            </w:tcBorders>
            <w:vAlign w:val="bottom"/>
          </w:tcPr>
          <w:p w14:paraId="34009519" w14:textId="77777777" w:rsidR="00EE1554" w:rsidRPr="00196A88" w:rsidRDefault="00EE1554" w:rsidP="00EE1554">
            <w:pPr>
              <w:pStyle w:val="T2"/>
              <w:jc w:val="left"/>
            </w:pPr>
            <w:r w:rsidRPr="00196A88">
              <w:t xml:space="preserve">Equity </w:t>
            </w:r>
            <w:r>
              <w:t>shareholders</w:t>
            </w:r>
          </w:p>
        </w:tc>
        <w:tc>
          <w:tcPr>
            <w:tcW w:w="425" w:type="dxa"/>
            <w:tcBorders>
              <w:top w:val="nil"/>
              <w:left w:val="nil"/>
              <w:bottom w:val="nil"/>
              <w:right w:val="nil"/>
            </w:tcBorders>
            <w:vAlign w:val="bottom"/>
          </w:tcPr>
          <w:p w14:paraId="1564A1F2" w14:textId="77777777" w:rsidR="00EE1554" w:rsidRPr="00E8718C" w:rsidRDefault="00EE1554" w:rsidP="00EE1554">
            <w:pPr>
              <w:jc w:val="right"/>
              <w:rPr>
                <w:sz w:val="18"/>
                <w:szCs w:val="18"/>
              </w:rPr>
            </w:pPr>
          </w:p>
        </w:tc>
        <w:tc>
          <w:tcPr>
            <w:tcW w:w="1134" w:type="dxa"/>
            <w:tcBorders>
              <w:top w:val="nil"/>
              <w:left w:val="nil"/>
              <w:bottom w:val="nil"/>
              <w:right w:val="nil"/>
            </w:tcBorders>
          </w:tcPr>
          <w:p w14:paraId="50A58DCA" w14:textId="75A11F57" w:rsidR="00EE1554" w:rsidRPr="00A31437" w:rsidRDefault="005F5BB6" w:rsidP="00EE1554">
            <w:pPr>
              <w:pStyle w:val="T2"/>
              <w:jc w:val="right"/>
              <w:rPr>
                <w:b/>
              </w:rPr>
            </w:pPr>
            <w:r>
              <w:rPr>
                <w:b/>
                <w:bCs/>
              </w:rPr>
              <w:t>7.3</w:t>
            </w:r>
          </w:p>
        </w:tc>
        <w:tc>
          <w:tcPr>
            <w:tcW w:w="1134" w:type="dxa"/>
            <w:tcBorders>
              <w:top w:val="nil"/>
              <w:left w:val="nil"/>
              <w:bottom w:val="nil"/>
              <w:right w:val="nil"/>
            </w:tcBorders>
          </w:tcPr>
          <w:p w14:paraId="7A3D6628" w14:textId="2E6ADC26" w:rsidR="00EE1554" w:rsidRPr="00A31437" w:rsidRDefault="005F5BB6" w:rsidP="00EE1554">
            <w:pPr>
              <w:pStyle w:val="T2"/>
              <w:jc w:val="right"/>
              <w:rPr>
                <w:b/>
              </w:rPr>
            </w:pPr>
            <w:r>
              <w:rPr>
                <w:b/>
                <w:bCs/>
              </w:rPr>
              <w:t>(6.5)</w:t>
            </w:r>
          </w:p>
        </w:tc>
        <w:tc>
          <w:tcPr>
            <w:tcW w:w="851" w:type="dxa"/>
            <w:tcBorders>
              <w:top w:val="nil"/>
              <w:left w:val="nil"/>
              <w:bottom w:val="nil"/>
              <w:right w:val="nil"/>
            </w:tcBorders>
          </w:tcPr>
          <w:p w14:paraId="2084FC54" w14:textId="603DC539" w:rsidR="00EE1554" w:rsidRPr="00A31437" w:rsidRDefault="005F5BB6" w:rsidP="00EE1554">
            <w:pPr>
              <w:pStyle w:val="T2"/>
              <w:jc w:val="right"/>
              <w:rPr>
                <w:b/>
              </w:rPr>
            </w:pPr>
            <w:r>
              <w:rPr>
                <w:b/>
                <w:bCs/>
              </w:rPr>
              <w:t>0.8</w:t>
            </w:r>
          </w:p>
        </w:tc>
        <w:tc>
          <w:tcPr>
            <w:tcW w:w="1264" w:type="dxa"/>
            <w:tcBorders>
              <w:top w:val="nil"/>
              <w:left w:val="nil"/>
              <w:bottom w:val="nil"/>
              <w:right w:val="nil"/>
            </w:tcBorders>
          </w:tcPr>
          <w:p w14:paraId="28D0D64B" w14:textId="40469EC9" w:rsidR="00EE1554" w:rsidRPr="008A4891" w:rsidRDefault="00EE1554" w:rsidP="00EE1554">
            <w:pPr>
              <w:pStyle w:val="T2"/>
              <w:jc w:val="right"/>
            </w:pPr>
            <w:r w:rsidRPr="008A4891">
              <w:t>(9.8)</w:t>
            </w:r>
          </w:p>
        </w:tc>
        <w:tc>
          <w:tcPr>
            <w:tcW w:w="1134" w:type="dxa"/>
            <w:tcBorders>
              <w:top w:val="nil"/>
              <w:left w:val="nil"/>
              <w:bottom w:val="nil"/>
              <w:right w:val="nil"/>
            </w:tcBorders>
          </w:tcPr>
          <w:p w14:paraId="6EB9C26D" w14:textId="70465F75" w:rsidR="00EE1554" w:rsidRPr="008A4891" w:rsidRDefault="00EE1554" w:rsidP="00EE1554">
            <w:pPr>
              <w:pStyle w:val="T2"/>
              <w:jc w:val="right"/>
            </w:pPr>
            <w:r w:rsidRPr="008A4891">
              <w:t>9.9</w:t>
            </w:r>
          </w:p>
        </w:tc>
        <w:tc>
          <w:tcPr>
            <w:tcW w:w="859" w:type="dxa"/>
            <w:tcBorders>
              <w:top w:val="nil"/>
              <w:left w:val="nil"/>
              <w:bottom w:val="nil"/>
              <w:right w:val="nil"/>
            </w:tcBorders>
          </w:tcPr>
          <w:p w14:paraId="6764BEDD" w14:textId="56C8EE8F" w:rsidR="00EE1554" w:rsidRPr="008A4891" w:rsidRDefault="00EE1554" w:rsidP="00EE1554">
            <w:pPr>
              <w:pStyle w:val="T2"/>
              <w:jc w:val="right"/>
            </w:pPr>
            <w:r w:rsidRPr="008A4891">
              <w:t>0.1</w:t>
            </w:r>
          </w:p>
        </w:tc>
      </w:tr>
      <w:tr w:rsidR="00EE1554" w14:paraId="6B7B5601" w14:textId="77777777" w:rsidTr="00167D00">
        <w:trPr>
          <w:jc w:val="center"/>
        </w:trPr>
        <w:tc>
          <w:tcPr>
            <w:tcW w:w="3686" w:type="dxa"/>
            <w:tcBorders>
              <w:top w:val="nil"/>
              <w:left w:val="nil"/>
              <w:bottom w:val="single" w:sz="2" w:space="0" w:color="auto"/>
              <w:right w:val="nil"/>
            </w:tcBorders>
            <w:vAlign w:val="bottom"/>
          </w:tcPr>
          <w:p w14:paraId="2232726A" w14:textId="77777777" w:rsidR="00EE1554" w:rsidRDefault="00EE1554" w:rsidP="00EE1554">
            <w:pPr>
              <w:pStyle w:val="T2"/>
              <w:jc w:val="left"/>
            </w:pPr>
            <w:r w:rsidRPr="00196A88">
              <w:t>Non</w:t>
            </w:r>
            <w:r>
              <w:t>–</w:t>
            </w:r>
            <w:r w:rsidRPr="00196A88">
              <w:t>controlling interests</w:t>
            </w:r>
          </w:p>
        </w:tc>
        <w:tc>
          <w:tcPr>
            <w:tcW w:w="425" w:type="dxa"/>
            <w:tcBorders>
              <w:top w:val="nil"/>
              <w:left w:val="nil"/>
              <w:bottom w:val="single" w:sz="2" w:space="0" w:color="auto"/>
              <w:right w:val="nil"/>
            </w:tcBorders>
            <w:vAlign w:val="bottom"/>
          </w:tcPr>
          <w:p w14:paraId="045C0EAC" w14:textId="77777777" w:rsidR="00EE1554" w:rsidRPr="00E8718C" w:rsidRDefault="00EE1554" w:rsidP="00EE1554">
            <w:pPr>
              <w:jc w:val="right"/>
              <w:rPr>
                <w:sz w:val="18"/>
                <w:szCs w:val="18"/>
              </w:rPr>
            </w:pPr>
          </w:p>
        </w:tc>
        <w:tc>
          <w:tcPr>
            <w:tcW w:w="1134" w:type="dxa"/>
            <w:tcBorders>
              <w:top w:val="nil"/>
              <w:left w:val="nil"/>
              <w:bottom w:val="single" w:sz="2" w:space="0" w:color="auto"/>
              <w:right w:val="nil"/>
            </w:tcBorders>
          </w:tcPr>
          <w:p w14:paraId="5AAB9EDF" w14:textId="61108968" w:rsidR="00EE1554" w:rsidRPr="00A31437" w:rsidRDefault="00EE1554" w:rsidP="00EE1554">
            <w:pPr>
              <w:pStyle w:val="T2"/>
              <w:jc w:val="right"/>
              <w:rPr>
                <w:b/>
              </w:rPr>
            </w:pPr>
            <w:r w:rsidRPr="00543A66">
              <w:rPr>
                <w:b/>
                <w:bCs/>
              </w:rPr>
              <w:t>–</w:t>
            </w:r>
          </w:p>
        </w:tc>
        <w:tc>
          <w:tcPr>
            <w:tcW w:w="1134" w:type="dxa"/>
            <w:tcBorders>
              <w:top w:val="nil"/>
              <w:left w:val="nil"/>
              <w:bottom w:val="single" w:sz="2" w:space="0" w:color="auto"/>
              <w:right w:val="nil"/>
            </w:tcBorders>
          </w:tcPr>
          <w:p w14:paraId="04FAA84F" w14:textId="58AE92F4" w:rsidR="00EE1554" w:rsidRPr="00A31437" w:rsidRDefault="00EE1554" w:rsidP="00EE1554">
            <w:pPr>
              <w:pStyle w:val="T2"/>
              <w:jc w:val="right"/>
              <w:rPr>
                <w:b/>
              </w:rPr>
            </w:pPr>
            <w:r w:rsidRPr="00543A66">
              <w:rPr>
                <w:b/>
                <w:bCs/>
              </w:rPr>
              <w:t>–</w:t>
            </w:r>
          </w:p>
        </w:tc>
        <w:tc>
          <w:tcPr>
            <w:tcW w:w="851" w:type="dxa"/>
            <w:tcBorders>
              <w:top w:val="nil"/>
              <w:left w:val="nil"/>
              <w:bottom w:val="single" w:sz="2" w:space="0" w:color="auto"/>
              <w:right w:val="nil"/>
            </w:tcBorders>
          </w:tcPr>
          <w:p w14:paraId="1F178344" w14:textId="28019808" w:rsidR="00EE1554" w:rsidRPr="00A31437" w:rsidRDefault="00EE1554" w:rsidP="00EE1554">
            <w:pPr>
              <w:pStyle w:val="T2"/>
              <w:jc w:val="right"/>
              <w:rPr>
                <w:b/>
              </w:rPr>
            </w:pPr>
            <w:r w:rsidRPr="00543A66">
              <w:rPr>
                <w:b/>
                <w:bCs/>
              </w:rPr>
              <w:t>–</w:t>
            </w:r>
          </w:p>
        </w:tc>
        <w:tc>
          <w:tcPr>
            <w:tcW w:w="1264" w:type="dxa"/>
            <w:tcBorders>
              <w:top w:val="nil"/>
              <w:left w:val="nil"/>
              <w:bottom w:val="single" w:sz="2" w:space="0" w:color="auto"/>
              <w:right w:val="nil"/>
            </w:tcBorders>
          </w:tcPr>
          <w:p w14:paraId="641393C1" w14:textId="7574C2E1" w:rsidR="00EE1554" w:rsidRPr="008A4891" w:rsidRDefault="00EE1554" w:rsidP="00EE1554">
            <w:pPr>
              <w:pStyle w:val="T2"/>
              <w:jc w:val="right"/>
            </w:pPr>
            <w:r w:rsidRPr="008A4891">
              <w:t>0.3</w:t>
            </w:r>
          </w:p>
        </w:tc>
        <w:tc>
          <w:tcPr>
            <w:tcW w:w="1134" w:type="dxa"/>
            <w:tcBorders>
              <w:top w:val="nil"/>
              <w:left w:val="nil"/>
              <w:bottom w:val="single" w:sz="2" w:space="0" w:color="auto"/>
              <w:right w:val="nil"/>
            </w:tcBorders>
          </w:tcPr>
          <w:p w14:paraId="5E183AF6" w14:textId="1B653743" w:rsidR="00EE1554" w:rsidRPr="008A4891" w:rsidRDefault="00EE1554" w:rsidP="00EE1554">
            <w:pPr>
              <w:pStyle w:val="T2"/>
              <w:jc w:val="right"/>
            </w:pPr>
            <w:r w:rsidRPr="008A4891">
              <w:t>–</w:t>
            </w:r>
          </w:p>
        </w:tc>
        <w:tc>
          <w:tcPr>
            <w:tcW w:w="859" w:type="dxa"/>
            <w:tcBorders>
              <w:top w:val="nil"/>
              <w:left w:val="nil"/>
              <w:bottom w:val="single" w:sz="2" w:space="0" w:color="auto"/>
              <w:right w:val="nil"/>
            </w:tcBorders>
          </w:tcPr>
          <w:p w14:paraId="629AE620" w14:textId="1505D331" w:rsidR="00EE1554" w:rsidRPr="008A4891" w:rsidRDefault="00EE1554" w:rsidP="00EE1554">
            <w:pPr>
              <w:pStyle w:val="T2"/>
              <w:jc w:val="right"/>
            </w:pPr>
            <w:r w:rsidRPr="008A4891">
              <w:t>0.3</w:t>
            </w:r>
          </w:p>
        </w:tc>
      </w:tr>
      <w:tr w:rsidR="00EE1554" w14:paraId="3F8C0501" w14:textId="77777777" w:rsidTr="00167D00">
        <w:trPr>
          <w:jc w:val="center"/>
        </w:trPr>
        <w:tc>
          <w:tcPr>
            <w:tcW w:w="3686" w:type="dxa"/>
            <w:tcBorders>
              <w:top w:val="single" w:sz="2" w:space="0" w:color="auto"/>
              <w:left w:val="nil"/>
              <w:bottom w:val="single" w:sz="2" w:space="0" w:color="auto"/>
              <w:right w:val="nil"/>
            </w:tcBorders>
            <w:vAlign w:val="bottom"/>
          </w:tcPr>
          <w:p w14:paraId="759F5248" w14:textId="77777777" w:rsidR="00EE1554" w:rsidRPr="00196A88" w:rsidRDefault="00EE1554" w:rsidP="00EE1554">
            <w:pPr>
              <w:pStyle w:val="T2"/>
              <w:jc w:val="left"/>
            </w:pPr>
          </w:p>
        </w:tc>
        <w:tc>
          <w:tcPr>
            <w:tcW w:w="425" w:type="dxa"/>
            <w:tcBorders>
              <w:top w:val="single" w:sz="2" w:space="0" w:color="auto"/>
              <w:left w:val="nil"/>
              <w:bottom w:val="single" w:sz="2" w:space="0" w:color="auto"/>
              <w:right w:val="nil"/>
            </w:tcBorders>
            <w:vAlign w:val="bottom"/>
          </w:tcPr>
          <w:p w14:paraId="7C247FFA" w14:textId="77777777" w:rsidR="00EE1554" w:rsidRPr="00E8718C" w:rsidRDefault="00EE1554" w:rsidP="00EE1554">
            <w:pPr>
              <w:jc w:val="right"/>
              <w:rPr>
                <w:sz w:val="18"/>
                <w:szCs w:val="18"/>
              </w:rPr>
            </w:pPr>
          </w:p>
        </w:tc>
        <w:tc>
          <w:tcPr>
            <w:tcW w:w="1134" w:type="dxa"/>
            <w:tcBorders>
              <w:top w:val="single" w:sz="2" w:space="0" w:color="auto"/>
              <w:left w:val="nil"/>
              <w:bottom w:val="single" w:sz="2" w:space="0" w:color="auto"/>
              <w:right w:val="nil"/>
            </w:tcBorders>
          </w:tcPr>
          <w:p w14:paraId="1F4E8259" w14:textId="1D75DA7C" w:rsidR="00EE1554" w:rsidRPr="00A31437" w:rsidRDefault="005F5BB6" w:rsidP="00EE1554">
            <w:pPr>
              <w:pStyle w:val="T2"/>
              <w:jc w:val="right"/>
              <w:rPr>
                <w:b/>
              </w:rPr>
            </w:pPr>
            <w:r>
              <w:rPr>
                <w:b/>
                <w:bCs/>
              </w:rPr>
              <w:t>7.3</w:t>
            </w:r>
          </w:p>
        </w:tc>
        <w:tc>
          <w:tcPr>
            <w:tcW w:w="1134" w:type="dxa"/>
            <w:tcBorders>
              <w:top w:val="single" w:sz="2" w:space="0" w:color="auto"/>
              <w:left w:val="nil"/>
              <w:bottom w:val="single" w:sz="2" w:space="0" w:color="auto"/>
              <w:right w:val="nil"/>
            </w:tcBorders>
          </w:tcPr>
          <w:p w14:paraId="21EB52CC" w14:textId="326F7081" w:rsidR="00EE1554" w:rsidRPr="00A31437" w:rsidRDefault="005F5BB6" w:rsidP="00EE1554">
            <w:pPr>
              <w:pStyle w:val="T2"/>
              <w:jc w:val="right"/>
              <w:rPr>
                <w:b/>
              </w:rPr>
            </w:pPr>
            <w:r>
              <w:rPr>
                <w:b/>
                <w:bCs/>
              </w:rPr>
              <w:t>(6.5)</w:t>
            </w:r>
          </w:p>
        </w:tc>
        <w:tc>
          <w:tcPr>
            <w:tcW w:w="851" w:type="dxa"/>
            <w:tcBorders>
              <w:top w:val="single" w:sz="2" w:space="0" w:color="auto"/>
              <w:left w:val="nil"/>
              <w:bottom w:val="single" w:sz="2" w:space="0" w:color="auto"/>
              <w:right w:val="nil"/>
            </w:tcBorders>
          </w:tcPr>
          <w:p w14:paraId="5BD41401" w14:textId="5872DA78" w:rsidR="00EE1554" w:rsidRPr="00A31437" w:rsidRDefault="005F5BB6" w:rsidP="00EE1554">
            <w:pPr>
              <w:pStyle w:val="T2"/>
              <w:jc w:val="right"/>
              <w:rPr>
                <w:b/>
              </w:rPr>
            </w:pPr>
            <w:r>
              <w:rPr>
                <w:b/>
                <w:bCs/>
              </w:rPr>
              <w:t>0.8</w:t>
            </w:r>
          </w:p>
        </w:tc>
        <w:tc>
          <w:tcPr>
            <w:tcW w:w="1264" w:type="dxa"/>
            <w:tcBorders>
              <w:top w:val="single" w:sz="2" w:space="0" w:color="auto"/>
              <w:left w:val="nil"/>
              <w:bottom w:val="single" w:sz="2" w:space="0" w:color="auto"/>
              <w:right w:val="nil"/>
            </w:tcBorders>
          </w:tcPr>
          <w:p w14:paraId="72105788" w14:textId="1B83CE14" w:rsidR="00EE1554" w:rsidRPr="008A4891" w:rsidRDefault="00EE1554" w:rsidP="00EE1554">
            <w:pPr>
              <w:pStyle w:val="T2"/>
              <w:jc w:val="right"/>
            </w:pPr>
            <w:r w:rsidRPr="008A4891">
              <w:t>(9.5)</w:t>
            </w:r>
          </w:p>
        </w:tc>
        <w:tc>
          <w:tcPr>
            <w:tcW w:w="1134" w:type="dxa"/>
            <w:tcBorders>
              <w:top w:val="single" w:sz="2" w:space="0" w:color="auto"/>
              <w:left w:val="nil"/>
              <w:bottom w:val="single" w:sz="2" w:space="0" w:color="auto"/>
              <w:right w:val="nil"/>
            </w:tcBorders>
          </w:tcPr>
          <w:p w14:paraId="77FAEF31" w14:textId="2A858F7D" w:rsidR="00EE1554" w:rsidRPr="008A4891" w:rsidRDefault="00EE1554" w:rsidP="00EE1554">
            <w:pPr>
              <w:pStyle w:val="T2"/>
              <w:jc w:val="right"/>
            </w:pPr>
            <w:r w:rsidRPr="008A4891">
              <w:t>9.9</w:t>
            </w:r>
          </w:p>
        </w:tc>
        <w:tc>
          <w:tcPr>
            <w:tcW w:w="859" w:type="dxa"/>
            <w:tcBorders>
              <w:top w:val="single" w:sz="2" w:space="0" w:color="auto"/>
              <w:left w:val="nil"/>
              <w:bottom w:val="single" w:sz="2" w:space="0" w:color="auto"/>
              <w:right w:val="nil"/>
            </w:tcBorders>
          </w:tcPr>
          <w:p w14:paraId="70B7357E" w14:textId="60DE670E" w:rsidR="00EE1554" w:rsidRPr="008A4891" w:rsidRDefault="00EE1554" w:rsidP="00EE1554">
            <w:pPr>
              <w:pStyle w:val="T2"/>
              <w:jc w:val="right"/>
            </w:pPr>
            <w:r w:rsidRPr="008A4891">
              <w:t>0.4</w:t>
            </w:r>
          </w:p>
        </w:tc>
      </w:tr>
      <w:tr w:rsidR="00EE1554" w14:paraId="5D3200C4" w14:textId="77777777" w:rsidTr="001F1616">
        <w:trPr>
          <w:jc w:val="center"/>
        </w:trPr>
        <w:tc>
          <w:tcPr>
            <w:tcW w:w="10487" w:type="dxa"/>
            <w:gridSpan w:val="8"/>
            <w:tcBorders>
              <w:top w:val="single" w:sz="2" w:space="0" w:color="auto"/>
              <w:left w:val="nil"/>
              <w:bottom w:val="nil"/>
              <w:right w:val="nil"/>
            </w:tcBorders>
            <w:vAlign w:val="bottom"/>
          </w:tcPr>
          <w:p w14:paraId="79A8D64B" w14:textId="77777777" w:rsidR="00EE1554" w:rsidRPr="00A40E08" w:rsidRDefault="00EE1554" w:rsidP="00EE1554">
            <w:pPr>
              <w:pStyle w:val="T2"/>
              <w:jc w:val="left"/>
              <w:rPr>
                <w:b/>
              </w:rPr>
            </w:pPr>
          </w:p>
        </w:tc>
      </w:tr>
      <w:tr w:rsidR="00EE1554" w14:paraId="5810FF25" w14:textId="77777777" w:rsidTr="00FD7948">
        <w:trPr>
          <w:jc w:val="center"/>
        </w:trPr>
        <w:tc>
          <w:tcPr>
            <w:tcW w:w="10487" w:type="dxa"/>
            <w:gridSpan w:val="8"/>
            <w:tcBorders>
              <w:top w:val="nil"/>
              <w:left w:val="nil"/>
              <w:bottom w:val="nil"/>
              <w:right w:val="nil"/>
            </w:tcBorders>
            <w:vAlign w:val="bottom"/>
          </w:tcPr>
          <w:p w14:paraId="6254536A" w14:textId="12EB429A" w:rsidR="00EE1554" w:rsidRPr="00D2352A" w:rsidRDefault="00EE1554" w:rsidP="00EE1554">
            <w:pPr>
              <w:pStyle w:val="T2"/>
              <w:jc w:val="left"/>
            </w:pPr>
            <w:r w:rsidRPr="00A40E08">
              <w:rPr>
                <w:b/>
              </w:rPr>
              <w:t>Earnings per share (pence)</w:t>
            </w:r>
            <w:r>
              <w:rPr>
                <w:b/>
              </w:rPr>
              <w:t xml:space="preserve"> </w:t>
            </w:r>
          </w:p>
        </w:tc>
      </w:tr>
      <w:tr w:rsidR="00EE1554" w14:paraId="457683A9" w14:textId="77777777" w:rsidTr="001F1616">
        <w:trPr>
          <w:jc w:val="center"/>
        </w:trPr>
        <w:tc>
          <w:tcPr>
            <w:tcW w:w="3686" w:type="dxa"/>
            <w:tcBorders>
              <w:top w:val="nil"/>
              <w:left w:val="nil"/>
              <w:bottom w:val="nil"/>
              <w:right w:val="nil"/>
            </w:tcBorders>
            <w:vAlign w:val="bottom"/>
          </w:tcPr>
          <w:p w14:paraId="1F190F07" w14:textId="77777777" w:rsidR="00EE1554" w:rsidRPr="00827814" w:rsidRDefault="00EE1554" w:rsidP="00EE1554">
            <w:pPr>
              <w:pStyle w:val="T2"/>
              <w:jc w:val="left"/>
            </w:pPr>
            <w:r w:rsidRPr="00827814">
              <w:t>Basic earnings per share</w:t>
            </w:r>
          </w:p>
        </w:tc>
        <w:tc>
          <w:tcPr>
            <w:tcW w:w="425" w:type="dxa"/>
            <w:tcBorders>
              <w:top w:val="nil"/>
              <w:left w:val="nil"/>
              <w:bottom w:val="nil"/>
              <w:right w:val="nil"/>
            </w:tcBorders>
            <w:vAlign w:val="bottom"/>
          </w:tcPr>
          <w:p w14:paraId="1F623831" w14:textId="5670B8F7" w:rsidR="00EE1554" w:rsidRDefault="002675EF" w:rsidP="00EE1554">
            <w:pPr>
              <w:jc w:val="right"/>
              <w:rPr>
                <w:sz w:val="18"/>
                <w:szCs w:val="18"/>
              </w:rPr>
            </w:pPr>
            <w:r>
              <w:rPr>
                <w:sz w:val="18"/>
                <w:szCs w:val="18"/>
              </w:rPr>
              <w:t>9</w:t>
            </w:r>
          </w:p>
        </w:tc>
        <w:tc>
          <w:tcPr>
            <w:tcW w:w="1134" w:type="dxa"/>
            <w:tcBorders>
              <w:top w:val="nil"/>
              <w:left w:val="nil"/>
              <w:bottom w:val="nil"/>
              <w:right w:val="nil"/>
            </w:tcBorders>
            <w:vAlign w:val="bottom"/>
          </w:tcPr>
          <w:p w14:paraId="16126F91" w14:textId="77777777" w:rsidR="00EE1554" w:rsidRPr="00A31437" w:rsidRDefault="00EE1554" w:rsidP="00EE1554">
            <w:pPr>
              <w:pStyle w:val="T2"/>
              <w:jc w:val="right"/>
              <w:rPr>
                <w:b/>
              </w:rPr>
            </w:pPr>
          </w:p>
        </w:tc>
        <w:tc>
          <w:tcPr>
            <w:tcW w:w="1134" w:type="dxa"/>
            <w:tcBorders>
              <w:top w:val="nil"/>
              <w:left w:val="nil"/>
              <w:bottom w:val="nil"/>
              <w:right w:val="nil"/>
            </w:tcBorders>
            <w:vAlign w:val="bottom"/>
          </w:tcPr>
          <w:p w14:paraId="5C4ED741" w14:textId="77777777" w:rsidR="00EE1554" w:rsidRPr="00A31437" w:rsidRDefault="00EE1554" w:rsidP="00EE1554">
            <w:pPr>
              <w:pStyle w:val="T2"/>
              <w:jc w:val="right"/>
              <w:rPr>
                <w:b/>
              </w:rPr>
            </w:pPr>
          </w:p>
        </w:tc>
        <w:tc>
          <w:tcPr>
            <w:tcW w:w="851" w:type="dxa"/>
            <w:tcBorders>
              <w:top w:val="nil"/>
              <w:left w:val="nil"/>
              <w:bottom w:val="nil"/>
              <w:right w:val="nil"/>
            </w:tcBorders>
          </w:tcPr>
          <w:p w14:paraId="57A4C0B0" w14:textId="37E47870" w:rsidR="00EE1554" w:rsidRPr="00481687" w:rsidRDefault="005F5BB6" w:rsidP="00EE1554">
            <w:pPr>
              <w:pStyle w:val="T2"/>
              <w:jc w:val="right"/>
              <w:rPr>
                <w:b/>
              </w:rPr>
            </w:pPr>
            <w:r>
              <w:rPr>
                <w:b/>
                <w:bCs/>
              </w:rPr>
              <w:t>0.2</w:t>
            </w:r>
          </w:p>
        </w:tc>
        <w:tc>
          <w:tcPr>
            <w:tcW w:w="1264" w:type="dxa"/>
            <w:tcBorders>
              <w:top w:val="nil"/>
              <w:left w:val="nil"/>
              <w:bottom w:val="nil"/>
              <w:right w:val="nil"/>
            </w:tcBorders>
            <w:vAlign w:val="bottom"/>
          </w:tcPr>
          <w:p w14:paraId="6681053D" w14:textId="77777777" w:rsidR="00EE1554" w:rsidRPr="00D2352A" w:rsidRDefault="00EE1554" w:rsidP="00EE1554">
            <w:pPr>
              <w:pStyle w:val="T2"/>
              <w:jc w:val="right"/>
            </w:pPr>
          </w:p>
        </w:tc>
        <w:tc>
          <w:tcPr>
            <w:tcW w:w="1134" w:type="dxa"/>
            <w:tcBorders>
              <w:top w:val="nil"/>
              <w:left w:val="nil"/>
              <w:bottom w:val="nil"/>
              <w:right w:val="nil"/>
            </w:tcBorders>
            <w:vAlign w:val="bottom"/>
          </w:tcPr>
          <w:p w14:paraId="7EB2E52D" w14:textId="77777777" w:rsidR="00EE1554" w:rsidRPr="00D2352A" w:rsidRDefault="00EE1554" w:rsidP="00EE1554">
            <w:pPr>
              <w:pStyle w:val="T2"/>
              <w:jc w:val="right"/>
            </w:pPr>
          </w:p>
        </w:tc>
        <w:tc>
          <w:tcPr>
            <w:tcW w:w="859" w:type="dxa"/>
            <w:tcBorders>
              <w:top w:val="nil"/>
              <w:left w:val="nil"/>
              <w:bottom w:val="nil"/>
              <w:right w:val="nil"/>
            </w:tcBorders>
            <w:vAlign w:val="bottom"/>
          </w:tcPr>
          <w:p w14:paraId="300EDE65" w14:textId="6E7E9A7B" w:rsidR="00EE1554" w:rsidRPr="00D2352A" w:rsidRDefault="00EE1554" w:rsidP="00EE1554">
            <w:pPr>
              <w:pStyle w:val="T2"/>
              <w:jc w:val="right"/>
            </w:pPr>
            <w:r>
              <w:rPr>
                <w:bCs/>
              </w:rPr>
              <w:t>0.0</w:t>
            </w:r>
          </w:p>
        </w:tc>
      </w:tr>
      <w:tr w:rsidR="00EE1554" w14:paraId="78BC1D5D" w14:textId="77777777" w:rsidTr="001F1616">
        <w:trPr>
          <w:jc w:val="center"/>
        </w:trPr>
        <w:tc>
          <w:tcPr>
            <w:tcW w:w="3686" w:type="dxa"/>
            <w:tcBorders>
              <w:top w:val="nil"/>
              <w:left w:val="nil"/>
              <w:bottom w:val="single" w:sz="4" w:space="0" w:color="auto"/>
              <w:right w:val="nil"/>
            </w:tcBorders>
            <w:vAlign w:val="bottom"/>
          </w:tcPr>
          <w:p w14:paraId="6EA5C25C" w14:textId="77777777" w:rsidR="00EE1554" w:rsidRPr="00827814" w:rsidRDefault="00EE1554" w:rsidP="00EE1554">
            <w:pPr>
              <w:pStyle w:val="T2"/>
              <w:jc w:val="left"/>
            </w:pPr>
            <w:r w:rsidRPr="00827814">
              <w:t>Diluted earnings per share</w:t>
            </w:r>
          </w:p>
        </w:tc>
        <w:tc>
          <w:tcPr>
            <w:tcW w:w="425" w:type="dxa"/>
            <w:tcBorders>
              <w:top w:val="nil"/>
              <w:left w:val="nil"/>
              <w:bottom w:val="single" w:sz="4" w:space="0" w:color="auto"/>
              <w:right w:val="nil"/>
            </w:tcBorders>
            <w:vAlign w:val="bottom"/>
          </w:tcPr>
          <w:p w14:paraId="681E26B3" w14:textId="3D74C9F3" w:rsidR="00EE1554" w:rsidRDefault="002675EF" w:rsidP="00EE1554">
            <w:pPr>
              <w:jc w:val="right"/>
              <w:rPr>
                <w:sz w:val="18"/>
                <w:szCs w:val="18"/>
              </w:rPr>
            </w:pPr>
            <w:r>
              <w:rPr>
                <w:sz w:val="18"/>
                <w:szCs w:val="18"/>
              </w:rPr>
              <w:t>9</w:t>
            </w:r>
          </w:p>
        </w:tc>
        <w:tc>
          <w:tcPr>
            <w:tcW w:w="1134" w:type="dxa"/>
            <w:tcBorders>
              <w:top w:val="nil"/>
              <w:left w:val="nil"/>
              <w:bottom w:val="single" w:sz="4" w:space="0" w:color="auto"/>
              <w:right w:val="nil"/>
            </w:tcBorders>
            <w:vAlign w:val="bottom"/>
          </w:tcPr>
          <w:p w14:paraId="67BF94CA" w14:textId="77777777" w:rsidR="00EE1554" w:rsidRPr="00A31437" w:rsidRDefault="00EE1554" w:rsidP="00EE1554">
            <w:pPr>
              <w:pStyle w:val="T2"/>
              <w:jc w:val="right"/>
              <w:rPr>
                <w:b/>
              </w:rPr>
            </w:pPr>
          </w:p>
        </w:tc>
        <w:tc>
          <w:tcPr>
            <w:tcW w:w="1134" w:type="dxa"/>
            <w:tcBorders>
              <w:top w:val="nil"/>
              <w:left w:val="nil"/>
              <w:bottom w:val="single" w:sz="4" w:space="0" w:color="auto"/>
              <w:right w:val="nil"/>
            </w:tcBorders>
            <w:vAlign w:val="bottom"/>
          </w:tcPr>
          <w:p w14:paraId="3BBBFB93" w14:textId="77777777" w:rsidR="00EE1554" w:rsidRPr="00A31437" w:rsidRDefault="00EE1554" w:rsidP="00EE1554">
            <w:pPr>
              <w:pStyle w:val="T2"/>
              <w:jc w:val="right"/>
              <w:rPr>
                <w:b/>
              </w:rPr>
            </w:pPr>
          </w:p>
        </w:tc>
        <w:tc>
          <w:tcPr>
            <w:tcW w:w="851" w:type="dxa"/>
            <w:tcBorders>
              <w:top w:val="nil"/>
              <w:left w:val="nil"/>
              <w:bottom w:val="single" w:sz="4" w:space="0" w:color="auto"/>
              <w:right w:val="nil"/>
            </w:tcBorders>
          </w:tcPr>
          <w:p w14:paraId="35AF0959" w14:textId="58818808" w:rsidR="00EE1554" w:rsidRPr="00481687" w:rsidRDefault="005F5BB6" w:rsidP="00EE1554">
            <w:pPr>
              <w:pStyle w:val="T2"/>
              <w:jc w:val="right"/>
              <w:rPr>
                <w:b/>
              </w:rPr>
            </w:pPr>
            <w:r>
              <w:rPr>
                <w:b/>
                <w:bCs/>
              </w:rPr>
              <w:t>0.2</w:t>
            </w:r>
          </w:p>
        </w:tc>
        <w:tc>
          <w:tcPr>
            <w:tcW w:w="1264" w:type="dxa"/>
            <w:tcBorders>
              <w:top w:val="nil"/>
              <w:left w:val="nil"/>
              <w:bottom w:val="single" w:sz="4" w:space="0" w:color="auto"/>
              <w:right w:val="nil"/>
            </w:tcBorders>
            <w:vAlign w:val="bottom"/>
          </w:tcPr>
          <w:p w14:paraId="17067819" w14:textId="77777777" w:rsidR="00EE1554" w:rsidRPr="00D2352A" w:rsidRDefault="00EE1554" w:rsidP="00EE1554">
            <w:pPr>
              <w:pStyle w:val="T2"/>
              <w:jc w:val="right"/>
            </w:pPr>
          </w:p>
        </w:tc>
        <w:tc>
          <w:tcPr>
            <w:tcW w:w="1134" w:type="dxa"/>
            <w:tcBorders>
              <w:top w:val="nil"/>
              <w:left w:val="nil"/>
              <w:bottom w:val="single" w:sz="4" w:space="0" w:color="auto"/>
              <w:right w:val="nil"/>
            </w:tcBorders>
            <w:vAlign w:val="bottom"/>
          </w:tcPr>
          <w:p w14:paraId="6E3A059C" w14:textId="77777777" w:rsidR="00EE1554" w:rsidRPr="00D2352A" w:rsidRDefault="00EE1554" w:rsidP="00EE1554">
            <w:pPr>
              <w:pStyle w:val="T2"/>
              <w:jc w:val="right"/>
            </w:pPr>
          </w:p>
        </w:tc>
        <w:tc>
          <w:tcPr>
            <w:tcW w:w="859" w:type="dxa"/>
            <w:tcBorders>
              <w:top w:val="nil"/>
              <w:left w:val="nil"/>
              <w:bottom w:val="single" w:sz="4" w:space="0" w:color="auto"/>
              <w:right w:val="nil"/>
            </w:tcBorders>
            <w:vAlign w:val="bottom"/>
          </w:tcPr>
          <w:p w14:paraId="42F62A28" w14:textId="00B93622" w:rsidR="00EE1554" w:rsidRPr="00D2352A" w:rsidRDefault="00EE1554" w:rsidP="00EE1554">
            <w:pPr>
              <w:pStyle w:val="T2"/>
              <w:jc w:val="right"/>
            </w:pPr>
            <w:r>
              <w:rPr>
                <w:bCs/>
              </w:rPr>
              <w:t>0.0</w:t>
            </w:r>
          </w:p>
        </w:tc>
      </w:tr>
      <w:tr w:rsidR="00EE1554" w14:paraId="1271A9BF" w14:textId="77777777" w:rsidTr="001F1616">
        <w:trPr>
          <w:jc w:val="center"/>
        </w:trPr>
        <w:tc>
          <w:tcPr>
            <w:tcW w:w="3686" w:type="dxa"/>
            <w:tcBorders>
              <w:top w:val="single" w:sz="4" w:space="0" w:color="auto"/>
              <w:left w:val="nil"/>
              <w:bottom w:val="nil"/>
              <w:right w:val="nil"/>
            </w:tcBorders>
            <w:vAlign w:val="bottom"/>
          </w:tcPr>
          <w:p w14:paraId="63BF7B02" w14:textId="77777777" w:rsidR="00EE1554" w:rsidRPr="00827814" w:rsidRDefault="00EE1554" w:rsidP="00EE1554">
            <w:pPr>
              <w:pStyle w:val="T2"/>
              <w:jc w:val="left"/>
            </w:pPr>
          </w:p>
        </w:tc>
        <w:tc>
          <w:tcPr>
            <w:tcW w:w="425" w:type="dxa"/>
            <w:tcBorders>
              <w:top w:val="single" w:sz="4" w:space="0" w:color="auto"/>
              <w:left w:val="nil"/>
              <w:bottom w:val="nil"/>
              <w:right w:val="nil"/>
            </w:tcBorders>
            <w:vAlign w:val="bottom"/>
          </w:tcPr>
          <w:p w14:paraId="43DEF03D" w14:textId="77777777" w:rsidR="00EE1554" w:rsidRDefault="00EE1554" w:rsidP="00EE1554">
            <w:pPr>
              <w:jc w:val="right"/>
              <w:rPr>
                <w:sz w:val="18"/>
                <w:szCs w:val="18"/>
              </w:rPr>
            </w:pPr>
          </w:p>
        </w:tc>
        <w:tc>
          <w:tcPr>
            <w:tcW w:w="1134" w:type="dxa"/>
            <w:tcBorders>
              <w:top w:val="single" w:sz="4" w:space="0" w:color="auto"/>
              <w:left w:val="nil"/>
              <w:bottom w:val="nil"/>
              <w:right w:val="nil"/>
            </w:tcBorders>
            <w:vAlign w:val="bottom"/>
          </w:tcPr>
          <w:p w14:paraId="5AB33F4E" w14:textId="77777777" w:rsidR="00EE1554" w:rsidRPr="00A31437" w:rsidRDefault="00EE1554" w:rsidP="00EE1554">
            <w:pPr>
              <w:pStyle w:val="T2"/>
              <w:jc w:val="right"/>
              <w:rPr>
                <w:b/>
              </w:rPr>
            </w:pPr>
          </w:p>
        </w:tc>
        <w:tc>
          <w:tcPr>
            <w:tcW w:w="1134" w:type="dxa"/>
            <w:tcBorders>
              <w:top w:val="single" w:sz="4" w:space="0" w:color="auto"/>
              <w:left w:val="nil"/>
              <w:bottom w:val="nil"/>
              <w:right w:val="nil"/>
            </w:tcBorders>
            <w:vAlign w:val="bottom"/>
          </w:tcPr>
          <w:p w14:paraId="299089CD" w14:textId="77777777" w:rsidR="00EE1554" w:rsidRPr="00A31437" w:rsidRDefault="00EE1554" w:rsidP="00EE1554">
            <w:pPr>
              <w:pStyle w:val="T2"/>
              <w:jc w:val="right"/>
              <w:rPr>
                <w:b/>
              </w:rPr>
            </w:pPr>
          </w:p>
        </w:tc>
        <w:tc>
          <w:tcPr>
            <w:tcW w:w="851" w:type="dxa"/>
            <w:tcBorders>
              <w:top w:val="single" w:sz="4" w:space="0" w:color="auto"/>
              <w:left w:val="nil"/>
              <w:bottom w:val="nil"/>
              <w:right w:val="nil"/>
            </w:tcBorders>
          </w:tcPr>
          <w:p w14:paraId="2903379E" w14:textId="77777777" w:rsidR="00EE1554" w:rsidRDefault="00EE1554" w:rsidP="00EE1554">
            <w:pPr>
              <w:pStyle w:val="T2"/>
              <w:jc w:val="right"/>
              <w:rPr>
                <w:b/>
                <w:bCs/>
              </w:rPr>
            </w:pPr>
          </w:p>
        </w:tc>
        <w:tc>
          <w:tcPr>
            <w:tcW w:w="1264" w:type="dxa"/>
            <w:tcBorders>
              <w:top w:val="single" w:sz="4" w:space="0" w:color="auto"/>
              <w:left w:val="nil"/>
              <w:bottom w:val="nil"/>
              <w:right w:val="nil"/>
            </w:tcBorders>
            <w:vAlign w:val="bottom"/>
          </w:tcPr>
          <w:p w14:paraId="7B798070" w14:textId="77777777" w:rsidR="00EE1554" w:rsidRPr="00D2352A" w:rsidRDefault="00EE1554" w:rsidP="00EE1554">
            <w:pPr>
              <w:pStyle w:val="T2"/>
              <w:jc w:val="right"/>
            </w:pPr>
          </w:p>
        </w:tc>
        <w:tc>
          <w:tcPr>
            <w:tcW w:w="1134" w:type="dxa"/>
            <w:tcBorders>
              <w:top w:val="single" w:sz="4" w:space="0" w:color="auto"/>
              <w:left w:val="nil"/>
              <w:bottom w:val="nil"/>
              <w:right w:val="nil"/>
            </w:tcBorders>
            <w:vAlign w:val="bottom"/>
          </w:tcPr>
          <w:p w14:paraId="7F4132EF" w14:textId="77777777" w:rsidR="00EE1554" w:rsidRPr="00D2352A" w:rsidRDefault="00EE1554" w:rsidP="00EE1554">
            <w:pPr>
              <w:pStyle w:val="T2"/>
              <w:jc w:val="right"/>
            </w:pPr>
          </w:p>
        </w:tc>
        <w:tc>
          <w:tcPr>
            <w:tcW w:w="859" w:type="dxa"/>
            <w:tcBorders>
              <w:top w:val="single" w:sz="4" w:space="0" w:color="auto"/>
              <w:left w:val="nil"/>
              <w:bottom w:val="nil"/>
              <w:right w:val="nil"/>
            </w:tcBorders>
            <w:vAlign w:val="bottom"/>
          </w:tcPr>
          <w:p w14:paraId="034BEA8C" w14:textId="77777777" w:rsidR="00EE1554" w:rsidRDefault="00EE1554" w:rsidP="00EE1554">
            <w:pPr>
              <w:pStyle w:val="T2"/>
              <w:jc w:val="right"/>
              <w:rPr>
                <w:bCs/>
              </w:rPr>
            </w:pPr>
          </w:p>
        </w:tc>
      </w:tr>
    </w:tbl>
    <w:p w14:paraId="4441C3BC" w14:textId="77777777" w:rsidR="003F79EF" w:rsidRDefault="003F79EF" w:rsidP="00F55D04">
      <w:pPr>
        <w:pStyle w:val="Heading1"/>
        <w:tabs>
          <w:tab w:val="left" w:pos="2580"/>
        </w:tabs>
      </w:pPr>
      <w:bookmarkStart w:id="15" w:name="_Hlk5966349"/>
      <w:r>
        <w:lastRenderedPageBreak/>
        <w:tab/>
      </w:r>
    </w:p>
    <w:p w14:paraId="2CED88BD" w14:textId="77777777" w:rsidR="00EA16F9" w:rsidRDefault="00EA16F9" w:rsidP="00EA16F9">
      <w:pPr>
        <w:pStyle w:val="Heading2"/>
        <w:ind w:left="-567" w:hanging="142"/>
      </w:pPr>
      <w:bookmarkStart w:id="16" w:name="_Hlk5966511"/>
      <w:bookmarkEnd w:id="15"/>
      <w:r w:rsidRPr="00875751">
        <w:t xml:space="preserve">CONDENSED </w:t>
      </w:r>
      <w:r>
        <w:t>GROUP INCOME STATEMENT</w:t>
      </w:r>
    </w:p>
    <w:p w14:paraId="2FEC8B1B" w14:textId="2FB856B7" w:rsidR="00773F7B" w:rsidRPr="00C550D6" w:rsidRDefault="00C550D6" w:rsidP="00C550D6">
      <w:pPr>
        <w:spacing w:after="0"/>
        <w:ind w:left="-567"/>
        <w:rPr>
          <w:b/>
          <w:color w:val="002060"/>
          <w:sz w:val="20"/>
          <w:szCs w:val="20"/>
        </w:rPr>
      </w:pPr>
      <w:r w:rsidRPr="00C550D6">
        <w:rPr>
          <w:b/>
          <w:color w:val="002060"/>
          <w:sz w:val="20"/>
          <w:szCs w:val="20"/>
        </w:rPr>
        <w:t>for the half year ended 25 March 2022</w:t>
      </w:r>
    </w:p>
    <w:tbl>
      <w:tblPr>
        <w:tblStyle w:val="TableGrid"/>
        <w:tblW w:w="10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7"/>
        <w:gridCol w:w="1701"/>
        <w:gridCol w:w="1701"/>
      </w:tblGrid>
      <w:tr w:rsidR="00773F7B" w14:paraId="733293CF" w14:textId="77777777" w:rsidTr="005B3BEE">
        <w:trPr>
          <w:jc w:val="center"/>
        </w:trPr>
        <w:tc>
          <w:tcPr>
            <w:tcW w:w="7087" w:type="dxa"/>
          </w:tcPr>
          <w:p w14:paraId="20A15956" w14:textId="77777777" w:rsidR="00773F7B" w:rsidRDefault="00773F7B" w:rsidP="00773F7B">
            <w:pPr>
              <w:pStyle w:val="T2"/>
            </w:pPr>
          </w:p>
        </w:tc>
        <w:tc>
          <w:tcPr>
            <w:tcW w:w="1701" w:type="dxa"/>
            <w:vAlign w:val="center"/>
          </w:tcPr>
          <w:p w14:paraId="68ECF981" w14:textId="77777777" w:rsidR="00773F7B" w:rsidRDefault="00773F7B" w:rsidP="00773F7B">
            <w:pPr>
              <w:pStyle w:val="T2"/>
              <w:jc w:val="right"/>
              <w:rPr>
                <w:b/>
              </w:rPr>
            </w:pPr>
            <w:r w:rsidRPr="00E86C8F">
              <w:rPr>
                <w:b/>
              </w:rPr>
              <w:t xml:space="preserve">Half year ended </w:t>
            </w:r>
          </w:p>
          <w:p w14:paraId="662CABB8" w14:textId="6D36FE71" w:rsidR="00773F7B" w:rsidRPr="00E86C8F" w:rsidRDefault="008A4891" w:rsidP="00773F7B">
            <w:pPr>
              <w:pStyle w:val="T2"/>
              <w:jc w:val="right"/>
              <w:rPr>
                <w:b/>
              </w:rPr>
            </w:pPr>
            <w:r>
              <w:rPr>
                <w:b/>
              </w:rPr>
              <w:t>25 March 2022</w:t>
            </w:r>
          </w:p>
        </w:tc>
        <w:tc>
          <w:tcPr>
            <w:tcW w:w="1701" w:type="dxa"/>
            <w:vAlign w:val="center"/>
          </w:tcPr>
          <w:p w14:paraId="5AC49439" w14:textId="77777777" w:rsidR="00773F7B" w:rsidRPr="005D0EFF" w:rsidRDefault="00773F7B" w:rsidP="00773F7B">
            <w:pPr>
              <w:pStyle w:val="T2"/>
              <w:jc w:val="right"/>
              <w:rPr>
                <w:bCs/>
              </w:rPr>
            </w:pPr>
            <w:r w:rsidRPr="005D0EFF">
              <w:rPr>
                <w:bCs/>
              </w:rPr>
              <w:t xml:space="preserve">Half year ended </w:t>
            </w:r>
          </w:p>
          <w:p w14:paraId="42773B81" w14:textId="655170AD" w:rsidR="00773F7B" w:rsidRPr="005D0EFF" w:rsidRDefault="008A4891" w:rsidP="00773F7B">
            <w:pPr>
              <w:pStyle w:val="T2"/>
              <w:jc w:val="right"/>
              <w:rPr>
                <w:bCs/>
              </w:rPr>
            </w:pPr>
            <w:r>
              <w:rPr>
                <w:bCs/>
              </w:rPr>
              <w:t>26 March 2021</w:t>
            </w:r>
          </w:p>
        </w:tc>
      </w:tr>
      <w:tr w:rsidR="00773F7B" w14:paraId="6C3B21AB" w14:textId="77777777" w:rsidTr="005B3BEE">
        <w:trPr>
          <w:jc w:val="center"/>
        </w:trPr>
        <w:tc>
          <w:tcPr>
            <w:tcW w:w="7087" w:type="dxa"/>
          </w:tcPr>
          <w:p w14:paraId="765D6521" w14:textId="77777777" w:rsidR="00773F7B" w:rsidRDefault="00773F7B" w:rsidP="00773F7B">
            <w:pPr>
              <w:pStyle w:val="T2"/>
            </w:pPr>
          </w:p>
        </w:tc>
        <w:tc>
          <w:tcPr>
            <w:tcW w:w="1701" w:type="dxa"/>
            <w:vAlign w:val="center"/>
          </w:tcPr>
          <w:p w14:paraId="77FDA9C8" w14:textId="77777777" w:rsidR="00773F7B" w:rsidRPr="00E86C8F" w:rsidRDefault="00773F7B" w:rsidP="00773F7B">
            <w:pPr>
              <w:pStyle w:val="T2"/>
              <w:jc w:val="right"/>
              <w:rPr>
                <w:b/>
                <w:sz w:val="16"/>
                <w:szCs w:val="16"/>
              </w:rPr>
            </w:pPr>
            <w:r w:rsidRPr="00E86C8F">
              <w:rPr>
                <w:b/>
                <w:sz w:val="16"/>
                <w:szCs w:val="16"/>
              </w:rPr>
              <w:t>(Unaudited)</w:t>
            </w:r>
          </w:p>
        </w:tc>
        <w:tc>
          <w:tcPr>
            <w:tcW w:w="1701" w:type="dxa"/>
            <w:vAlign w:val="center"/>
          </w:tcPr>
          <w:p w14:paraId="5967552A" w14:textId="77777777" w:rsidR="00773F7B" w:rsidRPr="00006931" w:rsidRDefault="00773F7B" w:rsidP="00773F7B">
            <w:pPr>
              <w:pStyle w:val="T2"/>
              <w:jc w:val="right"/>
              <w:rPr>
                <w:bCs/>
                <w:sz w:val="16"/>
                <w:szCs w:val="16"/>
              </w:rPr>
            </w:pPr>
            <w:r w:rsidRPr="005D0EFF">
              <w:rPr>
                <w:bCs/>
                <w:sz w:val="16"/>
                <w:szCs w:val="16"/>
              </w:rPr>
              <w:t>(Unaudited)</w:t>
            </w:r>
          </w:p>
        </w:tc>
      </w:tr>
      <w:tr w:rsidR="00773F7B" w14:paraId="475AC3D4" w14:textId="77777777" w:rsidTr="005B3BEE">
        <w:trPr>
          <w:jc w:val="center"/>
        </w:trPr>
        <w:tc>
          <w:tcPr>
            <w:tcW w:w="7087" w:type="dxa"/>
            <w:tcBorders>
              <w:bottom w:val="single" w:sz="2" w:space="0" w:color="auto"/>
            </w:tcBorders>
          </w:tcPr>
          <w:p w14:paraId="33878F2A" w14:textId="77777777" w:rsidR="00773F7B" w:rsidRDefault="00773F7B" w:rsidP="00773F7B">
            <w:pPr>
              <w:pStyle w:val="T2"/>
            </w:pPr>
          </w:p>
        </w:tc>
        <w:tc>
          <w:tcPr>
            <w:tcW w:w="1701" w:type="dxa"/>
            <w:tcBorders>
              <w:bottom w:val="single" w:sz="2" w:space="0" w:color="auto"/>
            </w:tcBorders>
            <w:vAlign w:val="center"/>
          </w:tcPr>
          <w:p w14:paraId="728C036A" w14:textId="77777777" w:rsidR="00773F7B" w:rsidRPr="00E86C8F" w:rsidRDefault="00773F7B" w:rsidP="00773F7B">
            <w:pPr>
              <w:pStyle w:val="T2"/>
              <w:jc w:val="right"/>
              <w:rPr>
                <w:b/>
              </w:rPr>
            </w:pPr>
            <w:r w:rsidRPr="00E86C8F">
              <w:rPr>
                <w:b/>
              </w:rPr>
              <w:t>£m</w:t>
            </w:r>
          </w:p>
        </w:tc>
        <w:tc>
          <w:tcPr>
            <w:tcW w:w="1701" w:type="dxa"/>
            <w:tcBorders>
              <w:bottom w:val="single" w:sz="2" w:space="0" w:color="auto"/>
            </w:tcBorders>
            <w:vAlign w:val="center"/>
          </w:tcPr>
          <w:p w14:paraId="006BEC74" w14:textId="77777777" w:rsidR="00773F7B" w:rsidRDefault="00773F7B" w:rsidP="00773F7B">
            <w:pPr>
              <w:pStyle w:val="T2"/>
              <w:jc w:val="right"/>
            </w:pPr>
            <w:r>
              <w:t>£m</w:t>
            </w:r>
          </w:p>
        </w:tc>
      </w:tr>
      <w:tr w:rsidR="00773F7B" w14:paraId="630A8DB4" w14:textId="77777777" w:rsidTr="005B3BEE">
        <w:trPr>
          <w:jc w:val="center"/>
        </w:trPr>
        <w:tc>
          <w:tcPr>
            <w:tcW w:w="7087" w:type="dxa"/>
            <w:tcBorders>
              <w:top w:val="single" w:sz="2" w:space="0" w:color="auto"/>
            </w:tcBorders>
          </w:tcPr>
          <w:p w14:paraId="001783DF" w14:textId="77777777" w:rsidR="00773F7B" w:rsidRPr="00E86C8F" w:rsidRDefault="00773F7B" w:rsidP="006D6AC9">
            <w:pPr>
              <w:pStyle w:val="T2"/>
              <w:jc w:val="left"/>
              <w:rPr>
                <w:b/>
              </w:rPr>
            </w:pPr>
            <w:r w:rsidRPr="00E86C8F">
              <w:rPr>
                <w:b/>
              </w:rPr>
              <w:t>Items of income and expen</w:t>
            </w:r>
            <w:r w:rsidR="006D6AC9">
              <w:rPr>
                <w:b/>
              </w:rPr>
              <w:t xml:space="preserve">se taken directly to equity </w:t>
            </w:r>
          </w:p>
        </w:tc>
        <w:tc>
          <w:tcPr>
            <w:tcW w:w="1701" w:type="dxa"/>
            <w:tcBorders>
              <w:top w:val="single" w:sz="2" w:space="0" w:color="auto"/>
            </w:tcBorders>
            <w:vAlign w:val="bottom"/>
          </w:tcPr>
          <w:p w14:paraId="212AB783" w14:textId="77777777" w:rsidR="00773F7B" w:rsidRPr="005D0EFF" w:rsidRDefault="00773F7B" w:rsidP="00773F7B">
            <w:pPr>
              <w:pStyle w:val="T2"/>
              <w:jc w:val="right"/>
              <w:rPr>
                <w:bCs/>
              </w:rPr>
            </w:pPr>
          </w:p>
        </w:tc>
        <w:tc>
          <w:tcPr>
            <w:tcW w:w="1701" w:type="dxa"/>
            <w:tcBorders>
              <w:top w:val="single" w:sz="2" w:space="0" w:color="auto"/>
            </w:tcBorders>
            <w:vAlign w:val="bottom"/>
          </w:tcPr>
          <w:p w14:paraId="7ECEEA97" w14:textId="77777777" w:rsidR="00773F7B" w:rsidRDefault="00773F7B" w:rsidP="00773F7B">
            <w:pPr>
              <w:pStyle w:val="T2"/>
              <w:jc w:val="right"/>
            </w:pPr>
            <w:r w:rsidRPr="0096767F">
              <w:rPr>
                <w:bCs/>
              </w:rPr>
              <w:t> </w:t>
            </w:r>
          </w:p>
        </w:tc>
      </w:tr>
      <w:tr w:rsidR="00FE3A03" w14:paraId="3A875330" w14:textId="77777777" w:rsidTr="005B3BEE">
        <w:trPr>
          <w:jc w:val="center"/>
        </w:trPr>
        <w:tc>
          <w:tcPr>
            <w:tcW w:w="7087" w:type="dxa"/>
          </w:tcPr>
          <w:p w14:paraId="26EB0D21" w14:textId="77777777" w:rsidR="00FE3A03" w:rsidRPr="00E86C8F" w:rsidRDefault="00FE3A03" w:rsidP="00773F7B">
            <w:pPr>
              <w:pStyle w:val="T2"/>
              <w:jc w:val="left"/>
              <w:rPr>
                <w:b/>
              </w:rPr>
            </w:pPr>
          </w:p>
        </w:tc>
        <w:tc>
          <w:tcPr>
            <w:tcW w:w="1701" w:type="dxa"/>
            <w:vAlign w:val="bottom"/>
          </w:tcPr>
          <w:p w14:paraId="2263838E" w14:textId="77777777" w:rsidR="00FE3A03" w:rsidRPr="005D0EFF" w:rsidRDefault="00FE3A03" w:rsidP="00773F7B">
            <w:pPr>
              <w:pStyle w:val="T2"/>
              <w:jc w:val="right"/>
              <w:rPr>
                <w:bCs/>
              </w:rPr>
            </w:pPr>
          </w:p>
        </w:tc>
        <w:tc>
          <w:tcPr>
            <w:tcW w:w="1701" w:type="dxa"/>
            <w:vAlign w:val="bottom"/>
          </w:tcPr>
          <w:p w14:paraId="5EBAACE2" w14:textId="77777777" w:rsidR="00FE3A03" w:rsidRDefault="00FE3A03" w:rsidP="00773F7B">
            <w:pPr>
              <w:pStyle w:val="T2"/>
              <w:jc w:val="right"/>
            </w:pPr>
          </w:p>
        </w:tc>
      </w:tr>
      <w:tr w:rsidR="00773F7B" w14:paraId="29403E11" w14:textId="77777777" w:rsidTr="005B3BEE">
        <w:trPr>
          <w:jc w:val="center"/>
        </w:trPr>
        <w:tc>
          <w:tcPr>
            <w:tcW w:w="7087" w:type="dxa"/>
          </w:tcPr>
          <w:p w14:paraId="748F204A" w14:textId="77777777" w:rsidR="00773F7B" w:rsidRPr="00E86C8F" w:rsidRDefault="00773F7B" w:rsidP="00773F7B">
            <w:pPr>
              <w:pStyle w:val="T2"/>
              <w:jc w:val="left"/>
              <w:rPr>
                <w:b/>
              </w:rPr>
            </w:pPr>
            <w:r w:rsidRPr="00E86C8F">
              <w:rPr>
                <w:b/>
              </w:rPr>
              <w:t>Items that will not be reclassified to profit or loss:</w:t>
            </w:r>
          </w:p>
        </w:tc>
        <w:tc>
          <w:tcPr>
            <w:tcW w:w="1701" w:type="dxa"/>
            <w:vAlign w:val="bottom"/>
          </w:tcPr>
          <w:p w14:paraId="31D6BE81" w14:textId="77777777" w:rsidR="00773F7B" w:rsidRPr="005D0EFF" w:rsidRDefault="00773F7B" w:rsidP="00773F7B">
            <w:pPr>
              <w:pStyle w:val="T2"/>
              <w:jc w:val="right"/>
              <w:rPr>
                <w:bCs/>
              </w:rPr>
            </w:pPr>
          </w:p>
        </w:tc>
        <w:tc>
          <w:tcPr>
            <w:tcW w:w="1701" w:type="dxa"/>
            <w:vAlign w:val="bottom"/>
          </w:tcPr>
          <w:p w14:paraId="16572C03" w14:textId="77777777" w:rsidR="00773F7B" w:rsidRDefault="00773F7B" w:rsidP="00773F7B">
            <w:pPr>
              <w:pStyle w:val="T2"/>
              <w:jc w:val="right"/>
            </w:pPr>
          </w:p>
        </w:tc>
      </w:tr>
      <w:tr w:rsidR="00EE1554" w14:paraId="4ECD9E7F" w14:textId="77777777" w:rsidTr="00FE66D1">
        <w:trPr>
          <w:jc w:val="center"/>
        </w:trPr>
        <w:tc>
          <w:tcPr>
            <w:tcW w:w="7087" w:type="dxa"/>
          </w:tcPr>
          <w:p w14:paraId="2099D6E3" w14:textId="77777777" w:rsidR="00EE1554" w:rsidRPr="00765393" w:rsidRDefault="00EE1554" w:rsidP="00EE1554">
            <w:pPr>
              <w:pStyle w:val="T2"/>
              <w:jc w:val="left"/>
            </w:pPr>
            <w:r w:rsidRPr="00765393">
              <w:t xml:space="preserve">Actuarial </w:t>
            </w:r>
            <w:r>
              <w:t xml:space="preserve">gain </w:t>
            </w:r>
            <w:r w:rsidRPr="00765393">
              <w:t>on Group</w:t>
            </w:r>
            <w:r>
              <w:t xml:space="preserve"> legacy</w:t>
            </w:r>
            <w:r w:rsidRPr="00765393">
              <w:t xml:space="preserve"> defined benefit pension schemes</w:t>
            </w:r>
          </w:p>
        </w:tc>
        <w:tc>
          <w:tcPr>
            <w:tcW w:w="1701" w:type="dxa"/>
          </w:tcPr>
          <w:p w14:paraId="48D58B98" w14:textId="6EF5F99E" w:rsidR="00EE1554" w:rsidRPr="0010152A" w:rsidRDefault="00555002" w:rsidP="00EE1554">
            <w:pPr>
              <w:pStyle w:val="T2"/>
              <w:jc w:val="right"/>
              <w:rPr>
                <w:b/>
                <w:bCs/>
              </w:rPr>
            </w:pPr>
            <w:r>
              <w:rPr>
                <w:b/>
                <w:bCs/>
              </w:rPr>
              <w:t>23.6</w:t>
            </w:r>
          </w:p>
        </w:tc>
        <w:tc>
          <w:tcPr>
            <w:tcW w:w="1701" w:type="dxa"/>
          </w:tcPr>
          <w:p w14:paraId="43592AD9" w14:textId="228BA6B6" w:rsidR="00EE1554" w:rsidRPr="00EE1554" w:rsidRDefault="00EE1554" w:rsidP="00EE1554">
            <w:pPr>
              <w:pStyle w:val="T2"/>
              <w:jc w:val="right"/>
            </w:pPr>
            <w:r w:rsidRPr="00EE1554">
              <w:t>12.6</w:t>
            </w:r>
          </w:p>
        </w:tc>
      </w:tr>
      <w:tr w:rsidR="00EE1554" w14:paraId="7D21496A" w14:textId="77777777" w:rsidTr="00FE66D1">
        <w:trPr>
          <w:jc w:val="center"/>
        </w:trPr>
        <w:tc>
          <w:tcPr>
            <w:tcW w:w="7087" w:type="dxa"/>
            <w:tcBorders>
              <w:bottom w:val="single" w:sz="2" w:space="0" w:color="auto"/>
            </w:tcBorders>
          </w:tcPr>
          <w:p w14:paraId="41465BE8" w14:textId="77777777" w:rsidR="00EE1554" w:rsidRPr="00765393" w:rsidRDefault="00EE1554" w:rsidP="00EE1554">
            <w:pPr>
              <w:pStyle w:val="T2"/>
              <w:jc w:val="left"/>
            </w:pPr>
            <w:r w:rsidRPr="00765393">
              <w:t xml:space="preserve">Deferred tax on Group </w:t>
            </w:r>
            <w:r>
              <w:t xml:space="preserve">legacy </w:t>
            </w:r>
            <w:r w:rsidRPr="00765393">
              <w:t>defined benefit pension schemes</w:t>
            </w:r>
          </w:p>
        </w:tc>
        <w:tc>
          <w:tcPr>
            <w:tcW w:w="1701" w:type="dxa"/>
            <w:tcBorders>
              <w:bottom w:val="single" w:sz="2" w:space="0" w:color="auto"/>
            </w:tcBorders>
          </w:tcPr>
          <w:p w14:paraId="4340B117" w14:textId="5813A52A" w:rsidR="00EE1554" w:rsidRPr="00BE7391" w:rsidRDefault="00884A63" w:rsidP="00EE1554">
            <w:pPr>
              <w:pStyle w:val="T2"/>
              <w:tabs>
                <w:tab w:val="center" w:pos="742"/>
                <w:tab w:val="right" w:pos="1485"/>
              </w:tabs>
              <w:jc w:val="right"/>
              <w:rPr>
                <w:b/>
                <w:bCs/>
                <w:highlight w:val="yellow"/>
              </w:rPr>
            </w:pPr>
            <w:r>
              <w:rPr>
                <w:b/>
                <w:bCs/>
              </w:rPr>
              <w:t>(6.0)</w:t>
            </w:r>
          </w:p>
        </w:tc>
        <w:tc>
          <w:tcPr>
            <w:tcW w:w="1701" w:type="dxa"/>
            <w:tcBorders>
              <w:bottom w:val="single" w:sz="2" w:space="0" w:color="auto"/>
            </w:tcBorders>
          </w:tcPr>
          <w:p w14:paraId="23D6A915" w14:textId="6008D957" w:rsidR="00EE1554" w:rsidRPr="00EE1554" w:rsidRDefault="00EE1554" w:rsidP="00EE1554">
            <w:pPr>
              <w:pStyle w:val="T2"/>
              <w:jc w:val="right"/>
              <w:rPr>
                <w:highlight w:val="yellow"/>
              </w:rPr>
            </w:pPr>
            <w:r w:rsidRPr="00EE1554">
              <w:t>(2.3)</w:t>
            </w:r>
          </w:p>
        </w:tc>
      </w:tr>
      <w:tr w:rsidR="00EE1554" w14:paraId="587A5DDA" w14:textId="77777777" w:rsidTr="00FE66D1">
        <w:trPr>
          <w:jc w:val="center"/>
        </w:trPr>
        <w:tc>
          <w:tcPr>
            <w:tcW w:w="7087" w:type="dxa"/>
            <w:tcBorders>
              <w:top w:val="single" w:sz="2" w:space="0" w:color="auto"/>
              <w:bottom w:val="single" w:sz="2" w:space="0" w:color="auto"/>
            </w:tcBorders>
          </w:tcPr>
          <w:p w14:paraId="010A6FF5" w14:textId="77777777" w:rsidR="00EE1554" w:rsidRPr="00765393" w:rsidRDefault="00EE1554" w:rsidP="00EE1554">
            <w:pPr>
              <w:pStyle w:val="T2"/>
              <w:jc w:val="left"/>
            </w:pPr>
          </w:p>
        </w:tc>
        <w:tc>
          <w:tcPr>
            <w:tcW w:w="1701" w:type="dxa"/>
            <w:tcBorders>
              <w:top w:val="single" w:sz="2" w:space="0" w:color="auto"/>
              <w:bottom w:val="single" w:sz="2" w:space="0" w:color="auto"/>
            </w:tcBorders>
          </w:tcPr>
          <w:p w14:paraId="0875B4A4" w14:textId="2B702ACB" w:rsidR="00EE1554" w:rsidRPr="0010152A" w:rsidRDefault="00884A63" w:rsidP="00EE1554">
            <w:pPr>
              <w:pStyle w:val="T2"/>
              <w:jc w:val="right"/>
              <w:rPr>
                <w:b/>
                <w:bCs/>
              </w:rPr>
            </w:pPr>
            <w:r>
              <w:rPr>
                <w:b/>
                <w:bCs/>
              </w:rPr>
              <w:t>17.6</w:t>
            </w:r>
          </w:p>
        </w:tc>
        <w:tc>
          <w:tcPr>
            <w:tcW w:w="1701" w:type="dxa"/>
            <w:tcBorders>
              <w:top w:val="single" w:sz="2" w:space="0" w:color="auto"/>
              <w:bottom w:val="single" w:sz="2" w:space="0" w:color="auto"/>
            </w:tcBorders>
          </w:tcPr>
          <w:p w14:paraId="269FB89E" w14:textId="2239A275" w:rsidR="00EE1554" w:rsidRPr="00EE1554" w:rsidRDefault="00EE1554" w:rsidP="00EE1554">
            <w:pPr>
              <w:pStyle w:val="T2"/>
              <w:jc w:val="right"/>
            </w:pPr>
            <w:r w:rsidRPr="00EE1554">
              <w:t>10.3</w:t>
            </w:r>
          </w:p>
        </w:tc>
      </w:tr>
      <w:tr w:rsidR="00EE1554" w14:paraId="24EAD54E" w14:textId="77777777" w:rsidTr="005B3BEE">
        <w:trPr>
          <w:jc w:val="center"/>
        </w:trPr>
        <w:tc>
          <w:tcPr>
            <w:tcW w:w="7087" w:type="dxa"/>
            <w:tcBorders>
              <w:top w:val="single" w:sz="2" w:space="0" w:color="auto"/>
            </w:tcBorders>
            <w:vAlign w:val="bottom"/>
          </w:tcPr>
          <w:p w14:paraId="696F4B39" w14:textId="77777777" w:rsidR="00EE1554" w:rsidRPr="00E86C8F" w:rsidRDefault="00EE1554" w:rsidP="00EE1554">
            <w:pPr>
              <w:pStyle w:val="T2"/>
              <w:jc w:val="left"/>
              <w:rPr>
                <w:b/>
              </w:rPr>
            </w:pPr>
            <w:r w:rsidRPr="00E86C8F">
              <w:rPr>
                <w:b/>
              </w:rPr>
              <w:t>Items that may subsequently be reclassified to profit or loss:</w:t>
            </w:r>
          </w:p>
        </w:tc>
        <w:tc>
          <w:tcPr>
            <w:tcW w:w="1701" w:type="dxa"/>
            <w:tcBorders>
              <w:top w:val="single" w:sz="2" w:space="0" w:color="auto"/>
            </w:tcBorders>
            <w:vAlign w:val="bottom"/>
          </w:tcPr>
          <w:p w14:paraId="6DA5B5C0" w14:textId="77777777" w:rsidR="00EE1554" w:rsidRPr="005D0EFF" w:rsidRDefault="00EE1554" w:rsidP="00EE1554">
            <w:pPr>
              <w:pStyle w:val="T2"/>
              <w:jc w:val="right"/>
              <w:rPr>
                <w:bCs/>
              </w:rPr>
            </w:pPr>
          </w:p>
        </w:tc>
        <w:tc>
          <w:tcPr>
            <w:tcW w:w="1701" w:type="dxa"/>
            <w:tcBorders>
              <w:top w:val="single" w:sz="2" w:space="0" w:color="auto"/>
            </w:tcBorders>
            <w:vAlign w:val="bottom"/>
          </w:tcPr>
          <w:p w14:paraId="093A841C" w14:textId="77777777" w:rsidR="00EE1554" w:rsidRPr="00EE1554" w:rsidRDefault="00EE1554" w:rsidP="00EE1554">
            <w:pPr>
              <w:pStyle w:val="T2"/>
              <w:jc w:val="right"/>
            </w:pPr>
          </w:p>
        </w:tc>
      </w:tr>
      <w:tr w:rsidR="00EE1554" w14:paraId="58F0FDD1" w14:textId="77777777" w:rsidTr="00FE66D1">
        <w:trPr>
          <w:jc w:val="center"/>
        </w:trPr>
        <w:tc>
          <w:tcPr>
            <w:tcW w:w="7087" w:type="dxa"/>
            <w:vAlign w:val="bottom"/>
          </w:tcPr>
          <w:p w14:paraId="6005CE7A" w14:textId="77777777" w:rsidR="00EE1554" w:rsidRPr="00765393" w:rsidRDefault="00EE1554" w:rsidP="00EE1554">
            <w:pPr>
              <w:pStyle w:val="T2"/>
              <w:jc w:val="left"/>
            </w:pPr>
            <w:r w:rsidRPr="00765393">
              <w:t>Currency translation adjustment</w:t>
            </w:r>
          </w:p>
        </w:tc>
        <w:tc>
          <w:tcPr>
            <w:tcW w:w="1701" w:type="dxa"/>
          </w:tcPr>
          <w:p w14:paraId="59CF008D" w14:textId="1C98C8C6" w:rsidR="00EE1554" w:rsidRPr="0010152A" w:rsidRDefault="00555002" w:rsidP="00EE1554">
            <w:pPr>
              <w:pStyle w:val="T2"/>
              <w:jc w:val="right"/>
              <w:rPr>
                <w:b/>
                <w:bCs/>
              </w:rPr>
            </w:pPr>
            <w:r>
              <w:rPr>
                <w:b/>
                <w:bCs/>
              </w:rPr>
              <w:t>(0.9)</w:t>
            </w:r>
          </w:p>
        </w:tc>
        <w:tc>
          <w:tcPr>
            <w:tcW w:w="1701" w:type="dxa"/>
          </w:tcPr>
          <w:p w14:paraId="75550014" w14:textId="3E5C523E" w:rsidR="00EE1554" w:rsidRPr="00EE1554" w:rsidRDefault="00EE1554" w:rsidP="00EE1554">
            <w:pPr>
              <w:pStyle w:val="T2"/>
              <w:jc w:val="right"/>
            </w:pPr>
            <w:r w:rsidRPr="00EE1554">
              <w:t>(3.4)</w:t>
            </w:r>
          </w:p>
        </w:tc>
      </w:tr>
      <w:tr w:rsidR="00EE1554" w14:paraId="1057F5C1" w14:textId="77777777" w:rsidTr="00FE66D1">
        <w:trPr>
          <w:jc w:val="center"/>
        </w:trPr>
        <w:tc>
          <w:tcPr>
            <w:tcW w:w="7087" w:type="dxa"/>
            <w:vAlign w:val="bottom"/>
          </w:tcPr>
          <w:p w14:paraId="30463330" w14:textId="77777777" w:rsidR="00EE1554" w:rsidRPr="00765393" w:rsidRDefault="00EE1554" w:rsidP="00EE1554">
            <w:pPr>
              <w:pStyle w:val="T2"/>
              <w:jc w:val="left"/>
            </w:pPr>
            <w:r w:rsidRPr="00765393">
              <w:t xml:space="preserve">Translation reserve transferred to </w:t>
            </w:r>
            <w:r>
              <w:t>I</w:t>
            </w:r>
            <w:r w:rsidRPr="00765393">
              <w:t xml:space="preserve">ncome </w:t>
            </w:r>
            <w:r>
              <w:t>S</w:t>
            </w:r>
            <w:r w:rsidRPr="00765393">
              <w:t xml:space="preserve">tatement </w:t>
            </w:r>
            <w:r>
              <w:t>on disposal of subsidiary</w:t>
            </w:r>
          </w:p>
        </w:tc>
        <w:tc>
          <w:tcPr>
            <w:tcW w:w="1701" w:type="dxa"/>
          </w:tcPr>
          <w:p w14:paraId="1026805F" w14:textId="79453F0F" w:rsidR="00EE1554" w:rsidRPr="00B535FA" w:rsidRDefault="00EE1554" w:rsidP="00EE1554">
            <w:pPr>
              <w:pStyle w:val="T2"/>
              <w:jc w:val="right"/>
              <w:rPr>
                <w:b/>
                <w:bCs/>
              </w:rPr>
            </w:pPr>
            <w:r w:rsidRPr="002A67C2">
              <w:rPr>
                <w:b/>
                <w:bCs/>
              </w:rPr>
              <w:t>–</w:t>
            </w:r>
          </w:p>
        </w:tc>
        <w:tc>
          <w:tcPr>
            <w:tcW w:w="1701" w:type="dxa"/>
          </w:tcPr>
          <w:p w14:paraId="30177E60" w14:textId="05007FF1" w:rsidR="00EE1554" w:rsidRPr="00EE1554" w:rsidRDefault="00EE1554" w:rsidP="00EE1554">
            <w:pPr>
              <w:pStyle w:val="T2"/>
              <w:jc w:val="right"/>
            </w:pPr>
            <w:r w:rsidRPr="00EE1554">
              <w:t>(1.0)</w:t>
            </w:r>
          </w:p>
        </w:tc>
      </w:tr>
      <w:tr w:rsidR="00EE1554" w14:paraId="40F49C44" w14:textId="77777777" w:rsidTr="00FE66D1">
        <w:trPr>
          <w:jc w:val="center"/>
        </w:trPr>
        <w:tc>
          <w:tcPr>
            <w:tcW w:w="7087" w:type="dxa"/>
            <w:vAlign w:val="bottom"/>
          </w:tcPr>
          <w:p w14:paraId="197BAE87" w14:textId="77777777" w:rsidR="00EE1554" w:rsidRPr="00D477E0" w:rsidRDefault="00EE1554" w:rsidP="00EE1554">
            <w:pPr>
              <w:pStyle w:val="T2"/>
              <w:jc w:val="left"/>
              <w:rPr>
                <w:b/>
              </w:rPr>
            </w:pPr>
            <w:r>
              <w:rPr>
                <w:rFonts w:ascii="Calibri" w:hAnsi="Calibri" w:cs="Calibri"/>
                <w:bCs/>
              </w:rPr>
              <w:t>Non-controlling interest transferred to Income Statement on disposal of subsidiary</w:t>
            </w:r>
          </w:p>
        </w:tc>
        <w:tc>
          <w:tcPr>
            <w:tcW w:w="1701" w:type="dxa"/>
          </w:tcPr>
          <w:p w14:paraId="38E33A79" w14:textId="0B3BAECC" w:rsidR="00EE1554" w:rsidRPr="00B75C09" w:rsidRDefault="00EE1554" w:rsidP="00EE1554">
            <w:pPr>
              <w:pStyle w:val="T2"/>
              <w:jc w:val="right"/>
              <w:rPr>
                <w:b/>
                <w:bCs/>
              </w:rPr>
            </w:pPr>
            <w:r w:rsidRPr="002A67C2">
              <w:rPr>
                <w:b/>
                <w:bCs/>
              </w:rPr>
              <w:t>–</w:t>
            </w:r>
          </w:p>
        </w:tc>
        <w:tc>
          <w:tcPr>
            <w:tcW w:w="1701" w:type="dxa"/>
          </w:tcPr>
          <w:p w14:paraId="00470E1A" w14:textId="44BD5BD2" w:rsidR="00EE1554" w:rsidRPr="00EE1554" w:rsidRDefault="00EE1554" w:rsidP="00EE1554">
            <w:pPr>
              <w:pStyle w:val="T2"/>
              <w:jc w:val="right"/>
            </w:pPr>
            <w:r w:rsidRPr="00EE1554">
              <w:t>(5.8)</w:t>
            </w:r>
          </w:p>
        </w:tc>
      </w:tr>
      <w:tr w:rsidR="00EE1554" w14:paraId="50561880" w14:textId="77777777" w:rsidTr="00FE66D1">
        <w:trPr>
          <w:jc w:val="center"/>
        </w:trPr>
        <w:tc>
          <w:tcPr>
            <w:tcW w:w="7087" w:type="dxa"/>
            <w:vAlign w:val="bottom"/>
          </w:tcPr>
          <w:p w14:paraId="031BA59D" w14:textId="77777777" w:rsidR="00EE1554" w:rsidRPr="00765393" w:rsidRDefault="00EE1554" w:rsidP="00EE1554">
            <w:pPr>
              <w:pStyle w:val="T2"/>
              <w:jc w:val="left"/>
            </w:pPr>
            <w:r w:rsidRPr="00765393">
              <w:t>Cash flow hedges:</w:t>
            </w:r>
          </w:p>
        </w:tc>
        <w:tc>
          <w:tcPr>
            <w:tcW w:w="1701" w:type="dxa"/>
          </w:tcPr>
          <w:p w14:paraId="56AD2FC8" w14:textId="77777777" w:rsidR="00EE1554" w:rsidRPr="00B535FA" w:rsidRDefault="00EE1554" w:rsidP="00EE1554">
            <w:pPr>
              <w:pStyle w:val="T2"/>
              <w:jc w:val="right"/>
              <w:rPr>
                <w:b/>
                <w:bCs/>
              </w:rPr>
            </w:pPr>
          </w:p>
        </w:tc>
        <w:tc>
          <w:tcPr>
            <w:tcW w:w="1701" w:type="dxa"/>
          </w:tcPr>
          <w:p w14:paraId="4D0EEAE4" w14:textId="77777777" w:rsidR="00EE1554" w:rsidRPr="00EE1554" w:rsidRDefault="00EE1554" w:rsidP="00EE1554">
            <w:pPr>
              <w:pStyle w:val="T2"/>
              <w:jc w:val="right"/>
            </w:pPr>
          </w:p>
        </w:tc>
      </w:tr>
      <w:tr w:rsidR="00EE1554" w14:paraId="2FA6C720" w14:textId="77777777" w:rsidTr="00FE66D1">
        <w:trPr>
          <w:jc w:val="center"/>
        </w:trPr>
        <w:tc>
          <w:tcPr>
            <w:tcW w:w="7087" w:type="dxa"/>
            <w:vAlign w:val="bottom"/>
          </w:tcPr>
          <w:p w14:paraId="11F6C104" w14:textId="77777777" w:rsidR="00EE1554" w:rsidRPr="00765393" w:rsidRDefault="00EE1554" w:rsidP="00EE1554">
            <w:pPr>
              <w:pStyle w:val="T2"/>
              <w:jc w:val="left"/>
            </w:pPr>
            <w:r>
              <w:t xml:space="preserve">     </w:t>
            </w:r>
            <w:r w:rsidRPr="00765393">
              <w:t>fair value movement taken to equity</w:t>
            </w:r>
          </w:p>
        </w:tc>
        <w:tc>
          <w:tcPr>
            <w:tcW w:w="1701" w:type="dxa"/>
          </w:tcPr>
          <w:p w14:paraId="42577A1D" w14:textId="7D97E258" w:rsidR="00EE1554" w:rsidRPr="00B535FA" w:rsidRDefault="00555002" w:rsidP="00EE1554">
            <w:pPr>
              <w:pStyle w:val="T2"/>
              <w:jc w:val="right"/>
              <w:rPr>
                <w:b/>
                <w:bCs/>
              </w:rPr>
            </w:pPr>
            <w:r>
              <w:rPr>
                <w:b/>
                <w:bCs/>
              </w:rPr>
              <w:t>2.5</w:t>
            </w:r>
          </w:p>
        </w:tc>
        <w:tc>
          <w:tcPr>
            <w:tcW w:w="1701" w:type="dxa"/>
          </w:tcPr>
          <w:p w14:paraId="30F48533" w14:textId="39AE6F97" w:rsidR="00EE1554" w:rsidRPr="00EE1554" w:rsidRDefault="00EE1554" w:rsidP="00EE1554">
            <w:pPr>
              <w:pStyle w:val="T2"/>
              <w:jc w:val="right"/>
            </w:pPr>
            <w:r w:rsidRPr="00EE1554">
              <w:t>(0.8)</w:t>
            </w:r>
          </w:p>
        </w:tc>
      </w:tr>
      <w:tr w:rsidR="00EE1554" w14:paraId="3695E1DA" w14:textId="77777777" w:rsidTr="00FE66D1">
        <w:trPr>
          <w:jc w:val="center"/>
        </w:trPr>
        <w:tc>
          <w:tcPr>
            <w:tcW w:w="7087" w:type="dxa"/>
            <w:tcBorders>
              <w:bottom w:val="single" w:sz="2" w:space="0" w:color="auto"/>
            </w:tcBorders>
            <w:vAlign w:val="bottom"/>
          </w:tcPr>
          <w:p w14:paraId="2C31E90C" w14:textId="77777777" w:rsidR="00EE1554" w:rsidRPr="00765393" w:rsidRDefault="00EE1554" w:rsidP="00EE1554">
            <w:pPr>
              <w:pStyle w:val="T2"/>
              <w:jc w:val="left"/>
            </w:pPr>
            <w:r>
              <w:t xml:space="preserve">     </w:t>
            </w:r>
            <w:r w:rsidRPr="00765393">
              <w:t>transfer to Income Statement for the period</w:t>
            </w:r>
          </w:p>
        </w:tc>
        <w:tc>
          <w:tcPr>
            <w:tcW w:w="1701" w:type="dxa"/>
            <w:tcBorders>
              <w:bottom w:val="single" w:sz="2" w:space="0" w:color="auto"/>
            </w:tcBorders>
          </w:tcPr>
          <w:p w14:paraId="11C643B5" w14:textId="2CFC49BA" w:rsidR="00EE1554" w:rsidRPr="00B535FA" w:rsidRDefault="00555002" w:rsidP="00EE1554">
            <w:pPr>
              <w:pStyle w:val="T2"/>
              <w:jc w:val="right"/>
              <w:rPr>
                <w:b/>
                <w:bCs/>
              </w:rPr>
            </w:pPr>
            <w:r>
              <w:rPr>
                <w:b/>
                <w:bCs/>
              </w:rPr>
              <w:t>(0.9)</w:t>
            </w:r>
          </w:p>
        </w:tc>
        <w:tc>
          <w:tcPr>
            <w:tcW w:w="1701" w:type="dxa"/>
            <w:tcBorders>
              <w:bottom w:val="single" w:sz="2" w:space="0" w:color="auto"/>
            </w:tcBorders>
          </w:tcPr>
          <w:p w14:paraId="7E204221" w14:textId="1CF54403" w:rsidR="00EE1554" w:rsidRPr="00EE1554" w:rsidRDefault="00EE1554" w:rsidP="00EE1554">
            <w:pPr>
              <w:pStyle w:val="T2"/>
              <w:jc w:val="right"/>
            </w:pPr>
            <w:r w:rsidRPr="00EE1554">
              <w:t>0.6</w:t>
            </w:r>
          </w:p>
        </w:tc>
      </w:tr>
      <w:tr w:rsidR="00EE1554" w14:paraId="29FA10FC" w14:textId="77777777" w:rsidTr="00FE66D1">
        <w:trPr>
          <w:jc w:val="center"/>
        </w:trPr>
        <w:tc>
          <w:tcPr>
            <w:tcW w:w="7087" w:type="dxa"/>
            <w:tcBorders>
              <w:top w:val="single" w:sz="2" w:space="0" w:color="auto"/>
              <w:bottom w:val="single" w:sz="2" w:space="0" w:color="auto"/>
            </w:tcBorders>
          </w:tcPr>
          <w:p w14:paraId="2F063765" w14:textId="77777777" w:rsidR="00EE1554" w:rsidRPr="00765393" w:rsidRDefault="00EE1554" w:rsidP="00EE1554">
            <w:pPr>
              <w:pStyle w:val="T2"/>
              <w:jc w:val="left"/>
            </w:pPr>
          </w:p>
        </w:tc>
        <w:tc>
          <w:tcPr>
            <w:tcW w:w="1701" w:type="dxa"/>
            <w:tcBorders>
              <w:top w:val="single" w:sz="2" w:space="0" w:color="auto"/>
              <w:bottom w:val="single" w:sz="2" w:space="0" w:color="auto"/>
            </w:tcBorders>
          </w:tcPr>
          <w:p w14:paraId="1C87F74F" w14:textId="76811665" w:rsidR="00EE1554" w:rsidRPr="00B535FA" w:rsidRDefault="00555002" w:rsidP="00EE1554">
            <w:pPr>
              <w:pStyle w:val="T2"/>
              <w:jc w:val="right"/>
              <w:rPr>
                <w:b/>
                <w:bCs/>
              </w:rPr>
            </w:pPr>
            <w:r>
              <w:rPr>
                <w:b/>
                <w:bCs/>
              </w:rPr>
              <w:t>0.7</w:t>
            </w:r>
          </w:p>
        </w:tc>
        <w:tc>
          <w:tcPr>
            <w:tcW w:w="1701" w:type="dxa"/>
            <w:tcBorders>
              <w:top w:val="single" w:sz="2" w:space="0" w:color="auto"/>
              <w:bottom w:val="single" w:sz="2" w:space="0" w:color="auto"/>
            </w:tcBorders>
          </w:tcPr>
          <w:p w14:paraId="27274E78" w14:textId="714A9C34" w:rsidR="00EE1554" w:rsidRPr="00EE1554" w:rsidRDefault="00EE1554" w:rsidP="00EE1554">
            <w:pPr>
              <w:pStyle w:val="T2"/>
              <w:jc w:val="right"/>
            </w:pPr>
            <w:r w:rsidRPr="00EE1554">
              <w:t>(10.4)</w:t>
            </w:r>
          </w:p>
        </w:tc>
      </w:tr>
      <w:tr w:rsidR="00EE1554" w14:paraId="76A27410" w14:textId="77777777" w:rsidTr="00FE66D1">
        <w:trPr>
          <w:jc w:val="center"/>
        </w:trPr>
        <w:tc>
          <w:tcPr>
            <w:tcW w:w="7087" w:type="dxa"/>
            <w:tcBorders>
              <w:top w:val="single" w:sz="2" w:space="0" w:color="auto"/>
            </w:tcBorders>
          </w:tcPr>
          <w:p w14:paraId="796A60A5" w14:textId="77777777" w:rsidR="00EE1554" w:rsidRPr="00765393" w:rsidRDefault="00EE1554" w:rsidP="00EE1554">
            <w:pPr>
              <w:pStyle w:val="T2"/>
              <w:jc w:val="left"/>
            </w:pPr>
            <w:r w:rsidRPr="00765393">
              <w:t>Net income recognised directly within equity</w:t>
            </w:r>
          </w:p>
        </w:tc>
        <w:tc>
          <w:tcPr>
            <w:tcW w:w="1701" w:type="dxa"/>
            <w:tcBorders>
              <w:top w:val="single" w:sz="2" w:space="0" w:color="auto"/>
            </w:tcBorders>
          </w:tcPr>
          <w:p w14:paraId="010A96A0" w14:textId="7725AEAB" w:rsidR="00EE1554" w:rsidRPr="00D439D4" w:rsidRDefault="00884A63" w:rsidP="00EE1554">
            <w:pPr>
              <w:pStyle w:val="T2"/>
              <w:jc w:val="right"/>
              <w:rPr>
                <w:b/>
                <w:bCs/>
              </w:rPr>
            </w:pPr>
            <w:r>
              <w:rPr>
                <w:b/>
                <w:bCs/>
              </w:rPr>
              <w:t>18.3</w:t>
            </w:r>
          </w:p>
        </w:tc>
        <w:tc>
          <w:tcPr>
            <w:tcW w:w="1701" w:type="dxa"/>
            <w:tcBorders>
              <w:top w:val="single" w:sz="2" w:space="0" w:color="auto"/>
            </w:tcBorders>
          </w:tcPr>
          <w:p w14:paraId="0E413532" w14:textId="725E7E09" w:rsidR="00EE1554" w:rsidRPr="00EE1554" w:rsidRDefault="00EE1554" w:rsidP="00EE1554">
            <w:pPr>
              <w:pStyle w:val="T2"/>
              <w:jc w:val="right"/>
            </w:pPr>
            <w:r w:rsidRPr="00EE1554">
              <w:t>(0.1)</w:t>
            </w:r>
          </w:p>
        </w:tc>
      </w:tr>
      <w:tr w:rsidR="00EE1554" w14:paraId="3B2F9490" w14:textId="77777777" w:rsidTr="00FE66D1">
        <w:trPr>
          <w:jc w:val="center"/>
        </w:trPr>
        <w:tc>
          <w:tcPr>
            <w:tcW w:w="7087" w:type="dxa"/>
            <w:tcBorders>
              <w:bottom w:val="single" w:sz="2" w:space="0" w:color="auto"/>
            </w:tcBorders>
          </w:tcPr>
          <w:p w14:paraId="514B784B" w14:textId="3E2A288B" w:rsidR="00EE1554" w:rsidRPr="00765393" w:rsidRDefault="00555002" w:rsidP="00EE1554">
            <w:pPr>
              <w:pStyle w:val="T2"/>
              <w:jc w:val="left"/>
            </w:pPr>
            <w:r>
              <w:t>Profit</w:t>
            </w:r>
            <w:r w:rsidR="00EE1554">
              <w:t xml:space="preserve"> </w:t>
            </w:r>
            <w:r w:rsidR="00EE1554" w:rsidRPr="00765393">
              <w:t>for the financial period</w:t>
            </w:r>
          </w:p>
        </w:tc>
        <w:tc>
          <w:tcPr>
            <w:tcW w:w="1701" w:type="dxa"/>
            <w:tcBorders>
              <w:bottom w:val="single" w:sz="2" w:space="0" w:color="auto"/>
            </w:tcBorders>
          </w:tcPr>
          <w:p w14:paraId="5752BBD2" w14:textId="3C54B1DF" w:rsidR="00EE1554" w:rsidRPr="00B535FA" w:rsidRDefault="00555002" w:rsidP="00EE1554">
            <w:pPr>
              <w:pStyle w:val="T2"/>
              <w:jc w:val="right"/>
              <w:rPr>
                <w:b/>
                <w:bCs/>
              </w:rPr>
            </w:pPr>
            <w:r>
              <w:rPr>
                <w:b/>
                <w:bCs/>
              </w:rPr>
              <w:t>0.8</w:t>
            </w:r>
          </w:p>
        </w:tc>
        <w:tc>
          <w:tcPr>
            <w:tcW w:w="1701" w:type="dxa"/>
            <w:tcBorders>
              <w:bottom w:val="single" w:sz="2" w:space="0" w:color="auto"/>
            </w:tcBorders>
          </w:tcPr>
          <w:p w14:paraId="1BFC5AAE" w14:textId="1F583270" w:rsidR="00EE1554" w:rsidRPr="00EE1554" w:rsidRDefault="00EE1554" w:rsidP="00EE1554">
            <w:pPr>
              <w:pStyle w:val="T2"/>
              <w:jc w:val="right"/>
            </w:pPr>
            <w:r w:rsidRPr="00EE1554">
              <w:t>0.4</w:t>
            </w:r>
          </w:p>
        </w:tc>
      </w:tr>
      <w:tr w:rsidR="00EE1554" w14:paraId="1B5D9BA7" w14:textId="77777777" w:rsidTr="00FE66D1">
        <w:trPr>
          <w:jc w:val="center"/>
        </w:trPr>
        <w:tc>
          <w:tcPr>
            <w:tcW w:w="7087" w:type="dxa"/>
            <w:tcBorders>
              <w:top w:val="single" w:sz="2" w:space="0" w:color="auto"/>
              <w:bottom w:val="single" w:sz="2" w:space="0" w:color="auto"/>
            </w:tcBorders>
          </w:tcPr>
          <w:p w14:paraId="2B631980" w14:textId="77777777" w:rsidR="00EE1554" w:rsidRPr="00704CCC" w:rsidRDefault="00EE1554" w:rsidP="00EE1554">
            <w:pPr>
              <w:pStyle w:val="T2"/>
              <w:jc w:val="left"/>
              <w:rPr>
                <w:b/>
              </w:rPr>
            </w:pPr>
            <w:r w:rsidRPr="00704CCC">
              <w:rPr>
                <w:b/>
              </w:rPr>
              <w:t xml:space="preserve">Total </w:t>
            </w:r>
            <w:r>
              <w:rPr>
                <w:b/>
              </w:rPr>
              <w:t>comprehensive</w:t>
            </w:r>
            <w:r w:rsidRPr="00704CCC">
              <w:rPr>
                <w:b/>
              </w:rPr>
              <w:t xml:space="preserve"> income for the financial period</w:t>
            </w:r>
          </w:p>
        </w:tc>
        <w:tc>
          <w:tcPr>
            <w:tcW w:w="1701" w:type="dxa"/>
            <w:tcBorders>
              <w:top w:val="single" w:sz="2" w:space="0" w:color="auto"/>
              <w:bottom w:val="single" w:sz="2" w:space="0" w:color="auto"/>
            </w:tcBorders>
          </w:tcPr>
          <w:p w14:paraId="13D61E64" w14:textId="745A46F8" w:rsidR="00EE1554" w:rsidRPr="00B535FA" w:rsidRDefault="00884A63" w:rsidP="00EE1554">
            <w:pPr>
              <w:pStyle w:val="T2"/>
              <w:jc w:val="right"/>
              <w:rPr>
                <w:b/>
                <w:bCs/>
              </w:rPr>
            </w:pPr>
            <w:r>
              <w:rPr>
                <w:b/>
                <w:bCs/>
              </w:rPr>
              <w:t>19.1</w:t>
            </w:r>
          </w:p>
        </w:tc>
        <w:tc>
          <w:tcPr>
            <w:tcW w:w="1701" w:type="dxa"/>
            <w:tcBorders>
              <w:top w:val="single" w:sz="2" w:space="0" w:color="auto"/>
              <w:bottom w:val="single" w:sz="2" w:space="0" w:color="auto"/>
            </w:tcBorders>
          </w:tcPr>
          <w:p w14:paraId="1858A278" w14:textId="5CD6055E" w:rsidR="00EE1554" w:rsidRPr="00EE1554" w:rsidRDefault="00EE1554" w:rsidP="00EE1554">
            <w:pPr>
              <w:pStyle w:val="T2"/>
              <w:jc w:val="right"/>
            </w:pPr>
            <w:r w:rsidRPr="00EE1554">
              <w:t>0.3</w:t>
            </w:r>
          </w:p>
        </w:tc>
      </w:tr>
      <w:tr w:rsidR="00EE1554" w14:paraId="60EAF7C6" w14:textId="77777777" w:rsidTr="001F1616">
        <w:trPr>
          <w:jc w:val="center"/>
        </w:trPr>
        <w:tc>
          <w:tcPr>
            <w:tcW w:w="7087" w:type="dxa"/>
            <w:tcBorders>
              <w:top w:val="single" w:sz="2" w:space="0" w:color="auto"/>
            </w:tcBorders>
          </w:tcPr>
          <w:p w14:paraId="71292923" w14:textId="77777777" w:rsidR="00EE1554" w:rsidRPr="00765393" w:rsidRDefault="00EE1554" w:rsidP="00EE1554">
            <w:pPr>
              <w:pStyle w:val="T2"/>
              <w:jc w:val="left"/>
            </w:pPr>
          </w:p>
        </w:tc>
        <w:tc>
          <w:tcPr>
            <w:tcW w:w="1701" w:type="dxa"/>
            <w:tcBorders>
              <w:top w:val="single" w:sz="2" w:space="0" w:color="auto"/>
            </w:tcBorders>
            <w:vAlign w:val="bottom"/>
          </w:tcPr>
          <w:p w14:paraId="531C0AE4" w14:textId="77777777" w:rsidR="00EE1554" w:rsidRPr="005D0EFF" w:rsidRDefault="00EE1554" w:rsidP="00EE1554">
            <w:pPr>
              <w:pStyle w:val="T2"/>
              <w:jc w:val="right"/>
              <w:rPr>
                <w:bCs/>
              </w:rPr>
            </w:pPr>
          </w:p>
        </w:tc>
        <w:tc>
          <w:tcPr>
            <w:tcW w:w="1701" w:type="dxa"/>
            <w:tcBorders>
              <w:top w:val="single" w:sz="2" w:space="0" w:color="auto"/>
            </w:tcBorders>
            <w:vAlign w:val="bottom"/>
          </w:tcPr>
          <w:p w14:paraId="75DAAB4F" w14:textId="77777777" w:rsidR="00EE1554" w:rsidRPr="00EE1554" w:rsidRDefault="00EE1554" w:rsidP="00EE1554">
            <w:pPr>
              <w:pStyle w:val="T2"/>
              <w:jc w:val="right"/>
            </w:pPr>
          </w:p>
        </w:tc>
      </w:tr>
      <w:tr w:rsidR="00EE1554" w14:paraId="472C0983" w14:textId="77777777" w:rsidTr="005B3BEE">
        <w:trPr>
          <w:jc w:val="center"/>
        </w:trPr>
        <w:tc>
          <w:tcPr>
            <w:tcW w:w="7087" w:type="dxa"/>
            <w:vAlign w:val="bottom"/>
          </w:tcPr>
          <w:p w14:paraId="31304D5C" w14:textId="77777777" w:rsidR="00EE1554" w:rsidRPr="00704CCC" w:rsidRDefault="00EE1554" w:rsidP="00EE1554">
            <w:pPr>
              <w:pStyle w:val="T2"/>
              <w:jc w:val="left"/>
              <w:rPr>
                <w:b/>
              </w:rPr>
            </w:pPr>
            <w:r w:rsidRPr="00704CCC">
              <w:rPr>
                <w:b/>
              </w:rPr>
              <w:t>Attributable to:</w:t>
            </w:r>
          </w:p>
        </w:tc>
        <w:tc>
          <w:tcPr>
            <w:tcW w:w="1701" w:type="dxa"/>
            <w:vAlign w:val="bottom"/>
          </w:tcPr>
          <w:p w14:paraId="25148183" w14:textId="77777777" w:rsidR="00EE1554" w:rsidRPr="005D0EFF" w:rsidRDefault="00EE1554" w:rsidP="00EE1554">
            <w:pPr>
              <w:pStyle w:val="T2"/>
              <w:jc w:val="right"/>
              <w:rPr>
                <w:bCs/>
              </w:rPr>
            </w:pPr>
          </w:p>
        </w:tc>
        <w:tc>
          <w:tcPr>
            <w:tcW w:w="1701" w:type="dxa"/>
            <w:vAlign w:val="bottom"/>
          </w:tcPr>
          <w:p w14:paraId="1EB9562F" w14:textId="77777777" w:rsidR="00EE1554" w:rsidRPr="00EE1554" w:rsidRDefault="00EE1554" w:rsidP="00EE1554">
            <w:pPr>
              <w:pStyle w:val="T2"/>
              <w:jc w:val="right"/>
            </w:pPr>
          </w:p>
        </w:tc>
      </w:tr>
      <w:tr w:rsidR="00EE1554" w14:paraId="78B18363" w14:textId="77777777" w:rsidTr="00FE66D1">
        <w:trPr>
          <w:jc w:val="center"/>
        </w:trPr>
        <w:tc>
          <w:tcPr>
            <w:tcW w:w="7087" w:type="dxa"/>
            <w:vAlign w:val="bottom"/>
          </w:tcPr>
          <w:p w14:paraId="7F75C884" w14:textId="77777777" w:rsidR="00EE1554" w:rsidRPr="00765393" w:rsidRDefault="00EE1554" w:rsidP="00EE1554">
            <w:pPr>
              <w:pStyle w:val="T2"/>
              <w:jc w:val="left"/>
            </w:pPr>
            <w:r w:rsidRPr="00765393">
              <w:t>Equity</w:t>
            </w:r>
            <w:r>
              <w:t xml:space="preserve"> Shareholders</w:t>
            </w:r>
          </w:p>
        </w:tc>
        <w:tc>
          <w:tcPr>
            <w:tcW w:w="1701" w:type="dxa"/>
          </w:tcPr>
          <w:p w14:paraId="649A7FAA" w14:textId="6EA2003B" w:rsidR="00EE1554" w:rsidRPr="00863360" w:rsidRDefault="00884A63" w:rsidP="00EE1554">
            <w:pPr>
              <w:pStyle w:val="T2"/>
              <w:tabs>
                <w:tab w:val="center" w:pos="742"/>
                <w:tab w:val="right" w:pos="1485"/>
              </w:tabs>
              <w:jc w:val="right"/>
              <w:rPr>
                <w:b/>
                <w:bCs/>
              </w:rPr>
            </w:pPr>
            <w:r>
              <w:rPr>
                <w:b/>
                <w:bCs/>
              </w:rPr>
              <w:t>19.1</w:t>
            </w:r>
          </w:p>
        </w:tc>
        <w:tc>
          <w:tcPr>
            <w:tcW w:w="1701" w:type="dxa"/>
          </w:tcPr>
          <w:p w14:paraId="16208596" w14:textId="4E86D06C" w:rsidR="00EE1554" w:rsidRPr="00EE1554" w:rsidRDefault="00EE1554" w:rsidP="00EE1554">
            <w:pPr>
              <w:pStyle w:val="T2"/>
              <w:jc w:val="right"/>
            </w:pPr>
            <w:r w:rsidRPr="00EE1554">
              <w:t>6.0</w:t>
            </w:r>
          </w:p>
        </w:tc>
      </w:tr>
      <w:tr w:rsidR="00EE1554" w14:paraId="23AACBD4" w14:textId="77777777" w:rsidTr="00FE66D1">
        <w:trPr>
          <w:jc w:val="center"/>
        </w:trPr>
        <w:tc>
          <w:tcPr>
            <w:tcW w:w="7087" w:type="dxa"/>
            <w:tcBorders>
              <w:bottom w:val="single" w:sz="2" w:space="0" w:color="auto"/>
            </w:tcBorders>
            <w:vAlign w:val="bottom"/>
          </w:tcPr>
          <w:p w14:paraId="4D0A5A23" w14:textId="77777777" w:rsidR="00EE1554" w:rsidRPr="00765393" w:rsidRDefault="00EE1554" w:rsidP="00EE1554">
            <w:pPr>
              <w:pStyle w:val="T2"/>
              <w:jc w:val="left"/>
            </w:pPr>
            <w:r w:rsidRPr="00765393">
              <w:t>Non</w:t>
            </w:r>
            <w:r>
              <w:t>–</w:t>
            </w:r>
            <w:r w:rsidRPr="00765393">
              <w:t>controlling interests</w:t>
            </w:r>
          </w:p>
        </w:tc>
        <w:tc>
          <w:tcPr>
            <w:tcW w:w="1701" w:type="dxa"/>
            <w:tcBorders>
              <w:bottom w:val="single" w:sz="2" w:space="0" w:color="auto"/>
            </w:tcBorders>
          </w:tcPr>
          <w:p w14:paraId="2130BD38" w14:textId="0F691D70" w:rsidR="00EE1554" w:rsidRPr="00B535FA" w:rsidRDefault="00EE1554" w:rsidP="00EE1554">
            <w:pPr>
              <w:pStyle w:val="T2"/>
              <w:jc w:val="right"/>
              <w:rPr>
                <w:b/>
                <w:bCs/>
              </w:rPr>
            </w:pPr>
            <w:r w:rsidRPr="002F6377">
              <w:rPr>
                <w:b/>
                <w:bCs/>
              </w:rPr>
              <w:t>–</w:t>
            </w:r>
          </w:p>
        </w:tc>
        <w:tc>
          <w:tcPr>
            <w:tcW w:w="1701" w:type="dxa"/>
            <w:tcBorders>
              <w:bottom w:val="single" w:sz="2" w:space="0" w:color="auto"/>
            </w:tcBorders>
          </w:tcPr>
          <w:p w14:paraId="65D7D247" w14:textId="08CCDEDE" w:rsidR="00EE1554" w:rsidRPr="00EE1554" w:rsidRDefault="00EE1554" w:rsidP="00EE1554">
            <w:pPr>
              <w:pStyle w:val="T2"/>
              <w:jc w:val="right"/>
            </w:pPr>
            <w:r w:rsidRPr="00EE1554">
              <w:t>(5.7)</w:t>
            </w:r>
          </w:p>
        </w:tc>
      </w:tr>
      <w:tr w:rsidR="00EE1554" w14:paraId="5D82949E" w14:textId="77777777" w:rsidTr="00FE66D1">
        <w:trPr>
          <w:jc w:val="center"/>
        </w:trPr>
        <w:tc>
          <w:tcPr>
            <w:tcW w:w="7087" w:type="dxa"/>
            <w:tcBorders>
              <w:top w:val="single" w:sz="2" w:space="0" w:color="auto"/>
              <w:bottom w:val="single" w:sz="2" w:space="0" w:color="auto"/>
            </w:tcBorders>
            <w:vAlign w:val="bottom"/>
          </w:tcPr>
          <w:p w14:paraId="6A5A5C47" w14:textId="77777777" w:rsidR="00EE1554" w:rsidRPr="00704CCC" w:rsidRDefault="00EE1554" w:rsidP="00EE1554">
            <w:pPr>
              <w:pStyle w:val="T2"/>
              <w:jc w:val="left"/>
              <w:rPr>
                <w:b/>
              </w:rPr>
            </w:pPr>
            <w:r>
              <w:rPr>
                <w:b/>
              </w:rPr>
              <w:t>Total comprehensive</w:t>
            </w:r>
            <w:r w:rsidRPr="00704CCC">
              <w:rPr>
                <w:b/>
              </w:rPr>
              <w:t xml:space="preserve"> income for the financial period</w:t>
            </w:r>
          </w:p>
        </w:tc>
        <w:tc>
          <w:tcPr>
            <w:tcW w:w="1701" w:type="dxa"/>
            <w:tcBorders>
              <w:top w:val="single" w:sz="2" w:space="0" w:color="auto"/>
              <w:bottom w:val="single" w:sz="2" w:space="0" w:color="auto"/>
            </w:tcBorders>
          </w:tcPr>
          <w:p w14:paraId="27930EF3" w14:textId="617EFCBC" w:rsidR="00884A63" w:rsidRPr="00B535FA" w:rsidRDefault="00884A63" w:rsidP="00884A63">
            <w:pPr>
              <w:pStyle w:val="T2"/>
              <w:jc w:val="right"/>
              <w:rPr>
                <w:b/>
                <w:bCs/>
              </w:rPr>
            </w:pPr>
            <w:r>
              <w:rPr>
                <w:b/>
                <w:bCs/>
              </w:rPr>
              <w:t>19.1</w:t>
            </w:r>
          </w:p>
        </w:tc>
        <w:tc>
          <w:tcPr>
            <w:tcW w:w="1701" w:type="dxa"/>
            <w:tcBorders>
              <w:top w:val="single" w:sz="2" w:space="0" w:color="auto"/>
              <w:bottom w:val="single" w:sz="2" w:space="0" w:color="auto"/>
            </w:tcBorders>
          </w:tcPr>
          <w:p w14:paraId="4FB13D1E" w14:textId="19F5D08C" w:rsidR="00EE1554" w:rsidRPr="00EE1554" w:rsidRDefault="00EE1554" w:rsidP="00EE1554">
            <w:pPr>
              <w:pStyle w:val="T2"/>
              <w:jc w:val="right"/>
            </w:pPr>
            <w:r w:rsidRPr="00EE1554">
              <w:t>0.3</w:t>
            </w:r>
          </w:p>
        </w:tc>
      </w:tr>
      <w:tr w:rsidR="00D477E0" w14:paraId="4E8A25DB" w14:textId="77777777" w:rsidTr="001F1616">
        <w:trPr>
          <w:jc w:val="center"/>
        </w:trPr>
        <w:tc>
          <w:tcPr>
            <w:tcW w:w="7087" w:type="dxa"/>
            <w:tcBorders>
              <w:top w:val="single" w:sz="2" w:space="0" w:color="auto"/>
            </w:tcBorders>
          </w:tcPr>
          <w:p w14:paraId="758C60BD" w14:textId="77777777" w:rsidR="00D477E0" w:rsidRPr="00704CCC" w:rsidRDefault="00D477E0" w:rsidP="00D477E0">
            <w:pPr>
              <w:pStyle w:val="T2"/>
              <w:jc w:val="left"/>
              <w:rPr>
                <w:b/>
              </w:rPr>
            </w:pPr>
          </w:p>
        </w:tc>
        <w:tc>
          <w:tcPr>
            <w:tcW w:w="1701" w:type="dxa"/>
            <w:tcBorders>
              <w:top w:val="single" w:sz="2" w:space="0" w:color="auto"/>
            </w:tcBorders>
            <w:vAlign w:val="bottom"/>
          </w:tcPr>
          <w:p w14:paraId="25682FB8" w14:textId="77777777" w:rsidR="00D477E0" w:rsidRPr="005D0EFF" w:rsidRDefault="00D477E0" w:rsidP="00D477E0">
            <w:pPr>
              <w:pStyle w:val="T2"/>
              <w:jc w:val="right"/>
              <w:rPr>
                <w:bCs/>
              </w:rPr>
            </w:pPr>
          </w:p>
        </w:tc>
        <w:tc>
          <w:tcPr>
            <w:tcW w:w="1701" w:type="dxa"/>
            <w:tcBorders>
              <w:top w:val="single" w:sz="2" w:space="0" w:color="auto"/>
            </w:tcBorders>
            <w:vAlign w:val="bottom"/>
          </w:tcPr>
          <w:p w14:paraId="28FB5F77" w14:textId="77777777" w:rsidR="00D477E0" w:rsidRDefault="00D477E0" w:rsidP="00D477E0">
            <w:pPr>
              <w:pStyle w:val="T2"/>
              <w:jc w:val="right"/>
            </w:pPr>
          </w:p>
        </w:tc>
      </w:tr>
    </w:tbl>
    <w:p w14:paraId="24DB234B" w14:textId="77777777" w:rsidR="00773F7B" w:rsidRDefault="00773F7B" w:rsidP="00773F7B">
      <w:pPr>
        <w:rPr>
          <w:b/>
          <w:color w:val="002060"/>
          <w:sz w:val="28"/>
          <w:szCs w:val="28"/>
        </w:rPr>
      </w:pPr>
    </w:p>
    <w:p w14:paraId="6723CE5A" w14:textId="75025D67" w:rsidR="00C550D6" w:rsidRDefault="00C550D6" w:rsidP="00C550D6">
      <w:pPr>
        <w:pStyle w:val="Heading2"/>
        <w:ind w:left="-567"/>
      </w:pPr>
      <w:r w:rsidRPr="006F55A8">
        <w:t xml:space="preserve">CONDENSED </w:t>
      </w:r>
      <w:r>
        <w:t xml:space="preserve">GROUP </w:t>
      </w:r>
      <w:r w:rsidRPr="006F55A8">
        <w:t xml:space="preserve">STATEMENT </w:t>
      </w:r>
      <w:r>
        <w:t>OF FINANCIAL POSITION</w:t>
      </w:r>
    </w:p>
    <w:p w14:paraId="05E5BAD5" w14:textId="76C6200A" w:rsidR="00872E32" w:rsidRDefault="00C550D6" w:rsidP="00C550D6">
      <w:pPr>
        <w:ind w:left="-567"/>
        <w:rPr>
          <w:b/>
          <w:color w:val="002060"/>
          <w:sz w:val="20"/>
          <w:szCs w:val="20"/>
        </w:rPr>
      </w:pPr>
      <w:r w:rsidRPr="00C550D6">
        <w:rPr>
          <w:b/>
          <w:color w:val="002060"/>
          <w:sz w:val="20"/>
          <w:szCs w:val="20"/>
        </w:rPr>
        <w:t>as at 25 March 2022</w:t>
      </w:r>
    </w:p>
    <w:bookmarkEnd w:id="16"/>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8"/>
        <w:gridCol w:w="709"/>
        <w:gridCol w:w="1771"/>
        <w:gridCol w:w="1772"/>
      </w:tblGrid>
      <w:tr w:rsidR="00EE1554" w14:paraId="67244211" w14:textId="77777777" w:rsidTr="004B6C20">
        <w:trPr>
          <w:jc w:val="center"/>
        </w:trPr>
        <w:tc>
          <w:tcPr>
            <w:tcW w:w="6238" w:type="dxa"/>
          </w:tcPr>
          <w:p w14:paraId="593D34E6" w14:textId="77777777" w:rsidR="00EE1554" w:rsidRDefault="00EE1554" w:rsidP="00D6564B">
            <w:pPr>
              <w:pStyle w:val="T2"/>
            </w:pPr>
          </w:p>
        </w:tc>
        <w:tc>
          <w:tcPr>
            <w:tcW w:w="709" w:type="dxa"/>
          </w:tcPr>
          <w:p w14:paraId="1C234C40" w14:textId="77777777" w:rsidR="00EE1554" w:rsidRDefault="00EE1554" w:rsidP="00D6564B">
            <w:pPr>
              <w:pStyle w:val="T2"/>
              <w:jc w:val="right"/>
            </w:pPr>
          </w:p>
        </w:tc>
        <w:tc>
          <w:tcPr>
            <w:tcW w:w="1771" w:type="dxa"/>
            <w:vAlign w:val="bottom"/>
          </w:tcPr>
          <w:p w14:paraId="1130EDEC" w14:textId="77777777" w:rsidR="00EE1554" w:rsidRDefault="00EE1554" w:rsidP="00E651EE">
            <w:pPr>
              <w:pStyle w:val="T2"/>
              <w:jc w:val="right"/>
              <w:rPr>
                <w:b/>
              </w:rPr>
            </w:pPr>
            <w:r>
              <w:rPr>
                <w:b/>
              </w:rPr>
              <w:t xml:space="preserve">March </w:t>
            </w:r>
          </w:p>
          <w:p w14:paraId="1D2432D4" w14:textId="099EDFC6" w:rsidR="00EE1554" w:rsidRDefault="00EE1554" w:rsidP="00E651EE">
            <w:pPr>
              <w:pStyle w:val="T2"/>
              <w:jc w:val="right"/>
              <w:rPr>
                <w:b/>
              </w:rPr>
            </w:pPr>
            <w:r>
              <w:rPr>
                <w:b/>
              </w:rPr>
              <w:t>2022</w:t>
            </w:r>
          </w:p>
          <w:p w14:paraId="10BEBC6B" w14:textId="77777777" w:rsidR="00EE1554" w:rsidRPr="007F7736" w:rsidRDefault="00EE1554" w:rsidP="00E651EE">
            <w:pPr>
              <w:pStyle w:val="T2"/>
              <w:jc w:val="right"/>
              <w:rPr>
                <w:b/>
              </w:rPr>
            </w:pPr>
            <w:r w:rsidRPr="00A30CBB">
              <w:rPr>
                <w:b/>
              </w:rPr>
              <w:t>(Unaudited)</w:t>
            </w:r>
          </w:p>
        </w:tc>
        <w:tc>
          <w:tcPr>
            <w:tcW w:w="1772" w:type="dxa"/>
            <w:vAlign w:val="bottom"/>
          </w:tcPr>
          <w:p w14:paraId="004F20B4" w14:textId="77777777" w:rsidR="00EE1554" w:rsidRDefault="00EE1554" w:rsidP="00E651EE">
            <w:pPr>
              <w:pStyle w:val="T2"/>
              <w:jc w:val="right"/>
            </w:pPr>
            <w:r>
              <w:t xml:space="preserve">September </w:t>
            </w:r>
          </w:p>
          <w:p w14:paraId="76A645F8" w14:textId="4E072E30" w:rsidR="00EE1554" w:rsidRDefault="00EE1554" w:rsidP="00E651EE">
            <w:pPr>
              <w:pStyle w:val="T2"/>
              <w:jc w:val="right"/>
            </w:pPr>
            <w:r>
              <w:t>2021</w:t>
            </w:r>
          </w:p>
          <w:p w14:paraId="63D73E38" w14:textId="77777777" w:rsidR="00EE1554" w:rsidRDefault="00EE1554" w:rsidP="00E651EE">
            <w:pPr>
              <w:pStyle w:val="T2"/>
              <w:jc w:val="right"/>
            </w:pPr>
            <w:r w:rsidRPr="00A30CBB">
              <w:t>(Audited</w:t>
            </w:r>
            <w:r>
              <w:t>)</w:t>
            </w:r>
          </w:p>
        </w:tc>
      </w:tr>
      <w:tr w:rsidR="00EE1554" w14:paraId="03FFAB88" w14:textId="77777777" w:rsidTr="004B6C20">
        <w:trPr>
          <w:jc w:val="center"/>
        </w:trPr>
        <w:tc>
          <w:tcPr>
            <w:tcW w:w="6238" w:type="dxa"/>
            <w:tcBorders>
              <w:bottom w:val="single" w:sz="2" w:space="0" w:color="auto"/>
            </w:tcBorders>
          </w:tcPr>
          <w:p w14:paraId="7507628F" w14:textId="77777777" w:rsidR="00EE1554" w:rsidRDefault="00EE1554" w:rsidP="00D6564B">
            <w:pPr>
              <w:pStyle w:val="T2"/>
            </w:pPr>
          </w:p>
        </w:tc>
        <w:tc>
          <w:tcPr>
            <w:tcW w:w="709" w:type="dxa"/>
            <w:tcBorders>
              <w:bottom w:val="single" w:sz="2" w:space="0" w:color="auto"/>
            </w:tcBorders>
          </w:tcPr>
          <w:p w14:paraId="375D06BB" w14:textId="77777777" w:rsidR="00EE1554" w:rsidRDefault="00EE1554" w:rsidP="00D6564B">
            <w:pPr>
              <w:pStyle w:val="T2"/>
              <w:jc w:val="right"/>
            </w:pPr>
            <w:r>
              <w:t>Notes</w:t>
            </w:r>
          </w:p>
        </w:tc>
        <w:tc>
          <w:tcPr>
            <w:tcW w:w="1771" w:type="dxa"/>
            <w:tcBorders>
              <w:bottom w:val="single" w:sz="2" w:space="0" w:color="auto"/>
            </w:tcBorders>
          </w:tcPr>
          <w:p w14:paraId="06D7F44D" w14:textId="77777777" w:rsidR="00EE1554" w:rsidRPr="007F7736" w:rsidRDefault="00EE1554" w:rsidP="00D6564B">
            <w:pPr>
              <w:pStyle w:val="T2"/>
              <w:jc w:val="right"/>
              <w:rPr>
                <w:b/>
              </w:rPr>
            </w:pPr>
            <w:r w:rsidRPr="00A30CBB">
              <w:rPr>
                <w:b/>
              </w:rPr>
              <w:t>£m</w:t>
            </w:r>
          </w:p>
        </w:tc>
        <w:tc>
          <w:tcPr>
            <w:tcW w:w="1772" w:type="dxa"/>
            <w:tcBorders>
              <w:bottom w:val="single" w:sz="2" w:space="0" w:color="auto"/>
            </w:tcBorders>
          </w:tcPr>
          <w:p w14:paraId="25C3E293" w14:textId="77777777" w:rsidR="00EE1554" w:rsidRDefault="00EE1554" w:rsidP="00D6564B">
            <w:pPr>
              <w:pStyle w:val="T2"/>
              <w:jc w:val="right"/>
            </w:pPr>
            <w:r w:rsidRPr="00A30CBB">
              <w:t>£m</w:t>
            </w:r>
          </w:p>
        </w:tc>
      </w:tr>
      <w:tr w:rsidR="00EE1554" w14:paraId="6E52094C" w14:textId="77777777" w:rsidTr="004B6C20">
        <w:trPr>
          <w:jc w:val="center"/>
        </w:trPr>
        <w:tc>
          <w:tcPr>
            <w:tcW w:w="6238" w:type="dxa"/>
            <w:tcBorders>
              <w:top w:val="single" w:sz="2" w:space="0" w:color="auto"/>
            </w:tcBorders>
          </w:tcPr>
          <w:p w14:paraId="02642DE4" w14:textId="77777777" w:rsidR="00EE1554" w:rsidRPr="00D515EB" w:rsidRDefault="00EE1554" w:rsidP="00D6564B">
            <w:pPr>
              <w:pStyle w:val="T2"/>
              <w:jc w:val="left"/>
              <w:rPr>
                <w:b/>
              </w:rPr>
            </w:pPr>
            <w:r w:rsidRPr="00D515EB">
              <w:rPr>
                <w:b/>
              </w:rPr>
              <w:t>ASSETS</w:t>
            </w:r>
          </w:p>
        </w:tc>
        <w:tc>
          <w:tcPr>
            <w:tcW w:w="709" w:type="dxa"/>
            <w:tcBorders>
              <w:top w:val="single" w:sz="2" w:space="0" w:color="auto"/>
            </w:tcBorders>
          </w:tcPr>
          <w:p w14:paraId="5841411E" w14:textId="77777777" w:rsidR="00EE1554" w:rsidRPr="004A4F57" w:rsidRDefault="00EE1554" w:rsidP="00D6564B">
            <w:pPr>
              <w:pStyle w:val="T2"/>
              <w:jc w:val="right"/>
            </w:pPr>
          </w:p>
        </w:tc>
        <w:tc>
          <w:tcPr>
            <w:tcW w:w="1771" w:type="dxa"/>
            <w:tcBorders>
              <w:top w:val="single" w:sz="2" w:space="0" w:color="auto"/>
            </w:tcBorders>
          </w:tcPr>
          <w:p w14:paraId="5A6C0C11" w14:textId="77777777" w:rsidR="00EE1554" w:rsidRPr="005D0EFF" w:rsidRDefault="00EE1554" w:rsidP="00D6564B">
            <w:pPr>
              <w:pStyle w:val="T2"/>
              <w:jc w:val="right"/>
              <w:rPr>
                <w:bCs/>
              </w:rPr>
            </w:pPr>
          </w:p>
        </w:tc>
        <w:tc>
          <w:tcPr>
            <w:tcW w:w="1772" w:type="dxa"/>
            <w:tcBorders>
              <w:top w:val="single" w:sz="2" w:space="0" w:color="auto"/>
            </w:tcBorders>
          </w:tcPr>
          <w:p w14:paraId="7E17D5CB" w14:textId="77777777" w:rsidR="00EE1554" w:rsidRPr="00A30CBB" w:rsidRDefault="00EE1554" w:rsidP="00D6564B">
            <w:pPr>
              <w:pStyle w:val="T2"/>
              <w:jc w:val="right"/>
            </w:pPr>
          </w:p>
        </w:tc>
      </w:tr>
      <w:tr w:rsidR="00EE1554" w14:paraId="779D91EE" w14:textId="77777777" w:rsidTr="004B6C20">
        <w:trPr>
          <w:jc w:val="center"/>
        </w:trPr>
        <w:tc>
          <w:tcPr>
            <w:tcW w:w="6238" w:type="dxa"/>
          </w:tcPr>
          <w:p w14:paraId="5C3B9B06" w14:textId="77777777" w:rsidR="00EE1554" w:rsidRPr="00D515EB" w:rsidRDefault="00EE1554" w:rsidP="00D6564B">
            <w:pPr>
              <w:pStyle w:val="T2"/>
              <w:jc w:val="left"/>
              <w:rPr>
                <w:b/>
              </w:rPr>
            </w:pPr>
            <w:r w:rsidRPr="00D515EB">
              <w:rPr>
                <w:b/>
              </w:rPr>
              <w:t>Non</w:t>
            </w:r>
            <w:r>
              <w:rPr>
                <w:b/>
              </w:rPr>
              <w:t>–</w:t>
            </w:r>
            <w:r w:rsidRPr="00D515EB">
              <w:rPr>
                <w:b/>
              </w:rPr>
              <w:t>current assets</w:t>
            </w:r>
          </w:p>
        </w:tc>
        <w:tc>
          <w:tcPr>
            <w:tcW w:w="709" w:type="dxa"/>
          </w:tcPr>
          <w:p w14:paraId="75B71D1A" w14:textId="77777777" w:rsidR="00EE1554" w:rsidRPr="004A4F57" w:rsidRDefault="00EE1554" w:rsidP="00D6564B">
            <w:pPr>
              <w:pStyle w:val="T2"/>
              <w:jc w:val="right"/>
            </w:pPr>
          </w:p>
        </w:tc>
        <w:tc>
          <w:tcPr>
            <w:tcW w:w="1771" w:type="dxa"/>
          </w:tcPr>
          <w:p w14:paraId="0CE46C2E" w14:textId="77777777" w:rsidR="00EE1554" w:rsidRPr="005D0EFF" w:rsidRDefault="00EE1554" w:rsidP="00D6564B">
            <w:pPr>
              <w:pStyle w:val="T2"/>
              <w:jc w:val="right"/>
              <w:rPr>
                <w:bCs/>
              </w:rPr>
            </w:pPr>
          </w:p>
        </w:tc>
        <w:tc>
          <w:tcPr>
            <w:tcW w:w="1772" w:type="dxa"/>
          </w:tcPr>
          <w:p w14:paraId="3216CC65" w14:textId="77777777" w:rsidR="00EE1554" w:rsidRPr="00A30CBB" w:rsidRDefault="00EE1554" w:rsidP="00D6564B">
            <w:pPr>
              <w:pStyle w:val="T2"/>
              <w:jc w:val="right"/>
            </w:pPr>
          </w:p>
        </w:tc>
      </w:tr>
      <w:tr w:rsidR="00EE1554" w14:paraId="63B36B94" w14:textId="77777777" w:rsidTr="004B6C20">
        <w:trPr>
          <w:jc w:val="center"/>
        </w:trPr>
        <w:tc>
          <w:tcPr>
            <w:tcW w:w="6238" w:type="dxa"/>
          </w:tcPr>
          <w:p w14:paraId="72F44B72" w14:textId="77777777" w:rsidR="00EE1554" w:rsidRPr="00765393" w:rsidRDefault="00EE1554" w:rsidP="00EE1554">
            <w:pPr>
              <w:pStyle w:val="T2"/>
              <w:jc w:val="left"/>
            </w:pPr>
            <w:r w:rsidRPr="00765393">
              <w:t>Goodwill and intangible assets</w:t>
            </w:r>
          </w:p>
        </w:tc>
        <w:tc>
          <w:tcPr>
            <w:tcW w:w="709" w:type="dxa"/>
          </w:tcPr>
          <w:p w14:paraId="20FF5B83" w14:textId="5FA25BB8" w:rsidR="00EE1554" w:rsidRPr="00A31437" w:rsidRDefault="002675EF" w:rsidP="00EE1554">
            <w:pPr>
              <w:pStyle w:val="T2"/>
              <w:jc w:val="right"/>
            </w:pPr>
            <w:r>
              <w:t>10</w:t>
            </w:r>
          </w:p>
        </w:tc>
        <w:tc>
          <w:tcPr>
            <w:tcW w:w="1771" w:type="dxa"/>
          </w:tcPr>
          <w:p w14:paraId="7F66773E" w14:textId="6F629A87" w:rsidR="00EE1554" w:rsidRPr="00B535FA" w:rsidRDefault="00555002" w:rsidP="00EE1554">
            <w:pPr>
              <w:pStyle w:val="T2"/>
              <w:jc w:val="right"/>
              <w:rPr>
                <w:b/>
                <w:bCs/>
              </w:rPr>
            </w:pPr>
            <w:r>
              <w:rPr>
                <w:b/>
                <w:bCs/>
              </w:rPr>
              <w:t>470.5</w:t>
            </w:r>
          </w:p>
        </w:tc>
        <w:tc>
          <w:tcPr>
            <w:tcW w:w="1772" w:type="dxa"/>
          </w:tcPr>
          <w:p w14:paraId="18F990BE" w14:textId="7C797675" w:rsidR="00EE1554" w:rsidRPr="00A30CBB" w:rsidRDefault="00310394" w:rsidP="00EE1554">
            <w:pPr>
              <w:pStyle w:val="T2"/>
              <w:jc w:val="right"/>
            </w:pPr>
            <w:r>
              <w:rPr>
                <w:bCs/>
              </w:rPr>
              <w:t>473.3</w:t>
            </w:r>
          </w:p>
        </w:tc>
      </w:tr>
      <w:tr w:rsidR="00EE1554" w14:paraId="42F3DC45" w14:textId="77777777" w:rsidTr="004B6C20">
        <w:trPr>
          <w:jc w:val="center"/>
        </w:trPr>
        <w:tc>
          <w:tcPr>
            <w:tcW w:w="6238" w:type="dxa"/>
          </w:tcPr>
          <w:p w14:paraId="753309D1" w14:textId="77777777" w:rsidR="00EE1554" w:rsidRPr="00765393" w:rsidRDefault="00EE1554" w:rsidP="00EE1554">
            <w:pPr>
              <w:pStyle w:val="T2"/>
              <w:jc w:val="left"/>
            </w:pPr>
            <w:r w:rsidRPr="00765393">
              <w:t>Property, plant and equipment</w:t>
            </w:r>
          </w:p>
        </w:tc>
        <w:tc>
          <w:tcPr>
            <w:tcW w:w="709" w:type="dxa"/>
          </w:tcPr>
          <w:p w14:paraId="420C9D33" w14:textId="72A58DAA" w:rsidR="00EE1554" w:rsidRPr="00A31437" w:rsidRDefault="002675EF" w:rsidP="00EE1554">
            <w:pPr>
              <w:pStyle w:val="T2"/>
              <w:jc w:val="right"/>
            </w:pPr>
            <w:r>
              <w:t>10</w:t>
            </w:r>
          </w:p>
        </w:tc>
        <w:tc>
          <w:tcPr>
            <w:tcW w:w="1771" w:type="dxa"/>
          </w:tcPr>
          <w:p w14:paraId="78F7742E" w14:textId="64AF3987" w:rsidR="00EE1554" w:rsidRPr="00B535FA" w:rsidRDefault="00555002" w:rsidP="00EE1554">
            <w:pPr>
              <w:pStyle w:val="T2"/>
              <w:jc w:val="right"/>
              <w:rPr>
                <w:b/>
                <w:bCs/>
              </w:rPr>
            </w:pPr>
            <w:r>
              <w:rPr>
                <w:b/>
                <w:bCs/>
              </w:rPr>
              <w:t>309.8</w:t>
            </w:r>
          </w:p>
        </w:tc>
        <w:tc>
          <w:tcPr>
            <w:tcW w:w="1772" w:type="dxa"/>
          </w:tcPr>
          <w:p w14:paraId="483113ED" w14:textId="43B4A4C5" w:rsidR="00EE1554" w:rsidRPr="00A30CBB" w:rsidRDefault="00310394" w:rsidP="00EE1554">
            <w:pPr>
              <w:pStyle w:val="T2"/>
              <w:jc w:val="right"/>
            </w:pPr>
            <w:r>
              <w:t>307.4</w:t>
            </w:r>
          </w:p>
        </w:tc>
      </w:tr>
      <w:tr w:rsidR="00EE1554" w14:paraId="37381DB7" w14:textId="77777777" w:rsidTr="004B6C20">
        <w:trPr>
          <w:jc w:val="center"/>
        </w:trPr>
        <w:tc>
          <w:tcPr>
            <w:tcW w:w="6238" w:type="dxa"/>
          </w:tcPr>
          <w:p w14:paraId="205619C3" w14:textId="77777777" w:rsidR="00EE1554" w:rsidRPr="00765393" w:rsidRDefault="00EE1554" w:rsidP="00EE1554">
            <w:pPr>
              <w:pStyle w:val="T2"/>
              <w:jc w:val="left"/>
            </w:pPr>
            <w:r>
              <w:t>Right-of-use assets</w:t>
            </w:r>
          </w:p>
        </w:tc>
        <w:tc>
          <w:tcPr>
            <w:tcW w:w="709" w:type="dxa"/>
          </w:tcPr>
          <w:p w14:paraId="22270763" w14:textId="54389B35" w:rsidR="00EE1554" w:rsidRDefault="002675EF" w:rsidP="00EE1554">
            <w:pPr>
              <w:pStyle w:val="T2"/>
              <w:jc w:val="right"/>
            </w:pPr>
            <w:r>
              <w:t>10</w:t>
            </w:r>
          </w:p>
        </w:tc>
        <w:tc>
          <w:tcPr>
            <w:tcW w:w="1771" w:type="dxa"/>
          </w:tcPr>
          <w:p w14:paraId="4E53279F" w14:textId="3C5B16AE" w:rsidR="00EE1554" w:rsidRPr="00B535FA" w:rsidRDefault="00555002" w:rsidP="00EE1554">
            <w:pPr>
              <w:pStyle w:val="T2"/>
              <w:jc w:val="right"/>
              <w:rPr>
                <w:b/>
                <w:bCs/>
              </w:rPr>
            </w:pPr>
            <w:r>
              <w:rPr>
                <w:b/>
                <w:bCs/>
              </w:rPr>
              <w:t>48.5</w:t>
            </w:r>
          </w:p>
        </w:tc>
        <w:tc>
          <w:tcPr>
            <w:tcW w:w="1772" w:type="dxa"/>
          </w:tcPr>
          <w:p w14:paraId="6723E39D" w14:textId="21D12795" w:rsidR="00EE1554" w:rsidRPr="0096767F" w:rsidRDefault="00310394" w:rsidP="00EE1554">
            <w:pPr>
              <w:pStyle w:val="T2"/>
              <w:jc w:val="right"/>
              <w:rPr>
                <w:bCs/>
              </w:rPr>
            </w:pPr>
            <w:r>
              <w:rPr>
                <w:bCs/>
              </w:rPr>
              <w:t>54.1</w:t>
            </w:r>
          </w:p>
        </w:tc>
      </w:tr>
      <w:tr w:rsidR="00EE1554" w14:paraId="01D281F7" w14:textId="77777777" w:rsidTr="004B6C20">
        <w:trPr>
          <w:jc w:val="center"/>
        </w:trPr>
        <w:tc>
          <w:tcPr>
            <w:tcW w:w="6238" w:type="dxa"/>
          </w:tcPr>
          <w:p w14:paraId="7ED8D469" w14:textId="77777777" w:rsidR="00EE1554" w:rsidRPr="00765393" w:rsidRDefault="00EE1554" w:rsidP="00EE1554">
            <w:pPr>
              <w:pStyle w:val="T2"/>
              <w:jc w:val="left"/>
            </w:pPr>
            <w:r w:rsidRPr="00765393">
              <w:t>Investment property</w:t>
            </w:r>
          </w:p>
        </w:tc>
        <w:tc>
          <w:tcPr>
            <w:tcW w:w="709" w:type="dxa"/>
          </w:tcPr>
          <w:p w14:paraId="5F59C5AA" w14:textId="1AA72230" w:rsidR="00EE1554" w:rsidRPr="00A31437" w:rsidRDefault="002675EF" w:rsidP="00EE1554">
            <w:pPr>
              <w:pStyle w:val="T2"/>
              <w:jc w:val="right"/>
            </w:pPr>
            <w:r>
              <w:t>10</w:t>
            </w:r>
          </w:p>
        </w:tc>
        <w:tc>
          <w:tcPr>
            <w:tcW w:w="1771" w:type="dxa"/>
          </w:tcPr>
          <w:p w14:paraId="1200FEFA" w14:textId="51ABB9F8" w:rsidR="00EE1554" w:rsidRPr="00B535FA" w:rsidRDefault="00555002" w:rsidP="00EE1554">
            <w:pPr>
              <w:pStyle w:val="T2"/>
              <w:jc w:val="right"/>
              <w:rPr>
                <w:b/>
                <w:bCs/>
              </w:rPr>
            </w:pPr>
            <w:r>
              <w:rPr>
                <w:b/>
                <w:bCs/>
              </w:rPr>
              <w:t>3.0</w:t>
            </w:r>
          </w:p>
        </w:tc>
        <w:tc>
          <w:tcPr>
            <w:tcW w:w="1772" w:type="dxa"/>
          </w:tcPr>
          <w:p w14:paraId="4B4265BB" w14:textId="7450D5BD" w:rsidR="00EE1554" w:rsidRPr="00A30CBB" w:rsidRDefault="00310394" w:rsidP="00EE1554">
            <w:pPr>
              <w:pStyle w:val="T2"/>
              <w:jc w:val="right"/>
            </w:pPr>
            <w:r>
              <w:t>3.0</w:t>
            </w:r>
          </w:p>
        </w:tc>
      </w:tr>
      <w:tr w:rsidR="00EE1554" w14:paraId="081B5699" w14:textId="77777777" w:rsidTr="004B6C20">
        <w:trPr>
          <w:jc w:val="center"/>
        </w:trPr>
        <w:tc>
          <w:tcPr>
            <w:tcW w:w="6238" w:type="dxa"/>
          </w:tcPr>
          <w:p w14:paraId="3FDAD871" w14:textId="77777777" w:rsidR="00EE1554" w:rsidRPr="00765393" w:rsidRDefault="00EE1554" w:rsidP="00EE1554">
            <w:pPr>
              <w:pStyle w:val="T2"/>
              <w:jc w:val="left"/>
            </w:pPr>
            <w:r w:rsidRPr="00765393">
              <w:t>Retirement benefit assets</w:t>
            </w:r>
          </w:p>
        </w:tc>
        <w:tc>
          <w:tcPr>
            <w:tcW w:w="709" w:type="dxa"/>
          </w:tcPr>
          <w:p w14:paraId="49AE4A2E" w14:textId="18D74E6D" w:rsidR="00EE1554" w:rsidRPr="00A31437" w:rsidRDefault="00EE1554" w:rsidP="00EE1554">
            <w:pPr>
              <w:pStyle w:val="T2"/>
              <w:jc w:val="right"/>
            </w:pPr>
            <w:r>
              <w:t>1</w:t>
            </w:r>
            <w:r w:rsidR="002675EF">
              <w:t>4</w:t>
            </w:r>
          </w:p>
        </w:tc>
        <w:tc>
          <w:tcPr>
            <w:tcW w:w="1771" w:type="dxa"/>
          </w:tcPr>
          <w:p w14:paraId="3E60AC77" w14:textId="6178504B" w:rsidR="00EE1554" w:rsidRPr="00B535FA" w:rsidRDefault="00555002" w:rsidP="00EE1554">
            <w:pPr>
              <w:pStyle w:val="T2"/>
              <w:jc w:val="right"/>
              <w:rPr>
                <w:b/>
                <w:bCs/>
              </w:rPr>
            </w:pPr>
            <w:r>
              <w:rPr>
                <w:b/>
                <w:bCs/>
              </w:rPr>
              <w:t>40.4</w:t>
            </w:r>
          </w:p>
        </w:tc>
        <w:tc>
          <w:tcPr>
            <w:tcW w:w="1772" w:type="dxa"/>
          </w:tcPr>
          <w:p w14:paraId="1DC51E56" w14:textId="47BD729B" w:rsidR="00EE1554" w:rsidRPr="00A30CBB" w:rsidRDefault="00310394" w:rsidP="00EE1554">
            <w:pPr>
              <w:pStyle w:val="T2"/>
              <w:jc w:val="right"/>
            </w:pPr>
            <w:r>
              <w:t>42.1</w:t>
            </w:r>
          </w:p>
        </w:tc>
      </w:tr>
      <w:tr w:rsidR="00EE1554" w14:paraId="7CF650FB" w14:textId="77777777" w:rsidTr="004B6C20">
        <w:trPr>
          <w:jc w:val="center"/>
        </w:trPr>
        <w:tc>
          <w:tcPr>
            <w:tcW w:w="6238" w:type="dxa"/>
          </w:tcPr>
          <w:p w14:paraId="1BD5E07C" w14:textId="77777777" w:rsidR="00EE1554" w:rsidRPr="00765393" w:rsidRDefault="00EE1554" w:rsidP="00EE1554">
            <w:pPr>
              <w:pStyle w:val="T2"/>
              <w:jc w:val="left"/>
            </w:pPr>
            <w:r>
              <w:t>Derivative financial instruments</w:t>
            </w:r>
          </w:p>
        </w:tc>
        <w:tc>
          <w:tcPr>
            <w:tcW w:w="709" w:type="dxa"/>
          </w:tcPr>
          <w:p w14:paraId="7711B1A9" w14:textId="6DCD53F7" w:rsidR="00EE1554" w:rsidRPr="00A31437" w:rsidRDefault="002675EF" w:rsidP="00EE1554">
            <w:pPr>
              <w:pStyle w:val="T2"/>
              <w:jc w:val="right"/>
            </w:pPr>
            <w:r>
              <w:t>12</w:t>
            </w:r>
          </w:p>
        </w:tc>
        <w:tc>
          <w:tcPr>
            <w:tcW w:w="1771" w:type="dxa"/>
          </w:tcPr>
          <w:p w14:paraId="7CD99E92" w14:textId="760CD1EC" w:rsidR="00EE1554" w:rsidRPr="00B535FA" w:rsidRDefault="00555002" w:rsidP="00EE1554">
            <w:pPr>
              <w:pStyle w:val="T2"/>
              <w:jc w:val="right"/>
              <w:rPr>
                <w:b/>
                <w:bCs/>
              </w:rPr>
            </w:pPr>
            <w:r>
              <w:rPr>
                <w:b/>
                <w:bCs/>
              </w:rPr>
              <w:t>2.5</w:t>
            </w:r>
          </w:p>
        </w:tc>
        <w:tc>
          <w:tcPr>
            <w:tcW w:w="1772" w:type="dxa"/>
          </w:tcPr>
          <w:p w14:paraId="43A542BF" w14:textId="5C52F4AA" w:rsidR="00EE1554" w:rsidRPr="00A30CBB" w:rsidRDefault="00310394" w:rsidP="00EE1554">
            <w:pPr>
              <w:pStyle w:val="T2"/>
              <w:jc w:val="right"/>
            </w:pPr>
            <w:r w:rsidRPr="0096767F">
              <w:rPr>
                <w:bCs/>
              </w:rPr>
              <w:t>–</w:t>
            </w:r>
          </w:p>
        </w:tc>
      </w:tr>
      <w:tr w:rsidR="00EE1554" w14:paraId="4F918AD7" w14:textId="77777777" w:rsidTr="004B6C20">
        <w:trPr>
          <w:jc w:val="center"/>
        </w:trPr>
        <w:tc>
          <w:tcPr>
            <w:tcW w:w="6238" w:type="dxa"/>
          </w:tcPr>
          <w:p w14:paraId="108DAD8A" w14:textId="77777777" w:rsidR="00EE1554" w:rsidRPr="00765393" w:rsidRDefault="00EE1554" w:rsidP="00EE1554">
            <w:pPr>
              <w:pStyle w:val="T2"/>
              <w:jc w:val="left"/>
            </w:pPr>
            <w:r w:rsidRPr="00765393">
              <w:t>Deferred tax assets</w:t>
            </w:r>
          </w:p>
        </w:tc>
        <w:tc>
          <w:tcPr>
            <w:tcW w:w="709" w:type="dxa"/>
          </w:tcPr>
          <w:p w14:paraId="26474074" w14:textId="77777777" w:rsidR="00EE1554" w:rsidRPr="00A31437" w:rsidRDefault="00EE1554" w:rsidP="00EE1554">
            <w:pPr>
              <w:pStyle w:val="T2"/>
              <w:jc w:val="right"/>
            </w:pPr>
          </w:p>
        </w:tc>
        <w:tc>
          <w:tcPr>
            <w:tcW w:w="1771" w:type="dxa"/>
          </w:tcPr>
          <w:p w14:paraId="16807A42" w14:textId="3B2C1878" w:rsidR="00EE1554" w:rsidRPr="00B535FA" w:rsidRDefault="00884A63" w:rsidP="00EE1554">
            <w:pPr>
              <w:pStyle w:val="T2"/>
              <w:jc w:val="right"/>
              <w:rPr>
                <w:b/>
                <w:bCs/>
              </w:rPr>
            </w:pPr>
            <w:r>
              <w:rPr>
                <w:b/>
                <w:bCs/>
              </w:rPr>
              <w:t>39.3</w:t>
            </w:r>
          </w:p>
        </w:tc>
        <w:tc>
          <w:tcPr>
            <w:tcW w:w="1772" w:type="dxa"/>
          </w:tcPr>
          <w:p w14:paraId="59DF00D4" w14:textId="052DFFC0" w:rsidR="00EE1554" w:rsidRPr="00A30CBB" w:rsidRDefault="00310394" w:rsidP="00EE1554">
            <w:pPr>
              <w:pStyle w:val="T2"/>
              <w:jc w:val="right"/>
            </w:pPr>
            <w:r>
              <w:t>48.1</w:t>
            </w:r>
          </w:p>
        </w:tc>
      </w:tr>
      <w:tr w:rsidR="00EE1554" w14:paraId="6EC1874C" w14:textId="77777777" w:rsidTr="00CA1AE6">
        <w:trPr>
          <w:jc w:val="center"/>
        </w:trPr>
        <w:tc>
          <w:tcPr>
            <w:tcW w:w="6238" w:type="dxa"/>
            <w:tcBorders>
              <w:bottom w:val="single" w:sz="2" w:space="0" w:color="auto"/>
            </w:tcBorders>
          </w:tcPr>
          <w:p w14:paraId="1D882A22" w14:textId="77777777" w:rsidR="00EE1554" w:rsidRPr="00362A41" w:rsidRDefault="00EE1554" w:rsidP="00EE1554">
            <w:pPr>
              <w:pStyle w:val="T2"/>
              <w:jc w:val="left"/>
            </w:pPr>
            <w:r w:rsidRPr="00362A41">
              <w:t>Trade and other receivables</w:t>
            </w:r>
          </w:p>
        </w:tc>
        <w:tc>
          <w:tcPr>
            <w:tcW w:w="709" w:type="dxa"/>
            <w:tcBorders>
              <w:bottom w:val="single" w:sz="2" w:space="0" w:color="auto"/>
            </w:tcBorders>
          </w:tcPr>
          <w:p w14:paraId="0BC50D88" w14:textId="77777777" w:rsidR="00EE1554" w:rsidRPr="00A31437" w:rsidRDefault="00EE1554" w:rsidP="00EE1554">
            <w:pPr>
              <w:pStyle w:val="T2"/>
              <w:jc w:val="right"/>
            </w:pPr>
          </w:p>
        </w:tc>
        <w:tc>
          <w:tcPr>
            <w:tcW w:w="1771" w:type="dxa"/>
            <w:tcBorders>
              <w:bottom w:val="single" w:sz="2" w:space="0" w:color="auto"/>
            </w:tcBorders>
          </w:tcPr>
          <w:p w14:paraId="21A4D035" w14:textId="4E18CFC6" w:rsidR="00EE1554" w:rsidRPr="0040521A" w:rsidRDefault="00555002" w:rsidP="00EE1554">
            <w:pPr>
              <w:pStyle w:val="T2"/>
              <w:jc w:val="right"/>
              <w:rPr>
                <w:b/>
                <w:bCs/>
              </w:rPr>
            </w:pPr>
            <w:r>
              <w:rPr>
                <w:b/>
                <w:bCs/>
              </w:rPr>
              <w:t>0.4</w:t>
            </w:r>
          </w:p>
        </w:tc>
        <w:tc>
          <w:tcPr>
            <w:tcW w:w="1772" w:type="dxa"/>
            <w:tcBorders>
              <w:bottom w:val="single" w:sz="2" w:space="0" w:color="auto"/>
            </w:tcBorders>
          </w:tcPr>
          <w:p w14:paraId="4AD444C4" w14:textId="5B15C4EA" w:rsidR="00EE1554" w:rsidRPr="0040521A" w:rsidRDefault="00310394" w:rsidP="00EE1554">
            <w:pPr>
              <w:pStyle w:val="T2"/>
              <w:jc w:val="right"/>
            </w:pPr>
            <w:r>
              <w:t>0.4</w:t>
            </w:r>
          </w:p>
        </w:tc>
      </w:tr>
      <w:tr w:rsidR="00880AF6" w14:paraId="3B161959" w14:textId="77777777" w:rsidTr="004B6C20">
        <w:trPr>
          <w:jc w:val="center"/>
        </w:trPr>
        <w:tc>
          <w:tcPr>
            <w:tcW w:w="6238" w:type="dxa"/>
            <w:tcBorders>
              <w:top w:val="single" w:sz="2" w:space="0" w:color="auto"/>
              <w:bottom w:val="single" w:sz="2" w:space="0" w:color="auto"/>
            </w:tcBorders>
          </w:tcPr>
          <w:p w14:paraId="2063102B" w14:textId="174CE181" w:rsidR="00880AF6" w:rsidRPr="00880AF6" w:rsidRDefault="00880AF6" w:rsidP="00EE1554">
            <w:pPr>
              <w:pStyle w:val="T2"/>
              <w:jc w:val="left"/>
              <w:rPr>
                <w:b/>
                <w:bCs/>
              </w:rPr>
            </w:pPr>
            <w:r w:rsidRPr="00880AF6">
              <w:rPr>
                <w:b/>
                <w:bCs/>
              </w:rPr>
              <w:t>Total non-current assets</w:t>
            </w:r>
          </w:p>
        </w:tc>
        <w:tc>
          <w:tcPr>
            <w:tcW w:w="709" w:type="dxa"/>
            <w:tcBorders>
              <w:top w:val="single" w:sz="2" w:space="0" w:color="auto"/>
              <w:bottom w:val="single" w:sz="2" w:space="0" w:color="auto"/>
            </w:tcBorders>
          </w:tcPr>
          <w:p w14:paraId="13701731" w14:textId="77777777" w:rsidR="00880AF6" w:rsidRPr="00A31437" w:rsidRDefault="00880AF6" w:rsidP="00EE1554">
            <w:pPr>
              <w:pStyle w:val="T2"/>
              <w:jc w:val="right"/>
            </w:pPr>
          </w:p>
        </w:tc>
        <w:tc>
          <w:tcPr>
            <w:tcW w:w="1771" w:type="dxa"/>
            <w:tcBorders>
              <w:top w:val="single" w:sz="2" w:space="0" w:color="auto"/>
              <w:bottom w:val="single" w:sz="2" w:space="0" w:color="auto"/>
            </w:tcBorders>
          </w:tcPr>
          <w:p w14:paraId="4E3676E9" w14:textId="51ED2566" w:rsidR="00880AF6" w:rsidRDefault="00880AF6" w:rsidP="00EE1554">
            <w:pPr>
              <w:pStyle w:val="T2"/>
              <w:jc w:val="right"/>
              <w:rPr>
                <w:b/>
                <w:bCs/>
              </w:rPr>
            </w:pPr>
            <w:r>
              <w:rPr>
                <w:b/>
                <w:bCs/>
              </w:rPr>
              <w:t>9</w:t>
            </w:r>
            <w:r w:rsidR="00884A63">
              <w:rPr>
                <w:b/>
                <w:bCs/>
              </w:rPr>
              <w:t>14.4</w:t>
            </w:r>
          </w:p>
        </w:tc>
        <w:tc>
          <w:tcPr>
            <w:tcW w:w="1772" w:type="dxa"/>
            <w:tcBorders>
              <w:top w:val="single" w:sz="2" w:space="0" w:color="auto"/>
              <w:bottom w:val="single" w:sz="2" w:space="0" w:color="auto"/>
            </w:tcBorders>
          </w:tcPr>
          <w:p w14:paraId="1A7CA6C2" w14:textId="3693BA6C" w:rsidR="00880AF6" w:rsidRDefault="00880AF6" w:rsidP="00EE1554">
            <w:pPr>
              <w:pStyle w:val="T2"/>
              <w:jc w:val="right"/>
            </w:pPr>
            <w:r>
              <w:t>928.4</w:t>
            </w:r>
          </w:p>
        </w:tc>
      </w:tr>
      <w:tr w:rsidR="00EE1554" w:rsidRPr="00C16F21" w14:paraId="13F8C896" w14:textId="77777777" w:rsidTr="004B6C20">
        <w:trPr>
          <w:jc w:val="center"/>
        </w:trPr>
        <w:tc>
          <w:tcPr>
            <w:tcW w:w="6238" w:type="dxa"/>
          </w:tcPr>
          <w:p w14:paraId="34DD8F89" w14:textId="77777777" w:rsidR="00EE1554" w:rsidRPr="00C16F21" w:rsidRDefault="00EE1554" w:rsidP="00EE1554">
            <w:pPr>
              <w:pStyle w:val="T2"/>
              <w:jc w:val="left"/>
              <w:rPr>
                <w:b/>
                <w:sz w:val="10"/>
                <w:szCs w:val="10"/>
              </w:rPr>
            </w:pPr>
          </w:p>
        </w:tc>
        <w:tc>
          <w:tcPr>
            <w:tcW w:w="709" w:type="dxa"/>
          </w:tcPr>
          <w:p w14:paraId="32D8544F" w14:textId="77777777" w:rsidR="00EE1554" w:rsidRPr="00C16F21" w:rsidRDefault="00EE1554" w:rsidP="00EE1554">
            <w:pPr>
              <w:pStyle w:val="T2"/>
              <w:jc w:val="right"/>
              <w:rPr>
                <w:sz w:val="10"/>
                <w:szCs w:val="10"/>
              </w:rPr>
            </w:pPr>
          </w:p>
        </w:tc>
        <w:tc>
          <w:tcPr>
            <w:tcW w:w="1771" w:type="dxa"/>
            <w:tcBorders>
              <w:top w:val="single" w:sz="4" w:space="0" w:color="auto"/>
            </w:tcBorders>
          </w:tcPr>
          <w:p w14:paraId="302736DD" w14:textId="77777777" w:rsidR="00EE1554" w:rsidRPr="00C16F21" w:rsidRDefault="00EE1554" w:rsidP="00EE1554">
            <w:pPr>
              <w:pStyle w:val="T2"/>
              <w:jc w:val="right"/>
              <w:rPr>
                <w:b/>
                <w:bCs/>
                <w:sz w:val="10"/>
                <w:szCs w:val="10"/>
              </w:rPr>
            </w:pPr>
          </w:p>
        </w:tc>
        <w:tc>
          <w:tcPr>
            <w:tcW w:w="1772" w:type="dxa"/>
          </w:tcPr>
          <w:p w14:paraId="6B707FCB" w14:textId="77777777" w:rsidR="00EE1554" w:rsidRPr="00C16F21" w:rsidRDefault="00EE1554" w:rsidP="00EE1554">
            <w:pPr>
              <w:pStyle w:val="T2"/>
              <w:jc w:val="right"/>
              <w:rPr>
                <w:sz w:val="10"/>
                <w:szCs w:val="10"/>
              </w:rPr>
            </w:pPr>
          </w:p>
        </w:tc>
      </w:tr>
      <w:tr w:rsidR="00EE1554" w14:paraId="3380AECC" w14:textId="77777777" w:rsidTr="004B6C20">
        <w:trPr>
          <w:jc w:val="center"/>
        </w:trPr>
        <w:tc>
          <w:tcPr>
            <w:tcW w:w="6238" w:type="dxa"/>
          </w:tcPr>
          <w:p w14:paraId="4A33CDCD" w14:textId="77777777" w:rsidR="00EE1554" w:rsidRPr="00D515EB" w:rsidRDefault="00EE1554" w:rsidP="00EE1554">
            <w:pPr>
              <w:pStyle w:val="T2"/>
              <w:jc w:val="left"/>
              <w:rPr>
                <w:b/>
              </w:rPr>
            </w:pPr>
            <w:r w:rsidRPr="00D515EB">
              <w:rPr>
                <w:b/>
              </w:rPr>
              <w:t>Current assets</w:t>
            </w:r>
          </w:p>
        </w:tc>
        <w:tc>
          <w:tcPr>
            <w:tcW w:w="709" w:type="dxa"/>
          </w:tcPr>
          <w:p w14:paraId="406B0ADD" w14:textId="77777777" w:rsidR="00EE1554" w:rsidRPr="00A31437" w:rsidRDefault="00EE1554" w:rsidP="00EE1554">
            <w:pPr>
              <w:pStyle w:val="T2"/>
              <w:jc w:val="right"/>
            </w:pPr>
          </w:p>
        </w:tc>
        <w:tc>
          <w:tcPr>
            <w:tcW w:w="1771" w:type="dxa"/>
          </w:tcPr>
          <w:p w14:paraId="658C8E82" w14:textId="77777777" w:rsidR="00EE1554" w:rsidRPr="00B535FA" w:rsidRDefault="00EE1554" w:rsidP="00EE1554">
            <w:pPr>
              <w:pStyle w:val="T2"/>
              <w:jc w:val="right"/>
              <w:rPr>
                <w:b/>
                <w:bCs/>
              </w:rPr>
            </w:pPr>
          </w:p>
        </w:tc>
        <w:tc>
          <w:tcPr>
            <w:tcW w:w="1772" w:type="dxa"/>
          </w:tcPr>
          <w:p w14:paraId="5C440357" w14:textId="77777777" w:rsidR="00EE1554" w:rsidRPr="002C5AD6" w:rsidRDefault="00EE1554" w:rsidP="00EE1554">
            <w:pPr>
              <w:pStyle w:val="T2"/>
              <w:jc w:val="right"/>
            </w:pPr>
          </w:p>
        </w:tc>
      </w:tr>
      <w:tr w:rsidR="00EE1554" w14:paraId="6093C89C" w14:textId="77777777" w:rsidTr="004B6C20">
        <w:trPr>
          <w:jc w:val="center"/>
        </w:trPr>
        <w:tc>
          <w:tcPr>
            <w:tcW w:w="6238" w:type="dxa"/>
          </w:tcPr>
          <w:p w14:paraId="6ABE9CA0" w14:textId="77777777" w:rsidR="00EE1554" w:rsidRPr="00765393" w:rsidRDefault="00EE1554" w:rsidP="00EE1554">
            <w:pPr>
              <w:pStyle w:val="T2"/>
              <w:jc w:val="left"/>
            </w:pPr>
            <w:r w:rsidRPr="00765393">
              <w:t>Inventories</w:t>
            </w:r>
          </w:p>
        </w:tc>
        <w:tc>
          <w:tcPr>
            <w:tcW w:w="709" w:type="dxa"/>
          </w:tcPr>
          <w:p w14:paraId="2D8BA222" w14:textId="77777777" w:rsidR="00EE1554" w:rsidRPr="00A31437" w:rsidRDefault="00EE1554" w:rsidP="00EE1554">
            <w:pPr>
              <w:pStyle w:val="T2"/>
              <w:jc w:val="right"/>
            </w:pPr>
          </w:p>
        </w:tc>
        <w:tc>
          <w:tcPr>
            <w:tcW w:w="1771" w:type="dxa"/>
          </w:tcPr>
          <w:p w14:paraId="60D7BD6E" w14:textId="59A6BA8E" w:rsidR="00EE1554" w:rsidRPr="00B535FA" w:rsidRDefault="00555002" w:rsidP="00EE1554">
            <w:pPr>
              <w:pStyle w:val="T2"/>
              <w:jc w:val="right"/>
              <w:rPr>
                <w:b/>
                <w:bCs/>
              </w:rPr>
            </w:pPr>
            <w:r>
              <w:rPr>
                <w:b/>
                <w:bCs/>
              </w:rPr>
              <w:t>52.5</w:t>
            </w:r>
          </w:p>
        </w:tc>
        <w:tc>
          <w:tcPr>
            <w:tcW w:w="1772" w:type="dxa"/>
          </w:tcPr>
          <w:p w14:paraId="4F8AFEF3" w14:textId="2BE8C75C" w:rsidR="00EE1554" w:rsidRPr="002C5AD6" w:rsidRDefault="00EE1554" w:rsidP="00EE1554">
            <w:pPr>
              <w:pStyle w:val="T2"/>
              <w:jc w:val="right"/>
            </w:pPr>
            <w:r>
              <w:rPr>
                <w:bCs/>
              </w:rPr>
              <w:t>4</w:t>
            </w:r>
            <w:r w:rsidR="00310394">
              <w:rPr>
                <w:bCs/>
              </w:rPr>
              <w:t>7</w:t>
            </w:r>
            <w:r>
              <w:rPr>
                <w:bCs/>
              </w:rPr>
              <w:t>.7</w:t>
            </w:r>
          </w:p>
        </w:tc>
      </w:tr>
      <w:tr w:rsidR="00EE1554" w14:paraId="57E33F3E" w14:textId="77777777" w:rsidTr="004B6C20">
        <w:trPr>
          <w:jc w:val="center"/>
        </w:trPr>
        <w:tc>
          <w:tcPr>
            <w:tcW w:w="6238" w:type="dxa"/>
          </w:tcPr>
          <w:p w14:paraId="2083FE03" w14:textId="77777777" w:rsidR="00EE1554" w:rsidRPr="00765393" w:rsidRDefault="00EE1554" w:rsidP="00EE1554">
            <w:pPr>
              <w:pStyle w:val="T2"/>
              <w:jc w:val="left"/>
            </w:pPr>
            <w:r w:rsidRPr="00765393">
              <w:t>Trade and other receivables</w:t>
            </w:r>
          </w:p>
        </w:tc>
        <w:tc>
          <w:tcPr>
            <w:tcW w:w="709" w:type="dxa"/>
          </w:tcPr>
          <w:p w14:paraId="02B47DCE" w14:textId="77777777" w:rsidR="00EE1554" w:rsidRPr="00A31437" w:rsidRDefault="00EE1554" w:rsidP="00EE1554">
            <w:pPr>
              <w:pStyle w:val="T2"/>
              <w:jc w:val="right"/>
            </w:pPr>
          </w:p>
        </w:tc>
        <w:tc>
          <w:tcPr>
            <w:tcW w:w="1771" w:type="dxa"/>
          </w:tcPr>
          <w:p w14:paraId="614AEA9A" w14:textId="16FEC5BE" w:rsidR="00EE1554" w:rsidRPr="00B535FA" w:rsidRDefault="00555002" w:rsidP="00EE1554">
            <w:pPr>
              <w:pStyle w:val="T2"/>
              <w:jc w:val="right"/>
              <w:rPr>
                <w:b/>
                <w:bCs/>
              </w:rPr>
            </w:pPr>
            <w:r>
              <w:rPr>
                <w:b/>
                <w:bCs/>
              </w:rPr>
              <w:t>22</w:t>
            </w:r>
            <w:r w:rsidR="00385EA9">
              <w:rPr>
                <w:b/>
                <w:bCs/>
              </w:rPr>
              <w:t>0.9</w:t>
            </w:r>
          </w:p>
        </w:tc>
        <w:tc>
          <w:tcPr>
            <w:tcW w:w="1772" w:type="dxa"/>
          </w:tcPr>
          <w:p w14:paraId="1216FA94" w14:textId="5FDC45B1" w:rsidR="00EE1554" w:rsidRPr="002C5AD6" w:rsidRDefault="00310394" w:rsidP="00EE1554">
            <w:pPr>
              <w:pStyle w:val="T2"/>
              <w:jc w:val="right"/>
            </w:pPr>
            <w:r>
              <w:rPr>
                <w:bCs/>
              </w:rPr>
              <w:t>196.3</w:t>
            </w:r>
          </w:p>
        </w:tc>
      </w:tr>
      <w:tr w:rsidR="00EE1554" w14:paraId="14B7CC1E" w14:textId="77777777" w:rsidTr="004B6C20">
        <w:trPr>
          <w:jc w:val="center"/>
        </w:trPr>
        <w:tc>
          <w:tcPr>
            <w:tcW w:w="6238" w:type="dxa"/>
          </w:tcPr>
          <w:p w14:paraId="43FE0C28" w14:textId="77777777" w:rsidR="00EE1554" w:rsidRDefault="00EE1554" w:rsidP="00EE1554">
            <w:pPr>
              <w:pStyle w:val="T2"/>
              <w:jc w:val="left"/>
            </w:pPr>
            <w:r w:rsidRPr="00765393">
              <w:t>Cash and cash equivalents</w:t>
            </w:r>
          </w:p>
        </w:tc>
        <w:tc>
          <w:tcPr>
            <w:tcW w:w="709" w:type="dxa"/>
          </w:tcPr>
          <w:p w14:paraId="0425442F" w14:textId="791B2024" w:rsidR="00EE1554" w:rsidRPr="00A31437" w:rsidRDefault="0006619B" w:rsidP="00EE1554">
            <w:pPr>
              <w:pStyle w:val="T2"/>
              <w:jc w:val="right"/>
            </w:pPr>
            <w:r>
              <w:t>1</w:t>
            </w:r>
            <w:r w:rsidR="002675EF">
              <w:t>1</w:t>
            </w:r>
          </w:p>
        </w:tc>
        <w:tc>
          <w:tcPr>
            <w:tcW w:w="1771" w:type="dxa"/>
          </w:tcPr>
          <w:p w14:paraId="24B576E6" w14:textId="72B1BD46" w:rsidR="00EE1554" w:rsidRDefault="00555002" w:rsidP="00EE1554">
            <w:pPr>
              <w:pStyle w:val="T2"/>
              <w:jc w:val="right"/>
              <w:rPr>
                <w:b/>
                <w:bCs/>
              </w:rPr>
            </w:pPr>
            <w:r>
              <w:rPr>
                <w:b/>
                <w:bCs/>
              </w:rPr>
              <w:t>82.3</w:t>
            </w:r>
          </w:p>
        </w:tc>
        <w:tc>
          <w:tcPr>
            <w:tcW w:w="1772" w:type="dxa"/>
          </w:tcPr>
          <w:p w14:paraId="609F1564" w14:textId="20253CF8" w:rsidR="00EE1554" w:rsidRDefault="00310394" w:rsidP="00EE1554">
            <w:pPr>
              <w:pStyle w:val="T2"/>
              <w:jc w:val="right"/>
              <w:rPr>
                <w:bCs/>
              </w:rPr>
            </w:pPr>
            <w:r>
              <w:rPr>
                <w:bCs/>
              </w:rPr>
              <w:t>119.1</w:t>
            </w:r>
          </w:p>
        </w:tc>
      </w:tr>
      <w:tr w:rsidR="00EE1554" w14:paraId="733F0A38" w14:textId="77777777" w:rsidTr="004B6C20">
        <w:trPr>
          <w:jc w:val="center"/>
        </w:trPr>
        <w:tc>
          <w:tcPr>
            <w:tcW w:w="6238" w:type="dxa"/>
            <w:tcBorders>
              <w:top w:val="single" w:sz="2" w:space="0" w:color="auto"/>
              <w:bottom w:val="single" w:sz="2" w:space="0" w:color="auto"/>
            </w:tcBorders>
          </w:tcPr>
          <w:p w14:paraId="7F127A0C" w14:textId="77777777" w:rsidR="00EE1554" w:rsidRPr="00D515EB" w:rsidRDefault="00EE1554" w:rsidP="00EE1554">
            <w:pPr>
              <w:pStyle w:val="T2"/>
              <w:jc w:val="left"/>
              <w:rPr>
                <w:b/>
              </w:rPr>
            </w:pPr>
            <w:r w:rsidRPr="00D515EB">
              <w:rPr>
                <w:b/>
              </w:rPr>
              <w:t>Total current assets</w:t>
            </w:r>
          </w:p>
        </w:tc>
        <w:tc>
          <w:tcPr>
            <w:tcW w:w="709" w:type="dxa"/>
            <w:tcBorders>
              <w:top w:val="single" w:sz="2" w:space="0" w:color="auto"/>
              <w:bottom w:val="single" w:sz="2" w:space="0" w:color="auto"/>
            </w:tcBorders>
          </w:tcPr>
          <w:p w14:paraId="02E10F6E" w14:textId="77777777" w:rsidR="00EE1554" w:rsidRPr="00A31437" w:rsidRDefault="00EE1554" w:rsidP="00EE1554">
            <w:pPr>
              <w:pStyle w:val="T2"/>
              <w:jc w:val="right"/>
            </w:pPr>
          </w:p>
        </w:tc>
        <w:tc>
          <w:tcPr>
            <w:tcW w:w="1771" w:type="dxa"/>
            <w:tcBorders>
              <w:top w:val="single" w:sz="2" w:space="0" w:color="auto"/>
              <w:bottom w:val="single" w:sz="2" w:space="0" w:color="auto"/>
            </w:tcBorders>
          </w:tcPr>
          <w:p w14:paraId="0F19A630" w14:textId="71606CA5" w:rsidR="00EE1554" w:rsidRPr="00B535FA" w:rsidRDefault="00555002" w:rsidP="00EE1554">
            <w:pPr>
              <w:pStyle w:val="T2"/>
              <w:jc w:val="right"/>
              <w:rPr>
                <w:b/>
                <w:bCs/>
              </w:rPr>
            </w:pPr>
            <w:r>
              <w:rPr>
                <w:b/>
                <w:bCs/>
              </w:rPr>
              <w:t>35</w:t>
            </w:r>
            <w:r w:rsidR="00385EA9">
              <w:rPr>
                <w:b/>
                <w:bCs/>
              </w:rPr>
              <w:t>5.7</w:t>
            </w:r>
          </w:p>
        </w:tc>
        <w:tc>
          <w:tcPr>
            <w:tcW w:w="1772" w:type="dxa"/>
            <w:tcBorders>
              <w:top w:val="single" w:sz="2" w:space="0" w:color="auto"/>
              <w:bottom w:val="single" w:sz="2" w:space="0" w:color="auto"/>
            </w:tcBorders>
          </w:tcPr>
          <w:p w14:paraId="66092DE5" w14:textId="04299FBB" w:rsidR="00EE1554" w:rsidRPr="002C5AD6" w:rsidRDefault="00310394" w:rsidP="00EE1554">
            <w:pPr>
              <w:pStyle w:val="T2"/>
              <w:jc w:val="right"/>
            </w:pPr>
            <w:r>
              <w:rPr>
                <w:bCs/>
              </w:rPr>
              <w:t>363.1</w:t>
            </w:r>
          </w:p>
        </w:tc>
      </w:tr>
      <w:tr w:rsidR="00EE1554" w14:paraId="099F7488" w14:textId="77777777" w:rsidTr="004B6C20">
        <w:trPr>
          <w:jc w:val="center"/>
        </w:trPr>
        <w:tc>
          <w:tcPr>
            <w:tcW w:w="6238" w:type="dxa"/>
            <w:tcBorders>
              <w:top w:val="single" w:sz="2" w:space="0" w:color="auto"/>
              <w:bottom w:val="single" w:sz="2" w:space="0" w:color="auto"/>
            </w:tcBorders>
          </w:tcPr>
          <w:p w14:paraId="54780905" w14:textId="77777777" w:rsidR="00EE1554" w:rsidRPr="00D515EB" w:rsidRDefault="00EE1554" w:rsidP="00EE1554">
            <w:pPr>
              <w:pStyle w:val="T2"/>
              <w:jc w:val="left"/>
              <w:rPr>
                <w:b/>
              </w:rPr>
            </w:pPr>
            <w:r w:rsidRPr="00D515EB">
              <w:rPr>
                <w:b/>
              </w:rPr>
              <w:t>Total assets</w:t>
            </w:r>
          </w:p>
        </w:tc>
        <w:tc>
          <w:tcPr>
            <w:tcW w:w="709" w:type="dxa"/>
            <w:tcBorders>
              <w:top w:val="single" w:sz="2" w:space="0" w:color="auto"/>
              <w:bottom w:val="single" w:sz="2" w:space="0" w:color="auto"/>
            </w:tcBorders>
          </w:tcPr>
          <w:p w14:paraId="1BFED644" w14:textId="77777777" w:rsidR="00EE1554" w:rsidRPr="00A31437" w:rsidRDefault="00EE1554" w:rsidP="00EE1554">
            <w:pPr>
              <w:pStyle w:val="T2"/>
              <w:jc w:val="right"/>
            </w:pPr>
          </w:p>
        </w:tc>
        <w:tc>
          <w:tcPr>
            <w:tcW w:w="1771" w:type="dxa"/>
            <w:tcBorders>
              <w:top w:val="single" w:sz="2" w:space="0" w:color="auto"/>
              <w:bottom w:val="single" w:sz="2" w:space="0" w:color="auto"/>
            </w:tcBorders>
          </w:tcPr>
          <w:p w14:paraId="1A6EB331" w14:textId="2CF89CFE" w:rsidR="00EE1554" w:rsidRPr="00B535FA" w:rsidRDefault="00555002" w:rsidP="00EE1554">
            <w:pPr>
              <w:pStyle w:val="T2"/>
              <w:jc w:val="right"/>
              <w:rPr>
                <w:b/>
                <w:bCs/>
              </w:rPr>
            </w:pPr>
            <w:r>
              <w:rPr>
                <w:b/>
                <w:bCs/>
              </w:rPr>
              <w:t>1,27</w:t>
            </w:r>
            <w:r w:rsidR="00884A63">
              <w:rPr>
                <w:b/>
                <w:bCs/>
              </w:rPr>
              <w:t>0.1</w:t>
            </w:r>
          </w:p>
        </w:tc>
        <w:tc>
          <w:tcPr>
            <w:tcW w:w="1772" w:type="dxa"/>
            <w:tcBorders>
              <w:top w:val="single" w:sz="2" w:space="0" w:color="auto"/>
              <w:bottom w:val="single" w:sz="2" w:space="0" w:color="auto"/>
            </w:tcBorders>
          </w:tcPr>
          <w:p w14:paraId="23DD1307" w14:textId="6EEF8195" w:rsidR="00EE1554" w:rsidRDefault="00EE1554" w:rsidP="00EE1554">
            <w:pPr>
              <w:pStyle w:val="T2"/>
              <w:jc w:val="right"/>
            </w:pPr>
            <w:r>
              <w:rPr>
                <w:bCs/>
              </w:rPr>
              <w:t>1,</w:t>
            </w:r>
            <w:r w:rsidR="00310394">
              <w:rPr>
                <w:bCs/>
              </w:rPr>
              <w:t>291.5</w:t>
            </w:r>
          </w:p>
        </w:tc>
      </w:tr>
      <w:tr w:rsidR="00EE1554" w14:paraId="333567F6" w14:textId="77777777" w:rsidTr="004B6C20">
        <w:trPr>
          <w:jc w:val="center"/>
        </w:trPr>
        <w:tc>
          <w:tcPr>
            <w:tcW w:w="6238" w:type="dxa"/>
            <w:tcBorders>
              <w:top w:val="single" w:sz="2" w:space="0" w:color="auto"/>
            </w:tcBorders>
          </w:tcPr>
          <w:p w14:paraId="45463117" w14:textId="77777777" w:rsidR="00EE1554" w:rsidRPr="00C16F21" w:rsidRDefault="00EE1554" w:rsidP="00D6564B">
            <w:pPr>
              <w:pStyle w:val="T2"/>
              <w:jc w:val="left"/>
              <w:rPr>
                <w:sz w:val="10"/>
                <w:szCs w:val="10"/>
              </w:rPr>
            </w:pPr>
          </w:p>
        </w:tc>
        <w:tc>
          <w:tcPr>
            <w:tcW w:w="709" w:type="dxa"/>
            <w:tcBorders>
              <w:top w:val="single" w:sz="2" w:space="0" w:color="auto"/>
            </w:tcBorders>
          </w:tcPr>
          <w:p w14:paraId="30D61539" w14:textId="77777777" w:rsidR="00EE1554" w:rsidRPr="00C16F21" w:rsidRDefault="00EE1554" w:rsidP="00D6564B">
            <w:pPr>
              <w:pStyle w:val="T2"/>
              <w:jc w:val="right"/>
              <w:rPr>
                <w:sz w:val="10"/>
                <w:szCs w:val="10"/>
              </w:rPr>
            </w:pPr>
          </w:p>
        </w:tc>
        <w:tc>
          <w:tcPr>
            <w:tcW w:w="1771" w:type="dxa"/>
            <w:tcBorders>
              <w:top w:val="single" w:sz="2" w:space="0" w:color="auto"/>
            </w:tcBorders>
          </w:tcPr>
          <w:p w14:paraId="1FF90BB1" w14:textId="77777777" w:rsidR="00EE1554" w:rsidRPr="00C16F21" w:rsidRDefault="00EE1554" w:rsidP="00D6564B">
            <w:pPr>
              <w:pStyle w:val="T2"/>
              <w:jc w:val="right"/>
              <w:rPr>
                <w:b/>
                <w:bCs/>
                <w:sz w:val="10"/>
                <w:szCs w:val="10"/>
              </w:rPr>
            </w:pPr>
          </w:p>
        </w:tc>
        <w:tc>
          <w:tcPr>
            <w:tcW w:w="1772" w:type="dxa"/>
            <w:tcBorders>
              <w:top w:val="single" w:sz="2" w:space="0" w:color="auto"/>
            </w:tcBorders>
          </w:tcPr>
          <w:p w14:paraId="304252EE" w14:textId="77777777" w:rsidR="00EE1554" w:rsidRPr="00C16F21" w:rsidRDefault="00EE1554" w:rsidP="00D6564B">
            <w:pPr>
              <w:pStyle w:val="T2"/>
              <w:jc w:val="right"/>
              <w:rPr>
                <w:sz w:val="10"/>
                <w:szCs w:val="10"/>
              </w:rPr>
            </w:pPr>
          </w:p>
        </w:tc>
      </w:tr>
      <w:tr w:rsidR="00EE1554" w14:paraId="45392ED5" w14:textId="77777777" w:rsidTr="004B6C20">
        <w:trPr>
          <w:jc w:val="center"/>
        </w:trPr>
        <w:tc>
          <w:tcPr>
            <w:tcW w:w="6238" w:type="dxa"/>
          </w:tcPr>
          <w:p w14:paraId="22E22667" w14:textId="77777777" w:rsidR="00EE1554" w:rsidRPr="00D515EB" w:rsidRDefault="00EE1554" w:rsidP="00D6564B">
            <w:pPr>
              <w:pStyle w:val="T2"/>
              <w:jc w:val="left"/>
              <w:rPr>
                <w:b/>
              </w:rPr>
            </w:pPr>
            <w:r w:rsidRPr="00D515EB">
              <w:rPr>
                <w:b/>
              </w:rPr>
              <w:t>EQUITY</w:t>
            </w:r>
          </w:p>
        </w:tc>
        <w:tc>
          <w:tcPr>
            <w:tcW w:w="709" w:type="dxa"/>
          </w:tcPr>
          <w:p w14:paraId="58E815AF" w14:textId="77777777" w:rsidR="00EE1554" w:rsidRPr="00A31437" w:rsidRDefault="00EE1554" w:rsidP="00D6564B">
            <w:pPr>
              <w:pStyle w:val="T2"/>
              <w:jc w:val="right"/>
            </w:pPr>
          </w:p>
        </w:tc>
        <w:tc>
          <w:tcPr>
            <w:tcW w:w="1771" w:type="dxa"/>
          </w:tcPr>
          <w:p w14:paraId="5A94B35D" w14:textId="77777777" w:rsidR="00EE1554" w:rsidRPr="00B535FA" w:rsidRDefault="00EE1554" w:rsidP="00D6564B">
            <w:pPr>
              <w:pStyle w:val="T2"/>
              <w:jc w:val="right"/>
              <w:rPr>
                <w:b/>
                <w:bCs/>
              </w:rPr>
            </w:pPr>
          </w:p>
        </w:tc>
        <w:tc>
          <w:tcPr>
            <w:tcW w:w="1772" w:type="dxa"/>
          </w:tcPr>
          <w:p w14:paraId="15B1D9FE" w14:textId="77777777" w:rsidR="00EE1554" w:rsidRDefault="00EE1554" w:rsidP="00D6564B">
            <w:pPr>
              <w:pStyle w:val="T2"/>
              <w:jc w:val="right"/>
            </w:pPr>
          </w:p>
        </w:tc>
      </w:tr>
      <w:tr w:rsidR="00EE1554" w14:paraId="6B54A613" w14:textId="77777777" w:rsidTr="004B6C20">
        <w:trPr>
          <w:jc w:val="center"/>
        </w:trPr>
        <w:tc>
          <w:tcPr>
            <w:tcW w:w="6238" w:type="dxa"/>
          </w:tcPr>
          <w:p w14:paraId="3DC67812" w14:textId="77777777" w:rsidR="00EE1554" w:rsidRPr="00D515EB" w:rsidRDefault="00EE1554" w:rsidP="00D6564B">
            <w:pPr>
              <w:pStyle w:val="T2"/>
              <w:jc w:val="left"/>
              <w:rPr>
                <w:b/>
              </w:rPr>
            </w:pPr>
            <w:r w:rsidRPr="00D515EB">
              <w:rPr>
                <w:b/>
              </w:rPr>
              <w:t>Capital and reserves attributable to equity holders of the Company</w:t>
            </w:r>
          </w:p>
        </w:tc>
        <w:tc>
          <w:tcPr>
            <w:tcW w:w="709" w:type="dxa"/>
          </w:tcPr>
          <w:p w14:paraId="01F92A74" w14:textId="77777777" w:rsidR="00EE1554" w:rsidRPr="00A31437" w:rsidRDefault="00EE1554" w:rsidP="00D6564B">
            <w:pPr>
              <w:pStyle w:val="T2"/>
              <w:jc w:val="right"/>
            </w:pPr>
          </w:p>
        </w:tc>
        <w:tc>
          <w:tcPr>
            <w:tcW w:w="1771" w:type="dxa"/>
          </w:tcPr>
          <w:p w14:paraId="4EDE446F" w14:textId="77777777" w:rsidR="00EE1554" w:rsidRPr="00B535FA" w:rsidRDefault="00EE1554" w:rsidP="00D6564B">
            <w:pPr>
              <w:pStyle w:val="T2"/>
              <w:jc w:val="right"/>
              <w:rPr>
                <w:b/>
                <w:bCs/>
              </w:rPr>
            </w:pPr>
          </w:p>
        </w:tc>
        <w:tc>
          <w:tcPr>
            <w:tcW w:w="1772" w:type="dxa"/>
          </w:tcPr>
          <w:p w14:paraId="3FF43B2E" w14:textId="77777777" w:rsidR="00EE1554" w:rsidRDefault="00EE1554" w:rsidP="00D6564B">
            <w:pPr>
              <w:pStyle w:val="T2"/>
              <w:jc w:val="right"/>
            </w:pPr>
          </w:p>
        </w:tc>
      </w:tr>
      <w:tr w:rsidR="00EE1554" w14:paraId="12408141" w14:textId="77777777" w:rsidTr="004B6C20">
        <w:trPr>
          <w:jc w:val="center"/>
        </w:trPr>
        <w:tc>
          <w:tcPr>
            <w:tcW w:w="6238" w:type="dxa"/>
          </w:tcPr>
          <w:p w14:paraId="297406AA" w14:textId="77777777" w:rsidR="00EE1554" w:rsidRPr="006D3169" w:rsidRDefault="00EE1554" w:rsidP="00EE1554">
            <w:pPr>
              <w:pStyle w:val="T2"/>
              <w:jc w:val="left"/>
            </w:pPr>
            <w:r w:rsidRPr="006D3169">
              <w:t>Share capital</w:t>
            </w:r>
          </w:p>
        </w:tc>
        <w:tc>
          <w:tcPr>
            <w:tcW w:w="709" w:type="dxa"/>
          </w:tcPr>
          <w:p w14:paraId="633060A0" w14:textId="77777777" w:rsidR="00EE1554" w:rsidRPr="00A31437" w:rsidRDefault="00EE1554" w:rsidP="00EE1554">
            <w:pPr>
              <w:pStyle w:val="T2"/>
              <w:jc w:val="right"/>
            </w:pPr>
          </w:p>
        </w:tc>
        <w:tc>
          <w:tcPr>
            <w:tcW w:w="1771" w:type="dxa"/>
          </w:tcPr>
          <w:p w14:paraId="51F7D528" w14:textId="0E391217" w:rsidR="00EE1554" w:rsidRPr="00B535FA" w:rsidRDefault="00555002" w:rsidP="00EE1554">
            <w:pPr>
              <w:pStyle w:val="T2"/>
              <w:jc w:val="right"/>
              <w:rPr>
                <w:b/>
                <w:bCs/>
              </w:rPr>
            </w:pPr>
            <w:r>
              <w:rPr>
                <w:b/>
                <w:bCs/>
              </w:rPr>
              <w:t>5.3</w:t>
            </w:r>
          </w:p>
        </w:tc>
        <w:tc>
          <w:tcPr>
            <w:tcW w:w="1772" w:type="dxa"/>
          </w:tcPr>
          <w:p w14:paraId="2BB9431D" w14:textId="7EA85866" w:rsidR="00EE1554" w:rsidRPr="009D01DA" w:rsidRDefault="00310394" w:rsidP="00EE1554">
            <w:pPr>
              <w:pStyle w:val="T2"/>
              <w:jc w:val="right"/>
            </w:pPr>
            <w:r>
              <w:rPr>
                <w:bCs/>
              </w:rPr>
              <w:t>5.3</w:t>
            </w:r>
          </w:p>
        </w:tc>
      </w:tr>
      <w:tr w:rsidR="00EE1554" w14:paraId="3ED05FB0" w14:textId="77777777" w:rsidTr="004B6C20">
        <w:trPr>
          <w:jc w:val="center"/>
        </w:trPr>
        <w:tc>
          <w:tcPr>
            <w:tcW w:w="6238" w:type="dxa"/>
          </w:tcPr>
          <w:p w14:paraId="4FAB4CE4" w14:textId="77777777" w:rsidR="00EE1554" w:rsidRPr="006D3169" w:rsidRDefault="00EE1554" w:rsidP="00EE1554">
            <w:pPr>
              <w:pStyle w:val="T2"/>
              <w:jc w:val="left"/>
            </w:pPr>
            <w:r w:rsidRPr="006D3169">
              <w:t xml:space="preserve">Share premium </w:t>
            </w:r>
          </w:p>
        </w:tc>
        <w:tc>
          <w:tcPr>
            <w:tcW w:w="709" w:type="dxa"/>
          </w:tcPr>
          <w:p w14:paraId="79B19C18" w14:textId="77777777" w:rsidR="00EE1554" w:rsidRPr="00A31437" w:rsidRDefault="00EE1554" w:rsidP="00EE1554">
            <w:pPr>
              <w:pStyle w:val="T2"/>
              <w:jc w:val="right"/>
            </w:pPr>
          </w:p>
        </w:tc>
        <w:tc>
          <w:tcPr>
            <w:tcW w:w="1771" w:type="dxa"/>
          </w:tcPr>
          <w:p w14:paraId="2DBE39AF" w14:textId="293913A6" w:rsidR="00EE1554" w:rsidRPr="00B535FA" w:rsidRDefault="00555002" w:rsidP="00EE1554">
            <w:pPr>
              <w:pStyle w:val="T2"/>
              <w:jc w:val="right"/>
              <w:rPr>
                <w:b/>
                <w:bCs/>
              </w:rPr>
            </w:pPr>
            <w:r>
              <w:rPr>
                <w:b/>
                <w:bCs/>
              </w:rPr>
              <w:t>89.7</w:t>
            </w:r>
          </w:p>
        </w:tc>
        <w:tc>
          <w:tcPr>
            <w:tcW w:w="1772" w:type="dxa"/>
          </w:tcPr>
          <w:p w14:paraId="75B7B6E1" w14:textId="0EDFDC7D" w:rsidR="00EE1554" w:rsidRPr="009D01DA" w:rsidRDefault="00310394" w:rsidP="00EE1554">
            <w:pPr>
              <w:pStyle w:val="T2"/>
              <w:jc w:val="right"/>
            </w:pPr>
            <w:r>
              <w:rPr>
                <w:bCs/>
              </w:rPr>
              <w:t>89.7</w:t>
            </w:r>
          </w:p>
        </w:tc>
      </w:tr>
      <w:tr w:rsidR="00EE1554" w14:paraId="45A93265" w14:textId="77777777" w:rsidTr="004B6C20">
        <w:trPr>
          <w:jc w:val="center"/>
        </w:trPr>
        <w:tc>
          <w:tcPr>
            <w:tcW w:w="6238" w:type="dxa"/>
            <w:tcBorders>
              <w:bottom w:val="single" w:sz="2" w:space="0" w:color="auto"/>
            </w:tcBorders>
          </w:tcPr>
          <w:p w14:paraId="5AF3A639" w14:textId="77777777" w:rsidR="00EE1554" w:rsidRPr="006D3169" w:rsidRDefault="00EE1554" w:rsidP="00EE1554">
            <w:pPr>
              <w:pStyle w:val="T2"/>
              <w:jc w:val="left"/>
            </w:pPr>
            <w:r w:rsidRPr="006D3169">
              <w:t>Reserves</w:t>
            </w:r>
          </w:p>
        </w:tc>
        <w:tc>
          <w:tcPr>
            <w:tcW w:w="709" w:type="dxa"/>
            <w:tcBorders>
              <w:bottom w:val="single" w:sz="2" w:space="0" w:color="auto"/>
            </w:tcBorders>
          </w:tcPr>
          <w:p w14:paraId="503CB6E4" w14:textId="77777777" w:rsidR="00EE1554" w:rsidRPr="00A31437" w:rsidRDefault="00EE1554" w:rsidP="00EE1554">
            <w:pPr>
              <w:pStyle w:val="T2"/>
              <w:jc w:val="right"/>
            </w:pPr>
          </w:p>
        </w:tc>
        <w:tc>
          <w:tcPr>
            <w:tcW w:w="1771" w:type="dxa"/>
            <w:tcBorders>
              <w:bottom w:val="single" w:sz="2" w:space="0" w:color="auto"/>
            </w:tcBorders>
          </w:tcPr>
          <w:p w14:paraId="44412F08" w14:textId="0669DBA4" w:rsidR="00EE1554" w:rsidRPr="00B535FA" w:rsidRDefault="00555002" w:rsidP="00EE1554">
            <w:pPr>
              <w:pStyle w:val="T2"/>
              <w:jc w:val="right"/>
              <w:rPr>
                <w:b/>
                <w:bCs/>
              </w:rPr>
            </w:pPr>
            <w:r>
              <w:rPr>
                <w:b/>
                <w:bCs/>
              </w:rPr>
              <w:t>3</w:t>
            </w:r>
            <w:r w:rsidR="00884A63">
              <w:rPr>
                <w:b/>
                <w:bCs/>
              </w:rPr>
              <w:t>45</w:t>
            </w:r>
            <w:r>
              <w:rPr>
                <w:b/>
                <w:bCs/>
              </w:rPr>
              <w:t>.6</w:t>
            </w:r>
          </w:p>
        </w:tc>
        <w:tc>
          <w:tcPr>
            <w:tcW w:w="1772" w:type="dxa"/>
            <w:tcBorders>
              <w:bottom w:val="single" w:sz="2" w:space="0" w:color="auto"/>
            </w:tcBorders>
          </w:tcPr>
          <w:p w14:paraId="13B61675" w14:textId="0EA55DE6" w:rsidR="00EE1554" w:rsidRPr="009D01DA" w:rsidRDefault="00310394" w:rsidP="00EE1554">
            <w:pPr>
              <w:pStyle w:val="T2"/>
              <w:jc w:val="right"/>
            </w:pPr>
            <w:r>
              <w:rPr>
                <w:bCs/>
              </w:rPr>
              <w:t>328.2</w:t>
            </w:r>
          </w:p>
        </w:tc>
      </w:tr>
      <w:tr w:rsidR="00EE1554" w14:paraId="21F41E40" w14:textId="77777777" w:rsidTr="004B6C20">
        <w:trPr>
          <w:jc w:val="center"/>
        </w:trPr>
        <w:tc>
          <w:tcPr>
            <w:tcW w:w="6238" w:type="dxa"/>
            <w:tcBorders>
              <w:top w:val="single" w:sz="2" w:space="0" w:color="auto"/>
              <w:bottom w:val="single" w:sz="2" w:space="0" w:color="auto"/>
            </w:tcBorders>
          </w:tcPr>
          <w:p w14:paraId="5886FD26" w14:textId="77777777" w:rsidR="00EE1554" w:rsidRPr="00D515EB" w:rsidRDefault="00EE1554" w:rsidP="00EE1554">
            <w:pPr>
              <w:pStyle w:val="T2"/>
              <w:jc w:val="left"/>
              <w:rPr>
                <w:b/>
              </w:rPr>
            </w:pPr>
            <w:r w:rsidRPr="00D515EB">
              <w:rPr>
                <w:b/>
              </w:rPr>
              <w:t>Total equity</w:t>
            </w:r>
          </w:p>
        </w:tc>
        <w:tc>
          <w:tcPr>
            <w:tcW w:w="709" w:type="dxa"/>
            <w:tcBorders>
              <w:top w:val="single" w:sz="2" w:space="0" w:color="auto"/>
              <w:bottom w:val="single" w:sz="2" w:space="0" w:color="auto"/>
            </w:tcBorders>
          </w:tcPr>
          <w:p w14:paraId="4DAA8953" w14:textId="77777777" w:rsidR="00EE1554" w:rsidRPr="00A31437" w:rsidRDefault="00EE1554" w:rsidP="00EE1554">
            <w:pPr>
              <w:pStyle w:val="T2"/>
              <w:jc w:val="right"/>
            </w:pPr>
          </w:p>
        </w:tc>
        <w:tc>
          <w:tcPr>
            <w:tcW w:w="1771" w:type="dxa"/>
            <w:tcBorders>
              <w:top w:val="single" w:sz="2" w:space="0" w:color="auto"/>
              <w:bottom w:val="single" w:sz="2" w:space="0" w:color="auto"/>
            </w:tcBorders>
          </w:tcPr>
          <w:p w14:paraId="22630BEC" w14:textId="3EF1D9DD" w:rsidR="00EE1554" w:rsidRPr="00B535FA" w:rsidRDefault="00555002" w:rsidP="00EE1554">
            <w:pPr>
              <w:pStyle w:val="T2"/>
              <w:jc w:val="right"/>
              <w:rPr>
                <w:b/>
                <w:bCs/>
              </w:rPr>
            </w:pPr>
            <w:r>
              <w:rPr>
                <w:b/>
                <w:bCs/>
              </w:rPr>
              <w:t>4</w:t>
            </w:r>
            <w:r w:rsidR="00AB4E31">
              <w:rPr>
                <w:b/>
                <w:bCs/>
              </w:rPr>
              <w:t>40.6</w:t>
            </w:r>
          </w:p>
        </w:tc>
        <w:tc>
          <w:tcPr>
            <w:tcW w:w="1772" w:type="dxa"/>
            <w:tcBorders>
              <w:top w:val="single" w:sz="2" w:space="0" w:color="auto"/>
              <w:bottom w:val="single" w:sz="2" w:space="0" w:color="auto"/>
            </w:tcBorders>
          </w:tcPr>
          <w:p w14:paraId="4CCD1D3F" w14:textId="1148FB2B" w:rsidR="00EE1554" w:rsidRDefault="00310394" w:rsidP="00EE1554">
            <w:pPr>
              <w:pStyle w:val="T2"/>
              <w:jc w:val="right"/>
            </w:pPr>
            <w:r>
              <w:rPr>
                <w:bCs/>
              </w:rPr>
              <w:t>423.2</w:t>
            </w:r>
          </w:p>
        </w:tc>
      </w:tr>
      <w:tr w:rsidR="00EE1554" w14:paraId="44FFFA1D" w14:textId="77777777" w:rsidTr="004B6C20">
        <w:trPr>
          <w:jc w:val="center"/>
        </w:trPr>
        <w:tc>
          <w:tcPr>
            <w:tcW w:w="6238" w:type="dxa"/>
            <w:tcBorders>
              <w:top w:val="single" w:sz="2" w:space="0" w:color="auto"/>
            </w:tcBorders>
          </w:tcPr>
          <w:p w14:paraId="2D394003" w14:textId="77777777" w:rsidR="00EE1554" w:rsidRPr="00C16F21" w:rsidRDefault="00EE1554" w:rsidP="00D6564B">
            <w:pPr>
              <w:pStyle w:val="T2"/>
              <w:jc w:val="left"/>
              <w:rPr>
                <w:sz w:val="10"/>
                <w:szCs w:val="10"/>
              </w:rPr>
            </w:pPr>
          </w:p>
        </w:tc>
        <w:tc>
          <w:tcPr>
            <w:tcW w:w="709" w:type="dxa"/>
            <w:tcBorders>
              <w:top w:val="single" w:sz="2" w:space="0" w:color="auto"/>
            </w:tcBorders>
          </w:tcPr>
          <w:p w14:paraId="085986DD" w14:textId="77777777" w:rsidR="00EE1554" w:rsidRPr="00C16F21" w:rsidRDefault="00EE1554" w:rsidP="00D6564B">
            <w:pPr>
              <w:pStyle w:val="T2"/>
              <w:jc w:val="right"/>
              <w:rPr>
                <w:sz w:val="10"/>
                <w:szCs w:val="10"/>
              </w:rPr>
            </w:pPr>
          </w:p>
        </w:tc>
        <w:tc>
          <w:tcPr>
            <w:tcW w:w="1771" w:type="dxa"/>
            <w:tcBorders>
              <w:top w:val="single" w:sz="2" w:space="0" w:color="auto"/>
            </w:tcBorders>
          </w:tcPr>
          <w:p w14:paraId="6D97829B" w14:textId="77777777" w:rsidR="00EE1554" w:rsidRPr="00C16F21" w:rsidRDefault="00EE1554" w:rsidP="00D6564B">
            <w:pPr>
              <w:pStyle w:val="T2"/>
              <w:jc w:val="right"/>
              <w:rPr>
                <w:b/>
                <w:bCs/>
                <w:sz w:val="10"/>
                <w:szCs w:val="10"/>
              </w:rPr>
            </w:pPr>
          </w:p>
        </w:tc>
        <w:tc>
          <w:tcPr>
            <w:tcW w:w="1772" w:type="dxa"/>
            <w:tcBorders>
              <w:top w:val="single" w:sz="2" w:space="0" w:color="auto"/>
            </w:tcBorders>
          </w:tcPr>
          <w:p w14:paraId="687A6898" w14:textId="77777777" w:rsidR="00EE1554" w:rsidRPr="00C16F21" w:rsidRDefault="00EE1554" w:rsidP="00D6564B">
            <w:pPr>
              <w:pStyle w:val="T2"/>
              <w:jc w:val="right"/>
              <w:rPr>
                <w:sz w:val="10"/>
                <w:szCs w:val="10"/>
              </w:rPr>
            </w:pPr>
          </w:p>
        </w:tc>
      </w:tr>
      <w:tr w:rsidR="00EE1554" w14:paraId="3234E46C" w14:textId="77777777" w:rsidTr="004B6C20">
        <w:trPr>
          <w:jc w:val="center"/>
        </w:trPr>
        <w:tc>
          <w:tcPr>
            <w:tcW w:w="6238" w:type="dxa"/>
          </w:tcPr>
          <w:p w14:paraId="2B2B09EC" w14:textId="77777777" w:rsidR="00EE1554" w:rsidRPr="00D515EB" w:rsidRDefault="00EE1554" w:rsidP="00D6564B">
            <w:pPr>
              <w:pStyle w:val="T2"/>
              <w:jc w:val="left"/>
              <w:rPr>
                <w:b/>
              </w:rPr>
            </w:pPr>
            <w:r w:rsidRPr="00D515EB">
              <w:rPr>
                <w:b/>
              </w:rPr>
              <w:lastRenderedPageBreak/>
              <w:t>LIABILITIES</w:t>
            </w:r>
          </w:p>
        </w:tc>
        <w:tc>
          <w:tcPr>
            <w:tcW w:w="709" w:type="dxa"/>
          </w:tcPr>
          <w:p w14:paraId="2D285EFA" w14:textId="77777777" w:rsidR="00EE1554" w:rsidRPr="00A31437" w:rsidRDefault="00EE1554" w:rsidP="00D6564B">
            <w:pPr>
              <w:pStyle w:val="T2"/>
              <w:jc w:val="right"/>
            </w:pPr>
          </w:p>
        </w:tc>
        <w:tc>
          <w:tcPr>
            <w:tcW w:w="1771" w:type="dxa"/>
          </w:tcPr>
          <w:p w14:paraId="00D07829" w14:textId="77777777" w:rsidR="00EE1554" w:rsidRPr="00B535FA" w:rsidRDefault="00EE1554" w:rsidP="00D6564B">
            <w:pPr>
              <w:pStyle w:val="T2"/>
              <w:jc w:val="right"/>
              <w:rPr>
                <w:b/>
                <w:bCs/>
              </w:rPr>
            </w:pPr>
          </w:p>
        </w:tc>
        <w:tc>
          <w:tcPr>
            <w:tcW w:w="1772" w:type="dxa"/>
          </w:tcPr>
          <w:p w14:paraId="589E807B" w14:textId="77777777" w:rsidR="00EE1554" w:rsidRDefault="00EE1554" w:rsidP="00D6564B">
            <w:pPr>
              <w:pStyle w:val="T2"/>
              <w:jc w:val="right"/>
            </w:pPr>
          </w:p>
        </w:tc>
      </w:tr>
      <w:tr w:rsidR="00EE1554" w14:paraId="6FF26E55" w14:textId="77777777" w:rsidTr="004B6C20">
        <w:trPr>
          <w:jc w:val="center"/>
        </w:trPr>
        <w:tc>
          <w:tcPr>
            <w:tcW w:w="6238" w:type="dxa"/>
          </w:tcPr>
          <w:p w14:paraId="322BCD44" w14:textId="77777777" w:rsidR="00EE1554" w:rsidRPr="00D515EB" w:rsidRDefault="00EE1554" w:rsidP="00D6564B">
            <w:pPr>
              <w:pStyle w:val="T2"/>
              <w:jc w:val="left"/>
              <w:rPr>
                <w:b/>
              </w:rPr>
            </w:pPr>
            <w:r w:rsidRPr="00D515EB">
              <w:rPr>
                <w:b/>
              </w:rPr>
              <w:t>Non</w:t>
            </w:r>
            <w:r>
              <w:rPr>
                <w:b/>
              </w:rPr>
              <w:t>–</w:t>
            </w:r>
            <w:r w:rsidRPr="00D515EB">
              <w:rPr>
                <w:b/>
              </w:rPr>
              <w:t>current liabilities</w:t>
            </w:r>
          </w:p>
        </w:tc>
        <w:tc>
          <w:tcPr>
            <w:tcW w:w="709" w:type="dxa"/>
          </w:tcPr>
          <w:p w14:paraId="556E6EDC" w14:textId="77777777" w:rsidR="00EE1554" w:rsidRPr="00A31437" w:rsidRDefault="00EE1554" w:rsidP="00D6564B">
            <w:pPr>
              <w:pStyle w:val="T2"/>
              <w:jc w:val="right"/>
            </w:pPr>
          </w:p>
        </w:tc>
        <w:tc>
          <w:tcPr>
            <w:tcW w:w="1771" w:type="dxa"/>
          </w:tcPr>
          <w:p w14:paraId="089FE0DE" w14:textId="77777777" w:rsidR="00EE1554" w:rsidRPr="00B535FA" w:rsidRDefault="00EE1554" w:rsidP="00D6564B">
            <w:pPr>
              <w:pStyle w:val="T2"/>
              <w:jc w:val="right"/>
              <w:rPr>
                <w:b/>
                <w:bCs/>
              </w:rPr>
            </w:pPr>
          </w:p>
        </w:tc>
        <w:tc>
          <w:tcPr>
            <w:tcW w:w="1772" w:type="dxa"/>
          </w:tcPr>
          <w:p w14:paraId="78824A2F" w14:textId="77777777" w:rsidR="00EE1554" w:rsidRDefault="00EE1554" w:rsidP="00D6564B">
            <w:pPr>
              <w:pStyle w:val="T2"/>
              <w:jc w:val="right"/>
            </w:pPr>
          </w:p>
        </w:tc>
      </w:tr>
      <w:tr w:rsidR="00EE1554" w14:paraId="0F41E8E5" w14:textId="77777777" w:rsidTr="004B6C20">
        <w:trPr>
          <w:jc w:val="center"/>
        </w:trPr>
        <w:tc>
          <w:tcPr>
            <w:tcW w:w="6238" w:type="dxa"/>
          </w:tcPr>
          <w:p w14:paraId="427FAE83" w14:textId="77777777" w:rsidR="00EE1554" w:rsidRPr="006D3169" w:rsidRDefault="00EE1554" w:rsidP="00EE1554">
            <w:pPr>
              <w:pStyle w:val="T2"/>
              <w:jc w:val="left"/>
            </w:pPr>
            <w:r w:rsidRPr="006D3169">
              <w:t>Borrowings</w:t>
            </w:r>
          </w:p>
        </w:tc>
        <w:tc>
          <w:tcPr>
            <w:tcW w:w="709" w:type="dxa"/>
          </w:tcPr>
          <w:p w14:paraId="3756A657" w14:textId="20ACF732" w:rsidR="00EE1554" w:rsidRPr="00A31437" w:rsidRDefault="00EE1554" w:rsidP="00EE1554">
            <w:pPr>
              <w:pStyle w:val="T2"/>
              <w:jc w:val="right"/>
            </w:pPr>
            <w:r w:rsidRPr="00A31437">
              <w:t>1</w:t>
            </w:r>
            <w:r w:rsidR="002675EF">
              <w:t>2</w:t>
            </w:r>
          </w:p>
        </w:tc>
        <w:tc>
          <w:tcPr>
            <w:tcW w:w="1771" w:type="dxa"/>
          </w:tcPr>
          <w:p w14:paraId="12382DC7" w14:textId="32655114" w:rsidR="00EE1554" w:rsidRPr="00B535FA" w:rsidRDefault="00555002" w:rsidP="00EE1554">
            <w:pPr>
              <w:pStyle w:val="T2"/>
              <w:jc w:val="right"/>
              <w:rPr>
                <w:b/>
                <w:bCs/>
              </w:rPr>
            </w:pPr>
            <w:r>
              <w:rPr>
                <w:b/>
                <w:bCs/>
              </w:rPr>
              <w:t>268.8</w:t>
            </w:r>
          </w:p>
        </w:tc>
        <w:tc>
          <w:tcPr>
            <w:tcW w:w="1772" w:type="dxa"/>
          </w:tcPr>
          <w:p w14:paraId="1040DA6D" w14:textId="35629897" w:rsidR="00EE1554" w:rsidRPr="006F478A" w:rsidRDefault="00310394" w:rsidP="00EE1554">
            <w:pPr>
              <w:pStyle w:val="T2"/>
              <w:jc w:val="right"/>
            </w:pPr>
            <w:r>
              <w:rPr>
                <w:bCs/>
              </w:rPr>
              <w:t>209.1</w:t>
            </w:r>
          </w:p>
        </w:tc>
      </w:tr>
      <w:tr w:rsidR="00EE1554" w14:paraId="2E8A5640" w14:textId="77777777" w:rsidTr="004B6C20">
        <w:trPr>
          <w:jc w:val="center"/>
        </w:trPr>
        <w:tc>
          <w:tcPr>
            <w:tcW w:w="6238" w:type="dxa"/>
          </w:tcPr>
          <w:p w14:paraId="6E9051AF" w14:textId="77777777" w:rsidR="00EE1554" w:rsidRPr="006D3169" w:rsidRDefault="00EE1554" w:rsidP="00EE1554">
            <w:pPr>
              <w:pStyle w:val="T2"/>
              <w:jc w:val="left"/>
            </w:pPr>
            <w:r>
              <w:t>Lease liabilities</w:t>
            </w:r>
          </w:p>
        </w:tc>
        <w:tc>
          <w:tcPr>
            <w:tcW w:w="709" w:type="dxa"/>
          </w:tcPr>
          <w:p w14:paraId="319AA521" w14:textId="77777777" w:rsidR="00EE1554" w:rsidRPr="00A31437" w:rsidRDefault="00EE1554" w:rsidP="00EE1554">
            <w:pPr>
              <w:pStyle w:val="T2"/>
              <w:jc w:val="right"/>
            </w:pPr>
          </w:p>
        </w:tc>
        <w:tc>
          <w:tcPr>
            <w:tcW w:w="1771" w:type="dxa"/>
          </w:tcPr>
          <w:p w14:paraId="14BDB4E3" w14:textId="631E6D15" w:rsidR="00EE1554" w:rsidRDefault="00555002" w:rsidP="00EE1554">
            <w:pPr>
              <w:pStyle w:val="T2"/>
              <w:jc w:val="right"/>
              <w:rPr>
                <w:b/>
                <w:bCs/>
              </w:rPr>
            </w:pPr>
            <w:r>
              <w:rPr>
                <w:b/>
                <w:bCs/>
              </w:rPr>
              <w:t>38.2</w:t>
            </w:r>
          </w:p>
        </w:tc>
        <w:tc>
          <w:tcPr>
            <w:tcW w:w="1772" w:type="dxa"/>
          </w:tcPr>
          <w:p w14:paraId="4CD13065" w14:textId="56E5DF7B" w:rsidR="00EE1554" w:rsidRDefault="00310394" w:rsidP="00EE1554">
            <w:pPr>
              <w:pStyle w:val="T2"/>
              <w:jc w:val="right"/>
              <w:rPr>
                <w:bCs/>
              </w:rPr>
            </w:pPr>
            <w:r>
              <w:rPr>
                <w:bCs/>
              </w:rPr>
              <w:t>42.0</w:t>
            </w:r>
          </w:p>
        </w:tc>
      </w:tr>
      <w:tr w:rsidR="00EE1554" w14:paraId="0E007D8B" w14:textId="77777777" w:rsidTr="004B6C20">
        <w:trPr>
          <w:jc w:val="center"/>
        </w:trPr>
        <w:tc>
          <w:tcPr>
            <w:tcW w:w="6238" w:type="dxa"/>
          </w:tcPr>
          <w:p w14:paraId="0C1B96AA" w14:textId="77777777" w:rsidR="00EE1554" w:rsidRPr="006D3169" w:rsidRDefault="00EE1554" w:rsidP="00EE1554">
            <w:pPr>
              <w:pStyle w:val="T2"/>
              <w:jc w:val="left"/>
            </w:pPr>
            <w:r w:rsidRPr="006D3169">
              <w:t>Other payables</w:t>
            </w:r>
          </w:p>
        </w:tc>
        <w:tc>
          <w:tcPr>
            <w:tcW w:w="709" w:type="dxa"/>
          </w:tcPr>
          <w:p w14:paraId="196FC131" w14:textId="77777777" w:rsidR="00EE1554" w:rsidRPr="00A31437" w:rsidRDefault="00EE1554" w:rsidP="00EE1554">
            <w:pPr>
              <w:pStyle w:val="T2"/>
              <w:jc w:val="right"/>
            </w:pPr>
          </w:p>
        </w:tc>
        <w:tc>
          <w:tcPr>
            <w:tcW w:w="1771" w:type="dxa"/>
          </w:tcPr>
          <w:p w14:paraId="6F532893" w14:textId="6934DCA0" w:rsidR="00EE1554" w:rsidRDefault="00555002" w:rsidP="00EE1554">
            <w:pPr>
              <w:pStyle w:val="T2"/>
              <w:jc w:val="right"/>
              <w:rPr>
                <w:b/>
                <w:bCs/>
              </w:rPr>
            </w:pPr>
            <w:r>
              <w:rPr>
                <w:b/>
                <w:bCs/>
              </w:rPr>
              <w:t>3.</w:t>
            </w:r>
            <w:r w:rsidR="00E3237F">
              <w:rPr>
                <w:b/>
                <w:bCs/>
              </w:rPr>
              <w:t>8</w:t>
            </w:r>
          </w:p>
        </w:tc>
        <w:tc>
          <w:tcPr>
            <w:tcW w:w="1772" w:type="dxa"/>
          </w:tcPr>
          <w:p w14:paraId="64487CF2" w14:textId="77777777" w:rsidR="00EE1554" w:rsidRDefault="00EE1554" w:rsidP="00EE1554">
            <w:pPr>
              <w:pStyle w:val="T2"/>
              <w:jc w:val="right"/>
              <w:rPr>
                <w:bCs/>
              </w:rPr>
            </w:pPr>
            <w:r w:rsidRPr="0096767F">
              <w:rPr>
                <w:bCs/>
              </w:rPr>
              <w:t>3.7</w:t>
            </w:r>
          </w:p>
        </w:tc>
      </w:tr>
      <w:tr w:rsidR="00EE1554" w14:paraId="4E7EB317" w14:textId="77777777" w:rsidTr="004B6C20">
        <w:trPr>
          <w:jc w:val="center"/>
        </w:trPr>
        <w:tc>
          <w:tcPr>
            <w:tcW w:w="6238" w:type="dxa"/>
          </w:tcPr>
          <w:p w14:paraId="43DCF2EC" w14:textId="77777777" w:rsidR="00EE1554" w:rsidRPr="006D3169" w:rsidRDefault="00EE1554" w:rsidP="00EE1554">
            <w:pPr>
              <w:pStyle w:val="T2"/>
              <w:jc w:val="left"/>
            </w:pPr>
            <w:r w:rsidRPr="006D3169">
              <w:t>Derivative financial instruments</w:t>
            </w:r>
          </w:p>
        </w:tc>
        <w:tc>
          <w:tcPr>
            <w:tcW w:w="709" w:type="dxa"/>
          </w:tcPr>
          <w:p w14:paraId="0E600EC5" w14:textId="26940538" w:rsidR="00EE1554" w:rsidRPr="00A31437" w:rsidRDefault="00EE1554" w:rsidP="00EE1554">
            <w:pPr>
              <w:pStyle w:val="T2"/>
              <w:jc w:val="right"/>
            </w:pPr>
            <w:r w:rsidRPr="00A31437">
              <w:t>1</w:t>
            </w:r>
            <w:r w:rsidR="002675EF">
              <w:t>2</w:t>
            </w:r>
          </w:p>
        </w:tc>
        <w:tc>
          <w:tcPr>
            <w:tcW w:w="1771" w:type="dxa"/>
          </w:tcPr>
          <w:p w14:paraId="1623568A" w14:textId="0DD65562" w:rsidR="00EE1554" w:rsidRPr="00B535FA" w:rsidRDefault="00555002" w:rsidP="00EE1554">
            <w:pPr>
              <w:pStyle w:val="T2"/>
              <w:jc w:val="right"/>
              <w:rPr>
                <w:b/>
                <w:bCs/>
              </w:rPr>
            </w:pPr>
            <w:r>
              <w:rPr>
                <w:b/>
                <w:bCs/>
              </w:rPr>
              <w:t>1.8</w:t>
            </w:r>
          </w:p>
        </w:tc>
        <w:tc>
          <w:tcPr>
            <w:tcW w:w="1772" w:type="dxa"/>
          </w:tcPr>
          <w:p w14:paraId="64BB9DBC" w14:textId="0EDA035D" w:rsidR="00EE1554" w:rsidRPr="006F478A" w:rsidRDefault="00310394" w:rsidP="00EE1554">
            <w:pPr>
              <w:pStyle w:val="T2"/>
              <w:jc w:val="right"/>
            </w:pPr>
            <w:r>
              <w:rPr>
                <w:bCs/>
              </w:rPr>
              <w:t>2.7</w:t>
            </w:r>
          </w:p>
        </w:tc>
      </w:tr>
      <w:tr w:rsidR="00EE1554" w14:paraId="1D7DB4BD" w14:textId="77777777" w:rsidTr="004B6C20">
        <w:trPr>
          <w:jc w:val="center"/>
        </w:trPr>
        <w:tc>
          <w:tcPr>
            <w:tcW w:w="6238" w:type="dxa"/>
          </w:tcPr>
          <w:p w14:paraId="6DA96493" w14:textId="77777777" w:rsidR="00EE1554" w:rsidRPr="006D3169" w:rsidRDefault="00EE1554" w:rsidP="00EE1554">
            <w:pPr>
              <w:pStyle w:val="T2"/>
              <w:jc w:val="left"/>
            </w:pPr>
            <w:r>
              <w:t xml:space="preserve">Provisions </w:t>
            </w:r>
          </w:p>
        </w:tc>
        <w:tc>
          <w:tcPr>
            <w:tcW w:w="709" w:type="dxa"/>
          </w:tcPr>
          <w:p w14:paraId="168458D6" w14:textId="1798F6D5" w:rsidR="00EE1554" w:rsidRPr="00A31437" w:rsidRDefault="00EE1554" w:rsidP="00EE1554">
            <w:pPr>
              <w:pStyle w:val="T2"/>
              <w:jc w:val="right"/>
            </w:pPr>
            <w:r>
              <w:t>1</w:t>
            </w:r>
            <w:r w:rsidR="002675EF">
              <w:t>3</w:t>
            </w:r>
          </w:p>
        </w:tc>
        <w:tc>
          <w:tcPr>
            <w:tcW w:w="1771" w:type="dxa"/>
          </w:tcPr>
          <w:p w14:paraId="6E50BFEA" w14:textId="09EF1BB1" w:rsidR="00EE1554" w:rsidRPr="00B535FA" w:rsidRDefault="00555002" w:rsidP="00EE1554">
            <w:pPr>
              <w:pStyle w:val="T2"/>
              <w:jc w:val="right"/>
              <w:rPr>
                <w:b/>
                <w:bCs/>
              </w:rPr>
            </w:pPr>
            <w:r>
              <w:rPr>
                <w:b/>
                <w:bCs/>
              </w:rPr>
              <w:t>5.</w:t>
            </w:r>
            <w:r w:rsidR="0074606C">
              <w:rPr>
                <w:b/>
                <w:bCs/>
              </w:rPr>
              <w:t>3</w:t>
            </w:r>
          </w:p>
        </w:tc>
        <w:tc>
          <w:tcPr>
            <w:tcW w:w="1772" w:type="dxa"/>
          </w:tcPr>
          <w:p w14:paraId="2ADF5A5D" w14:textId="40682463" w:rsidR="00EE1554" w:rsidRPr="0096767F" w:rsidRDefault="00EE1554" w:rsidP="00EE1554">
            <w:pPr>
              <w:pStyle w:val="T2"/>
              <w:jc w:val="right"/>
              <w:rPr>
                <w:bCs/>
              </w:rPr>
            </w:pPr>
            <w:r>
              <w:rPr>
                <w:bCs/>
              </w:rPr>
              <w:t>5.</w:t>
            </w:r>
            <w:r w:rsidR="00310394">
              <w:rPr>
                <w:bCs/>
              </w:rPr>
              <w:t>5</w:t>
            </w:r>
          </w:p>
        </w:tc>
      </w:tr>
      <w:tr w:rsidR="00EE1554" w14:paraId="205413FC" w14:textId="77777777" w:rsidTr="004B6C20">
        <w:trPr>
          <w:jc w:val="center"/>
        </w:trPr>
        <w:tc>
          <w:tcPr>
            <w:tcW w:w="6238" w:type="dxa"/>
          </w:tcPr>
          <w:p w14:paraId="7A8B6E7A" w14:textId="77777777" w:rsidR="00EE1554" w:rsidRPr="006D3169" w:rsidRDefault="00EE1554" w:rsidP="00EE1554">
            <w:pPr>
              <w:pStyle w:val="T2"/>
              <w:jc w:val="left"/>
            </w:pPr>
            <w:r w:rsidRPr="006D3169">
              <w:t>Retirement benefit obligations</w:t>
            </w:r>
          </w:p>
        </w:tc>
        <w:tc>
          <w:tcPr>
            <w:tcW w:w="709" w:type="dxa"/>
          </w:tcPr>
          <w:p w14:paraId="521A4AE3" w14:textId="624219C6" w:rsidR="00EE1554" w:rsidRPr="00A31437" w:rsidRDefault="00EE1554" w:rsidP="00EE1554">
            <w:pPr>
              <w:pStyle w:val="T2"/>
              <w:jc w:val="right"/>
            </w:pPr>
            <w:r>
              <w:t>1</w:t>
            </w:r>
            <w:r w:rsidR="002675EF">
              <w:t>4</w:t>
            </w:r>
          </w:p>
        </w:tc>
        <w:tc>
          <w:tcPr>
            <w:tcW w:w="1771" w:type="dxa"/>
          </w:tcPr>
          <w:p w14:paraId="55B7B703" w14:textId="5FBA4C43" w:rsidR="00EE1554" w:rsidRPr="00B535FA" w:rsidRDefault="00555002" w:rsidP="00EE1554">
            <w:pPr>
              <w:pStyle w:val="T2"/>
              <w:jc w:val="right"/>
              <w:rPr>
                <w:b/>
                <w:bCs/>
              </w:rPr>
            </w:pPr>
            <w:r>
              <w:rPr>
                <w:b/>
                <w:bCs/>
              </w:rPr>
              <w:t>58.6</w:t>
            </w:r>
          </w:p>
        </w:tc>
        <w:tc>
          <w:tcPr>
            <w:tcW w:w="1772" w:type="dxa"/>
          </w:tcPr>
          <w:p w14:paraId="03F4D20C" w14:textId="6BF237F5" w:rsidR="00EE1554" w:rsidRPr="006F478A" w:rsidRDefault="00310394" w:rsidP="00EE1554">
            <w:pPr>
              <w:pStyle w:val="T2"/>
              <w:jc w:val="right"/>
            </w:pPr>
            <w:r>
              <w:rPr>
                <w:bCs/>
              </w:rPr>
              <w:t>88.1</w:t>
            </w:r>
          </w:p>
        </w:tc>
      </w:tr>
      <w:tr w:rsidR="00EE1554" w14:paraId="20687FD0" w14:textId="77777777" w:rsidTr="004B6C20">
        <w:trPr>
          <w:jc w:val="center"/>
        </w:trPr>
        <w:tc>
          <w:tcPr>
            <w:tcW w:w="6238" w:type="dxa"/>
            <w:tcBorders>
              <w:bottom w:val="single" w:sz="2" w:space="0" w:color="auto"/>
            </w:tcBorders>
          </w:tcPr>
          <w:p w14:paraId="548F5E9F" w14:textId="77777777" w:rsidR="00EE1554" w:rsidRPr="006D3169" w:rsidRDefault="00EE1554" w:rsidP="00EE1554">
            <w:pPr>
              <w:pStyle w:val="T2"/>
              <w:jc w:val="left"/>
            </w:pPr>
            <w:r w:rsidRPr="006D3169">
              <w:t>Deferred tax liabilities</w:t>
            </w:r>
          </w:p>
        </w:tc>
        <w:tc>
          <w:tcPr>
            <w:tcW w:w="709" w:type="dxa"/>
            <w:tcBorders>
              <w:bottom w:val="single" w:sz="2" w:space="0" w:color="auto"/>
            </w:tcBorders>
          </w:tcPr>
          <w:p w14:paraId="1B2DDCD2" w14:textId="77777777" w:rsidR="00EE1554" w:rsidRPr="00A31437" w:rsidRDefault="00EE1554" w:rsidP="00EE1554">
            <w:pPr>
              <w:pStyle w:val="T2"/>
              <w:jc w:val="right"/>
            </w:pPr>
          </w:p>
        </w:tc>
        <w:tc>
          <w:tcPr>
            <w:tcW w:w="1771" w:type="dxa"/>
            <w:tcBorders>
              <w:bottom w:val="single" w:sz="2" w:space="0" w:color="auto"/>
            </w:tcBorders>
          </w:tcPr>
          <w:p w14:paraId="497D1CB6" w14:textId="30A095DB" w:rsidR="00EE1554" w:rsidRPr="00B535FA" w:rsidRDefault="00555002" w:rsidP="00EE1554">
            <w:pPr>
              <w:pStyle w:val="T2"/>
              <w:jc w:val="right"/>
              <w:rPr>
                <w:b/>
                <w:bCs/>
              </w:rPr>
            </w:pPr>
            <w:r>
              <w:rPr>
                <w:b/>
                <w:bCs/>
              </w:rPr>
              <w:t>1</w:t>
            </w:r>
            <w:r w:rsidR="00884A63">
              <w:rPr>
                <w:b/>
                <w:bCs/>
              </w:rPr>
              <w:t>7</w:t>
            </w:r>
            <w:r>
              <w:rPr>
                <w:b/>
                <w:bCs/>
              </w:rPr>
              <w:t>.</w:t>
            </w:r>
            <w:r w:rsidR="00884A63">
              <w:rPr>
                <w:b/>
                <w:bCs/>
              </w:rPr>
              <w:t>1</w:t>
            </w:r>
          </w:p>
        </w:tc>
        <w:tc>
          <w:tcPr>
            <w:tcW w:w="1772" w:type="dxa"/>
            <w:tcBorders>
              <w:bottom w:val="single" w:sz="2" w:space="0" w:color="auto"/>
            </w:tcBorders>
          </w:tcPr>
          <w:p w14:paraId="5FC34356" w14:textId="644FC0E2" w:rsidR="00EE1554" w:rsidRPr="006F478A" w:rsidRDefault="00310394" w:rsidP="00EE1554">
            <w:pPr>
              <w:pStyle w:val="T2"/>
              <w:jc w:val="right"/>
            </w:pPr>
            <w:r>
              <w:rPr>
                <w:bCs/>
              </w:rPr>
              <w:t>18.2</w:t>
            </w:r>
          </w:p>
        </w:tc>
      </w:tr>
      <w:tr w:rsidR="00EE1554" w14:paraId="116606C2" w14:textId="77777777" w:rsidTr="004B6C20">
        <w:trPr>
          <w:jc w:val="center"/>
        </w:trPr>
        <w:tc>
          <w:tcPr>
            <w:tcW w:w="6238" w:type="dxa"/>
            <w:tcBorders>
              <w:top w:val="single" w:sz="2" w:space="0" w:color="auto"/>
              <w:bottom w:val="single" w:sz="2" w:space="0" w:color="auto"/>
            </w:tcBorders>
          </w:tcPr>
          <w:p w14:paraId="63FC1811" w14:textId="77777777" w:rsidR="00EE1554" w:rsidRPr="00D515EB" w:rsidRDefault="00EE1554" w:rsidP="00EE1554">
            <w:pPr>
              <w:pStyle w:val="T2"/>
              <w:jc w:val="left"/>
              <w:rPr>
                <w:b/>
              </w:rPr>
            </w:pPr>
            <w:r w:rsidRPr="00D515EB">
              <w:rPr>
                <w:b/>
              </w:rPr>
              <w:t>Total non</w:t>
            </w:r>
            <w:r>
              <w:rPr>
                <w:b/>
              </w:rPr>
              <w:t>–</w:t>
            </w:r>
            <w:r w:rsidRPr="00D515EB">
              <w:rPr>
                <w:b/>
              </w:rPr>
              <w:t>current liabilities</w:t>
            </w:r>
          </w:p>
        </w:tc>
        <w:tc>
          <w:tcPr>
            <w:tcW w:w="709" w:type="dxa"/>
            <w:tcBorders>
              <w:top w:val="single" w:sz="2" w:space="0" w:color="auto"/>
              <w:bottom w:val="single" w:sz="2" w:space="0" w:color="auto"/>
            </w:tcBorders>
          </w:tcPr>
          <w:p w14:paraId="59342548" w14:textId="77777777" w:rsidR="00EE1554" w:rsidRPr="00A31437" w:rsidRDefault="00EE1554" w:rsidP="00EE1554">
            <w:pPr>
              <w:pStyle w:val="T2"/>
              <w:jc w:val="right"/>
            </w:pPr>
          </w:p>
        </w:tc>
        <w:tc>
          <w:tcPr>
            <w:tcW w:w="1771" w:type="dxa"/>
            <w:tcBorders>
              <w:top w:val="single" w:sz="2" w:space="0" w:color="auto"/>
              <w:bottom w:val="single" w:sz="2" w:space="0" w:color="auto"/>
            </w:tcBorders>
          </w:tcPr>
          <w:p w14:paraId="40872495" w14:textId="61DA97E7" w:rsidR="00EE1554" w:rsidRPr="00B535FA" w:rsidRDefault="00555002" w:rsidP="00EE1554">
            <w:pPr>
              <w:pStyle w:val="T2"/>
              <w:jc w:val="right"/>
              <w:rPr>
                <w:b/>
                <w:bCs/>
              </w:rPr>
            </w:pPr>
            <w:r>
              <w:rPr>
                <w:b/>
                <w:bCs/>
              </w:rPr>
              <w:t>3</w:t>
            </w:r>
            <w:r w:rsidR="00884A63">
              <w:rPr>
                <w:b/>
                <w:bCs/>
              </w:rPr>
              <w:t>93.</w:t>
            </w:r>
            <w:r w:rsidR="00E3237F">
              <w:rPr>
                <w:b/>
                <w:bCs/>
              </w:rPr>
              <w:t>6</w:t>
            </w:r>
          </w:p>
        </w:tc>
        <w:tc>
          <w:tcPr>
            <w:tcW w:w="1772" w:type="dxa"/>
            <w:tcBorders>
              <w:top w:val="single" w:sz="2" w:space="0" w:color="auto"/>
              <w:bottom w:val="single" w:sz="2" w:space="0" w:color="auto"/>
            </w:tcBorders>
          </w:tcPr>
          <w:p w14:paraId="1B933169" w14:textId="4FD7CE4C" w:rsidR="00EE1554" w:rsidRDefault="00310394" w:rsidP="00EE1554">
            <w:pPr>
              <w:pStyle w:val="T2"/>
              <w:jc w:val="right"/>
            </w:pPr>
            <w:r>
              <w:rPr>
                <w:bCs/>
              </w:rPr>
              <w:t>369.3</w:t>
            </w:r>
          </w:p>
        </w:tc>
      </w:tr>
      <w:tr w:rsidR="00EE1554" w14:paraId="74562012" w14:textId="77777777" w:rsidTr="004B6C20">
        <w:trPr>
          <w:jc w:val="center"/>
        </w:trPr>
        <w:tc>
          <w:tcPr>
            <w:tcW w:w="6238" w:type="dxa"/>
            <w:tcBorders>
              <w:top w:val="single" w:sz="2" w:space="0" w:color="auto"/>
            </w:tcBorders>
          </w:tcPr>
          <w:p w14:paraId="121E08A3" w14:textId="77777777" w:rsidR="00EE1554" w:rsidRPr="00C16F21" w:rsidRDefault="00EE1554" w:rsidP="00EE1554">
            <w:pPr>
              <w:pStyle w:val="T2"/>
              <w:jc w:val="left"/>
              <w:rPr>
                <w:sz w:val="10"/>
                <w:szCs w:val="10"/>
              </w:rPr>
            </w:pPr>
          </w:p>
        </w:tc>
        <w:tc>
          <w:tcPr>
            <w:tcW w:w="709" w:type="dxa"/>
            <w:tcBorders>
              <w:top w:val="single" w:sz="2" w:space="0" w:color="auto"/>
            </w:tcBorders>
          </w:tcPr>
          <w:p w14:paraId="253E059F" w14:textId="77777777" w:rsidR="00EE1554" w:rsidRPr="00C16F21" w:rsidRDefault="00EE1554" w:rsidP="00EE1554">
            <w:pPr>
              <w:pStyle w:val="T2"/>
              <w:jc w:val="right"/>
              <w:rPr>
                <w:sz w:val="10"/>
                <w:szCs w:val="10"/>
              </w:rPr>
            </w:pPr>
          </w:p>
        </w:tc>
        <w:tc>
          <w:tcPr>
            <w:tcW w:w="1771" w:type="dxa"/>
            <w:tcBorders>
              <w:top w:val="single" w:sz="2" w:space="0" w:color="auto"/>
            </w:tcBorders>
          </w:tcPr>
          <w:p w14:paraId="576A6546" w14:textId="77777777" w:rsidR="00EE1554" w:rsidRPr="00C16F21" w:rsidRDefault="00EE1554" w:rsidP="00EE1554">
            <w:pPr>
              <w:pStyle w:val="T2"/>
              <w:jc w:val="right"/>
              <w:rPr>
                <w:b/>
                <w:bCs/>
                <w:sz w:val="10"/>
                <w:szCs w:val="10"/>
              </w:rPr>
            </w:pPr>
          </w:p>
        </w:tc>
        <w:tc>
          <w:tcPr>
            <w:tcW w:w="1772" w:type="dxa"/>
            <w:tcBorders>
              <w:top w:val="single" w:sz="2" w:space="0" w:color="auto"/>
            </w:tcBorders>
          </w:tcPr>
          <w:p w14:paraId="27BC1755" w14:textId="77777777" w:rsidR="00EE1554" w:rsidRPr="00C16F21" w:rsidRDefault="00EE1554" w:rsidP="00EE1554">
            <w:pPr>
              <w:pStyle w:val="T2"/>
              <w:jc w:val="right"/>
              <w:rPr>
                <w:sz w:val="10"/>
                <w:szCs w:val="10"/>
              </w:rPr>
            </w:pPr>
          </w:p>
        </w:tc>
      </w:tr>
      <w:tr w:rsidR="00EE1554" w14:paraId="05A0FA5E" w14:textId="77777777" w:rsidTr="004B6C20">
        <w:trPr>
          <w:jc w:val="center"/>
        </w:trPr>
        <w:tc>
          <w:tcPr>
            <w:tcW w:w="6238" w:type="dxa"/>
          </w:tcPr>
          <w:p w14:paraId="271945DB" w14:textId="77777777" w:rsidR="00EE1554" w:rsidRPr="00D515EB" w:rsidRDefault="00EE1554" w:rsidP="00EE1554">
            <w:pPr>
              <w:pStyle w:val="T2"/>
              <w:jc w:val="left"/>
              <w:rPr>
                <w:b/>
              </w:rPr>
            </w:pPr>
            <w:r w:rsidRPr="00D515EB">
              <w:rPr>
                <w:b/>
              </w:rPr>
              <w:t>Current liabilities</w:t>
            </w:r>
          </w:p>
        </w:tc>
        <w:tc>
          <w:tcPr>
            <w:tcW w:w="709" w:type="dxa"/>
            <w:vAlign w:val="bottom"/>
          </w:tcPr>
          <w:p w14:paraId="0F99AB04" w14:textId="77777777" w:rsidR="00EE1554" w:rsidRPr="00A31437" w:rsidRDefault="00EE1554" w:rsidP="00EE1554">
            <w:pPr>
              <w:pStyle w:val="T2"/>
              <w:jc w:val="right"/>
            </w:pPr>
          </w:p>
        </w:tc>
        <w:tc>
          <w:tcPr>
            <w:tcW w:w="1771" w:type="dxa"/>
          </w:tcPr>
          <w:p w14:paraId="154284BC" w14:textId="77777777" w:rsidR="00EE1554" w:rsidRPr="00B535FA" w:rsidRDefault="00EE1554" w:rsidP="00EE1554">
            <w:pPr>
              <w:pStyle w:val="T2"/>
              <w:jc w:val="right"/>
              <w:rPr>
                <w:b/>
                <w:bCs/>
              </w:rPr>
            </w:pPr>
          </w:p>
        </w:tc>
        <w:tc>
          <w:tcPr>
            <w:tcW w:w="1772" w:type="dxa"/>
          </w:tcPr>
          <w:p w14:paraId="33EAD054" w14:textId="77777777" w:rsidR="00EE1554" w:rsidRDefault="00EE1554" w:rsidP="00EE1554">
            <w:pPr>
              <w:pStyle w:val="T2"/>
            </w:pPr>
          </w:p>
        </w:tc>
      </w:tr>
      <w:tr w:rsidR="00EE1554" w14:paraId="708DB93F" w14:textId="77777777" w:rsidTr="004B6C20">
        <w:trPr>
          <w:jc w:val="center"/>
        </w:trPr>
        <w:tc>
          <w:tcPr>
            <w:tcW w:w="6238" w:type="dxa"/>
          </w:tcPr>
          <w:p w14:paraId="0BB1A525" w14:textId="77777777" w:rsidR="00EE1554" w:rsidRPr="006D3169" w:rsidRDefault="00EE1554" w:rsidP="00EE1554">
            <w:pPr>
              <w:pStyle w:val="T2"/>
              <w:jc w:val="left"/>
            </w:pPr>
            <w:r>
              <w:t>Borrowings</w:t>
            </w:r>
          </w:p>
        </w:tc>
        <w:tc>
          <w:tcPr>
            <w:tcW w:w="709" w:type="dxa"/>
            <w:vAlign w:val="bottom"/>
          </w:tcPr>
          <w:p w14:paraId="39192A60" w14:textId="1CE3BD50" w:rsidR="00EE1554" w:rsidRDefault="00EE1554" w:rsidP="00EE1554">
            <w:pPr>
              <w:pStyle w:val="T2"/>
              <w:jc w:val="right"/>
              <w:rPr>
                <w:rFonts w:cs="Calibri"/>
              </w:rPr>
            </w:pPr>
            <w:r>
              <w:rPr>
                <w:rFonts w:cs="Calibri"/>
              </w:rPr>
              <w:t>1</w:t>
            </w:r>
            <w:r w:rsidR="002675EF">
              <w:rPr>
                <w:rFonts w:cs="Calibri"/>
              </w:rPr>
              <w:t>2</w:t>
            </w:r>
          </w:p>
        </w:tc>
        <w:tc>
          <w:tcPr>
            <w:tcW w:w="1771" w:type="dxa"/>
          </w:tcPr>
          <w:p w14:paraId="157B659E" w14:textId="70175D18" w:rsidR="00EE1554" w:rsidRDefault="00555002" w:rsidP="00EE1554">
            <w:pPr>
              <w:pStyle w:val="T2"/>
              <w:jc w:val="right"/>
              <w:rPr>
                <w:b/>
                <w:bCs/>
              </w:rPr>
            </w:pPr>
            <w:r>
              <w:rPr>
                <w:b/>
                <w:bCs/>
              </w:rPr>
              <w:t>32.8</w:t>
            </w:r>
          </w:p>
        </w:tc>
        <w:tc>
          <w:tcPr>
            <w:tcW w:w="1772" w:type="dxa"/>
          </w:tcPr>
          <w:p w14:paraId="39F60F7A" w14:textId="2DCFEFB6" w:rsidR="00EE1554" w:rsidRPr="0096767F" w:rsidRDefault="00310394" w:rsidP="00EE1554">
            <w:pPr>
              <w:pStyle w:val="T2"/>
              <w:jc w:val="right"/>
              <w:rPr>
                <w:bCs/>
              </w:rPr>
            </w:pPr>
            <w:r>
              <w:rPr>
                <w:bCs/>
              </w:rPr>
              <w:t>93.1</w:t>
            </w:r>
          </w:p>
        </w:tc>
      </w:tr>
      <w:tr w:rsidR="00EE1554" w14:paraId="4C2448C5" w14:textId="77777777" w:rsidTr="004B6C20">
        <w:trPr>
          <w:jc w:val="center"/>
        </w:trPr>
        <w:tc>
          <w:tcPr>
            <w:tcW w:w="6238" w:type="dxa"/>
          </w:tcPr>
          <w:p w14:paraId="08088E7E" w14:textId="77777777" w:rsidR="00EE1554" w:rsidRPr="006D3169" w:rsidRDefault="00EE1554" w:rsidP="00EE1554">
            <w:pPr>
              <w:pStyle w:val="T2"/>
              <w:jc w:val="left"/>
            </w:pPr>
            <w:r w:rsidRPr="006D3169">
              <w:t>Trade and other payables</w:t>
            </w:r>
          </w:p>
        </w:tc>
        <w:tc>
          <w:tcPr>
            <w:tcW w:w="709" w:type="dxa"/>
            <w:vAlign w:val="bottom"/>
          </w:tcPr>
          <w:p w14:paraId="4B4F1AC4" w14:textId="77777777" w:rsidR="00EE1554" w:rsidRDefault="00EE1554" w:rsidP="00EE1554">
            <w:pPr>
              <w:pStyle w:val="T2"/>
              <w:jc w:val="right"/>
              <w:rPr>
                <w:rFonts w:cs="Calibri"/>
              </w:rPr>
            </w:pPr>
          </w:p>
        </w:tc>
        <w:tc>
          <w:tcPr>
            <w:tcW w:w="1771" w:type="dxa"/>
          </w:tcPr>
          <w:p w14:paraId="34C2A460" w14:textId="68445617" w:rsidR="00EE1554" w:rsidRDefault="00555002" w:rsidP="00EE1554">
            <w:pPr>
              <w:pStyle w:val="T2"/>
              <w:jc w:val="right"/>
              <w:rPr>
                <w:b/>
                <w:bCs/>
              </w:rPr>
            </w:pPr>
            <w:r>
              <w:rPr>
                <w:b/>
                <w:bCs/>
              </w:rPr>
              <w:t>37</w:t>
            </w:r>
            <w:r w:rsidR="00884A63">
              <w:rPr>
                <w:b/>
                <w:bCs/>
              </w:rPr>
              <w:t>4.</w:t>
            </w:r>
            <w:r w:rsidR="00E3237F">
              <w:rPr>
                <w:b/>
                <w:bCs/>
              </w:rPr>
              <w:t>7</w:t>
            </w:r>
          </w:p>
        </w:tc>
        <w:tc>
          <w:tcPr>
            <w:tcW w:w="1772" w:type="dxa"/>
          </w:tcPr>
          <w:p w14:paraId="2A28C22E" w14:textId="415FE7EC" w:rsidR="00EE1554" w:rsidRPr="0096767F" w:rsidRDefault="00310394" w:rsidP="00EE1554">
            <w:pPr>
              <w:pStyle w:val="T2"/>
              <w:jc w:val="right"/>
              <w:rPr>
                <w:bCs/>
              </w:rPr>
            </w:pPr>
            <w:r>
              <w:rPr>
                <w:bCs/>
              </w:rPr>
              <w:t>375.8</w:t>
            </w:r>
          </w:p>
        </w:tc>
      </w:tr>
      <w:tr w:rsidR="00EE1554" w14:paraId="6C6F8DB7" w14:textId="77777777" w:rsidTr="004B6C20">
        <w:trPr>
          <w:jc w:val="center"/>
        </w:trPr>
        <w:tc>
          <w:tcPr>
            <w:tcW w:w="6238" w:type="dxa"/>
          </w:tcPr>
          <w:p w14:paraId="27087FEA" w14:textId="77777777" w:rsidR="00EE1554" w:rsidRPr="006D3169" w:rsidRDefault="00EE1554" w:rsidP="00EE1554">
            <w:pPr>
              <w:pStyle w:val="T2"/>
              <w:jc w:val="left"/>
            </w:pPr>
            <w:r>
              <w:t>Lease liabilities</w:t>
            </w:r>
          </w:p>
        </w:tc>
        <w:tc>
          <w:tcPr>
            <w:tcW w:w="709" w:type="dxa"/>
            <w:vAlign w:val="bottom"/>
          </w:tcPr>
          <w:p w14:paraId="0C1FFF64" w14:textId="77777777" w:rsidR="00EE1554" w:rsidRDefault="00EE1554" w:rsidP="00EE1554">
            <w:pPr>
              <w:pStyle w:val="T2"/>
              <w:jc w:val="right"/>
              <w:rPr>
                <w:rFonts w:cs="Calibri"/>
              </w:rPr>
            </w:pPr>
          </w:p>
        </w:tc>
        <w:tc>
          <w:tcPr>
            <w:tcW w:w="1771" w:type="dxa"/>
          </w:tcPr>
          <w:p w14:paraId="42954877" w14:textId="786CFAB3" w:rsidR="00EE1554" w:rsidRDefault="00555002" w:rsidP="00EE1554">
            <w:pPr>
              <w:pStyle w:val="T2"/>
              <w:jc w:val="right"/>
              <w:rPr>
                <w:b/>
                <w:bCs/>
              </w:rPr>
            </w:pPr>
            <w:r>
              <w:rPr>
                <w:b/>
                <w:bCs/>
              </w:rPr>
              <w:t>14.8</w:t>
            </w:r>
          </w:p>
        </w:tc>
        <w:tc>
          <w:tcPr>
            <w:tcW w:w="1772" w:type="dxa"/>
          </w:tcPr>
          <w:p w14:paraId="7409CC5A" w14:textId="2EF84797" w:rsidR="00EE1554" w:rsidRPr="0096767F" w:rsidRDefault="00310394" w:rsidP="00EE1554">
            <w:pPr>
              <w:pStyle w:val="T2"/>
              <w:jc w:val="right"/>
              <w:rPr>
                <w:bCs/>
              </w:rPr>
            </w:pPr>
            <w:r>
              <w:rPr>
                <w:bCs/>
              </w:rPr>
              <w:t>17.6</w:t>
            </w:r>
          </w:p>
        </w:tc>
      </w:tr>
      <w:tr w:rsidR="00EE1554" w14:paraId="1566488D" w14:textId="77777777" w:rsidTr="004B6C20">
        <w:trPr>
          <w:jc w:val="center"/>
        </w:trPr>
        <w:tc>
          <w:tcPr>
            <w:tcW w:w="6238" w:type="dxa"/>
          </w:tcPr>
          <w:p w14:paraId="0E9C91D5" w14:textId="77777777" w:rsidR="00EE1554" w:rsidRPr="006D3169" w:rsidRDefault="00EE1554" w:rsidP="00EE1554">
            <w:pPr>
              <w:pStyle w:val="T2"/>
              <w:jc w:val="left"/>
            </w:pPr>
            <w:r w:rsidRPr="006D3169">
              <w:t>Derivative financial instruments</w:t>
            </w:r>
          </w:p>
        </w:tc>
        <w:tc>
          <w:tcPr>
            <w:tcW w:w="709" w:type="dxa"/>
            <w:vAlign w:val="bottom"/>
          </w:tcPr>
          <w:p w14:paraId="27933EAB" w14:textId="67E26D9E" w:rsidR="00EE1554" w:rsidRPr="00A31437" w:rsidRDefault="00EE1554" w:rsidP="00EE1554">
            <w:pPr>
              <w:pStyle w:val="T2"/>
              <w:jc w:val="right"/>
              <w:rPr>
                <w:rFonts w:cs="Calibri"/>
              </w:rPr>
            </w:pPr>
            <w:r>
              <w:rPr>
                <w:rFonts w:cs="Calibri"/>
              </w:rPr>
              <w:t>1</w:t>
            </w:r>
            <w:r w:rsidR="002675EF">
              <w:rPr>
                <w:rFonts w:cs="Calibri"/>
              </w:rPr>
              <w:t>2</w:t>
            </w:r>
          </w:p>
        </w:tc>
        <w:tc>
          <w:tcPr>
            <w:tcW w:w="1771" w:type="dxa"/>
          </w:tcPr>
          <w:p w14:paraId="56D7F8FE" w14:textId="124C2694" w:rsidR="00EE1554" w:rsidRPr="00B535FA" w:rsidRDefault="00555002" w:rsidP="00EE1554">
            <w:pPr>
              <w:pStyle w:val="T2"/>
              <w:jc w:val="right"/>
              <w:rPr>
                <w:b/>
                <w:bCs/>
              </w:rPr>
            </w:pPr>
            <w:r>
              <w:rPr>
                <w:b/>
                <w:bCs/>
              </w:rPr>
              <w:t>0.5</w:t>
            </w:r>
          </w:p>
        </w:tc>
        <w:tc>
          <w:tcPr>
            <w:tcW w:w="1772" w:type="dxa"/>
          </w:tcPr>
          <w:p w14:paraId="3677FE11" w14:textId="25BA3F95" w:rsidR="00EE1554" w:rsidRPr="00DC32FB" w:rsidRDefault="00310394" w:rsidP="00EE1554">
            <w:pPr>
              <w:pStyle w:val="T2"/>
              <w:jc w:val="right"/>
            </w:pPr>
            <w:r>
              <w:rPr>
                <w:bCs/>
              </w:rPr>
              <w:t>2.9</w:t>
            </w:r>
          </w:p>
        </w:tc>
      </w:tr>
      <w:tr w:rsidR="00EE1554" w14:paraId="0CCBF774" w14:textId="77777777" w:rsidTr="004B6C20">
        <w:trPr>
          <w:jc w:val="center"/>
        </w:trPr>
        <w:tc>
          <w:tcPr>
            <w:tcW w:w="6238" w:type="dxa"/>
          </w:tcPr>
          <w:p w14:paraId="0FFA0338" w14:textId="77777777" w:rsidR="00EE1554" w:rsidRPr="006D3169" w:rsidRDefault="00EE1554" w:rsidP="00EE1554">
            <w:pPr>
              <w:pStyle w:val="T2"/>
              <w:jc w:val="left"/>
            </w:pPr>
            <w:r>
              <w:t xml:space="preserve">Provisions </w:t>
            </w:r>
          </w:p>
        </w:tc>
        <w:tc>
          <w:tcPr>
            <w:tcW w:w="709" w:type="dxa"/>
            <w:vAlign w:val="center"/>
          </w:tcPr>
          <w:p w14:paraId="055A4574" w14:textId="74943224" w:rsidR="00EE1554" w:rsidRPr="00A31437" w:rsidRDefault="00EE1554" w:rsidP="00EE1554">
            <w:pPr>
              <w:pStyle w:val="T2"/>
              <w:jc w:val="right"/>
              <w:rPr>
                <w:rFonts w:cs="Calibri"/>
              </w:rPr>
            </w:pPr>
            <w:r>
              <w:rPr>
                <w:rFonts w:cs="Calibri"/>
              </w:rPr>
              <w:t>1</w:t>
            </w:r>
            <w:r w:rsidR="002675EF">
              <w:rPr>
                <w:rFonts w:cs="Calibri"/>
              </w:rPr>
              <w:t>3</w:t>
            </w:r>
          </w:p>
        </w:tc>
        <w:tc>
          <w:tcPr>
            <w:tcW w:w="1771" w:type="dxa"/>
          </w:tcPr>
          <w:p w14:paraId="732718E7" w14:textId="42B83739" w:rsidR="00EE1554" w:rsidRPr="00B535FA" w:rsidRDefault="00555002" w:rsidP="00EE1554">
            <w:pPr>
              <w:pStyle w:val="T2"/>
              <w:jc w:val="right"/>
              <w:rPr>
                <w:b/>
                <w:bCs/>
              </w:rPr>
            </w:pPr>
            <w:r>
              <w:rPr>
                <w:b/>
                <w:bCs/>
              </w:rPr>
              <w:t>5.</w:t>
            </w:r>
            <w:r w:rsidR="0074606C">
              <w:rPr>
                <w:b/>
                <w:bCs/>
              </w:rPr>
              <w:t>1</w:t>
            </w:r>
          </w:p>
        </w:tc>
        <w:tc>
          <w:tcPr>
            <w:tcW w:w="1772" w:type="dxa"/>
          </w:tcPr>
          <w:p w14:paraId="3DF344BD" w14:textId="7009B108" w:rsidR="00EE1554" w:rsidRPr="0096767F" w:rsidRDefault="00310394" w:rsidP="00EE1554">
            <w:pPr>
              <w:pStyle w:val="T2"/>
              <w:jc w:val="right"/>
              <w:rPr>
                <w:bCs/>
              </w:rPr>
            </w:pPr>
            <w:r>
              <w:rPr>
                <w:bCs/>
              </w:rPr>
              <w:t>2.1</w:t>
            </w:r>
          </w:p>
        </w:tc>
      </w:tr>
      <w:tr w:rsidR="00EE1554" w14:paraId="1D6481C0" w14:textId="77777777" w:rsidTr="004B6C20">
        <w:trPr>
          <w:jc w:val="center"/>
        </w:trPr>
        <w:tc>
          <w:tcPr>
            <w:tcW w:w="6238" w:type="dxa"/>
          </w:tcPr>
          <w:p w14:paraId="07E0DD0F" w14:textId="77777777" w:rsidR="00EE1554" w:rsidRPr="006D3169" w:rsidRDefault="00EE1554" w:rsidP="00EE1554">
            <w:pPr>
              <w:pStyle w:val="T2"/>
              <w:jc w:val="left"/>
            </w:pPr>
            <w:r w:rsidRPr="006D3169">
              <w:t>Current tax payable</w:t>
            </w:r>
          </w:p>
        </w:tc>
        <w:tc>
          <w:tcPr>
            <w:tcW w:w="709" w:type="dxa"/>
            <w:vAlign w:val="bottom"/>
          </w:tcPr>
          <w:p w14:paraId="588D399A" w14:textId="77777777" w:rsidR="00EE1554" w:rsidRPr="00A31437" w:rsidRDefault="00EE1554" w:rsidP="00EE1554">
            <w:pPr>
              <w:pStyle w:val="T2"/>
              <w:jc w:val="right"/>
              <w:rPr>
                <w:rFonts w:cs="Calibri"/>
              </w:rPr>
            </w:pPr>
          </w:p>
        </w:tc>
        <w:tc>
          <w:tcPr>
            <w:tcW w:w="1771" w:type="dxa"/>
          </w:tcPr>
          <w:p w14:paraId="3CE7A8C7" w14:textId="1ADF00A6" w:rsidR="00EE1554" w:rsidRPr="00B535FA" w:rsidRDefault="00884A63" w:rsidP="00EE1554">
            <w:pPr>
              <w:pStyle w:val="T2"/>
              <w:jc w:val="right"/>
              <w:rPr>
                <w:b/>
                <w:bCs/>
              </w:rPr>
            </w:pPr>
            <w:r>
              <w:rPr>
                <w:b/>
                <w:bCs/>
              </w:rPr>
              <w:t>8.0</w:t>
            </w:r>
          </w:p>
        </w:tc>
        <w:tc>
          <w:tcPr>
            <w:tcW w:w="1772" w:type="dxa"/>
          </w:tcPr>
          <w:p w14:paraId="1E42C059" w14:textId="01A04A06" w:rsidR="00EE1554" w:rsidRPr="00DC32FB" w:rsidRDefault="00310394" w:rsidP="00EE1554">
            <w:pPr>
              <w:pStyle w:val="T2"/>
              <w:jc w:val="right"/>
            </w:pPr>
            <w:r>
              <w:rPr>
                <w:bCs/>
              </w:rPr>
              <w:t>7.5</w:t>
            </w:r>
          </w:p>
        </w:tc>
      </w:tr>
      <w:tr w:rsidR="00EE1554" w14:paraId="36E3B793" w14:textId="77777777" w:rsidTr="004B6C20">
        <w:trPr>
          <w:jc w:val="center"/>
        </w:trPr>
        <w:tc>
          <w:tcPr>
            <w:tcW w:w="6238" w:type="dxa"/>
            <w:tcBorders>
              <w:top w:val="single" w:sz="2" w:space="0" w:color="auto"/>
              <w:bottom w:val="single" w:sz="2" w:space="0" w:color="auto"/>
            </w:tcBorders>
          </w:tcPr>
          <w:p w14:paraId="202FE70D" w14:textId="77777777" w:rsidR="00EE1554" w:rsidRPr="00D515EB" w:rsidRDefault="00EE1554" w:rsidP="00EE1554">
            <w:pPr>
              <w:pStyle w:val="T2"/>
              <w:jc w:val="left"/>
              <w:rPr>
                <w:b/>
              </w:rPr>
            </w:pPr>
            <w:r w:rsidRPr="00D515EB">
              <w:rPr>
                <w:b/>
              </w:rPr>
              <w:t>Total current liabilities</w:t>
            </w:r>
          </w:p>
        </w:tc>
        <w:tc>
          <w:tcPr>
            <w:tcW w:w="709" w:type="dxa"/>
            <w:tcBorders>
              <w:top w:val="single" w:sz="2" w:space="0" w:color="auto"/>
              <w:bottom w:val="single" w:sz="2" w:space="0" w:color="auto"/>
            </w:tcBorders>
            <w:vAlign w:val="bottom"/>
          </w:tcPr>
          <w:p w14:paraId="68BF8E33" w14:textId="24F695B4" w:rsidR="00EE1554" w:rsidRPr="00A31437" w:rsidRDefault="00EE1554" w:rsidP="00EE1554">
            <w:pPr>
              <w:pStyle w:val="T2"/>
              <w:jc w:val="right"/>
              <w:rPr>
                <w:rFonts w:cs="Calibri"/>
              </w:rPr>
            </w:pPr>
          </w:p>
        </w:tc>
        <w:tc>
          <w:tcPr>
            <w:tcW w:w="1771" w:type="dxa"/>
            <w:tcBorders>
              <w:top w:val="single" w:sz="2" w:space="0" w:color="auto"/>
              <w:bottom w:val="single" w:sz="2" w:space="0" w:color="auto"/>
            </w:tcBorders>
          </w:tcPr>
          <w:p w14:paraId="17BF2860" w14:textId="05A267B8" w:rsidR="00EE1554" w:rsidRPr="00B535FA" w:rsidRDefault="00555002" w:rsidP="00EE1554">
            <w:pPr>
              <w:pStyle w:val="T2"/>
              <w:jc w:val="right"/>
              <w:rPr>
                <w:b/>
                <w:bCs/>
              </w:rPr>
            </w:pPr>
            <w:r>
              <w:rPr>
                <w:b/>
                <w:bCs/>
              </w:rPr>
              <w:t>43</w:t>
            </w:r>
            <w:r w:rsidR="00E3237F">
              <w:rPr>
                <w:b/>
                <w:bCs/>
              </w:rPr>
              <w:t>5.9</w:t>
            </w:r>
          </w:p>
        </w:tc>
        <w:tc>
          <w:tcPr>
            <w:tcW w:w="1772" w:type="dxa"/>
            <w:tcBorders>
              <w:top w:val="single" w:sz="2" w:space="0" w:color="auto"/>
              <w:bottom w:val="single" w:sz="2" w:space="0" w:color="auto"/>
            </w:tcBorders>
          </w:tcPr>
          <w:p w14:paraId="1B7CA94B" w14:textId="76038ADA" w:rsidR="00EE1554" w:rsidRPr="00DC32FB" w:rsidRDefault="00310394" w:rsidP="00EE1554">
            <w:pPr>
              <w:pStyle w:val="T2"/>
              <w:jc w:val="right"/>
            </w:pPr>
            <w:r>
              <w:rPr>
                <w:bCs/>
              </w:rPr>
              <w:t>499.0</w:t>
            </w:r>
          </w:p>
        </w:tc>
      </w:tr>
      <w:tr w:rsidR="00EE1554" w14:paraId="354B5983" w14:textId="77777777" w:rsidTr="004B6C20">
        <w:trPr>
          <w:jc w:val="center"/>
        </w:trPr>
        <w:tc>
          <w:tcPr>
            <w:tcW w:w="6238" w:type="dxa"/>
            <w:tcBorders>
              <w:top w:val="single" w:sz="2" w:space="0" w:color="auto"/>
              <w:bottom w:val="single" w:sz="2" w:space="0" w:color="auto"/>
            </w:tcBorders>
          </w:tcPr>
          <w:p w14:paraId="590660F6" w14:textId="77777777" w:rsidR="00EE1554" w:rsidRPr="00D515EB" w:rsidRDefault="00EE1554" w:rsidP="00EE1554">
            <w:pPr>
              <w:pStyle w:val="T2"/>
              <w:jc w:val="left"/>
              <w:rPr>
                <w:b/>
              </w:rPr>
            </w:pPr>
            <w:r w:rsidRPr="00D515EB">
              <w:rPr>
                <w:b/>
              </w:rPr>
              <w:t>Total liabilities</w:t>
            </w:r>
          </w:p>
        </w:tc>
        <w:tc>
          <w:tcPr>
            <w:tcW w:w="709" w:type="dxa"/>
            <w:tcBorders>
              <w:top w:val="single" w:sz="2" w:space="0" w:color="auto"/>
              <w:bottom w:val="single" w:sz="2" w:space="0" w:color="auto"/>
            </w:tcBorders>
            <w:vAlign w:val="center"/>
          </w:tcPr>
          <w:p w14:paraId="64C2A00C" w14:textId="22D9E565" w:rsidR="00EE1554" w:rsidRDefault="00EE1554" w:rsidP="00EE1554">
            <w:pPr>
              <w:pStyle w:val="T2"/>
              <w:jc w:val="right"/>
              <w:rPr>
                <w:rFonts w:ascii="Calibri" w:hAnsi="Calibri" w:cs="Calibri"/>
                <w:sz w:val="20"/>
                <w:szCs w:val="20"/>
              </w:rPr>
            </w:pPr>
          </w:p>
        </w:tc>
        <w:tc>
          <w:tcPr>
            <w:tcW w:w="1771" w:type="dxa"/>
            <w:tcBorders>
              <w:top w:val="single" w:sz="2" w:space="0" w:color="auto"/>
              <w:bottom w:val="single" w:sz="2" w:space="0" w:color="auto"/>
            </w:tcBorders>
          </w:tcPr>
          <w:p w14:paraId="1982CEAB" w14:textId="34800710" w:rsidR="00884A63" w:rsidRPr="00B535FA" w:rsidRDefault="00555002" w:rsidP="00884A63">
            <w:pPr>
              <w:pStyle w:val="T2"/>
              <w:jc w:val="right"/>
              <w:rPr>
                <w:b/>
                <w:bCs/>
              </w:rPr>
            </w:pPr>
            <w:r>
              <w:rPr>
                <w:b/>
                <w:bCs/>
              </w:rPr>
              <w:t>8</w:t>
            </w:r>
            <w:r w:rsidR="00884A63">
              <w:rPr>
                <w:b/>
                <w:bCs/>
              </w:rPr>
              <w:t>29.5</w:t>
            </w:r>
          </w:p>
        </w:tc>
        <w:tc>
          <w:tcPr>
            <w:tcW w:w="1772" w:type="dxa"/>
            <w:tcBorders>
              <w:top w:val="single" w:sz="2" w:space="0" w:color="auto"/>
              <w:bottom w:val="single" w:sz="2" w:space="0" w:color="auto"/>
            </w:tcBorders>
          </w:tcPr>
          <w:p w14:paraId="4A3F3596" w14:textId="6F7C15B5" w:rsidR="00EE1554" w:rsidRPr="00DC32FB" w:rsidRDefault="00310394" w:rsidP="00EE1554">
            <w:pPr>
              <w:pStyle w:val="T2"/>
              <w:jc w:val="right"/>
            </w:pPr>
            <w:r>
              <w:rPr>
                <w:bCs/>
              </w:rPr>
              <w:t>868.3</w:t>
            </w:r>
          </w:p>
        </w:tc>
      </w:tr>
      <w:tr w:rsidR="00EE1554" w14:paraId="6A83E834" w14:textId="77777777" w:rsidTr="004B6C20">
        <w:trPr>
          <w:jc w:val="center"/>
        </w:trPr>
        <w:tc>
          <w:tcPr>
            <w:tcW w:w="6238" w:type="dxa"/>
            <w:tcBorders>
              <w:top w:val="single" w:sz="2" w:space="0" w:color="auto"/>
              <w:bottom w:val="single" w:sz="2" w:space="0" w:color="auto"/>
            </w:tcBorders>
          </w:tcPr>
          <w:p w14:paraId="26B5B41C" w14:textId="77777777" w:rsidR="00EE1554" w:rsidRPr="00C16F21" w:rsidRDefault="00EE1554" w:rsidP="00EE1554">
            <w:pPr>
              <w:pStyle w:val="T2"/>
              <w:jc w:val="left"/>
              <w:rPr>
                <w:b/>
              </w:rPr>
            </w:pPr>
            <w:r w:rsidRPr="00C16F21">
              <w:rPr>
                <w:b/>
              </w:rPr>
              <w:t>Total equity and liabilities</w:t>
            </w:r>
          </w:p>
        </w:tc>
        <w:tc>
          <w:tcPr>
            <w:tcW w:w="709" w:type="dxa"/>
            <w:tcBorders>
              <w:top w:val="single" w:sz="2" w:space="0" w:color="auto"/>
              <w:bottom w:val="single" w:sz="2" w:space="0" w:color="auto"/>
            </w:tcBorders>
            <w:vAlign w:val="center"/>
          </w:tcPr>
          <w:p w14:paraId="23CB4E85" w14:textId="1C4226B7" w:rsidR="00EE1554" w:rsidRDefault="00EE1554" w:rsidP="00EE1554">
            <w:pPr>
              <w:jc w:val="right"/>
              <w:rPr>
                <w:rFonts w:ascii="Calibri" w:hAnsi="Calibri" w:cs="Calibri"/>
                <w:b/>
                <w:bCs/>
                <w:sz w:val="20"/>
                <w:szCs w:val="20"/>
              </w:rPr>
            </w:pPr>
          </w:p>
        </w:tc>
        <w:tc>
          <w:tcPr>
            <w:tcW w:w="1771" w:type="dxa"/>
            <w:tcBorders>
              <w:top w:val="single" w:sz="2" w:space="0" w:color="auto"/>
              <w:bottom w:val="single" w:sz="2" w:space="0" w:color="auto"/>
            </w:tcBorders>
          </w:tcPr>
          <w:p w14:paraId="49900E92" w14:textId="67A5A25F" w:rsidR="00EE1554" w:rsidRPr="00B535FA" w:rsidRDefault="00555002" w:rsidP="00EE1554">
            <w:pPr>
              <w:pStyle w:val="T2"/>
              <w:jc w:val="right"/>
              <w:rPr>
                <w:b/>
                <w:bCs/>
              </w:rPr>
            </w:pPr>
            <w:r>
              <w:rPr>
                <w:b/>
                <w:bCs/>
              </w:rPr>
              <w:t>1,2</w:t>
            </w:r>
            <w:r w:rsidR="00385EA9">
              <w:rPr>
                <w:b/>
                <w:bCs/>
              </w:rPr>
              <w:t>7</w:t>
            </w:r>
            <w:r w:rsidR="00884A63">
              <w:rPr>
                <w:b/>
                <w:bCs/>
              </w:rPr>
              <w:t>0.1</w:t>
            </w:r>
          </w:p>
        </w:tc>
        <w:tc>
          <w:tcPr>
            <w:tcW w:w="1772" w:type="dxa"/>
            <w:tcBorders>
              <w:top w:val="single" w:sz="2" w:space="0" w:color="auto"/>
              <w:bottom w:val="single" w:sz="2" w:space="0" w:color="auto"/>
            </w:tcBorders>
          </w:tcPr>
          <w:p w14:paraId="368BD11B" w14:textId="1716B833" w:rsidR="00EE1554" w:rsidRDefault="00EE1554" w:rsidP="00EE1554">
            <w:pPr>
              <w:pStyle w:val="T2"/>
              <w:jc w:val="right"/>
            </w:pPr>
            <w:r w:rsidRPr="0096767F">
              <w:rPr>
                <w:bCs/>
              </w:rPr>
              <w:t>1,</w:t>
            </w:r>
            <w:r w:rsidR="00310394">
              <w:rPr>
                <w:bCs/>
              </w:rPr>
              <w:t>291.5</w:t>
            </w:r>
          </w:p>
        </w:tc>
      </w:tr>
    </w:tbl>
    <w:p w14:paraId="7D525A05" w14:textId="4A7E26F9" w:rsidR="00872E32" w:rsidRDefault="00872E32" w:rsidP="00773F7B">
      <w:pPr>
        <w:rPr>
          <w:b/>
          <w:color w:val="002060"/>
          <w:sz w:val="28"/>
          <w:szCs w:val="28"/>
        </w:rPr>
      </w:pPr>
    </w:p>
    <w:p w14:paraId="5CEBF388" w14:textId="77777777" w:rsidR="00A85B80" w:rsidRDefault="00A85B80" w:rsidP="00A85B80">
      <w:pPr>
        <w:pStyle w:val="Heading2"/>
      </w:pPr>
      <w:r w:rsidRPr="006F55A8">
        <w:t xml:space="preserve">CONDENSED </w:t>
      </w:r>
      <w:r>
        <w:t xml:space="preserve">GROUP </w:t>
      </w:r>
      <w:r w:rsidRPr="006F55A8">
        <w:t xml:space="preserve">STATEMENT </w:t>
      </w:r>
      <w:r>
        <w:t>OF CASH FLOWS</w:t>
      </w:r>
    </w:p>
    <w:p w14:paraId="5B547EAE" w14:textId="62EA9AF8" w:rsidR="00773F7B" w:rsidRPr="00A85B80" w:rsidRDefault="00A85B80" w:rsidP="00A85B80">
      <w:pPr>
        <w:rPr>
          <w:b/>
          <w:color w:val="002060"/>
          <w:sz w:val="20"/>
          <w:szCs w:val="20"/>
        </w:rPr>
      </w:pPr>
      <w:r w:rsidRPr="00A85B80">
        <w:rPr>
          <w:b/>
          <w:color w:val="002060"/>
          <w:sz w:val="20"/>
          <w:szCs w:val="20"/>
        </w:rPr>
        <w:t>for the half year ended 25 March 2022</w:t>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708"/>
        <w:gridCol w:w="1559"/>
        <w:gridCol w:w="1560"/>
      </w:tblGrid>
      <w:tr w:rsidR="00773F7B" w14:paraId="43E63AF8" w14:textId="77777777" w:rsidTr="00A4328D">
        <w:trPr>
          <w:jc w:val="center"/>
        </w:trPr>
        <w:tc>
          <w:tcPr>
            <w:tcW w:w="6663" w:type="dxa"/>
          </w:tcPr>
          <w:p w14:paraId="538CC5A2" w14:textId="77777777" w:rsidR="00773F7B" w:rsidRDefault="00773F7B" w:rsidP="00773F7B">
            <w:pPr>
              <w:pStyle w:val="T2"/>
            </w:pPr>
          </w:p>
        </w:tc>
        <w:tc>
          <w:tcPr>
            <w:tcW w:w="708" w:type="dxa"/>
          </w:tcPr>
          <w:p w14:paraId="5A86AB52" w14:textId="77777777" w:rsidR="00773F7B" w:rsidRPr="002E6AF4" w:rsidRDefault="00773F7B" w:rsidP="00773F7B">
            <w:pPr>
              <w:pStyle w:val="T2"/>
              <w:jc w:val="right"/>
              <w:rPr>
                <w:b/>
              </w:rPr>
            </w:pPr>
          </w:p>
        </w:tc>
        <w:tc>
          <w:tcPr>
            <w:tcW w:w="1559" w:type="dxa"/>
          </w:tcPr>
          <w:p w14:paraId="7B674FF6" w14:textId="77777777" w:rsidR="00773F7B" w:rsidRDefault="00773F7B" w:rsidP="00773F7B">
            <w:pPr>
              <w:pStyle w:val="T2"/>
              <w:jc w:val="right"/>
              <w:rPr>
                <w:b/>
              </w:rPr>
            </w:pPr>
            <w:r w:rsidRPr="002E6AF4">
              <w:rPr>
                <w:b/>
              </w:rPr>
              <w:t xml:space="preserve">Half year ended </w:t>
            </w:r>
          </w:p>
          <w:p w14:paraId="45739524" w14:textId="410FDCC7" w:rsidR="00773F7B" w:rsidRPr="00A70E4B" w:rsidRDefault="008A4891" w:rsidP="00773F7B">
            <w:pPr>
              <w:pStyle w:val="T2"/>
              <w:jc w:val="right"/>
              <w:rPr>
                <w:b/>
              </w:rPr>
            </w:pPr>
            <w:r>
              <w:rPr>
                <w:b/>
              </w:rPr>
              <w:t>25 March 2022</w:t>
            </w:r>
          </w:p>
        </w:tc>
        <w:tc>
          <w:tcPr>
            <w:tcW w:w="1560" w:type="dxa"/>
          </w:tcPr>
          <w:p w14:paraId="7E2D5AD2" w14:textId="77777777" w:rsidR="00773F7B" w:rsidRDefault="00773F7B" w:rsidP="005B3BEE">
            <w:pPr>
              <w:pStyle w:val="T2"/>
              <w:jc w:val="right"/>
            </w:pPr>
            <w:r w:rsidRPr="002E6AF4">
              <w:t xml:space="preserve">Half year ended </w:t>
            </w:r>
          </w:p>
          <w:p w14:paraId="2D0214D7" w14:textId="764D8F17" w:rsidR="00773F7B" w:rsidRDefault="008A4891" w:rsidP="00773F7B">
            <w:pPr>
              <w:pStyle w:val="T2"/>
              <w:jc w:val="right"/>
            </w:pPr>
            <w:r>
              <w:t>26 March 2021</w:t>
            </w:r>
          </w:p>
        </w:tc>
      </w:tr>
      <w:tr w:rsidR="00773F7B" w14:paraId="5BAE717C" w14:textId="77777777" w:rsidTr="00A4328D">
        <w:trPr>
          <w:jc w:val="center"/>
        </w:trPr>
        <w:tc>
          <w:tcPr>
            <w:tcW w:w="6663" w:type="dxa"/>
          </w:tcPr>
          <w:p w14:paraId="72712524" w14:textId="77777777" w:rsidR="00773F7B" w:rsidRDefault="00773F7B" w:rsidP="00773F7B">
            <w:pPr>
              <w:pStyle w:val="T2"/>
            </w:pPr>
          </w:p>
        </w:tc>
        <w:tc>
          <w:tcPr>
            <w:tcW w:w="708" w:type="dxa"/>
          </w:tcPr>
          <w:p w14:paraId="79AAC93D" w14:textId="77777777" w:rsidR="00773F7B" w:rsidRPr="000606CD" w:rsidRDefault="00773F7B" w:rsidP="0006619B">
            <w:pPr>
              <w:pStyle w:val="T2"/>
            </w:pPr>
            <w:r w:rsidRPr="000606CD">
              <w:t>Notes</w:t>
            </w:r>
          </w:p>
        </w:tc>
        <w:tc>
          <w:tcPr>
            <w:tcW w:w="1559" w:type="dxa"/>
          </w:tcPr>
          <w:p w14:paraId="27F73068" w14:textId="77777777" w:rsidR="00773F7B" w:rsidRPr="00A70E4B" w:rsidRDefault="00773F7B" w:rsidP="00773F7B">
            <w:pPr>
              <w:pStyle w:val="T2"/>
              <w:jc w:val="right"/>
              <w:rPr>
                <w:b/>
              </w:rPr>
            </w:pPr>
            <w:r w:rsidRPr="002E6AF4">
              <w:rPr>
                <w:b/>
              </w:rPr>
              <w:t>(Unaudited)</w:t>
            </w:r>
          </w:p>
        </w:tc>
        <w:tc>
          <w:tcPr>
            <w:tcW w:w="1560" w:type="dxa"/>
          </w:tcPr>
          <w:p w14:paraId="5108DA60" w14:textId="77777777" w:rsidR="00773F7B" w:rsidRDefault="00773F7B" w:rsidP="00773F7B">
            <w:pPr>
              <w:pStyle w:val="T2"/>
              <w:jc w:val="right"/>
            </w:pPr>
            <w:r w:rsidRPr="002E6AF4">
              <w:t>(Unaudited)</w:t>
            </w:r>
          </w:p>
        </w:tc>
      </w:tr>
      <w:tr w:rsidR="00773F7B" w14:paraId="055083F7" w14:textId="77777777" w:rsidTr="00A4328D">
        <w:trPr>
          <w:jc w:val="center"/>
        </w:trPr>
        <w:tc>
          <w:tcPr>
            <w:tcW w:w="6663" w:type="dxa"/>
            <w:tcBorders>
              <w:bottom w:val="single" w:sz="2" w:space="0" w:color="auto"/>
            </w:tcBorders>
          </w:tcPr>
          <w:p w14:paraId="4E448F5E" w14:textId="77777777" w:rsidR="00773F7B" w:rsidRDefault="00773F7B" w:rsidP="00773F7B">
            <w:pPr>
              <w:pStyle w:val="T2"/>
            </w:pPr>
          </w:p>
        </w:tc>
        <w:tc>
          <w:tcPr>
            <w:tcW w:w="708" w:type="dxa"/>
            <w:tcBorders>
              <w:bottom w:val="single" w:sz="2" w:space="0" w:color="auto"/>
            </w:tcBorders>
          </w:tcPr>
          <w:p w14:paraId="373CE383" w14:textId="77777777" w:rsidR="00773F7B" w:rsidRPr="002E6AF4" w:rsidRDefault="00773F7B" w:rsidP="00773F7B">
            <w:pPr>
              <w:pStyle w:val="T2"/>
              <w:jc w:val="right"/>
              <w:rPr>
                <w:b/>
              </w:rPr>
            </w:pPr>
          </w:p>
        </w:tc>
        <w:tc>
          <w:tcPr>
            <w:tcW w:w="1559" w:type="dxa"/>
            <w:tcBorders>
              <w:bottom w:val="single" w:sz="2" w:space="0" w:color="auto"/>
            </w:tcBorders>
          </w:tcPr>
          <w:p w14:paraId="35F0F4AD" w14:textId="77777777" w:rsidR="00773F7B" w:rsidRPr="00A70E4B" w:rsidRDefault="00773F7B" w:rsidP="00773F7B">
            <w:pPr>
              <w:pStyle w:val="T2"/>
              <w:jc w:val="right"/>
              <w:rPr>
                <w:b/>
              </w:rPr>
            </w:pPr>
            <w:r w:rsidRPr="002E6AF4">
              <w:rPr>
                <w:b/>
              </w:rPr>
              <w:t>£m</w:t>
            </w:r>
          </w:p>
        </w:tc>
        <w:tc>
          <w:tcPr>
            <w:tcW w:w="1560" w:type="dxa"/>
            <w:tcBorders>
              <w:bottom w:val="single" w:sz="2" w:space="0" w:color="auto"/>
            </w:tcBorders>
          </w:tcPr>
          <w:p w14:paraId="77E773C0" w14:textId="77777777" w:rsidR="00773F7B" w:rsidRDefault="00773F7B" w:rsidP="00773F7B">
            <w:pPr>
              <w:pStyle w:val="T2"/>
              <w:jc w:val="right"/>
            </w:pPr>
            <w:r w:rsidRPr="002E6AF4">
              <w:t>£m</w:t>
            </w:r>
          </w:p>
        </w:tc>
      </w:tr>
      <w:tr w:rsidR="005A02F6" w14:paraId="2587F146" w14:textId="77777777" w:rsidTr="00A4328D">
        <w:trPr>
          <w:jc w:val="center"/>
        </w:trPr>
        <w:tc>
          <w:tcPr>
            <w:tcW w:w="6663" w:type="dxa"/>
            <w:tcBorders>
              <w:top w:val="single" w:sz="2" w:space="0" w:color="auto"/>
            </w:tcBorders>
          </w:tcPr>
          <w:p w14:paraId="7CE34DE7" w14:textId="10BF812C" w:rsidR="005A02F6" w:rsidRPr="0094516A" w:rsidRDefault="00A4328D" w:rsidP="005A02F6">
            <w:pPr>
              <w:pStyle w:val="T2"/>
              <w:jc w:val="left"/>
            </w:pPr>
            <w:r>
              <w:t>Profit/(loss)</w:t>
            </w:r>
            <w:r w:rsidR="005A02F6" w:rsidRPr="0094516A">
              <w:t xml:space="preserve"> before taxation</w:t>
            </w:r>
          </w:p>
        </w:tc>
        <w:tc>
          <w:tcPr>
            <w:tcW w:w="708" w:type="dxa"/>
            <w:tcBorders>
              <w:top w:val="single" w:sz="2" w:space="0" w:color="auto"/>
            </w:tcBorders>
          </w:tcPr>
          <w:p w14:paraId="37309972" w14:textId="77777777" w:rsidR="005A02F6" w:rsidRDefault="005A02F6" w:rsidP="005A02F6">
            <w:pPr>
              <w:pStyle w:val="T2"/>
              <w:jc w:val="right"/>
              <w:rPr>
                <w:b/>
              </w:rPr>
            </w:pPr>
          </w:p>
        </w:tc>
        <w:tc>
          <w:tcPr>
            <w:tcW w:w="1559" w:type="dxa"/>
            <w:tcBorders>
              <w:top w:val="single" w:sz="2" w:space="0" w:color="auto"/>
            </w:tcBorders>
          </w:tcPr>
          <w:p w14:paraId="5E7B6E13" w14:textId="0CC79281" w:rsidR="005A02F6" w:rsidRPr="001917D0" w:rsidRDefault="00555002" w:rsidP="005A02F6">
            <w:pPr>
              <w:pStyle w:val="T2"/>
              <w:jc w:val="right"/>
              <w:rPr>
                <w:b/>
                <w:bCs/>
              </w:rPr>
            </w:pPr>
            <w:r>
              <w:rPr>
                <w:b/>
                <w:bCs/>
              </w:rPr>
              <w:t>1.0</w:t>
            </w:r>
          </w:p>
        </w:tc>
        <w:tc>
          <w:tcPr>
            <w:tcW w:w="1560" w:type="dxa"/>
            <w:tcBorders>
              <w:top w:val="single" w:sz="2" w:space="0" w:color="auto"/>
            </w:tcBorders>
          </w:tcPr>
          <w:p w14:paraId="403AA991" w14:textId="67F02A9B" w:rsidR="005A02F6" w:rsidRPr="005A02F6" w:rsidRDefault="005A02F6" w:rsidP="005A02F6">
            <w:pPr>
              <w:pStyle w:val="T2"/>
              <w:jc w:val="right"/>
            </w:pPr>
            <w:r w:rsidRPr="005A02F6">
              <w:t>(1.8)</w:t>
            </w:r>
          </w:p>
        </w:tc>
      </w:tr>
      <w:tr w:rsidR="005A02F6" w14:paraId="65888E63" w14:textId="77777777" w:rsidTr="00A4328D">
        <w:trPr>
          <w:jc w:val="center"/>
        </w:trPr>
        <w:tc>
          <w:tcPr>
            <w:tcW w:w="6663" w:type="dxa"/>
          </w:tcPr>
          <w:p w14:paraId="6B3FDCD9" w14:textId="77777777" w:rsidR="005A02F6" w:rsidRPr="0094516A" w:rsidRDefault="005A02F6" w:rsidP="005A02F6">
            <w:pPr>
              <w:pStyle w:val="T2"/>
              <w:jc w:val="left"/>
            </w:pPr>
            <w:r w:rsidRPr="0094516A">
              <w:t xml:space="preserve">Finance income </w:t>
            </w:r>
          </w:p>
        </w:tc>
        <w:tc>
          <w:tcPr>
            <w:tcW w:w="708" w:type="dxa"/>
          </w:tcPr>
          <w:p w14:paraId="0C08698C" w14:textId="745496EC" w:rsidR="005A02F6" w:rsidRPr="0006619B" w:rsidRDefault="002675EF" w:rsidP="0006619B">
            <w:pPr>
              <w:pStyle w:val="T2"/>
              <w:rPr>
                <w:bCs/>
              </w:rPr>
            </w:pPr>
            <w:r>
              <w:rPr>
                <w:bCs/>
              </w:rPr>
              <w:t>6</w:t>
            </w:r>
          </w:p>
        </w:tc>
        <w:tc>
          <w:tcPr>
            <w:tcW w:w="1559" w:type="dxa"/>
          </w:tcPr>
          <w:p w14:paraId="39C5C4F3" w14:textId="7FB98F85" w:rsidR="005A02F6" w:rsidRPr="001917D0" w:rsidRDefault="005A02F6" w:rsidP="005A02F6">
            <w:pPr>
              <w:pStyle w:val="T2"/>
              <w:jc w:val="right"/>
              <w:rPr>
                <w:b/>
                <w:bCs/>
              </w:rPr>
            </w:pPr>
            <w:r w:rsidRPr="0033714F">
              <w:rPr>
                <w:b/>
                <w:bCs/>
              </w:rPr>
              <w:t>–</w:t>
            </w:r>
          </w:p>
        </w:tc>
        <w:tc>
          <w:tcPr>
            <w:tcW w:w="1560" w:type="dxa"/>
          </w:tcPr>
          <w:p w14:paraId="732174BE" w14:textId="1883FEBF" w:rsidR="005A02F6" w:rsidRPr="005A02F6" w:rsidRDefault="005A02F6" w:rsidP="005A02F6">
            <w:pPr>
              <w:pStyle w:val="T2"/>
              <w:jc w:val="right"/>
            </w:pPr>
            <w:r w:rsidRPr="005A02F6">
              <w:t>(0.4)</w:t>
            </w:r>
          </w:p>
        </w:tc>
      </w:tr>
      <w:tr w:rsidR="005A02F6" w14:paraId="4F413398" w14:textId="77777777" w:rsidTr="00A4328D">
        <w:trPr>
          <w:jc w:val="center"/>
        </w:trPr>
        <w:tc>
          <w:tcPr>
            <w:tcW w:w="6663" w:type="dxa"/>
          </w:tcPr>
          <w:p w14:paraId="42CB656C" w14:textId="77777777" w:rsidR="005A02F6" w:rsidRPr="0094516A" w:rsidRDefault="005A02F6" w:rsidP="005A02F6">
            <w:pPr>
              <w:pStyle w:val="T2"/>
              <w:jc w:val="left"/>
            </w:pPr>
            <w:r w:rsidRPr="0094516A">
              <w:t xml:space="preserve">Finance costs </w:t>
            </w:r>
          </w:p>
        </w:tc>
        <w:tc>
          <w:tcPr>
            <w:tcW w:w="708" w:type="dxa"/>
          </w:tcPr>
          <w:p w14:paraId="0FFECAEF" w14:textId="6C2EC1B6" w:rsidR="005A02F6" w:rsidRPr="0006619B" w:rsidRDefault="002675EF" w:rsidP="0006619B">
            <w:pPr>
              <w:pStyle w:val="T2"/>
              <w:rPr>
                <w:bCs/>
              </w:rPr>
            </w:pPr>
            <w:r>
              <w:rPr>
                <w:bCs/>
              </w:rPr>
              <w:t>6</w:t>
            </w:r>
          </w:p>
        </w:tc>
        <w:tc>
          <w:tcPr>
            <w:tcW w:w="1559" w:type="dxa"/>
          </w:tcPr>
          <w:p w14:paraId="3CBBFF7A" w14:textId="576A87FC" w:rsidR="005A02F6" w:rsidRPr="001917D0" w:rsidRDefault="00555002" w:rsidP="005A02F6">
            <w:pPr>
              <w:pStyle w:val="T2"/>
              <w:jc w:val="right"/>
              <w:rPr>
                <w:b/>
                <w:bCs/>
              </w:rPr>
            </w:pPr>
            <w:r>
              <w:rPr>
                <w:b/>
                <w:bCs/>
              </w:rPr>
              <w:t>6.2</w:t>
            </w:r>
          </w:p>
        </w:tc>
        <w:tc>
          <w:tcPr>
            <w:tcW w:w="1560" w:type="dxa"/>
          </w:tcPr>
          <w:p w14:paraId="1344BE32" w14:textId="52BB42F8" w:rsidR="005A02F6" w:rsidRPr="005A02F6" w:rsidRDefault="005A02F6" w:rsidP="005A02F6">
            <w:pPr>
              <w:pStyle w:val="T2"/>
              <w:jc w:val="right"/>
            </w:pPr>
            <w:r w:rsidRPr="005A02F6">
              <w:t>10.1</w:t>
            </w:r>
          </w:p>
        </w:tc>
      </w:tr>
      <w:tr w:rsidR="005A02F6" w14:paraId="46BF02C5" w14:textId="77777777" w:rsidTr="00A4328D">
        <w:trPr>
          <w:jc w:val="center"/>
        </w:trPr>
        <w:tc>
          <w:tcPr>
            <w:tcW w:w="6663" w:type="dxa"/>
            <w:tcBorders>
              <w:bottom w:val="single" w:sz="2" w:space="0" w:color="auto"/>
            </w:tcBorders>
          </w:tcPr>
          <w:p w14:paraId="083A2EED" w14:textId="77777777" w:rsidR="005A02F6" w:rsidRPr="0094516A" w:rsidRDefault="005A02F6" w:rsidP="005A02F6">
            <w:pPr>
              <w:pStyle w:val="T2"/>
              <w:jc w:val="left"/>
            </w:pPr>
            <w:r w:rsidRPr="0094516A">
              <w:t>Exceptional items</w:t>
            </w:r>
          </w:p>
        </w:tc>
        <w:tc>
          <w:tcPr>
            <w:tcW w:w="708" w:type="dxa"/>
            <w:tcBorders>
              <w:bottom w:val="single" w:sz="2" w:space="0" w:color="auto"/>
            </w:tcBorders>
          </w:tcPr>
          <w:p w14:paraId="3B26E003" w14:textId="58CA4532" w:rsidR="005A02F6" w:rsidRPr="0006619B" w:rsidRDefault="002675EF" w:rsidP="0006619B">
            <w:pPr>
              <w:pStyle w:val="T2"/>
              <w:rPr>
                <w:bCs/>
              </w:rPr>
            </w:pPr>
            <w:r>
              <w:rPr>
                <w:bCs/>
              </w:rPr>
              <w:t>5</w:t>
            </w:r>
          </w:p>
        </w:tc>
        <w:tc>
          <w:tcPr>
            <w:tcW w:w="1559" w:type="dxa"/>
            <w:tcBorders>
              <w:bottom w:val="single" w:sz="2" w:space="0" w:color="auto"/>
            </w:tcBorders>
          </w:tcPr>
          <w:p w14:paraId="5D6CA97B" w14:textId="7BD007B5" w:rsidR="005A02F6" w:rsidRPr="001917D0" w:rsidRDefault="00555002" w:rsidP="005A02F6">
            <w:pPr>
              <w:pStyle w:val="T2"/>
              <w:jc w:val="right"/>
              <w:rPr>
                <w:b/>
                <w:bCs/>
              </w:rPr>
            </w:pPr>
            <w:r>
              <w:rPr>
                <w:b/>
                <w:bCs/>
              </w:rPr>
              <w:t>8.0</w:t>
            </w:r>
          </w:p>
        </w:tc>
        <w:tc>
          <w:tcPr>
            <w:tcW w:w="1560" w:type="dxa"/>
            <w:tcBorders>
              <w:bottom w:val="single" w:sz="2" w:space="0" w:color="auto"/>
            </w:tcBorders>
          </w:tcPr>
          <w:p w14:paraId="2CAEBE15" w14:textId="46364496" w:rsidR="005A02F6" w:rsidRPr="005A02F6" w:rsidRDefault="005A02F6" w:rsidP="005A02F6">
            <w:pPr>
              <w:pStyle w:val="T2"/>
              <w:jc w:val="right"/>
            </w:pPr>
            <w:r w:rsidRPr="005A02F6">
              <w:t>(9.7)</w:t>
            </w:r>
          </w:p>
        </w:tc>
      </w:tr>
      <w:tr w:rsidR="005A02F6" w14:paraId="2566BC78" w14:textId="77777777" w:rsidTr="00A4328D">
        <w:trPr>
          <w:jc w:val="center"/>
        </w:trPr>
        <w:tc>
          <w:tcPr>
            <w:tcW w:w="6663" w:type="dxa"/>
            <w:tcBorders>
              <w:top w:val="single" w:sz="2" w:space="0" w:color="auto"/>
            </w:tcBorders>
          </w:tcPr>
          <w:p w14:paraId="28DA22EC" w14:textId="4B2068C1" w:rsidR="005A02F6" w:rsidRPr="00F15D5E" w:rsidRDefault="005A02F6" w:rsidP="005A02F6">
            <w:pPr>
              <w:pStyle w:val="T2"/>
              <w:jc w:val="left"/>
              <w:rPr>
                <w:b/>
              </w:rPr>
            </w:pPr>
            <w:r w:rsidRPr="00F15D5E">
              <w:rPr>
                <w:b/>
              </w:rPr>
              <w:t xml:space="preserve">Operating </w:t>
            </w:r>
            <w:r>
              <w:rPr>
                <w:b/>
              </w:rPr>
              <w:t>p</w:t>
            </w:r>
            <w:r w:rsidRPr="00F15D5E">
              <w:rPr>
                <w:b/>
              </w:rPr>
              <w:t>rofit</w:t>
            </w:r>
            <w:r w:rsidR="00ED576F">
              <w:rPr>
                <w:b/>
              </w:rPr>
              <w:t>/(loss)</w:t>
            </w:r>
            <w:r w:rsidRPr="00F15D5E">
              <w:rPr>
                <w:b/>
              </w:rPr>
              <w:t xml:space="preserve"> (pre–exceptional)</w:t>
            </w:r>
          </w:p>
        </w:tc>
        <w:tc>
          <w:tcPr>
            <w:tcW w:w="708" w:type="dxa"/>
            <w:tcBorders>
              <w:top w:val="single" w:sz="2" w:space="0" w:color="auto"/>
            </w:tcBorders>
          </w:tcPr>
          <w:p w14:paraId="537A8C07" w14:textId="77777777" w:rsidR="005A02F6" w:rsidRPr="0006619B" w:rsidRDefault="005A02F6" w:rsidP="0006619B">
            <w:pPr>
              <w:pStyle w:val="T2"/>
              <w:rPr>
                <w:bCs/>
              </w:rPr>
            </w:pPr>
          </w:p>
        </w:tc>
        <w:tc>
          <w:tcPr>
            <w:tcW w:w="1559" w:type="dxa"/>
            <w:tcBorders>
              <w:top w:val="single" w:sz="2" w:space="0" w:color="auto"/>
            </w:tcBorders>
          </w:tcPr>
          <w:p w14:paraId="1F5ACFA6" w14:textId="5DC0CD30" w:rsidR="005A02F6" w:rsidRPr="00F15D5E" w:rsidRDefault="00555002" w:rsidP="005A02F6">
            <w:pPr>
              <w:pStyle w:val="T2"/>
              <w:jc w:val="right"/>
              <w:rPr>
                <w:b/>
                <w:bCs/>
              </w:rPr>
            </w:pPr>
            <w:r>
              <w:rPr>
                <w:b/>
                <w:bCs/>
              </w:rPr>
              <w:t>15.2</w:t>
            </w:r>
          </w:p>
        </w:tc>
        <w:tc>
          <w:tcPr>
            <w:tcW w:w="1560" w:type="dxa"/>
            <w:tcBorders>
              <w:top w:val="single" w:sz="2" w:space="0" w:color="auto"/>
            </w:tcBorders>
          </w:tcPr>
          <w:p w14:paraId="79DCC461" w14:textId="21D4BAF3" w:rsidR="005A02F6" w:rsidRPr="005A02F6" w:rsidRDefault="005A02F6" w:rsidP="005A02F6">
            <w:pPr>
              <w:pStyle w:val="T2"/>
              <w:jc w:val="right"/>
            </w:pPr>
            <w:r w:rsidRPr="005A02F6">
              <w:t>(1.8)</w:t>
            </w:r>
          </w:p>
        </w:tc>
      </w:tr>
      <w:tr w:rsidR="005A02F6" w14:paraId="21037DBE" w14:textId="77777777" w:rsidTr="00A4328D">
        <w:trPr>
          <w:jc w:val="center"/>
        </w:trPr>
        <w:tc>
          <w:tcPr>
            <w:tcW w:w="6663" w:type="dxa"/>
          </w:tcPr>
          <w:p w14:paraId="71590B8D" w14:textId="6F680186" w:rsidR="005A02F6" w:rsidRPr="0094516A" w:rsidRDefault="005A02F6" w:rsidP="005A02F6">
            <w:pPr>
              <w:pStyle w:val="T2"/>
              <w:jc w:val="left"/>
            </w:pPr>
            <w:r w:rsidRPr="0094516A">
              <w:t>Depreciation</w:t>
            </w:r>
            <w:r>
              <w:t xml:space="preserve"> of property, plant and equipment and right-of use assets</w:t>
            </w:r>
          </w:p>
        </w:tc>
        <w:tc>
          <w:tcPr>
            <w:tcW w:w="708" w:type="dxa"/>
          </w:tcPr>
          <w:p w14:paraId="001D16C3" w14:textId="62CD8686" w:rsidR="005A02F6" w:rsidRPr="0006619B" w:rsidRDefault="002675EF" w:rsidP="0006619B">
            <w:pPr>
              <w:pStyle w:val="T2"/>
              <w:rPr>
                <w:bCs/>
              </w:rPr>
            </w:pPr>
            <w:r>
              <w:rPr>
                <w:bCs/>
              </w:rPr>
              <w:t>10</w:t>
            </w:r>
          </w:p>
        </w:tc>
        <w:tc>
          <w:tcPr>
            <w:tcW w:w="1559" w:type="dxa"/>
          </w:tcPr>
          <w:p w14:paraId="76FEF819" w14:textId="25889AA8" w:rsidR="005A02F6" w:rsidRPr="001917D0" w:rsidRDefault="00E6317F" w:rsidP="005A02F6">
            <w:pPr>
              <w:pStyle w:val="T2"/>
              <w:jc w:val="right"/>
              <w:rPr>
                <w:b/>
                <w:bCs/>
              </w:rPr>
            </w:pPr>
            <w:r>
              <w:rPr>
                <w:b/>
                <w:bCs/>
              </w:rPr>
              <w:t>25.1</w:t>
            </w:r>
          </w:p>
        </w:tc>
        <w:tc>
          <w:tcPr>
            <w:tcW w:w="1560" w:type="dxa"/>
          </w:tcPr>
          <w:p w14:paraId="2E80DF4E" w14:textId="2D56265E" w:rsidR="005A02F6" w:rsidRPr="005A02F6" w:rsidRDefault="005A02F6" w:rsidP="005A02F6">
            <w:pPr>
              <w:pStyle w:val="T2"/>
              <w:jc w:val="right"/>
            </w:pPr>
            <w:r w:rsidRPr="005A02F6">
              <w:t>24.8</w:t>
            </w:r>
          </w:p>
        </w:tc>
      </w:tr>
      <w:tr w:rsidR="005A02F6" w14:paraId="289EDCF1" w14:textId="77777777" w:rsidTr="00A4328D">
        <w:trPr>
          <w:jc w:val="center"/>
        </w:trPr>
        <w:tc>
          <w:tcPr>
            <w:tcW w:w="6663" w:type="dxa"/>
          </w:tcPr>
          <w:p w14:paraId="1DFBA3AA" w14:textId="77777777" w:rsidR="005A02F6" w:rsidRPr="0094516A" w:rsidRDefault="005A02F6" w:rsidP="005A02F6">
            <w:pPr>
              <w:pStyle w:val="T2"/>
              <w:jc w:val="left"/>
            </w:pPr>
            <w:r w:rsidRPr="0094516A">
              <w:t>Amortisation of intangible assets</w:t>
            </w:r>
          </w:p>
        </w:tc>
        <w:tc>
          <w:tcPr>
            <w:tcW w:w="708" w:type="dxa"/>
          </w:tcPr>
          <w:p w14:paraId="59C268BA" w14:textId="01AEAA16" w:rsidR="005A02F6" w:rsidRPr="0006619B" w:rsidRDefault="002675EF" w:rsidP="0006619B">
            <w:pPr>
              <w:pStyle w:val="T2"/>
              <w:rPr>
                <w:bCs/>
              </w:rPr>
            </w:pPr>
            <w:r>
              <w:rPr>
                <w:bCs/>
              </w:rPr>
              <w:t>10</w:t>
            </w:r>
          </w:p>
        </w:tc>
        <w:tc>
          <w:tcPr>
            <w:tcW w:w="1559" w:type="dxa"/>
          </w:tcPr>
          <w:p w14:paraId="12389BB6" w14:textId="7D209F53" w:rsidR="005A02F6" w:rsidRPr="001917D0" w:rsidRDefault="00E6317F" w:rsidP="005A02F6">
            <w:pPr>
              <w:pStyle w:val="T2"/>
              <w:jc w:val="right"/>
              <w:rPr>
                <w:b/>
                <w:bCs/>
              </w:rPr>
            </w:pPr>
            <w:r>
              <w:rPr>
                <w:b/>
                <w:bCs/>
              </w:rPr>
              <w:t>3.5</w:t>
            </w:r>
          </w:p>
        </w:tc>
        <w:tc>
          <w:tcPr>
            <w:tcW w:w="1560" w:type="dxa"/>
          </w:tcPr>
          <w:p w14:paraId="20BA5D6D" w14:textId="7EC2F49D" w:rsidR="005A02F6" w:rsidRPr="005A02F6" w:rsidRDefault="005A02F6" w:rsidP="005A02F6">
            <w:pPr>
              <w:pStyle w:val="T2"/>
              <w:jc w:val="right"/>
            </w:pPr>
            <w:r w:rsidRPr="005A02F6">
              <w:t>3.5</w:t>
            </w:r>
          </w:p>
        </w:tc>
      </w:tr>
      <w:tr w:rsidR="005A02F6" w14:paraId="150D1DD0" w14:textId="77777777" w:rsidTr="00A4328D">
        <w:trPr>
          <w:jc w:val="center"/>
        </w:trPr>
        <w:tc>
          <w:tcPr>
            <w:tcW w:w="6663" w:type="dxa"/>
          </w:tcPr>
          <w:p w14:paraId="718EC1D2" w14:textId="77777777" w:rsidR="005A02F6" w:rsidRPr="0094516A" w:rsidRDefault="005A02F6" w:rsidP="005A02F6">
            <w:pPr>
              <w:pStyle w:val="T2"/>
              <w:jc w:val="left"/>
            </w:pPr>
            <w:r w:rsidRPr="0094516A">
              <w:t>Employee share</w:t>
            </w:r>
            <w:r>
              <w:t>–</w:t>
            </w:r>
            <w:r w:rsidRPr="0094516A">
              <w:t>based payment expense</w:t>
            </w:r>
          </w:p>
        </w:tc>
        <w:tc>
          <w:tcPr>
            <w:tcW w:w="708" w:type="dxa"/>
          </w:tcPr>
          <w:p w14:paraId="0CAE7EF1" w14:textId="77777777" w:rsidR="005A02F6" w:rsidRPr="0006619B" w:rsidRDefault="005A02F6" w:rsidP="0006619B">
            <w:pPr>
              <w:pStyle w:val="T2"/>
              <w:rPr>
                <w:bCs/>
              </w:rPr>
            </w:pPr>
          </w:p>
        </w:tc>
        <w:tc>
          <w:tcPr>
            <w:tcW w:w="1559" w:type="dxa"/>
          </w:tcPr>
          <w:p w14:paraId="1D489B86" w14:textId="40C76EE5" w:rsidR="005A02F6" w:rsidRPr="001917D0" w:rsidRDefault="00E6317F" w:rsidP="005A02F6">
            <w:pPr>
              <w:pStyle w:val="T2"/>
              <w:jc w:val="right"/>
              <w:rPr>
                <w:b/>
                <w:bCs/>
              </w:rPr>
            </w:pPr>
            <w:r>
              <w:rPr>
                <w:b/>
                <w:bCs/>
              </w:rPr>
              <w:t>1.3</w:t>
            </w:r>
          </w:p>
        </w:tc>
        <w:tc>
          <w:tcPr>
            <w:tcW w:w="1560" w:type="dxa"/>
          </w:tcPr>
          <w:p w14:paraId="05833176" w14:textId="6660C079" w:rsidR="005A02F6" w:rsidRPr="005A02F6" w:rsidRDefault="005A02F6" w:rsidP="005A02F6">
            <w:pPr>
              <w:pStyle w:val="T2"/>
              <w:jc w:val="right"/>
            </w:pPr>
            <w:r w:rsidRPr="005A02F6">
              <w:t>1.0</w:t>
            </w:r>
          </w:p>
        </w:tc>
      </w:tr>
      <w:tr w:rsidR="005A02F6" w14:paraId="61AC415D" w14:textId="77777777" w:rsidTr="00A4328D">
        <w:trPr>
          <w:jc w:val="center"/>
        </w:trPr>
        <w:tc>
          <w:tcPr>
            <w:tcW w:w="6663" w:type="dxa"/>
          </w:tcPr>
          <w:p w14:paraId="333D72E7" w14:textId="77777777" w:rsidR="005A02F6" w:rsidRPr="0094516A" w:rsidRDefault="005A02F6" w:rsidP="005A02F6">
            <w:pPr>
              <w:pStyle w:val="T2"/>
              <w:jc w:val="left"/>
            </w:pPr>
            <w:r w:rsidRPr="0094516A">
              <w:t>Contributions to</w:t>
            </w:r>
            <w:r>
              <w:t xml:space="preserve"> Group</w:t>
            </w:r>
            <w:r w:rsidRPr="0094516A">
              <w:t xml:space="preserve"> </w:t>
            </w:r>
            <w:r>
              <w:t xml:space="preserve">legacy </w:t>
            </w:r>
            <w:r w:rsidRPr="0094516A">
              <w:t>defined benefit pension scheme</w:t>
            </w:r>
            <w:r>
              <w:t>s</w:t>
            </w:r>
          </w:p>
        </w:tc>
        <w:tc>
          <w:tcPr>
            <w:tcW w:w="708" w:type="dxa"/>
          </w:tcPr>
          <w:p w14:paraId="576DE68D" w14:textId="77777777" w:rsidR="005A02F6" w:rsidRPr="0006619B" w:rsidRDefault="005A02F6" w:rsidP="0006619B">
            <w:pPr>
              <w:pStyle w:val="T2"/>
              <w:rPr>
                <w:bCs/>
              </w:rPr>
            </w:pPr>
          </w:p>
        </w:tc>
        <w:tc>
          <w:tcPr>
            <w:tcW w:w="1559" w:type="dxa"/>
          </w:tcPr>
          <w:p w14:paraId="2E3298DF" w14:textId="257BD4E5" w:rsidR="005A02F6" w:rsidRPr="001917D0" w:rsidRDefault="00E6317F" w:rsidP="005A02F6">
            <w:pPr>
              <w:pStyle w:val="T2"/>
              <w:jc w:val="right"/>
              <w:rPr>
                <w:b/>
                <w:bCs/>
              </w:rPr>
            </w:pPr>
            <w:r>
              <w:rPr>
                <w:b/>
                <w:bCs/>
              </w:rPr>
              <w:t>(5.8)</w:t>
            </w:r>
          </w:p>
        </w:tc>
        <w:tc>
          <w:tcPr>
            <w:tcW w:w="1560" w:type="dxa"/>
          </w:tcPr>
          <w:p w14:paraId="661F8132" w14:textId="1F87A5B9" w:rsidR="005A02F6" w:rsidRPr="005A02F6" w:rsidRDefault="005A02F6" w:rsidP="005A02F6">
            <w:pPr>
              <w:pStyle w:val="T2"/>
              <w:jc w:val="right"/>
            </w:pPr>
            <w:r w:rsidRPr="005A02F6">
              <w:t>(3.0)</w:t>
            </w:r>
          </w:p>
        </w:tc>
      </w:tr>
      <w:tr w:rsidR="005A02F6" w14:paraId="324CE27F" w14:textId="77777777" w:rsidTr="00A4328D">
        <w:trPr>
          <w:jc w:val="center"/>
        </w:trPr>
        <w:tc>
          <w:tcPr>
            <w:tcW w:w="6663" w:type="dxa"/>
          </w:tcPr>
          <w:p w14:paraId="285483B3" w14:textId="77777777" w:rsidR="005A02F6" w:rsidRPr="0094516A" w:rsidRDefault="005A02F6" w:rsidP="005A02F6">
            <w:pPr>
              <w:pStyle w:val="T2"/>
              <w:jc w:val="left"/>
            </w:pPr>
            <w:r w:rsidRPr="0094516A">
              <w:t>Working capital movement</w:t>
            </w:r>
          </w:p>
        </w:tc>
        <w:tc>
          <w:tcPr>
            <w:tcW w:w="708" w:type="dxa"/>
          </w:tcPr>
          <w:p w14:paraId="4D4D279E" w14:textId="77777777" w:rsidR="005A02F6" w:rsidRPr="0006619B" w:rsidRDefault="005A02F6" w:rsidP="0006619B">
            <w:pPr>
              <w:pStyle w:val="T2"/>
              <w:rPr>
                <w:bCs/>
              </w:rPr>
            </w:pPr>
          </w:p>
        </w:tc>
        <w:tc>
          <w:tcPr>
            <w:tcW w:w="1559" w:type="dxa"/>
          </w:tcPr>
          <w:p w14:paraId="23F5BE14" w14:textId="65E63672" w:rsidR="005A02F6" w:rsidRPr="001917D0" w:rsidRDefault="00E6317F" w:rsidP="005A02F6">
            <w:pPr>
              <w:pStyle w:val="T2"/>
              <w:jc w:val="right"/>
              <w:rPr>
                <w:b/>
                <w:bCs/>
              </w:rPr>
            </w:pPr>
            <w:r>
              <w:rPr>
                <w:b/>
                <w:bCs/>
              </w:rPr>
              <w:t>(34.8)</w:t>
            </w:r>
          </w:p>
        </w:tc>
        <w:tc>
          <w:tcPr>
            <w:tcW w:w="1560" w:type="dxa"/>
          </w:tcPr>
          <w:p w14:paraId="2589CB67" w14:textId="7AFBEB10" w:rsidR="005A02F6" w:rsidRPr="005A02F6" w:rsidRDefault="005A02F6" w:rsidP="005A02F6">
            <w:pPr>
              <w:pStyle w:val="T2"/>
              <w:jc w:val="right"/>
            </w:pPr>
            <w:r w:rsidRPr="005A02F6">
              <w:t>(21.1)</w:t>
            </w:r>
          </w:p>
        </w:tc>
      </w:tr>
      <w:tr w:rsidR="005A02F6" w14:paraId="56455942" w14:textId="77777777" w:rsidTr="00A4328D">
        <w:trPr>
          <w:jc w:val="center"/>
        </w:trPr>
        <w:tc>
          <w:tcPr>
            <w:tcW w:w="6663" w:type="dxa"/>
            <w:tcBorders>
              <w:bottom w:val="single" w:sz="2" w:space="0" w:color="auto"/>
            </w:tcBorders>
          </w:tcPr>
          <w:p w14:paraId="4A99DED4" w14:textId="77777777" w:rsidR="005A02F6" w:rsidRPr="0094516A" w:rsidRDefault="005A02F6" w:rsidP="005A02F6">
            <w:pPr>
              <w:pStyle w:val="T2"/>
              <w:jc w:val="left"/>
            </w:pPr>
            <w:r w:rsidRPr="0094516A">
              <w:t>Other movements</w:t>
            </w:r>
          </w:p>
        </w:tc>
        <w:tc>
          <w:tcPr>
            <w:tcW w:w="708" w:type="dxa"/>
            <w:tcBorders>
              <w:bottom w:val="single" w:sz="2" w:space="0" w:color="auto"/>
            </w:tcBorders>
          </w:tcPr>
          <w:p w14:paraId="0C0649CE" w14:textId="77777777" w:rsidR="005A02F6" w:rsidRPr="0006619B" w:rsidRDefault="005A02F6" w:rsidP="0006619B">
            <w:pPr>
              <w:pStyle w:val="T2"/>
              <w:rPr>
                <w:bCs/>
              </w:rPr>
            </w:pPr>
          </w:p>
        </w:tc>
        <w:tc>
          <w:tcPr>
            <w:tcW w:w="1559" w:type="dxa"/>
            <w:tcBorders>
              <w:bottom w:val="single" w:sz="2" w:space="0" w:color="auto"/>
            </w:tcBorders>
          </w:tcPr>
          <w:p w14:paraId="684A0EB1" w14:textId="1101FD06" w:rsidR="005A02F6" w:rsidRPr="001917D0" w:rsidRDefault="00E6317F" w:rsidP="005A02F6">
            <w:pPr>
              <w:pStyle w:val="T2"/>
              <w:jc w:val="right"/>
              <w:rPr>
                <w:b/>
                <w:bCs/>
              </w:rPr>
            </w:pPr>
            <w:r>
              <w:rPr>
                <w:b/>
                <w:bCs/>
              </w:rPr>
              <w:t>0.4</w:t>
            </w:r>
          </w:p>
        </w:tc>
        <w:tc>
          <w:tcPr>
            <w:tcW w:w="1560" w:type="dxa"/>
            <w:tcBorders>
              <w:bottom w:val="single" w:sz="2" w:space="0" w:color="auto"/>
            </w:tcBorders>
          </w:tcPr>
          <w:p w14:paraId="7C22989A" w14:textId="1668066B" w:rsidR="005A02F6" w:rsidRPr="005A02F6" w:rsidRDefault="005A02F6" w:rsidP="005A02F6">
            <w:pPr>
              <w:pStyle w:val="T2"/>
              <w:jc w:val="right"/>
            </w:pPr>
            <w:r w:rsidRPr="005A02F6">
              <w:t>0.4</w:t>
            </w:r>
          </w:p>
        </w:tc>
      </w:tr>
      <w:tr w:rsidR="005A02F6" w14:paraId="126CC78D" w14:textId="77777777" w:rsidTr="00A4328D">
        <w:trPr>
          <w:jc w:val="center"/>
        </w:trPr>
        <w:tc>
          <w:tcPr>
            <w:tcW w:w="6663" w:type="dxa"/>
            <w:tcBorders>
              <w:top w:val="single" w:sz="2" w:space="0" w:color="auto"/>
            </w:tcBorders>
          </w:tcPr>
          <w:p w14:paraId="3D7E28FF" w14:textId="77777777" w:rsidR="005A02F6" w:rsidRPr="00B13DAE" w:rsidRDefault="005A02F6" w:rsidP="005A02F6">
            <w:pPr>
              <w:pStyle w:val="T2"/>
              <w:jc w:val="left"/>
              <w:rPr>
                <w:b/>
              </w:rPr>
            </w:pPr>
            <w:r w:rsidRPr="00B13DAE">
              <w:rPr>
                <w:b/>
              </w:rPr>
              <w:t>Net cash inflow from operating activities before exceptional items</w:t>
            </w:r>
          </w:p>
        </w:tc>
        <w:tc>
          <w:tcPr>
            <w:tcW w:w="708" w:type="dxa"/>
            <w:tcBorders>
              <w:top w:val="single" w:sz="2" w:space="0" w:color="auto"/>
            </w:tcBorders>
          </w:tcPr>
          <w:p w14:paraId="2BF78752" w14:textId="77777777" w:rsidR="005A02F6" w:rsidRPr="0006619B" w:rsidRDefault="005A02F6" w:rsidP="0006619B">
            <w:pPr>
              <w:pStyle w:val="T2"/>
              <w:rPr>
                <w:bCs/>
              </w:rPr>
            </w:pPr>
          </w:p>
        </w:tc>
        <w:tc>
          <w:tcPr>
            <w:tcW w:w="1559" w:type="dxa"/>
            <w:tcBorders>
              <w:top w:val="single" w:sz="2" w:space="0" w:color="auto"/>
            </w:tcBorders>
          </w:tcPr>
          <w:p w14:paraId="520F0F9B" w14:textId="33B98DD3" w:rsidR="005A02F6" w:rsidRPr="001917D0" w:rsidRDefault="00E6317F" w:rsidP="005A02F6">
            <w:pPr>
              <w:pStyle w:val="T2"/>
              <w:jc w:val="right"/>
              <w:rPr>
                <w:b/>
                <w:bCs/>
              </w:rPr>
            </w:pPr>
            <w:r>
              <w:rPr>
                <w:b/>
                <w:bCs/>
              </w:rPr>
              <w:t>4.9</w:t>
            </w:r>
          </w:p>
        </w:tc>
        <w:tc>
          <w:tcPr>
            <w:tcW w:w="1560" w:type="dxa"/>
            <w:tcBorders>
              <w:top w:val="single" w:sz="2" w:space="0" w:color="auto"/>
            </w:tcBorders>
          </w:tcPr>
          <w:p w14:paraId="26D69DB4" w14:textId="1736C260" w:rsidR="005A02F6" w:rsidRPr="005A02F6" w:rsidRDefault="005A02F6" w:rsidP="005A02F6">
            <w:pPr>
              <w:pStyle w:val="T2"/>
              <w:jc w:val="right"/>
            </w:pPr>
            <w:r w:rsidRPr="005A02F6">
              <w:t>3.8</w:t>
            </w:r>
          </w:p>
        </w:tc>
      </w:tr>
      <w:tr w:rsidR="005A02F6" w14:paraId="68FF7356" w14:textId="77777777" w:rsidTr="00A4328D">
        <w:trPr>
          <w:jc w:val="center"/>
        </w:trPr>
        <w:tc>
          <w:tcPr>
            <w:tcW w:w="6663" w:type="dxa"/>
          </w:tcPr>
          <w:p w14:paraId="723038CC" w14:textId="1D2859EC" w:rsidR="005A02F6" w:rsidRPr="0094516A" w:rsidRDefault="005A02F6" w:rsidP="005A02F6">
            <w:pPr>
              <w:pStyle w:val="T2"/>
              <w:jc w:val="left"/>
            </w:pPr>
            <w:r w:rsidRPr="0094516A">
              <w:t xml:space="preserve">Cash outflow related </w:t>
            </w:r>
            <w:r w:rsidR="009C50D9">
              <w:t>to</w:t>
            </w:r>
            <w:r>
              <w:t xml:space="preserve"> </w:t>
            </w:r>
            <w:r w:rsidRPr="0094516A">
              <w:t>exceptional items</w:t>
            </w:r>
          </w:p>
        </w:tc>
        <w:tc>
          <w:tcPr>
            <w:tcW w:w="708" w:type="dxa"/>
          </w:tcPr>
          <w:p w14:paraId="3EFFDC60" w14:textId="24BFB495" w:rsidR="005A02F6" w:rsidRPr="0006619B" w:rsidRDefault="002675EF" w:rsidP="0006619B">
            <w:pPr>
              <w:pStyle w:val="T2"/>
              <w:rPr>
                <w:bCs/>
              </w:rPr>
            </w:pPr>
            <w:r>
              <w:rPr>
                <w:bCs/>
              </w:rPr>
              <w:t>5</w:t>
            </w:r>
          </w:p>
        </w:tc>
        <w:tc>
          <w:tcPr>
            <w:tcW w:w="1559" w:type="dxa"/>
          </w:tcPr>
          <w:p w14:paraId="78B628DC" w14:textId="72B212C0" w:rsidR="005A02F6" w:rsidRPr="001917D0" w:rsidRDefault="00E6317F" w:rsidP="005A02F6">
            <w:pPr>
              <w:pStyle w:val="T2"/>
              <w:jc w:val="right"/>
              <w:rPr>
                <w:b/>
                <w:bCs/>
              </w:rPr>
            </w:pPr>
            <w:r>
              <w:rPr>
                <w:b/>
                <w:bCs/>
              </w:rPr>
              <w:t>(0.3)</w:t>
            </w:r>
          </w:p>
        </w:tc>
        <w:tc>
          <w:tcPr>
            <w:tcW w:w="1560" w:type="dxa"/>
          </w:tcPr>
          <w:p w14:paraId="7F4A85E4" w14:textId="622AD34D" w:rsidR="005A02F6" w:rsidRPr="005A02F6" w:rsidRDefault="005A02F6" w:rsidP="005A02F6">
            <w:pPr>
              <w:pStyle w:val="T2"/>
              <w:jc w:val="right"/>
            </w:pPr>
            <w:r w:rsidRPr="005A02F6">
              <w:t>(2.4)</w:t>
            </w:r>
          </w:p>
        </w:tc>
      </w:tr>
      <w:tr w:rsidR="005A02F6" w14:paraId="3EB22EA2" w14:textId="77777777" w:rsidTr="00A4328D">
        <w:trPr>
          <w:jc w:val="center"/>
        </w:trPr>
        <w:tc>
          <w:tcPr>
            <w:tcW w:w="6663" w:type="dxa"/>
          </w:tcPr>
          <w:p w14:paraId="2AF89FA8" w14:textId="77777777" w:rsidR="005A02F6" w:rsidRPr="00383BB0" w:rsidRDefault="005A02F6" w:rsidP="005A02F6">
            <w:pPr>
              <w:pStyle w:val="T2"/>
              <w:jc w:val="left"/>
            </w:pPr>
            <w:r w:rsidRPr="00383BB0">
              <w:t xml:space="preserve">Interest paid </w:t>
            </w:r>
            <w:r>
              <w:t>(including lease liability interest)</w:t>
            </w:r>
          </w:p>
        </w:tc>
        <w:tc>
          <w:tcPr>
            <w:tcW w:w="708" w:type="dxa"/>
          </w:tcPr>
          <w:p w14:paraId="1F11BBB6" w14:textId="77777777" w:rsidR="005A02F6" w:rsidRPr="0006619B" w:rsidRDefault="005A02F6" w:rsidP="0006619B">
            <w:pPr>
              <w:pStyle w:val="T2"/>
              <w:rPr>
                <w:bCs/>
              </w:rPr>
            </w:pPr>
          </w:p>
        </w:tc>
        <w:tc>
          <w:tcPr>
            <w:tcW w:w="1559" w:type="dxa"/>
          </w:tcPr>
          <w:p w14:paraId="065AFA21" w14:textId="4278CDE2" w:rsidR="005A02F6" w:rsidRPr="001917D0" w:rsidRDefault="00E6317F" w:rsidP="005A02F6">
            <w:pPr>
              <w:pStyle w:val="T2"/>
              <w:jc w:val="right"/>
              <w:rPr>
                <w:b/>
                <w:bCs/>
              </w:rPr>
            </w:pPr>
            <w:r>
              <w:rPr>
                <w:b/>
                <w:bCs/>
              </w:rPr>
              <w:t>(9.6)</w:t>
            </w:r>
          </w:p>
        </w:tc>
        <w:tc>
          <w:tcPr>
            <w:tcW w:w="1560" w:type="dxa"/>
          </w:tcPr>
          <w:p w14:paraId="6B3A82A0" w14:textId="315FB0E1" w:rsidR="005A02F6" w:rsidRPr="005A02F6" w:rsidRDefault="005A02F6" w:rsidP="005A02F6">
            <w:pPr>
              <w:pStyle w:val="T2"/>
              <w:jc w:val="right"/>
            </w:pPr>
            <w:r w:rsidRPr="005A02F6">
              <w:t>(9.2)</w:t>
            </w:r>
          </w:p>
        </w:tc>
      </w:tr>
      <w:tr w:rsidR="005A02F6" w14:paraId="34211140" w14:textId="77777777" w:rsidTr="00A4328D">
        <w:trPr>
          <w:jc w:val="center"/>
        </w:trPr>
        <w:tc>
          <w:tcPr>
            <w:tcW w:w="6663" w:type="dxa"/>
            <w:tcBorders>
              <w:bottom w:val="single" w:sz="2" w:space="0" w:color="auto"/>
            </w:tcBorders>
          </w:tcPr>
          <w:p w14:paraId="54B3D617" w14:textId="300E7905" w:rsidR="005A02F6" w:rsidRPr="0094516A" w:rsidRDefault="005A02F6" w:rsidP="005A02F6">
            <w:pPr>
              <w:pStyle w:val="T2"/>
              <w:jc w:val="left"/>
            </w:pPr>
            <w:r w:rsidRPr="0094516A">
              <w:t xml:space="preserve">Tax </w:t>
            </w:r>
            <w:r w:rsidR="009C50D9">
              <w:t>repaid</w:t>
            </w:r>
          </w:p>
        </w:tc>
        <w:tc>
          <w:tcPr>
            <w:tcW w:w="708" w:type="dxa"/>
            <w:tcBorders>
              <w:bottom w:val="single" w:sz="2" w:space="0" w:color="auto"/>
            </w:tcBorders>
          </w:tcPr>
          <w:p w14:paraId="12291703" w14:textId="77777777" w:rsidR="005A02F6" w:rsidRPr="0006619B" w:rsidRDefault="005A02F6" w:rsidP="0006619B">
            <w:pPr>
              <w:pStyle w:val="T2"/>
              <w:rPr>
                <w:bCs/>
              </w:rPr>
            </w:pPr>
          </w:p>
        </w:tc>
        <w:tc>
          <w:tcPr>
            <w:tcW w:w="1559" w:type="dxa"/>
            <w:tcBorders>
              <w:bottom w:val="single" w:sz="2" w:space="0" w:color="auto"/>
            </w:tcBorders>
          </w:tcPr>
          <w:p w14:paraId="4D647BB8" w14:textId="05DE8475" w:rsidR="005A02F6" w:rsidRPr="001917D0" w:rsidRDefault="00E6317F" w:rsidP="005A02F6">
            <w:pPr>
              <w:pStyle w:val="T2"/>
              <w:jc w:val="right"/>
              <w:rPr>
                <w:b/>
                <w:bCs/>
              </w:rPr>
            </w:pPr>
            <w:r>
              <w:rPr>
                <w:b/>
                <w:bCs/>
              </w:rPr>
              <w:t>1.9</w:t>
            </w:r>
          </w:p>
        </w:tc>
        <w:tc>
          <w:tcPr>
            <w:tcW w:w="1560" w:type="dxa"/>
            <w:tcBorders>
              <w:bottom w:val="single" w:sz="2" w:space="0" w:color="auto"/>
            </w:tcBorders>
          </w:tcPr>
          <w:p w14:paraId="22EB3370" w14:textId="1E03B82C" w:rsidR="005A02F6" w:rsidRPr="005A02F6" w:rsidRDefault="005A02F6" w:rsidP="005A02F6">
            <w:pPr>
              <w:pStyle w:val="T2"/>
              <w:jc w:val="right"/>
            </w:pPr>
            <w:r w:rsidRPr="005A02F6">
              <w:t>–</w:t>
            </w:r>
          </w:p>
        </w:tc>
      </w:tr>
      <w:tr w:rsidR="005A02F6" w14:paraId="482A4730" w14:textId="77777777" w:rsidTr="00A4328D">
        <w:trPr>
          <w:jc w:val="center"/>
        </w:trPr>
        <w:tc>
          <w:tcPr>
            <w:tcW w:w="6663" w:type="dxa"/>
            <w:tcBorders>
              <w:top w:val="single" w:sz="2" w:space="0" w:color="auto"/>
              <w:bottom w:val="single" w:sz="2" w:space="0" w:color="auto"/>
            </w:tcBorders>
          </w:tcPr>
          <w:p w14:paraId="739F9B9D" w14:textId="515C9847" w:rsidR="005A02F6" w:rsidRPr="00B13DAE" w:rsidRDefault="005A02F6" w:rsidP="005A02F6">
            <w:pPr>
              <w:pStyle w:val="T2"/>
              <w:jc w:val="left"/>
              <w:rPr>
                <w:b/>
              </w:rPr>
            </w:pPr>
            <w:r w:rsidRPr="00B13DAE">
              <w:rPr>
                <w:b/>
              </w:rPr>
              <w:t>Net cash</w:t>
            </w:r>
            <w:r>
              <w:rPr>
                <w:b/>
              </w:rPr>
              <w:t xml:space="preserve"> outflow</w:t>
            </w:r>
            <w:r w:rsidRPr="00B13DAE">
              <w:rPr>
                <w:b/>
              </w:rPr>
              <w:t xml:space="preserve"> from operating activities</w:t>
            </w:r>
          </w:p>
        </w:tc>
        <w:tc>
          <w:tcPr>
            <w:tcW w:w="708" w:type="dxa"/>
            <w:tcBorders>
              <w:top w:val="single" w:sz="2" w:space="0" w:color="auto"/>
              <w:bottom w:val="single" w:sz="2" w:space="0" w:color="auto"/>
            </w:tcBorders>
          </w:tcPr>
          <w:p w14:paraId="4D21CE4B" w14:textId="77777777" w:rsidR="005A02F6" w:rsidRPr="0006619B" w:rsidRDefault="005A02F6" w:rsidP="0006619B">
            <w:pPr>
              <w:pStyle w:val="T2"/>
              <w:rPr>
                <w:bCs/>
              </w:rPr>
            </w:pPr>
          </w:p>
        </w:tc>
        <w:tc>
          <w:tcPr>
            <w:tcW w:w="1559" w:type="dxa"/>
            <w:tcBorders>
              <w:top w:val="single" w:sz="2" w:space="0" w:color="auto"/>
              <w:bottom w:val="single" w:sz="2" w:space="0" w:color="auto"/>
            </w:tcBorders>
          </w:tcPr>
          <w:p w14:paraId="24F4019E" w14:textId="33160544" w:rsidR="005A02F6" w:rsidRPr="001917D0" w:rsidRDefault="00E6317F" w:rsidP="005A02F6">
            <w:pPr>
              <w:pStyle w:val="T2"/>
              <w:jc w:val="right"/>
              <w:rPr>
                <w:b/>
                <w:bCs/>
              </w:rPr>
            </w:pPr>
            <w:r>
              <w:rPr>
                <w:b/>
                <w:bCs/>
              </w:rPr>
              <w:t>(3.1)</w:t>
            </w:r>
          </w:p>
        </w:tc>
        <w:tc>
          <w:tcPr>
            <w:tcW w:w="1560" w:type="dxa"/>
            <w:tcBorders>
              <w:top w:val="single" w:sz="2" w:space="0" w:color="auto"/>
              <w:bottom w:val="single" w:sz="2" w:space="0" w:color="auto"/>
            </w:tcBorders>
          </w:tcPr>
          <w:p w14:paraId="3FEED33B" w14:textId="6892BA2E" w:rsidR="005A02F6" w:rsidRPr="005A02F6" w:rsidRDefault="005A02F6" w:rsidP="005A02F6">
            <w:pPr>
              <w:pStyle w:val="T2"/>
              <w:jc w:val="right"/>
            </w:pPr>
            <w:r w:rsidRPr="005A02F6">
              <w:t>(7.8)</w:t>
            </w:r>
          </w:p>
        </w:tc>
      </w:tr>
      <w:tr w:rsidR="00773F7B" w14:paraId="0FE37F38" w14:textId="77777777" w:rsidTr="00A4328D">
        <w:trPr>
          <w:jc w:val="center"/>
        </w:trPr>
        <w:tc>
          <w:tcPr>
            <w:tcW w:w="6663" w:type="dxa"/>
            <w:tcBorders>
              <w:top w:val="single" w:sz="2" w:space="0" w:color="auto"/>
            </w:tcBorders>
          </w:tcPr>
          <w:p w14:paraId="18F9E497" w14:textId="77777777" w:rsidR="00773F7B" w:rsidRPr="0094516A" w:rsidRDefault="00773F7B" w:rsidP="00773F7B">
            <w:pPr>
              <w:pStyle w:val="T2"/>
              <w:jc w:val="left"/>
            </w:pPr>
          </w:p>
        </w:tc>
        <w:tc>
          <w:tcPr>
            <w:tcW w:w="708" w:type="dxa"/>
            <w:tcBorders>
              <w:top w:val="single" w:sz="2" w:space="0" w:color="auto"/>
            </w:tcBorders>
          </w:tcPr>
          <w:p w14:paraId="45C33AC3" w14:textId="77777777" w:rsidR="00773F7B" w:rsidRPr="0006619B" w:rsidRDefault="00773F7B" w:rsidP="0006619B">
            <w:pPr>
              <w:pStyle w:val="T2"/>
              <w:rPr>
                <w:bCs/>
              </w:rPr>
            </w:pPr>
          </w:p>
        </w:tc>
        <w:tc>
          <w:tcPr>
            <w:tcW w:w="1559" w:type="dxa"/>
            <w:tcBorders>
              <w:top w:val="single" w:sz="2" w:space="0" w:color="auto"/>
            </w:tcBorders>
          </w:tcPr>
          <w:p w14:paraId="6DB236BC" w14:textId="77777777" w:rsidR="00773F7B" w:rsidRPr="001917D0" w:rsidRDefault="00773F7B" w:rsidP="00773F7B">
            <w:pPr>
              <w:pStyle w:val="T2"/>
              <w:jc w:val="right"/>
              <w:rPr>
                <w:b/>
                <w:bCs/>
              </w:rPr>
            </w:pPr>
          </w:p>
        </w:tc>
        <w:tc>
          <w:tcPr>
            <w:tcW w:w="1560" w:type="dxa"/>
            <w:tcBorders>
              <w:top w:val="single" w:sz="2" w:space="0" w:color="auto"/>
            </w:tcBorders>
          </w:tcPr>
          <w:p w14:paraId="68EAB9B7" w14:textId="77777777" w:rsidR="00773F7B" w:rsidRPr="003C1ACC" w:rsidRDefault="00773F7B" w:rsidP="00773F7B">
            <w:pPr>
              <w:pStyle w:val="T2"/>
              <w:jc w:val="right"/>
            </w:pPr>
          </w:p>
        </w:tc>
      </w:tr>
      <w:tr w:rsidR="00773F7B" w14:paraId="7A06EF0D" w14:textId="77777777" w:rsidTr="00A4328D">
        <w:trPr>
          <w:jc w:val="center"/>
        </w:trPr>
        <w:tc>
          <w:tcPr>
            <w:tcW w:w="6663" w:type="dxa"/>
          </w:tcPr>
          <w:p w14:paraId="259443BD" w14:textId="77777777" w:rsidR="00773F7B" w:rsidRPr="00B13DAE" w:rsidRDefault="00773F7B" w:rsidP="00773F7B">
            <w:pPr>
              <w:pStyle w:val="T2"/>
              <w:jc w:val="left"/>
              <w:rPr>
                <w:b/>
              </w:rPr>
            </w:pPr>
            <w:r w:rsidRPr="00B13DAE">
              <w:rPr>
                <w:b/>
              </w:rPr>
              <w:t>Cash flow from investing activities</w:t>
            </w:r>
          </w:p>
        </w:tc>
        <w:tc>
          <w:tcPr>
            <w:tcW w:w="708" w:type="dxa"/>
          </w:tcPr>
          <w:p w14:paraId="43F76C92" w14:textId="77777777" w:rsidR="00773F7B" w:rsidRPr="0006619B" w:rsidRDefault="00773F7B" w:rsidP="0006619B">
            <w:pPr>
              <w:pStyle w:val="T2"/>
              <w:rPr>
                <w:bCs/>
              </w:rPr>
            </w:pPr>
          </w:p>
        </w:tc>
        <w:tc>
          <w:tcPr>
            <w:tcW w:w="1559" w:type="dxa"/>
          </w:tcPr>
          <w:p w14:paraId="060CFEC0" w14:textId="77777777" w:rsidR="00773F7B" w:rsidRPr="001917D0" w:rsidRDefault="00773F7B" w:rsidP="00773F7B">
            <w:pPr>
              <w:pStyle w:val="T2"/>
              <w:jc w:val="right"/>
              <w:rPr>
                <w:b/>
                <w:bCs/>
              </w:rPr>
            </w:pPr>
          </w:p>
        </w:tc>
        <w:tc>
          <w:tcPr>
            <w:tcW w:w="1560" w:type="dxa"/>
          </w:tcPr>
          <w:p w14:paraId="3B95B9D5" w14:textId="77777777" w:rsidR="00773F7B" w:rsidRPr="003C1ACC" w:rsidRDefault="00773F7B" w:rsidP="00773F7B">
            <w:pPr>
              <w:pStyle w:val="T2"/>
              <w:jc w:val="right"/>
            </w:pPr>
          </w:p>
        </w:tc>
      </w:tr>
      <w:tr w:rsidR="005A02F6" w14:paraId="34CCD89D" w14:textId="77777777" w:rsidTr="00A4328D">
        <w:trPr>
          <w:jc w:val="center"/>
        </w:trPr>
        <w:tc>
          <w:tcPr>
            <w:tcW w:w="6663" w:type="dxa"/>
          </w:tcPr>
          <w:p w14:paraId="47C04846" w14:textId="77777777" w:rsidR="005A02F6" w:rsidRPr="0094516A" w:rsidRDefault="005A02F6" w:rsidP="005A02F6">
            <w:pPr>
              <w:pStyle w:val="T2"/>
              <w:jc w:val="left"/>
            </w:pPr>
            <w:r w:rsidRPr="0094516A">
              <w:t>Purchase of property, plant and equipment</w:t>
            </w:r>
          </w:p>
        </w:tc>
        <w:tc>
          <w:tcPr>
            <w:tcW w:w="708" w:type="dxa"/>
          </w:tcPr>
          <w:p w14:paraId="36A170BC" w14:textId="77777777" w:rsidR="005A02F6" w:rsidRPr="0006619B" w:rsidRDefault="005A02F6" w:rsidP="0006619B">
            <w:pPr>
              <w:pStyle w:val="T2"/>
              <w:rPr>
                <w:bCs/>
              </w:rPr>
            </w:pPr>
          </w:p>
        </w:tc>
        <w:tc>
          <w:tcPr>
            <w:tcW w:w="1559" w:type="dxa"/>
          </w:tcPr>
          <w:p w14:paraId="6A6EA4D3" w14:textId="5EB4BCE2" w:rsidR="005A02F6" w:rsidRPr="001917D0" w:rsidRDefault="00E6317F" w:rsidP="005A02F6">
            <w:pPr>
              <w:pStyle w:val="T2"/>
              <w:jc w:val="right"/>
              <w:rPr>
                <w:b/>
                <w:bCs/>
              </w:rPr>
            </w:pPr>
            <w:r>
              <w:rPr>
                <w:b/>
                <w:bCs/>
              </w:rPr>
              <w:t>(17.8)</w:t>
            </w:r>
          </w:p>
        </w:tc>
        <w:tc>
          <w:tcPr>
            <w:tcW w:w="1560" w:type="dxa"/>
          </w:tcPr>
          <w:p w14:paraId="31B62C43" w14:textId="651537F0" w:rsidR="005A02F6" w:rsidRPr="005A02F6" w:rsidRDefault="005A02F6" w:rsidP="005A02F6">
            <w:pPr>
              <w:pStyle w:val="T2"/>
              <w:jc w:val="right"/>
            </w:pPr>
            <w:r w:rsidRPr="005A02F6">
              <w:t>(15.0)</w:t>
            </w:r>
          </w:p>
        </w:tc>
      </w:tr>
      <w:tr w:rsidR="005A02F6" w14:paraId="3094E20B" w14:textId="77777777" w:rsidTr="00A4328D">
        <w:trPr>
          <w:jc w:val="center"/>
        </w:trPr>
        <w:tc>
          <w:tcPr>
            <w:tcW w:w="6663" w:type="dxa"/>
          </w:tcPr>
          <w:p w14:paraId="319EC372" w14:textId="77777777" w:rsidR="005A02F6" w:rsidRPr="0094516A" w:rsidRDefault="005A02F6" w:rsidP="005A02F6">
            <w:pPr>
              <w:pStyle w:val="T2"/>
              <w:jc w:val="left"/>
            </w:pPr>
            <w:r w:rsidRPr="0094516A">
              <w:t>Purchase of intangible assets</w:t>
            </w:r>
          </w:p>
        </w:tc>
        <w:tc>
          <w:tcPr>
            <w:tcW w:w="708" w:type="dxa"/>
          </w:tcPr>
          <w:p w14:paraId="32BCC009" w14:textId="77777777" w:rsidR="005A02F6" w:rsidRPr="0006619B" w:rsidRDefault="005A02F6" w:rsidP="0006619B">
            <w:pPr>
              <w:pStyle w:val="T2"/>
              <w:rPr>
                <w:bCs/>
              </w:rPr>
            </w:pPr>
          </w:p>
        </w:tc>
        <w:tc>
          <w:tcPr>
            <w:tcW w:w="1559" w:type="dxa"/>
          </w:tcPr>
          <w:p w14:paraId="0E1FE806" w14:textId="16C16C3A" w:rsidR="005A02F6" w:rsidRPr="001917D0" w:rsidRDefault="00E6317F" w:rsidP="005A02F6">
            <w:pPr>
              <w:pStyle w:val="T2"/>
              <w:jc w:val="right"/>
              <w:rPr>
                <w:b/>
                <w:bCs/>
              </w:rPr>
            </w:pPr>
            <w:r>
              <w:rPr>
                <w:b/>
                <w:bCs/>
              </w:rPr>
              <w:t>(0.8)</w:t>
            </w:r>
          </w:p>
        </w:tc>
        <w:tc>
          <w:tcPr>
            <w:tcW w:w="1560" w:type="dxa"/>
          </w:tcPr>
          <w:p w14:paraId="7914DDFB" w14:textId="5017E068" w:rsidR="005A02F6" w:rsidRPr="005A02F6" w:rsidRDefault="005A02F6" w:rsidP="005A02F6">
            <w:pPr>
              <w:pStyle w:val="T2"/>
              <w:jc w:val="right"/>
            </w:pPr>
            <w:r w:rsidRPr="005A02F6">
              <w:t>(1.5)</w:t>
            </w:r>
          </w:p>
        </w:tc>
      </w:tr>
      <w:tr w:rsidR="005A02F6" w14:paraId="0A25A175" w14:textId="77777777" w:rsidTr="00A4328D">
        <w:trPr>
          <w:jc w:val="center"/>
        </w:trPr>
        <w:tc>
          <w:tcPr>
            <w:tcW w:w="6663" w:type="dxa"/>
            <w:tcBorders>
              <w:bottom w:val="single" w:sz="2" w:space="0" w:color="auto"/>
            </w:tcBorders>
          </w:tcPr>
          <w:p w14:paraId="5AB07D36" w14:textId="77777777" w:rsidR="005A02F6" w:rsidRPr="0094516A" w:rsidRDefault="005A02F6" w:rsidP="005A02F6">
            <w:pPr>
              <w:pStyle w:val="T2"/>
              <w:jc w:val="left"/>
            </w:pPr>
            <w:r w:rsidRPr="0094516A">
              <w:t xml:space="preserve">Disposal of undertakings </w:t>
            </w:r>
          </w:p>
        </w:tc>
        <w:tc>
          <w:tcPr>
            <w:tcW w:w="708" w:type="dxa"/>
            <w:tcBorders>
              <w:bottom w:val="single" w:sz="2" w:space="0" w:color="auto"/>
            </w:tcBorders>
          </w:tcPr>
          <w:p w14:paraId="3FC069D1" w14:textId="6F66BAEE" w:rsidR="005A02F6" w:rsidRPr="0006619B" w:rsidRDefault="005A02F6" w:rsidP="0006619B">
            <w:pPr>
              <w:pStyle w:val="T2"/>
              <w:rPr>
                <w:bCs/>
              </w:rPr>
            </w:pPr>
          </w:p>
        </w:tc>
        <w:tc>
          <w:tcPr>
            <w:tcW w:w="1559" w:type="dxa"/>
            <w:tcBorders>
              <w:bottom w:val="single" w:sz="2" w:space="0" w:color="auto"/>
            </w:tcBorders>
          </w:tcPr>
          <w:p w14:paraId="53A851AA" w14:textId="51826CCF" w:rsidR="005A02F6" w:rsidRPr="001917D0" w:rsidRDefault="005A02F6" w:rsidP="005A02F6">
            <w:pPr>
              <w:pStyle w:val="T2"/>
              <w:jc w:val="right"/>
              <w:rPr>
                <w:b/>
                <w:bCs/>
              </w:rPr>
            </w:pPr>
            <w:r w:rsidRPr="00582CEE">
              <w:rPr>
                <w:b/>
                <w:bCs/>
              </w:rPr>
              <w:t>–</w:t>
            </w:r>
          </w:p>
        </w:tc>
        <w:tc>
          <w:tcPr>
            <w:tcW w:w="1560" w:type="dxa"/>
            <w:tcBorders>
              <w:bottom w:val="single" w:sz="2" w:space="0" w:color="auto"/>
            </w:tcBorders>
          </w:tcPr>
          <w:p w14:paraId="7B51BF52" w14:textId="4FE99A3E" w:rsidR="005A02F6" w:rsidRPr="005A02F6" w:rsidRDefault="005A02F6" w:rsidP="005A02F6">
            <w:pPr>
              <w:pStyle w:val="T2"/>
              <w:jc w:val="right"/>
            </w:pPr>
            <w:r w:rsidRPr="005A02F6">
              <w:t>16.3</w:t>
            </w:r>
          </w:p>
        </w:tc>
      </w:tr>
      <w:tr w:rsidR="005A02F6" w14:paraId="79083BED" w14:textId="77777777" w:rsidTr="00A4328D">
        <w:trPr>
          <w:jc w:val="center"/>
        </w:trPr>
        <w:tc>
          <w:tcPr>
            <w:tcW w:w="6663" w:type="dxa"/>
            <w:tcBorders>
              <w:top w:val="single" w:sz="2" w:space="0" w:color="auto"/>
              <w:bottom w:val="single" w:sz="2" w:space="0" w:color="auto"/>
            </w:tcBorders>
          </w:tcPr>
          <w:p w14:paraId="60AFB1EF" w14:textId="77777777" w:rsidR="005A02F6" w:rsidRPr="00B13DAE" w:rsidRDefault="005A02F6" w:rsidP="005A02F6">
            <w:pPr>
              <w:pStyle w:val="T2"/>
              <w:jc w:val="left"/>
              <w:rPr>
                <w:b/>
              </w:rPr>
            </w:pPr>
            <w:r w:rsidRPr="00B13DAE">
              <w:rPr>
                <w:b/>
              </w:rPr>
              <w:t>Net cash outflow from investing activities</w:t>
            </w:r>
          </w:p>
        </w:tc>
        <w:tc>
          <w:tcPr>
            <w:tcW w:w="708" w:type="dxa"/>
            <w:tcBorders>
              <w:top w:val="single" w:sz="2" w:space="0" w:color="auto"/>
              <w:bottom w:val="single" w:sz="2" w:space="0" w:color="auto"/>
            </w:tcBorders>
          </w:tcPr>
          <w:p w14:paraId="4F4A1303" w14:textId="77777777" w:rsidR="005A02F6" w:rsidRPr="0006619B" w:rsidRDefault="005A02F6" w:rsidP="0006619B">
            <w:pPr>
              <w:pStyle w:val="T2"/>
              <w:rPr>
                <w:bCs/>
              </w:rPr>
            </w:pPr>
          </w:p>
        </w:tc>
        <w:tc>
          <w:tcPr>
            <w:tcW w:w="1559" w:type="dxa"/>
            <w:tcBorders>
              <w:top w:val="single" w:sz="2" w:space="0" w:color="auto"/>
              <w:bottom w:val="single" w:sz="2" w:space="0" w:color="auto"/>
            </w:tcBorders>
          </w:tcPr>
          <w:p w14:paraId="67C83739" w14:textId="76C1E3E5" w:rsidR="005A02F6" w:rsidRPr="001917D0" w:rsidRDefault="00E6317F" w:rsidP="005A02F6">
            <w:pPr>
              <w:pStyle w:val="T2"/>
              <w:jc w:val="right"/>
              <w:rPr>
                <w:b/>
                <w:bCs/>
              </w:rPr>
            </w:pPr>
            <w:r>
              <w:rPr>
                <w:b/>
                <w:bCs/>
              </w:rPr>
              <w:t>(18.6)</w:t>
            </w:r>
          </w:p>
        </w:tc>
        <w:tc>
          <w:tcPr>
            <w:tcW w:w="1560" w:type="dxa"/>
            <w:tcBorders>
              <w:top w:val="single" w:sz="2" w:space="0" w:color="auto"/>
              <w:bottom w:val="single" w:sz="2" w:space="0" w:color="auto"/>
            </w:tcBorders>
          </w:tcPr>
          <w:p w14:paraId="06FB7D72" w14:textId="596E1EDE" w:rsidR="005A02F6" w:rsidRPr="005A02F6" w:rsidRDefault="005A02F6" w:rsidP="005A02F6">
            <w:pPr>
              <w:pStyle w:val="T2"/>
              <w:jc w:val="right"/>
            </w:pPr>
            <w:r w:rsidRPr="005A02F6">
              <w:t>(0.2)</w:t>
            </w:r>
          </w:p>
        </w:tc>
      </w:tr>
      <w:tr w:rsidR="00773F7B" w14:paraId="21149A8C" w14:textId="77777777" w:rsidTr="00A4328D">
        <w:trPr>
          <w:jc w:val="center"/>
        </w:trPr>
        <w:tc>
          <w:tcPr>
            <w:tcW w:w="6663" w:type="dxa"/>
            <w:tcBorders>
              <w:top w:val="single" w:sz="2" w:space="0" w:color="auto"/>
            </w:tcBorders>
          </w:tcPr>
          <w:p w14:paraId="4BEFF82B" w14:textId="77777777" w:rsidR="00773F7B" w:rsidRPr="0094516A" w:rsidRDefault="00773F7B" w:rsidP="00773F7B">
            <w:pPr>
              <w:pStyle w:val="T2"/>
              <w:jc w:val="left"/>
            </w:pPr>
          </w:p>
        </w:tc>
        <w:tc>
          <w:tcPr>
            <w:tcW w:w="708" w:type="dxa"/>
            <w:tcBorders>
              <w:top w:val="single" w:sz="2" w:space="0" w:color="auto"/>
            </w:tcBorders>
          </w:tcPr>
          <w:p w14:paraId="50107A3D" w14:textId="77777777" w:rsidR="00773F7B" w:rsidRPr="0006619B" w:rsidRDefault="00773F7B" w:rsidP="0006619B">
            <w:pPr>
              <w:pStyle w:val="T2"/>
              <w:rPr>
                <w:bCs/>
              </w:rPr>
            </w:pPr>
          </w:p>
        </w:tc>
        <w:tc>
          <w:tcPr>
            <w:tcW w:w="1559" w:type="dxa"/>
            <w:tcBorders>
              <w:top w:val="single" w:sz="2" w:space="0" w:color="auto"/>
            </w:tcBorders>
          </w:tcPr>
          <w:p w14:paraId="232E503A" w14:textId="77777777" w:rsidR="00773F7B" w:rsidRPr="001917D0" w:rsidRDefault="00773F7B" w:rsidP="00773F7B">
            <w:pPr>
              <w:pStyle w:val="T2"/>
              <w:jc w:val="right"/>
              <w:rPr>
                <w:b/>
                <w:bCs/>
              </w:rPr>
            </w:pPr>
          </w:p>
        </w:tc>
        <w:tc>
          <w:tcPr>
            <w:tcW w:w="1560" w:type="dxa"/>
            <w:tcBorders>
              <w:top w:val="single" w:sz="2" w:space="0" w:color="auto"/>
            </w:tcBorders>
          </w:tcPr>
          <w:p w14:paraId="42C88149" w14:textId="77777777" w:rsidR="00773F7B" w:rsidRPr="003C1ACC" w:rsidRDefault="00773F7B" w:rsidP="00773F7B">
            <w:pPr>
              <w:pStyle w:val="T2"/>
              <w:jc w:val="right"/>
            </w:pPr>
          </w:p>
        </w:tc>
      </w:tr>
      <w:tr w:rsidR="00773F7B" w14:paraId="689BC42C" w14:textId="77777777" w:rsidTr="00A4328D">
        <w:trPr>
          <w:jc w:val="center"/>
        </w:trPr>
        <w:tc>
          <w:tcPr>
            <w:tcW w:w="6663" w:type="dxa"/>
          </w:tcPr>
          <w:p w14:paraId="2E79BC36" w14:textId="77777777" w:rsidR="00773F7B" w:rsidRPr="00B13DAE" w:rsidRDefault="00773F7B" w:rsidP="00773F7B">
            <w:pPr>
              <w:pStyle w:val="T2"/>
              <w:jc w:val="left"/>
              <w:rPr>
                <w:b/>
              </w:rPr>
            </w:pPr>
            <w:r w:rsidRPr="00B13DAE">
              <w:rPr>
                <w:b/>
              </w:rPr>
              <w:t>Cash flow from financing activities</w:t>
            </w:r>
          </w:p>
        </w:tc>
        <w:tc>
          <w:tcPr>
            <w:tcW w:w="708" w:type="dxa"/>
          </w:tcPr>
          <w:p w14:paraId="0F3624CF" w14:textId="77777777" w:rsidR="00773F7B" w:rsidRPr="0006619B" w:rsidRDefault="00773F7B" w:rsidP="0006619B">
            <w:pPr>
              <w:pStyle w:val="T2"/>
              <w:rPr>
                <w:bCs/>
              </w:rPr>
            </w:pPr>
          </w:p>
        </w:tc>
        <w:tc>
          <w:tcPr>
            <w:tcW w:w="1559" w:type="dxa"/>
          </w:tcPr>
          <w:p w14:paraId="2B2ECDBA" w14:textId="77777777" w:rsidR="00773F7B" w:rsidRPr="001917D0" w:rsidRDefault="00773F7B" w:rsidP="00773F7B">
            <w:pPr>
              <w:pStyle w:val="T2"/>
              <w:jc w:val="right"/>
              <w:rPr>
                <w:b/>
                <w:bCs/>
              </w:rPr>
            </w:pPr>
          </w:p>
        </w:tc>
        <w:tc>
          <w:tcPr>
            <w:tcW w:w="1560" w:type="dxa"/>
          </w:tcPr>
          <w:p w14:paraId="3D9718B6" w14:textId="77777777" w:rsidR="00773F7B" w:rsidRPr="003C1ACC" w:rsidRDefault="00773F7B" w:rsidP="00773F7B">
            <w:pPr>
              <w:pStyle w:val="T2"/>
              <w:jc w:val="right"/>
            </w:pPr>
          </w:p>
        </w:tc>
      </w:tr>
      <w:tr w:rsidR="005A02F6" w14:paraId="7C4BCF84" w14:textId="77777777" w:rsidTr="00A4328D">
        <w:trPr>
          <w:jc w:val="center"/>
        </w:trPr>
        <w:tc>
          <w:tcPr>
            <w:tcW w:w="6663" w:type="dxa"/>
          </w:tcPr>
          <w:p w14:paraId="3AC1C5D2" w14:textId="77777777" w:rsidR="005A02F6" w:rsidRPr="0094516A" w:rsidRDefault="005A02F6" w:rsidP="005A02F6">
            <w:pPr>
              <w:pStyle w:val="T2"/>
              <w:jc w:val="left"/>
            </w:pPr>
            <w:r w:rsidRPr="0094516A">
              <w:t>Proceeds from issue of shares</w:t>
            </w:r>
          </w:p>
        </w:tc>
        <w:tc>
          <w:tcPr>
            <w:tcW w:w="708" w:type="dxa"/>
          </w:tcPr>
          <w:p w14:paraId="36CECA1A" w14:textId="77777777" w:rsidR="005A02F6" w:rsidRPr="0006619B" w:rsidRDefault="005A02F6" w:rsidP="0006619B">
            <w:pPr>
              <w:pStyle w:val="T2"/>
              <w:rPr>
                <w:bCs/>
              </w:rPr>
            </w:pPr>
          </w:p>
        </w:tc>
        <w:tc>
          <w:tcPr>
            <w:tcW w:w="1559" w:type="dxa"/>
          </w:tcPr>
          <w:p w14:paraId="362C25DB" w14:textId="13E9773D" w:rsidR="005A02F6" w:rsidRPr="001917D0" w:rsidRDefault="005A02F6" w:rsidP="005A02F6">
            <w:pPr>
              <w:pStyle w:val="T2"/>
              <w:jc w:val="right"/>
              <w:rPr>
                <w:b/>
                <w:bCs/>
              </w:rPr>
            </w:pPr>
            <w:r w:rsidRPr="00587C38">
              <w:rPr>
                <w:b/>
                <w:bCs/>
              </w:rPr>
              <w:t>–</w:t>
            </w:r>
          </w:p>
        </w:tc>
        <w:tc>
          <w:tcPr>
            <w:tcW w:w="1560" w:type="dxa"/>
          </w:tcPr>
          <w:p w14:paraId="56B5174D" w14:textId="233F0BDC" w:rsidR="005A02F6" w:rsidRPr="005A02F6" w:rsidRDefault="005A02F6" w:rsidP="005A02F6">
            <w:pPr>
              <w:pStyle w:val="T2"/>
              <w:jc w:val="right"/>
            </w:pPr>
            <w:r w:rsidRPr="005A02F6">
              <w:t>87.1</w:t>
            </w:r>
          </w:p>
        </w:tc>
      </w:tr>
      <w:tr w:rsidR="00A4328D" w14:paraId="02288A29" w14:textId="77777777" w:rsidTr="00A4328D">
        <w:trPr>
          <w:jc w:val="center"/>
        </w:trPr>
        <w:tc>
          <w:tcPr>
            <w:tcW w:w="6663" w:type="dxa"/>
          </w:tcPr>
          <w:p w14:paraId="274E52E7" w14:textId="2D19AEA5" w:rsidR="00A4328D" w:rsidRDefault="00A4328D" w:rsidP="005A02F6">
            <w:pPr>
              <w:pStyle w:val="T2"/>
              <w:jc w:val="left"/>
            </w:pPr>
            <w:r>
              <w:t>Ordinary shares purchased – own shares</w:t>
            </w:r>
          </w:p>
        </w:tc>
        <w:tc>
          <w:tcPr>
            <w:tcW w:w="708" w:type="dxa"/>
          </w:tcPr>
          <w:p w14:paraId="02CF3B64" w14:textId="77777777" w:rsidR="00A4328D" w:rsidRPr="0006619B" w:rsidRDefault="00A4328D" w:rsidP="0006619B">
            <w:pPr>
              <w:pStyle w:val="T2"/>
              <w:rPr>
                <w:bCs/>
              </w:rPr>
            </w:pPr>
          </w:p>
        </w:tc>
        <w:tc>
          <w:tcPr>
            <w:tcW w:w="1559" w:type="dxa"/>
          </w:tcPr>
          <w:p w14:paraId="63262C24" w14:textId="59E9DD8E" w:rsidR="00A4328D" w:rsidRPr="00587C38" w:rsidRDefault="00E6317F" w:rsidP="005A02F6">
            <w:pPr>
              <w:pStyle w:val="T2"/>
              <w:jc w:val="right"/>
              <w:rPr>
                <w:b/>
                <w:bCs/>
              </w:rPr>
            </w:pPr>
            <w:r>
              <w:rPr>
                <w:b/>
                <w:bCs/>
              </w:rPr>
              <w:t>(3.0)</w:t>
            </w:r>
          </w:p>
        </w:tc>
        <w:tc>
          <w:tcPr>
            <w:tcW w:w="1560" w:type="dxa"/>
          </w:tcPr>
          <w:p w14:paraId="4A783F7D" w14:textId="17A1762A" w:rsidR="00A4328D" w:rsidRPr="005A02F6" w:rsidRDefault="00A4328D" w:rsidP="005A02F6">
            <w:pPr>
              <w:pStyle w:val="T2"/>
              <w:jc w:val="right"/>
            </w:pPr>
            <w:r w:rsidRPr="005A02F6">
              <w:t>–</w:t>
            </w:r>
          </w:p>
        </w:tc>
      </w:tr>
      <w:tr w:rsidR="005A02F6" w14:paraId="255CF3E8" w14:textId="77777777" w:rsidTr="00A4328D">
        <w:trPr>
          <w:jc w:val="center"/>
        </w:trPr>
        <w:tc>
          <w:tcPr>
            <w:tcW w:w="6663" w:type="dxa"/>
          </w:tcPr>
          <w:p w14:paraId="03650666" w14:textId="7E97673F" w:rsidR="005A02F6" w:rsidRPr="0094516A" w:rsidRDefault="008D15A1" w:rsidP="005A02F6">
            <w:pPr>
              <w:pStyle w:val="T2"/>
              <w:jc w:val="left"/>
            </w:pPr>
            <w:r>
              <w:t>D</w:t>
            </w:r>
            <w:r w:rsidR="005A02F6" w:rsidRPr="0094516A">
              <w:t>rawdown</w:t>
            </w:r>
            <w:r>
              <w:t>/(repayment)</w:t>
            </w:r>
            <w:r w:rsidR="005A02F6" w:rsidRPr="0094516A">
              <w:t xml:space="preserve"> of bank borrowings</w:t>
            </w:r>
          </w:p>
        </w:tc>
        <w:tc>
          <w:tcPr>
            <w:tcW w:w="708" w:type="dxa"/>
          </w:tcPr>
          <w:p w14:paraId="55B32BE1" w14:textId="5B71FDE6" w:rsidR="005A02F6" w:rsidRPr="0006619B" w:rsidRDefault="002675EF" w:rsidP="0006619B">
            <w:pPr>
              <w:pStyle w:val="T2"/>
              <w:rPr>
                <w:bCs/>
              </w:rPr>
            </w:pPr>
            <w:r>
              <w:rPr>
                <w:bCs/>
              </w:rPr>
              <w:t>12</w:t>
            </w:r>
          </w:p>
        </w:tc>
        <w:tc>
          <w:tcPr>
            <w:tcW w:w="1559" w:type="dxa"/>
          </w:tcPr>
          <w:p w14:paraId="55A732C0" w14:textId="2C4852AD" w:rsidR="005A02F6" w:rsidRPr="001917D0" w:rsidRDefault="00E6317F" w:rsidP="005A02F6">
            <w:pPr>
              <w:pStyle w:val="T2"/>
              <w:jc w:val="right"/>
              <w:rPr>
                <w:b/>
                <w:bCs/>
              </w:rPr>
            </w:pPr>
            <w:r>
              <w:rPr>
                <w:b/>
                <w:bCs/>
              </w:rPr>
              <w:t>59.6</w:t>
            </w:r>
          </w:p>
        </w:tc>
        <w:tc>
          <w:tcPr>
            <w:tcW w:w="1560" w:type="dxa"/>
          </w:tcPr>
          <w:p w14:paraId="0A52CBB1" w14:textId="2F04591B" w:rsidR="005A02F6" w:rsidRPr="005A02F6" w:rsidRDefault="005A02F6" w:rsidP="005A02F6">
            <w:pPr>
              <w:pStyle w:val="T2"/>
              <w:jc w:val="right"/>
            </w:pPr>
            <w:r w:rsidRPr="005A02F6">
              <w:t>(100.9)</w:t>
            </w:r>
          </w:p>
        </w:tc>
      </w:tr>
      <w:tr w:rsidR="005A02F6" w14:paraId="2E2F88D5" w14:textId="77777777" w:rsidTr="00A4328D">
        <w:trPr>
          <w:jc w:val="center"/>
        </w:trPr>
        <w:tc>
          <w:tcPr>
            <w:tcW w:w="6663" w:type="dxa"/>
          </w:tcPr>
          <w:p w14:paraId="5D0DE64E" w14:textId="1DCFEF07" w:rsidR="005A02F6" w:rsidRPr="0062389F" w:rsidRDefault="005A02F6" w:rsidP="005A02F6">
            <w:pPr>
              <w:pStyle w:val="T2"/>
              <w:jc w:val="left"/>
            </w:pPr>
            <w:r>
              <w:t>Repayment of Private Placement Notes</w:t>
            </w:r>
          </w:p>
        </w:tc>
        <w:tc>
          <w:tcPr>
            <w:tcW w:w="708" w:type="dxa"/>
          </w:tcPr>
          <w:p w14:paraId="794928A8" w14:textId="3D18D2A2" w:rsidR="005A02F6" w:rsidRPr="0006619B" w:rsidRDefault="002675EF" w:rsidP="0006619B">
            <w:pPr>
              <w:pStyle w:val="T2"/>
              <w:rPr>
                <w:bCs/>
              </w:rPr>
            </w:pPr>
            <w:r>
              <w:rPr>
                <w:bCs/>
              </w:rPr>
              <w:t>12</w:t>
            </w:r>
          </w:p>
        </w:tc>
        <w:tc>
          <w:tcPr>
            <w:tcW w:w="1559" w:type="dxa"/>
          </w:tcPr>
          <w:p w14:paraId="06A9AB92" w14:textId="38293134" w:rsidR="005A02F6" w:rsidRPr="00587C38" w:rsidRDefault="00E6317F" w:rsidP="005A02F6">
            <w:pPr>
              <w:pStyle w:val="T2"/>
              <w:jc w:val="right"/>
              <w:rPr>
                <w:b/>
                <w:bCs/>
              </w:rPr>
            </w:pPr>
            <w:r>
              <w:rPr>
                <w:b/>
                <w:bCs/>
              </w:rPr>
              <w:t>(47.3)</w:t>
            </w:r>
          </w:p>
        </w:tc>
        <w:tc>
          <w:tcPr>
            <w:tcW w:w="1560" w:type="dxa"/>
          </w:tcPr>
          <w:p w14:paraId="3627C14D" w14:textId="480E2A7F" w:rsidR="005A02F6" w:rsidRPr="005A02F6" w:rsidRDefault="005A02F6" w:rsidP="005A02F6">
            <w:pPr>
              <w:pStyle w:val="T2"/>
              <w:jc w:val="right"/>
            </w:pPr>
            <w:bookmarkStart w:id="17" w:name="_Hlk101461854"/>
            <w:r w:rsidRPr="005A02F6">
              <w:t>–</w:t>
            </w:r>
            <w:bookmarkEnd w:id="17"/>
          </w:p>
        </w:tc>
      </w:tr>
      <w:tr w:rsidR="00E6317F" w14:paraId="0415C1FD" w14:textId="77777777" w:rsidTr="00A4328D">
        <w:trPr>
          <w:jc w:val="center"/>
        </w:trPr>
        <w:tc>
          <w:tcPr>
            <w:tcW w:w="6663" w:type="dxa"/>
          </w:tcPr>
          <w:p w14:paraId="5B0B4438" w14:textId="08A40D8E" w:rsidR="00E6317F" w:rsidRPr="0062389F" w:rsidRDefault="009C50D9" w:rsidP="005A02F6">
            <w:pPr>
              <w:pStyle w:val="T2"/>
              <w:jc w:val="left"/>
            </w:pPr>
            <w:r>
              <w:t xml:space="preserve">Settlement </w:t>
            </w:r>
            <w:r w:rsidR="00E6317F">
              <w:t>of swaps</w:t>
            </w:r>
            <w:r>
              <w:t xml:space="preserve"> on maturity of Private Placement Notes</w:t>
            </w:r>
          </w:p>
        </w:tc>
        <w:tc>
          <w:tcPr>
            <w:tcW w:w="708" w:type="dxa"/>
          </w:tcPr>
          <w:p w14:paraId="5A44F960" w14:textId="740798AD" w:rsidR="00E6317F" w:rsidRPr="0006619B" w:rsidRDefault="002675EF" w:rsidP="0006619B">
            <w:pPr>
              <w:pStyle w:val="T2"/>
              <w:rPr>
                <w:bCs/>
              </w:rPr>
            </w:pPr>
            <w:r>
              <w:rPr>
                <w:bCs/>
              </w:rPr>
              <w:t>12</w:t>
            </w:r>
          </w:p>
        </w:tc>
        <w:tc>
          <w:tcPr>
            <w:tcW w:w="1559" w:type="dxa"/>
          </w:tcPr>
          <w:p w14:paraId="231FBA55" w14:textId="6475D614" w:rsidR="00E6317F" w:rsidRPr="00587C38" w:rsidRDefault="00E6317F" w:rsidP="005A02F6">
            <w:pPr>
              <w:pStyle w:val="T2"/>
              <w:jc w:val="right"/>
              <w:rPr>
                <w:b/>
                <w:bCs/>
              </w:rPr>
            </w:pPr>
            <w:r>
              <w:rPr>
                <w:b/>
                <w:bCs/>
              </w:rPr>
              <w:t>(2.6)</w:t>
            </w:r>
          </w:p>
        </w:tc>
        <w:tc>
          <w:tcPr>
            <w:tcW w:w="1560" w:type="dxa"/>
          </w:tcPr>
          <w:p w14:paraId="133C1C48" w14:textId="79E7D79E" w:rsidR="00E6317F" w:rsidRPr="005A02F6" w:rsidRDefault="0006619B" w:rsidP="005A02F6">
            <w:pPr>
              <w:pStyle w:val="T2"/>
              <w:jc w:val="right"/>
            </w:pPr>
            <w:r w:rsidRPr="005A02F6">
              <w:t>–</w:t>
            </w:r>
          </w:p>
        </w:tc>
      </w:tr>
      <w:tr w:rsidR="005A02F6" w14:paraId="776B6C50" w14:textId="77777777" w:rsidTr="00A4328D">
        <w:trPr>
          <w:jc w:val="center"/>
        </w:trPr>
        <w:tc>
          <w:tcPr>
            <w:tcW w:w="6663" w:type="dxa"/>
          </w:tcPr>
          <w:p w14:paraId="7A05E45E" w14:textId="77777777" w:rsidR="005A02F6" w:rsidRPr="0094516A" w:rsidRDefault="005A02F6" w:rsidP="005A02F6">
            <w:pPr>
              <w:pStyle w:val="T2"/>
              <w:jc w:val="left"/>
            </w:pPr>
            <w:r w:rsidRPr="0062389F">
              <w:t>Repayment of lease liabilities</w:t>
            </w:r>
            <w:r>
              <w:t xml:space="preserve"> </w:t>
            </w:r>
          </w:p>
        </w:tc>
        <w:tc>
          <w:tcPr>
            <w:tcW w:w="708" w:type="dxa"/>
          </w:tcPr>
          <w:p w14:paraId="4F16E93A" w14:textId="77777777" w:rsidR="005A02F6" w:rsidRPr="0006619B" w:rsidRDefault="005A02F6" w:rsidP="0006619B">
            <w:pPr>
              <w:pStyle w:val="T2"/>
              <w:rPr>
                <w:bCs/>
              </w:rPr>
            </w:pPr>
          </w:p>
        </w:tc>
        <w:tc>
          <w:tcPr>
            <w:tcW w:w="1559" w:type="dxa"/>
          </w:tcPr>
          <w:p w14:paraId="3CFE324F" w14:textId="12FD031F" w:rsidR="005A02F6" w:rsidRPr="001917D0" w:rsidRDefault="00E6317F" w:rsidP="005A02F6">
            <w:pPr>
              <w:pStyle w:val="T2"/>
              <w:jc w:val="right"/>
              <w:rPr>
                <w:b/>
                <w:bCs/>
              </w:rPr>
            </w:pPr>
            <w:r>
              <w:rPr>
                <w:b/>
                <w:bCs/>
              </w:rPr>
              <w:t>(8.7)</w:t>
            </w:r>
          </w:p>
        </w:tc>
        <w:tc>
          <w:tcPr>
            <w:tcW w:w="1560" w:type="dxa"/>
          </w:tcPr>
          <w:p w14:paraId="7EDCCB2D" w14:textId="79490544" w:rsidR="005A02F6" w:rsidRPr="005A02F6" w:rsidRDefault="005A02F6" w:rsidP="005A02F6">
            <w:pPr>
              <w:pStyle w:val="T2"/>
              <w:jc w:val="right"/>
            </w:pPr>
            <w:r w:rsidRPr="005A02F6">
              <w:t>(7.9)</w:t>
            </w:r>
          </w:p>
        </w:tc>
      </w:tr>
      <w:tr w:rsidR="005A02F6" w14:paraId="2983B6C4" w14:textId="77777777" w:rsidTr="00A4328D">
        <w:trPr>
          <w:jc w:val="center"/>
        </w:trPr>
        <w:tc>
          <w:tcPr>
            <w:tcW w:w="6663" w:type="dxa"/>
            <w:tcBorders>
              <w:top w:val="single" w:sz="2" w:space="0" w:color="auto"/>
              <w:bottom w:val="single" w:sz="2" w:space="0" w:color="auto"/>
            </w:tcBorders>
          </w:tcPr>
          <w:p w14:paraId="03701AFB" w14:textId="77777777" w:rsidR="005A02F6" w:rsidRPr="00B13DAE" w:rsidRDefault="005A02F6" w:rsidP="005A02F6">
            <w:pPr>
              <w:pStyle w:val="T2"/>
              <w:jc w:val="left"/>
              <w:rPr>
                <w:b/>
              </w:rPr>
            </w:pPr>
            <w:r w:rsidRPr="00B13DAE">
              <w:rPr>
                <w:b/>
              </w:rPr>
              <w:t xml:space="preserve">Net cash </w:t>
            </w:r>
            <w:r>
              <w:rPr>
                <w:b/>
              </w:rPr>
              <w:t>outflow</w:t>
            </w:r>
            <w:r w:rsidRPr="00B13DAE">
              <w:rPr>
                <w:b/>
              </w:rPr>
              <w:t xml:space="preserve"> from financing activities</w:t>
            </w:r>
          </w:p>
        </w:tc>
        <w:tc>
          <w:tcPr>
            <w:tcW w:w="708" w:type="dxa"/>
            <w:tcBorders>
              <w:top w:val="single" w:sz="2" w:space="0" w:color="auto"/>
              <w:bottom w:val="single" w:sz="2" w:space="0" w:color="auto"/>
            </w:tcBorders>
          </w:tcPr>
          <w:p w14:paraId="7EC7D0BE" w14:textId="77777777" w:rsidR="005A02F6" w:rsidRPr="0006619B" w:rsidRDefault="005A02F6" w:rsidP="0006619B">
            <w:pPr>
              <w:pStyle w:val="T2"/>
              <w:rPr>
                <w:bCs/>
              </w:rPr>
            </w:pPr>
          </w:p>
        </w:tc>
        <w:tc>
          <w:tcPr>
            <w:tcW w:w="1559" w:type="dxa"/>
            <w:tcBorders>
              <w:top w:val="single" w:sz="2" w:space="0" w:color="auto"/>
              <w:bottom w:val="single" w:sz="2" w:space="0" w:color="auto"/>
            </w:tcBorders>
          </w:tcPr>
          <w:p w14:paraId="52A006C1" w14:textId="75D8FAFE" w:rsidR="005A02F6" w:rsidRPr="001917D0" w:rsidRDefault="00E6317F" w:rsidP="005A02F6">
            <w:pPr>
              <w:pStyle w:val="T2"/>
              <w:jc w:val="right"/>
              <w:rPr>
                <w:b/>
                <w:bCs/>
              </w:rPr>
            </w:pPr>
            <w:r>
              <w:rPr>
                <w:b/>
                <w:bCs/>
              </w:rPr>
              <w:t>(2.0)</w:t>
            </w:r>
          </w:p>
        </w:tc>
        <w:tc>
          <w:tcPr>
            <w:tcW w:w="1560" w:type="dxa"/>
            <w:tcBorders>
              <w:top w:val="single" w:sz="2" w:space="0" w:color="auto"/>
              <w:bottom w:val="single" w:sz="2" w:space="0" w:color="auto"/>
            </w:tcBorders>
          </w:tcPr>
          <w:p w14:paraId="602FEC28" w14:textId="601E966E" w:rsidR="005A02F6" w:rsidRPr="005A02F6" w:rsidRDefault="005A02F6" w:rsidP="005A02F6">
            <w:pPr>
              <w:pStyle w:val="T2"/>
              <w:jc w:val="right"/>
            </w:pPr>
            <w:r w:rsidRPr="005A02F6">
              <w:t>(21.7)</w:t>
            </w:r>
          </w:p>
        </w:tc>
      </w:tr>
      <w:tr w:rsidR="005A02F6" w14:paraId="340E0B03" w14:textId="77777777" w:rsidTr="00A4328D">
        <w:trPr>
          <w:jc w:val="center"/>
        </w:trPr>
        <w:tc>
          <w:tcPr>
            <w:tcW w:w="6663" w:type="dxa"/>
            <w:tcBorders>
              <w:top w:val="single" w:sz="2" w:space="0" w:color="auto"/>
              <w:bottom w:val="single" w:sz="2" w:space="0" w:color="auto"/>
            </w:tcBorders>
          </w:tcPr>
          <w:p w14:paraId="3D0736D3" w14:textId="77777777" w:rsidR="005A02F6" w:rsidRPr="00B13DAE" w:rsidRDefault="005A02F6" w:rsidP="005A02F6">
            <w:pPr>
              <w:pStyle w:val="T2"/>
              <w:jc w:val="left"/>
              <w:rPr>
                <w:b/>
              </w:rPr>
            </w:pPr>
            <w:r w:rsidRPr="00B13DAE">
              <w:rPr>
                <w:b/>
              </w:rPr>
              <w:t xml:space="preserve">Net </w:t>
            </w:r>
            <w:r>
              <w:rPr>
                <w:b/>
              </w:rPr>
              <w:t>decrease</w:t>
            </w:r>
            <w:r w:rsidRPr="00B13DAE">
              <w:rPr>
                <w:b/>
              </w:rPr>
              <w:t xml:space="preserve"> in cash and cash equivalents</w:t>
            </w:r>
            <w:r>
              <w:rPr>
                <w:b/>
              </w:rPr>
              <w:t xml:space="preserve"> and bank overdrafts</w:t>
            </w:r>
          </w:p>
        </w:tc>
        <w:tc>
          <w:tcPr>
            <w:tcW w:w="708" w:type="dxa"/>
            <w:tcBorders>
              <w:top w:val="single" w:sz="2" w:space="0" w:color="auto"/>
              <w:bottom w:val="single" w:sz="2" w:space="0" w:color="auto"/>
            </w:tcBorders>
          </w:tcPr>
          <w:p w14:paraId="58CF0A47" w14:textId="77777777" w:rsidR="005A02F6" w:rsidRPr="0006619B" w:rsidRDefault="005A02F6" w:rsidP="0006619B">
            <w:pPr>
              <w:pStyle w:val="T2"/>
              <w:rPr>
                <w:bCs/>
              </w:rPr>
            </w:pPr>
          </w:p>
        </w:tc>
        <w:tc>
          <w:tcPr>
            <w:tcW w:w="1559" w:type="dxa"/>
            <w:tcBorders>
              <w:top w:val="single" w:sz="2" w:space="0" w:color="auto"/>
              <w:bottom w:val="single" w:sz="2" w:space="0" w:color="auto"/>
            </w:tcBorders>
          </w:tcPr>
          <w:p w14:paraId="19CA2687" w14:textId="0CB0179E" w:rsidR="005A02F6" w:rsidRPr="001917D0" w:rsidRDefault="00E6317F" w:rsidP="005A02F6">
            <w:pPr>
              <w:pStyle w:val="T2"/>
              <w:jc w:val="right"/>
              <w:rPr>
                <w:b/>
                <w:bCs/>
              </w:rPr>
            </w:pPr>
            <w:r>
              <w:rPr>
                <w:b/>
                <w:bCs/>
              </w:rPr>
              <w:t>(23.7)</w:t>
            </w:r>
          </w:p>
        </w:tc>
        <w:tc>
          <w:tcPr>
            <w:tcW w:w="1560" w:type="dxa"/>
            <w:tcBorders>
              <w:top w:val="single" w:sz="2" w:space="0" w:color="auto"/>
              <w:bottom w:val="single" w:sz="2" w:space="0" w:color="auto"/>
            </w:tcBorders>
          </w:tcPr>
          <w:p w14:paraId="7B34CF9F" w14:textId="4A3E0296" w:rsidR="005A02F6" w:rsidRPr="005A02F6" w:rsidRDefault="005A02F6" w:rsidP="005A02F6">
            <w:pPr>
              <w:pStyle w:val="T2"/>
              <w:jc w:val="right"/>
            </w:pPr>
            <w:r w:rsidRPr="005A02F6">
              <w:t>(29.7)</w:t>
            </w:r>
          </w:p>
        </w:tc>
      </w:tr>
      <w:tr w:rsidR="00773F7B" w14:paraId="1A8ABFFE" w14:textId="77777777" w:rsidTr="00A4328D">
        <w:trPr>
          <w:jc w:val="center"/>
        </w:trPr>
        <w:tc>
          <w:tcPr>
            <w:tcW w:w="6663" w:type="dxa"/>
            <w:tcBorders>
              <w:top w:val="single" w:sz="2" w:space="0" w:color="auto"/>
            </w:tcBorders>
          </w:tcPr>
          <w:p w14:paraId="19C93C7F" w14:textId="77777777" w:rsidR="00773F7B" w:rsidRPr="0094516A" w:rsidRDefault="00773F7B" w:rsidP="00773F7B">
            <w:pPr>
              <w:pStyle w:val="T2"/>
              <w:jc w:val="left"/>
            </w:pPr>
          </w:p>
        </w:tc>
        <w:tc>
          <w:tcPr>
            <w:tcW w:w="708" w:type="dxa"/>
            <w:tcBorders>
              <w:top w:val="single" w:sz="2" w:space="0" w:color="auto"/>
            </w:tcBorders>
          </w:tcPr>
          <w:p w14:paraId="582295C6" w14:textId="77777777" w:rsidR="00773F7B" w:rsidRPr="0006619B" w:rsidRDefault="00773F7B" w:rsidP="0006619B">
            <w:pPr>
              <w:pStyle w:val="T2"/>
              <w:rPr>
                <w:bCs/>
              </w:rPr>
            </w:pPr>
          </w:p>
        </w:tc>
        <w:tc>
          <w:tcPr>
            <w:tcW w:w="1559" w:type="dxa"/>
            <w:tcBorders>
              <w:top w:val="single" w:sz="2" w:space="0" w:color="auto"/>
            </w:tcBorders>
          </w:tcPr>
          <w:p w14:paraId="41D8AB44" w14:textId="77777777" w:rsidR="00773F7B" w:rsidRPr="001917D0" w:rsidRDefault="00773F7B" w:rsidP="00773F7B">
            <w:pPr>
              <w:pStyle w:val="T2"/>
              <w:jc w:val="right"/>
              <w:rPr>
                <w:b/>
                <w:bCs/>
              </w:rPr>
            </w:pPr>
          </w:p>
        </w:tc>
        <w:tc>
          <w:tcPr>
            <w:tcW w:w="1560" w:type="dxa"/>
            <w:tcBorders>
              <w:top w:val="single" w:sz="2" w:space="0" w:color="auto"/>
            </w:tcBorders>
          </w:tcPr>
          <w:p w14:paraId="302F1D7B" w14:textId="77777777" w:rsidR="00773F7B" w:rsidRPr="003C1ACC" w:rsidRDefault="00773F7B" w:rsidP="00773F7B">
            <w:pPr>
              <w:pStyle w:val="T2"/>
              <w:jc w:val="right"/>
            </w:pPr>
          </w:p>
        </w:tc>
      </w:tr>
      <w:tr w:rsidR="00773F7B" w14:paraId="23592DF4" w14:textId="77777777" w:rsidTr="00A4328D">
        <w:trPr>
          <w:jc w:val="center"/>
        </w:trPr>
        <w:tc>
          <w:tcPr>
            <w:tcW w:w="6663" w:type="dxa"/>
          </w:tcPr>
          <w:p w14:paraId="57F4319D" w14:textId="77777777" w:rsidR="00773F7B" w:rsidRPr="00B13DAE" w:rsidRDefault="00773F7B" w:rsidP="00773F7B">
            <w:pPr>
              <w:pStyle w:val="T2"/>
              <w:jc w:val="left"/>
              <w:rPr>
                <w:b/>
              </w:rPr>
            </w:pPr>
            <w:r w:rsidRPr="00B13DAE">
              <w:rPr>
                <w:b/>
              </w:rPr>
              <w:t>Reconciliation of opening to closing cash and cash equivalents</w:t>
            </w:r>
            <w:r w:rsidR="00B251E8">
              <w:rPr>
                <w:b/>
              </w:rPr>
              <w:t xml:space="preserve"> </w:t>
            </w:r>
            <w:r w:rsidR="00B251E8" w:rsidRPr="00F15D5E">
              <w:rPr>
                <w:b/>
              </w:rPr>
              <w:t>and bank overdrafts</w:t>
            </w:r>
          </w:p>
        </w:tc>
        <w:tc>
          <w:tcPr>
            <w:tcW w:w="708" w:type="dxa"/>
          </w:tcPr>
          <w:p w14:paraId="4E2032AB" w14:textId="77777777" w:rsidR="00773F7B" w:rsidRPr="0006619B" w:rsidRDefault="00773F7B" w:rsidP="0006619B">
            <w:pPr>
              <w:pStyle w:val="T2"/>
              <w:rPr>
                <w:bCs/>
              </w:rPr>
            </w:pPr>
          </w:p>
        </w:tc>
        <w:tc>
          <w:tcPr>
            <w:tcW w:w="1559" w:type="dxa"/>
          </w:tcPr>
          <w:p w14:paraId="4444B3C5" w14:textId="77777777" w:rsidR="00773F7B" w:rsidRPr="001917D0" w:rsidRDefault="00773F7B" w:rsidP="00773F7B">
            <w:pPr>
              <w:pStyle w:val="T2"/>
              <w:jc w:val="right"/>
              <w:rPr>
                <w:b/>
                <w:bCs/>
              </w:rPr>
            </w:pPr>
          </w:p>
        </w:tc>
        <w:tc>
          <w:tcPr>
            <w:tcW w:w="1560" w:type="dxa"/>
          </w:tcPr>
          <w:p w14:paraId="1AB16AC1" w14:textId="77777777" w:rsidR="00773F7B" w:rsidRPr="003C1ACC" w:rsidRDefault="00773F7B" w:rsidP="00773F7B">
            <w:pPr>
              <w:pStyle w:val="T2"/>
              <w:jc w:val="right"/>
            </w:pPr>
          </w:p>
        </w:tc>
      </w:tr>
      <w:tr w:rsidR="005A02F6" w14:paraId="6118F13B" w14:textId="77777777" w:rsidTr="00A4328D">
        <w:trPr>
          <w:jc w:val="center"/>
        </w:trPr>
        <w:tc>
          <w:tcPr>
            <w:tcW w:w="6663" w:type="dxa"/>
          </w:tcPr>
          <w:p w14:paraId="2F44BA31" w14:textId="77777777" w:rsidR="005A02F6" w:rsidRPr="0094516A" w:rsidRDefault="005A02F6" w:rsidP="005A02F6">
            <w:pPr>
              <w:pStyle w:val="T2"/>
              <w:jc w:val="left"/>
            </w:pPr>
            <w:r w:rsidRPr="0094516A">
              <w:t>Cash and cash equivalents</w:t>
            </w:r>
            <w:r>
              <w:t xml:space="preserve"> and bank overdrafts</w:t>
            </w:r>
            <w:r w:rsidRPr="0094516A">
              <w:t xml:space="preserve"> at beginning of period</w:t>
            </w:r>
          </w:p>
        </w:tc>
        <w:tc>
          <w:tcPr>
            <w:tcW w:w="708" w:type="dxa"/>
          </w:tcPr>
          <w:p w14:paraId="7AA7A763" w14:textId="5C10BB29" w:rsidR="005A02F6" w:rsidRPr="00CD4C0F" w:rsidRDefault="002675EF" w:rsidP="0006619B">
            <w:pPr>
              <w:pStyle w:val="T2"/>
              <w:rPr>
                <w:b/>
              </w:rPr>
            </w:pPr>
            <w:r w:rsidRPr="00F250D9">
              <w:t>1</w:t>
            </w:r>
            <w:r>
              <w:t>1</w:t>
            </w:r>
          </w:p>
        </w:tc>
        <w:tc>
          <w:tcPr>
            <w:tcW w:w="1559" w:type="dxa"/>
          </w:tcPr>
          <w:p w14:paraId="0CCD8D02" w14:textId="071E0A7A" w:rsidR="005A02F6" w:rsidRPr="001917D0" w:rsidRDefault="005A02F6" w:rsidP="005A02F6">
            <w:pPr>
              <w:pStyle w:val="T2"/>
              <w:jc w:val="right"/>
              <w:rPr>
                <w:b/>
                <w:bCs/>
              </w:rPr>
            </w:pPr>
            <w:r>
              <w:rPr>
                <w:b/>
                <w:bCs/>
              </w:rPr>
              <w:t>73.6</w:t>
            </w:r>
          </w:p>
        </w:tc>
        <w:tc>
          <w:tcPr>
            <w:tcW w:w="1560" w:type="dxa"/>
          </w:tcPr>
          <w:p w14:paraId="44A74BEF" w14:textId="2C05734A" w:rsidR="005A02F6" w:rsidRPr="005A02F6" w:rsidRDefault="005A02F6" w:rsidP="005A02F6">
            <w:pPr>
              <w:pStyle w:val="T2"/>
              <w:jc w:val="right"/>
            </w:pPr>
            <w:r w:rsidRPr="005A02F6">
              <w:t>47.0</w:t>
            </w:r>
          </w:p>
        </w:tc>
      </w:tr>
      <w:tr w:rsidR="005A02F6" w14:paraId="18E984F1" w14:textId="77777777" w:rsidTr="00A4328D">
        <w:trPr>
          <w:jc w:val="center"/>
        </w:trPr>
        <w:tc>
          <w:tcPr>
            <w:tcW w:w="6663" w:type="dxa"/>
          </w:tcPr>
          <w:p w14:paraId="14EB435F" w14:textId="77777777" w:rsidR="005A02F6" w:rsidRPr="0094516A" w:rsidRDefault="005A02F6" w:rsidP="005A02F6">
            <w:pPr>
              <w:pStyle w:val="T2"/>
              <w:jc w:val="left"/>
            </w:pPr>
            <w:r w:rsidRPr="0094516A">
              <w:lastRenderedPageBreak/>
              <w:t>Translation adjustment</w:t>
            </w:r>
          </w:p>
        </w:tc>
        <w:tc>
          <w:tcPr>
            <w:tcW w:w="708" w:type="dxa"/>
          </w:tcPr>
          <w:p w14:paraId="20844C4F" w14:textId="77777777" w:rsidR="005A02F6" w:rsidRDefault="005A02F6" w:rsidP="0006619B">
            <w:pPr>
              <w:pStyle w:val="T2"/>
              <w:rPr>
                <w:b/>
              </w:rPr>
            </w:pPr>
          </w:p>
        </w:tc>
        <w:tc>
          <w:tcPr>
            <w:tcW w:w="1559" w:type="dxa"/>
          </w:tcPr>
          <w:p w14:paraId="0E704067" w14:textId="0DCA4776" w:rsidR="005A02F6" w:rsidRPr="001917D0" w:rsidRDefault="00E6317F" w:rsidP="005A02F6">
            <w:pPr>
              <w:pStyle w:val="T2"/>
              <w:jc w:val="right"/>
              <w:rPr>
                <w:b/>
                <w:bCs/>
              </w:rPr>
            </w:pPr>
            <w:r>
              <w:rPr>
                <w:b/>
                <w:bCs/>
              </w:rPr>
              <w:t>(0.4)</w:t>
            </w:r>
          </w:p>
        </w:tc>
        <w:tc>
          <w:tcPr>
            <w:tcW w:w="1560" w:type="dxa"/>
          </w:tcPr>
          <w:p w14:paraId="036370C2" w14:textId="633BCACB" w:rsidR="005A02F6" w:rsidRPr="005A02F6" w:rsidRDefault="005A02F6" w:rsidP="005A02F6">
            <w:pPr>
              <w:pStyle w:val="T2"/>
              <w:jc w:val="right"/>
            </w:pPr>
            <w:r w:rsidRPr="005A02F6">
              <w:t>(0.3)</w:t>
            </w:r>
          </w:p>
        </w:tc>
      </w:tr>
      <w:tr w:rsidR="005A02F6" w14:paraId="0FD99D43" w14:textId="77777777" w:rsidTr="00A4328D">
        <w:trPr>
          <w:jc w:val="center"/>
        </w:trPr>
        <w:tc>
          <w:tcPr>
            <w:tcW w:w="6663" w:type="dxa"/>
            <w:tcBorders>
              <w:bottom w:val="single" w:sz="2" w:space="0" w:color="auto"/>
            </w:tcBorders>
          </w:tcPr>
          <w:p w14:paraId="519DC972" w14:textId="77777777" w:rsidR="005A02F6" w:rsidRPr="0094516A" w:rsidRDefault="005A02F6" w:rsidP="005A02F6">
            <w:pPr>
              <w:pStyle w:val="T2"/>
              <w:jc w:val="left"/>
            </w:pPr>
            <w:r>
              <w:t>Decrease</w:t>
            </w:r>
            <w:r w:rsidRPr="0094516A">
              <w:t xml:space="preserve"> in cash and cash equivalents</w:t>
            </w:r>
            <w:r>
              <w:t xml:space="preserve"> and bank overdrafts</w:t>
            </w:r>
          </w:p>
        </w:tc>
        <w:tc>
          <w:tcPr>
            <w:tcW w:w="708" w:type="dxa"/>
            <w:tcBorders>
              <w:bottom w:val="single" w:sz="2" w:space="0" w:color="auto"/>
            </w:tcBorders>
          </w:tcPr>
          <w:p w14:paraId="2D460796" w14:textId="77777777" w:rsidR="005A02F6" w:rsidRDefault="005A02F6" w:rsidP="0006619B">
            <w:pPr>
              <w:pStyle w:val="T2"/>
              <w:rPr>
                <w:b/>
              </w:rPr>
            </w:pPr>
          </w:p>
        </w:tc>
        <w:tc>
          <w:tcPr>
            <w:tcW w:w="1559" w:type="dxa"/>
            <w:tcBorders>
              <w:bottom w:val="single" w:sz="2" w:space="0" w:color="auto"/>
            </w:tcBorders>
          </w:tcPr>
          <w:p w14:paraId="729DD1EB" w14:textId="55E3BD68" w:rsidR="005A02F6" w:rsidRPr="001917D0" w:rsidRDefault="00E6317F" w:rsidP="005A02F6">
            <w:pPr>
              <w:pStyle w:val="T2"/>
              <w:jc w:val="right"/>
              <w:rPr>
                <w:b/>
                <w:bCs/>
              </w:rPr>
            </w:pPr>
            <w:r>
              <w:rPr>
                <w:b/>
                <w:bCs/>
              </w:rPr>
              <w:t>(23.7)</w:t>
            </w:r>
          </w:p>
        </w:tc>
        <w:tc>
          <w:tcPr>
            <w:tcW w:w="1560" w:type="dxa"/>
            <w:tcBorders>
              <w:bottom w:val="single" w:sz="2" w:space="0" w:color="auto"/>
            </w:tcBorders>
          </w:tcPr>
          <w:p w14:paraId="2B8B08B4" w14:textId="2A947283" w:rsidR="005A02F6" w:rsidRPr="005A02F6" w:rsidRDefault="005A02F6" w:rsidP="005A02F6">
            <w:pPr>
              <w:pStyle w:val="T2"/>
              <w:jc w:val="right"/>
            </w:pPr>
            <w:r w:rsidRPr="005A02F6">
              <w:t>(29.7)</w:t>
            </w:r>
          </w:p>
        </w:tc>
      </w:tr>
      <w:tr w:rsidR="005A02F6" w14:paraId="0CBF140E" w14:textId="77777777" w:rsidTr="00A4328D">
        <w:trPr>
          <w:jc w:val="center"/>
        </w:trPr>
        <w:tc>
          <w:tcPr>
            <w:tcW w:w="6663" w:type="dxa"/>
            <w:tcBorders>
              <w:top w:val="single" w:sz="2" w:space="0" w:color="auto"/>
              <w:bottom w:val="single" w:sz="2" w:space="0" w:color="auto"/>
            </w:tcBorders>
          </w:tcPr>
          <w:p w14:paraId="2A72CBD6" w14:textId="77777777" w:rsidR="005A02F6" w:rsidRPr="00B13DAE" w:rsidRDefault="005A02F6" w:rsidP="005A02F6">
            <w:pPr>
              <w:rPr>
                <w:b/>
              </w:rPr>
            </w:pPr>
            <w:r w:rsidRPr="00B13DAE">
              <w:rPr>
                <w:b/>
                <w:sz w:val="18"/>
                <w:szCs w:val="18"/>
              </w:rPr>
              <w:t xml:space="preserve">Cash and cash equivalents </w:t>
            </w:r>
            <w:r>
              <w:rPr>
                <w:b/>
                <w:sz w:val="18"/>
                <w:szCs w:val="18"/>
              </w:rPr>
              <w:t xml:space="preserve">and bank overdrafts </w:t>
            </w:r>
            <w:r w:rsidRPr="00B13DAE">
              <w:rPr>
                <w:b/>
                <w:sz w:val="18"/>
                <w:szCs w:val="18"/>
              </w:rPr>
              <w:t>at end of period</w:t>
            </w:r>
          </w:p>
        </w:tc>
        <w:tc>
          <w:tcPr>
            <w:tcW w:w="708" w:type="dxa"/>
            <w:tcBorders>
              <w:top w:val="single" w:sz="2" w:space="0" w:color="auto"/>
              <w:bottom w:val="single" w:sz="2" w:space="0" w:color="auto"/>
            </w:tcBorders>
          </w:tcPr>
          <w:p w14:paraId="1102A8F0" w14:textId="08E8E9C4" w:rsidR="005A02F6" w:rsidRPr="00F250D9" w:rsidRDefault="005A02F6" w:rsidP="0006619B">
            <w:pPr>
              <w:pStyle w:val="T2"/>
            </w:pPr>
            <w:r w:rsidRPr="00F250D9">
              <w:t>1</w:t>
            </w:r>
            <w:r w:rsidR="002675EF">
              <w:t>1</w:t>
            </w:r>
          </w:p>
        </w:tc>
        <w:tc>
          <w:tcPr>
            <w:tcW w:w="1559" w:type="dxa"/>
            <w:tcBorders>
              <w:top w:val="single" w:sz="2" w:space="0" w:color="auto"/>
              <w:bottom w:val="single" w:sz="2" w:space="0" w:color="auto"/>
            </w:tcBorders>
          </w:tcPr>
          <w:p w14:paraId="2E17AAA6" w14:textId="02D6399F" w:rsidR="005A02F6" w:rsidRPr="001917D0" w:rsidRDefault="00E6317F" w:rsidP="005A02F6">
            <w:pPr>
              <w:pStyle w:val="T2"/>
              <w:jc w:val="right"/>
              <w:rPr>
                <w:b/>
                <w:bCs/>
              </w:rPr>
            </w:pPr>
            <w:r>
              <w:rPr>
                <w:b/>
                <w:bCs/>
              </w:rPr>
              <w:t>49.5</w:t>
            </w:r>
          </w:p>
        </w:tc>
        <w:tc>
          <w:tcPr>
            <w:tcW w:w="1560" w:type="dxa"/>
            <w:tcBorders>
              <w:top w:val="single" w:sz="2" w:space="0" w:color="auto"/>
              <w:bottom w:val="single" w:sz="2" w:space="0" w:color="auto"/>
            </w:tcBorders>
          </w:tcPr>
          <w:p w14:paraId="5CFA6344" w14:textId="57D5F8D4" w:rsidR="005A02F6" w:rsidRPr="005A02F6" w:rsidRDefault="005A02F6" w:rsidP="005A02F6">
            <w:pPr>
              <w:pStyle w:val="T2"/>
              <w:jc w:val="right"/>
            </w:pPr>
            <w:r w:rsidRPr="005A02F6">
              <w:t>17.0</w:t>
            </w:r>
          </w:p>
        </w:tc>
      </w:tr>
      <w:tr w:rsidR="00773F7B" w14:paraId="21770495" w14:textId="77777777" w:rsidTr="00A4328D">
        <w:trPr>
          <w:jc w:val="center"/>
        </w:trPr>
        <w:tc>
          <w:tcPr>
            <w:tcW w:w="6663" w:type="dxa"/>
            <w:tcBorders>
              <w:top w:val="single" w:sz="2" w:space="0" w:color="auto"/>
            </w:tcBorders>
          </w:tcPr>
          <w:p w14:paraId="1971033A" w14:textId="77777777" w:rsidR="00773F7B" w:rsidRDefault="00773F7B" w:rsidP="00773F7B">
            <w:pPr>
              <w:pStyle w:val="T2"/>
            </w:pPr>
          </w:p>
        </w:tc>
        <w:tc>
          <w:tcPr>
            <w:tcW w:w="708" w:type="dxa"/>
            <w:tcBorders>
              <w:top w:val="single" w:sz="2" w:space="0" w:color="auto"/>
            </w:tcBorders>
          </w:tcPr>
          <w:p w14:paraId="1F958D02" w14:textId="77777777" w:rsidR="00773F7B" w:rsidRPr="00A70E4B" w:rsidRDefault="00773F7B" w:rsidP="00773F7B">
            <w:pPr>
              <w:pStyle w:val="T2"/>
              <w:jc w:val="right"/>
              <w:rPr>
                <w:b/>
              </w:rPr>
            </w:pPr>
          </w:p>
        </w:tc>
        <w:tc>
          <w:tcPr>
            <w:tcW w:w="1559" w:type="dxa"/>
            <w:tcBorders>
              <w:top w:val="single" w:sz="2" w:space="0" w:color="auto"/>
            </w:tcBorders>
          </w:tcPr>
          <w:p w14:paraId="474F3D66" w14:textId="77777777" w:rsidR="00773F7B" w:rsidRPr="00A70E4B" w:rsidRDefault="00773F7B" w:rsidP="00773F7B">
            <w:pPr>
              <w:pStyle w:val="T2"/>
              <w:jc w:val="right"/>
              <w:rPr>
                <w:b/>
              </w:rPr>
            </w:pPr>
          </w:p>
        </w:tc>
        <w:tc>
          <w:tcPr>
            <w:tcW w:w="1560" w:type="dxa"/>
            <w:tcBorders>
              <w:top w:val="single" w:sz="2" w:space="0" w:color="auto"/>
            </w:tcBorders>
          </w:tcPr>
          <w:p w14:paraId="45F34A52" w14:textId="77777777" w:rsidR="00773F7B" w:rsidRPr="003C1ACC" w:rsidRDefault="00773F7B" w:rsidP="00773F7B"/>
        </w:tc>
      </w:tr>
    </w:tbl>
    <w:p w14:paraId="25D9F2C0" w14:textId="51370E76" w:rsidR="00872E32" w:rsidRDefault="00872E32" w:rsidP="00773F7B">
      <w:pPr>
        <w:pStyle w:val="T2"/>
        <w:jc w:val="left"/>
      </w:pPr>
    </w:p>
    <w:p w14:paraId="42BBE84F" w14:textId="77777777" w:rsidR="00A85B80" w:rsidRDefault="00A85B80" w:rsidP="00A85B80">
      <w:pPr>
        <w:pStyle w:val="Heading2"/>
        <w:ind w:left="-284"/>
      </w:pPr>
    </w:p>
    <w:p w14:paraId="28450BA9" w14:textId="5DBD503C" w:rsidR="00A85B80" w:rsidRDefault="00A85B80" w:rsidP="00A85B80">
      <w:pPr>
        <w:pStyle w:val="Heading2"/>
        <w:ind w:left="-284"/>
      </w:pPr>
      <w:r w:rsidRPr="006F55A8">
        <w:t xml:space="preserve">CONDENSED </w:t>
      </w:r>
      <w:r>
        <w:t xml:space="preserve">GROUP </w:t>
      </w:r>
      <w:r w:rsidRPr="006F55A8">
        <w:t xml:space="preserve">STATEMENT </w:t>
      </w:r>
      <w:r>
        <w:t>OF CHANGES IN EQUITY</w:t>
      </w:r>
    </w:p>
    <w:p w14:paraId="17CF4AB9" w14:textId="77777777" w:rsidR="00EA16F9" w:rsidRDefault="00A85B80" w:rsidP="00A85B80">
      <w:pPr>
        <w:ind w:left="-284"/>
        <w:rPr>
          <w:b/>
          <w:color w:val="002060"/>
          <w:sz w:val="20"/>
          <w:szCs w:val="20"/>
        </w:rPr>
      </w:pPr>
      <w:r w:rsidRPr="00A85B80">
        <w:rPr>
          <w:b/>
          <w:color w:val="002060"/>
          <w:sz w:val="20"/>
          <w:szCs w:val="20"/>
        </w:rPr>
        <w:t>for the half year ended 25 March 2022</w:t>
      </w:r>
    </w:p>
    <w:p w14:paraId="2829F824" w14:textId="77777777" w:rsidR="00773F7B" w:rsidRDefault="00773F7B" w:rsidP="00773F7B">
      <w:pPr>
        <w:pStyle w:val="T2"/>
        <w:jc w:val="left"/>
      </w:pPr>
    </w:p>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134"/>
        <w:gridCol w:w="1134"/>
        <w:gridCol w:w="1134"/>
        <w:gridCol w:w="1134"/>
        <w:gridCol w:w="1134"/>
      </w:tblGrid>
      <w:tr w:rsidR="005E0D3F" w14:paraId="4C2BC79A" w14:textId="77777777" w:rsidTr="0006619B">
        <w:trPr>
          <w:jc w:val="center"/>
        </w:trPr>
        <w:tc>
          <w:tcPr>
            <w:tcW w:w="4962" w:type="dxa"/>
            <w:vAlign w:val="bottom"/>
          </w:tcPr>
          <w:p w14:paraId="354288FE" w14:textId="77777777" w:rsidR="005E0D3F" w:rsidRPr="00E57F3E" w:rsidRDefault="005E0D3F" w:rsidP="00773F7B">
            <w:pPr>
              <w:pStyle w:val="T2"/>
              <w:jc w:val="left"/>
            </w:pPr>
          </w:p>
        </w:tc>
        <w:tc>
          <w:tcPr>
            <w:tcW w:w="1134" w:type="dxa"/>
            <w:vAlign w:val="bottom"/>
          </w:tcPr>
          <w:p w14:paraId="7048ABC8" w14:textId="77777777" w:rsidR="005E0D3F" w:rsidRDefault="005E0D3F" w:rsidP="00773F7B">
            <w:pPr>
              <w:pStyle w:val="T2"/>
              <w:ind w:left="-108"/>
              <w:jc w:val="right"/>
              <w:rPr>
                <w:b/>
              </w:rPr>
            </w:pPr>
            <w:r w:rsidRPr="00377178">
              <w:rPr>
                <w:b/>
              </w:rPr>
              <w:t xml:space="preserve">Share </w:t>
            </w:r>
          </w:p>
          <w:p w14:paraId="548E3890" w14:textId="435D606A" w:rsidR="005E0D3F" w:rsidRPr="00377178" w:rsidRDefault="005E0D3F" w:rsidP="00773F7B">
            <w:pPr>
              <w:pStyle w:val="T2"/>
              <w:ind w:left="-108"/>
              <w:jc w:val="right"/>
              <w:rPr>
                <w:b/>
              </w:rPr>
            </w:pPr>
            <w:r w:rsidRPr="00377178">
              <w:rPr>
                <w:b/>
              </w:rPr>
              <w:t>capital</w:t>
            </w:r>
          </w:p>
        </w:tc>
        <w:tc>
          <w:tcPr>
            <w:tcW w:w="1134" w:type="dxa"/>
            <w:vAlign w:val="bottom"/>
          </w:tcPr>
          <w:p w14:paraId="6F1CC04E" w14:textId="77777777" w:rsidR="005E0D3F" w:rsidRPr="00377178" w:rsidRDefault="005E0D3F" w:rsidP="00773F7B">
            <w:pPr>
              <w:pStyle w:val="T2"/>
              <w:jc w:val="right"/>
              <w:rPr>
                <w:b/>
              </w:rPr>
            </w:pPr>
            <w:r w:rsidRPr="00377178">
              <w:rPr>
                <w:b/>
              </w:rPr>
              <w:t>Share premium</w:t>
            </w:r>
          </w:p>
        </w:tc>
        <w:tc>
          <w:tcPr>
            <w:tcW w:w="1134" w:type="dxa"/>
            <w:vAlign w:val="bottom"/>
          </w:tcPr>
          <w:p w14:paraId="3D0A61ED" w14:textId="77777777" w:rsidR="005E0D3F" w:rsidRPr="00377178" w:rsidRDefault="005E0D3F" w:rsidP="00773F7B">
            <w:pPr>
              <w:pStyle w:val="T2"/>
              <w:jc w:val="right"/>
              <w:rPr>
                <w:b/>
              </w:rPr>
            </w:pPr>
            <w:r w:rsidRPr="00377178">
              <w:rPr>
                <w:b/>
              </w:rPr>
              <w:t>Other reserves</w:t>
            </w:r>
          </w:p>
        </w:tc>
        <w:tc>
          <w:tcPr>
            <w:tcW w:w="1134" w:type="dxa"/>
            <w:vAlign w:val="bottom"/>
          </w:tcPr>
          <w:p w14:paraId="525BA906" w14:textId="77777777" w:rsidR="005E0D3F" w:rsidRPr="00377178" w:rsidRDefault="005E0D3F" w:rsidP="00773F7B">
            <w:pPr>
              <w:pStyle w:val="T2"/>
              <w:ind w:left="-108"/>
              <w:jc w:val="right"/>
              <w:rPr>
                <w:b/>
              </w:rPr>
            </w:pPr>
            <w:r w:rsidRPr="00377178">
              <w:rPr>
                <w:b/>
              </w:rPr>
              <w:t>Retained earnings</w:t>
            </w:r>
          </w:p>
        </w:tc>
        <w:tc>
          <w:tcPr>
            <w:tcW w:w="1134" w:type="dxa"/>
            <w:vAlign w:val="bottom"/>
          </w:tcPr>
          <w:p w14:paraId="565E966D" w14:textId="77777777" w:rsidR="0006619B" w:rsidRDefault="005E0D3F" w:rsidP="00773F7B">
            <w:pPr>
              <w:pStyle w:val="T2"/>
              <w:jc w:val="right"/>
              <w:rPr>
                <w:b/>
              </w:rPr>
            </w:pPr>
            <w:r w:rsidRPr="00377178">
              <w:rPr>
                <w:b/>
              </w:rPr>
              <w:t>Total</w:t>
            </w:r>
            <w:r>
              <w:rPr>
                <w:b/>
              </w:rPr>
              <w:t xml:space="preserve"> </w:t>
            </w:r>
          </w:p>
          <w:p w14:paraId="2170228C" w14:textId="0AED8D9E" w:rsidR="005E0D3F" w:rsidRPr="00377178" w:rsidRDefault="005E0D3F" w:rsidP="00773F7B">
            <w:pPr>
              <w:pStyle w:val="T2"/>
              <w:jc w:val="right"/>
              <w:rPr>
                <w:b/>
              </w:rPr>
            </w:pPr>
            <w:r>
              <w:rPr>
                <w:b/>
              </w:rPr>
              <w:t>equity</w:t>
            </w:r>
          </w:p>
        </w:tc>
      </w:tr>
      <w:tr w:rsidR="005E0D3F" w14:paraId="24798EEC" w14:textId="77777777" w:rsidTr="0006619B">
        <w:trPr>
          <w:jc w:val="center"/>
        </w:trPr>
        <w:tc>
          <w:tcPr>
            <w:tcW w:w="4962" w:type="dxa"/>
            <w:tcBorders>
              <w:bottom w:val="single" w:sz="2" w:space="0" w:color="auto"/>
            </w:tcBorders>
            <w:vAlign w:val="bottom"/>
          </w:tcPr>
          <w:p w14:paraId="469546DF" w14:textId="77777777" w:rsidR="005E0D3F" w:rsidRPr="00E57F3E" w:rsidRDefault="005E0D3F" w:rsidP="00773F7B">
            <w:pPr>
              <w:pStyle w:val="T2"/>
              <w:jc w:val="left"/>
            </w:pPr>
          </w:p>
        </w:tc>
        <w:tc>
          <w:tcPr>
            <w:tcW w:w="1134" w:type="dxa"/>
            <w:tcBorders>
              <w:bottom w:val="single" w:sz="2" w:space="0" w:color="auto"/>
            </w:tcBorders>
            <w:vAlign w:val="bottom"/>
          </w:tcPr>
          <w:p w14:paraId="67CCB060" w14:textId="77777777" w:rsidR="005E0D3F" w:rsidRPr="00377178" w:rsidRDefault="005E0D3F" w:rsidP="00773F7B">
            <w:pPr>
              <w:pStyle w:val="T2"/>
              <w:jc w:val="right"/>
              <w:rPr>
                <w:b/>
              </w:rPr>
            </w:pPr>
            <w:r w:rsidRPr="00377178">
              <w:rPr>
                <w:b/>
              </w:rPr>
              <w:t>£m</w:t>
            </w:r>
          </w:p>
        </w:tc>
        <w:tc>
          <w:tcPr>
            <w:tcW w:w="1134" w:type="dxa"/>
            <w:tcBorders>
              <w:bottom w:val="single" w:sz="2" w:space="0" w:color="auto"/>
            </w:tcBorders>
            <w:vAlign w:val="bottom"/>
          </w:tcPr>
          <w:p w14:paraId="32974B23" w14:textId="77777777" w:rsidR="005E0D3F" w:rsidRPr="00377178" w:rsidRDefault="005E0D3F" w:rsidP="00773F7B">
            <w:pPr>
              <w:pStyle w:val="T2"/>
              <w:jc w:val="right"/>
              <w:rPr>
                <w:b/>
              </w:rPr>
            </w:pPr>
            <w:r w:rsidRPr="00377178">
              <w:rPr>
                <w:b/>
              </w:rPr>
              <w:t>£m</w:t>
            </w:r>
          </w:p>
        </w:tc>
        <w:tc>
          <w:tcPr>
            <w:tcW w:w="1134" w:type="dxa"/>
            <w:tcBorders>
              <w:bottom w:val="single" w:sz="2" w:space="0" w:color="auto"/>
            </w:tcBorders>
            <w:vAlign w:val="bottom"/>
          </w:tcPr>
          <w:p w14:paraId="712A45A5" w14:textId="77777777" w:rsidR="005E0D3F" w:rsidRPr="00377178" w:rsidRDefault="005E0D3F" w:rsidP="00773F7B">
            <w:pPr>
              <w:pStyle w:val="T2"/>
              <w:jc w:val="right"/>
              <w:rPr>
                <w:b/>
              </w:rPr>
            </w:pPr>
            <w:r w:rsidRPr="00377178">
              <w:rPr>
                <w:b/>
              </w:rPr>
              <w:t>£m</w:t>
            </w:r>
          </w:p>
        </w:tc>
        <w:tc>
          <w:tcPr>
            <w:tcW w:w="1134" w:type="dxa"/>
            <w:tcBorders>
              <w:bottom w:val="single" w:sz="2" w:space="0" w:color="auto"/>
            </w:tcBorders>
            <w:vAlign w:val="bottom"/>
          </w:tcPr>
          <w:p w14:paraId="7DBEB32A" w14:textId="77777777" w:rsidR="005E0D3F" w:rsidRPr="00377178" w:rsidRDefault="005E0D3F" w:rsidP="00773F7B">
            <w:pPr>
              <w:pStyle w:val="T2"/>
              <w:jc w:val="right"/>
              <w:rPr>
                <w:b/>
              </w:rPr>
            </w:pPr>
            <w:r w:rsidRPr="00377178">
              <w:rPr>
                <w:b/>
              </w:rPr>
              <w:t>£m</w:t>
            </w:r>
          </w:p>
        </w:tc>
        <w:tc>
          <w:tcPr>
            <w:tcW w:w="1134" w:type="dxa"/>
            <w:tcBorders>
              <w:bottom w:val="single" w:sz="2" w:space="0" w:color="auto"/>
            </w:tcBorders>
            <w:vAlign w:val="bottom"/>
          </w:tcPr>
          <w:p w14:paraId="17EC4593" w14:textId="77777777" w:rsidR="005E0D3F" w:rsidRPr="00377178" w:rsidRDefault="005E0D3F" w:rsidP="00773F7B">
            <w:pPr>
              <w:pStyle w:val="T2"/>
              <w:jc w:val="right"/>
              <w:rPr>
                <w:b/>
              </w:rPr>
            </w:pPr>
            <w:r w:rsidRPr="00377178">
              <w:rPr>
                <w:b/>
              </w:rPr>
              <w:t>£m</w:t>
            </w:r>
          </w:p>
        </w:tc>
      </w:tr>
      <w:tr w:rsidR="005E0D3F" w:rsidRPr="00BD5017" w14:paraId="54278C17" w14:textId="77777777" w:rsidTr="0006619B">
        <w:trPr>
          <w:jc w:val="center"/>
        </w:trPr>
        <w:tc>
          <w:tcPr>
            <w:tcW w:w="4962" w:type="dxa"/>
            <w:tcBorders>
              <w:top w:val="single" w:sz="2" w:space="0" w:color="auto"/>
              <w:bottom w:val="single" w:sz="2" w:space="0" w:color="auto"/>
            </w:tcBorders>
            <w:vAlign w:val="bottom"/>
          </w:tcPr>
          <w:p w14:paraId="666CB7C4" w14:textId="2C8C7CC0" w:rsidR="005E0D3F" w:rsidRPr="00B52070" w:rsidRDefault="005E0D3F" w:rsidP="002F718C">
            <w:pPr>
              <w:pStyle w:val="T2"/>
              <w:jc w:val="left"/>
              <w:rPr>
                <w:b/>
                <w:bCs/>
              </w:rPr>
            </w:pPr>
            <w:r w:rsidRPr="00B52070">
              <w:rPr>
                <w:b/>
                <w:bCs/>
              </w:rPr>
              <w:t>At 2</w:t>
            </w:r>
            <w:r>
              <w:rPr>
                <w:b/>
                <w:bCs/>
              </w:rPr>
              <w:t>4</w:t>
            </w:r>
            <w:r w:rsidRPr="00B52070">
              <w:rPr>
                <w:b/>
                <w:bCs/>
              </w:rPr>
              <w:t xml:space="preserve"> September 20</w:t>
            </w:r>
            <w:r>
              <w:rPr>
                <w:b/>
                <w:bCs/>
              </w:rPr>
              <w:t>21</w:t>
            </w:r>
          </w:p>
        </w:tc>
        <w:tc>
          <w:tcPr>
            <w:tcW w:w="1134" w:type="dxa"/>
            <w:tcBorders>
              <w:top w:val="single" w:sz="2" w:space="0" w:color="auto"/>
              <w:bottom w:val="single" w:sz="2" w:space="0" w:color="auto"/>
            </w:tcBorders>
            <w:vAlign w:val="bottom"/>
          </w:tcPr>
          <w:p w14:paraId="73D2D7B5" w14:textId="0BFEA1AC" w:rsidR="005E0D3F" w:rsidRPr="00BE7FD5" w:rsidRDefault="005E0D3F" w:rsidP="00773F7B">
            <w:pPr>
              <w:pStyle w:val="T2"/>
              <w:jc w:val="right"/>
              <w:rPr>
                <w:b/>
                <w:bCs/>
              </w:rPr>
            </w:pPr>
            <w:r>
              <w:rPr>
                <w:b/>
                <w:bCs/>
              </w:rPr>
              <w:t>5.3</w:t>
            </w:r>
          </w:p>
        </w:tc>
        <w:tc>
          <w:tcPr>
            <w:tcW w:w="1134" w:type="dxa"/>
            <w:tcBorders>
              <w:top w:val="single" w:sz="2" w:space="0" w:color="auto"/>
              <w:bottom w:val="single" w:sz="2" w:space="0" w:color="auto"/>
            </w:tcBorders>
            <w:vAlign w:val="bottom"/>
          </w:tcPr>
          <w:p w14:paraId="7AAA1E1B" w14:textId="5ADF5536" w:rsidR="005E0D3F" w:rsidRPr="00BE7FD5" w:rsidRDefault="005E0D3F" w:rsidP="00773F7B">
            <w:pPr>
              <w:pStyle w:val="T2"/>
              <w:jc w:val="right"/>
              <w:rPr>
                <w:b/>
                <w:bCs/>
              </w:rPr>
            </w:pPr>
            <w:r>
              <w:rPr>
                <w:b/>
                <w:bCs/>
              </w:rPr>
              <w:t>89.7</w:t>
            </w:r>
          </w:p>
        </w:tc>
        <w:tc>
          <w:tcPr>
            <w:tcW w:w="1134" w:type="dxa"/>
            <w:tcBorders>
              <w:top w:val="single" w:sz="2" w:space="0" w:color="auto"/>
              <w:bottom w:val="single" w:sz="2" w:space="0" w:color="auto"/>
            </w:tcBorders>
            <w:vAlign w:val="bottom"/>
          </w:tcPr>
          <w:p w14:paraId="6B51EC9D" w14:textId="1221F6AF" w:rsidR="005E0D3F" w:rsidRPr="00BD5B9E" w:rsidRDefault="005E0D3F" w:rsidP="00773F7B">
            <w:pPr>
              <w:pStyle w:val="T2"/>
              <w:jc w:val="right"/>
              <w:rPr>
                <w:b/>
                <w:bCs/>
              </w:rPr>
            </w:pPr>
            <w:r>
              <w:rPr>
                <w:b/>
                <w:bCs/>
              </w:rPr>
              <w:t>121.4</w:t>
            </w:r>
          </w:p>
        </w:tc>
        <w:tc>
          <w:tcPr>
            <w:tcW w:w="1134" w:type="dxa"/>
            <w:tcBorders>
              <w:top w:val="single" w:sz="2" w:space="0" w:color="auto"/>
              <w:bottom w:val="single" w:sz="2" w:space="0" w:color="auto"/>
            </w:tcBorders>
            <w:vAlign w:val="bottom"/>
          </w:tcPr>
          <w:p w14:paraId="40EF3826" w14:textId="00243879" w:rsidR="005E0D3F" w:rsidRPr="00EA1A7A" w:rsidRDefault="005E0D3F" w:rsidP="00773F7B">
            <w:pPr>
              <w:pStyle w:val="T2"/>
              <w:jc w:val="right"/>
              <w:rPr>
                <w:b/>
                <w:bCs/>
              </w:rPr>
            </w:pPr>
            <w:r>
              <w:rPr>
                <w:b/>
                <w:bCs/>
              </w:rPr>
              <w:t>206.8</w:t>
            </w:r>
          </w:p>
        </w:tc>
        <w:tc>
          <w:tcPr>
            <w:tcW w:w="1134" w:type="dxa"/>
            <w:tcBorders>
              <w:top w:val="single" w:sz="2" w:space="0" w:color="auto"/>
              <w:bottom w:val="single" w:sz="2" w:space="0" w:color="auto"/>
            </w:tcBorders>
            <w:vAlign w:val="bottom"/>
          </w:tcPr>
          <w:p w14:paraId="3449E00C" w14:textId="1710021F" w:rsidR="005E0D3F" w:rsidRPr="00850427" w:rsidRDefault="005E0D3F" w:rsidP="00773F7B">
            <w:pPr>
              <w:pStyle w:val="T2"/>
              <w:jc w:val="right"/>
              <w:rPr>
                <w:b/>
                <w:bCs/>
              </w:rPr>
            </w:pPr>
            <w:r>
              <w:rPr>
                <w:b/>
                <w:bCs/>
              </w:rPr>
              <w:t>423.2</w:t>
            </w:r>
          </w:p>
        </w:tc>
      </w:tr>
      <w:tr w:rsidR="005E0D3F" w:rsidRPr="00C50E20" w14:paraId="3CA82FD4" w14:textId="77777777" w:rsidTr="0006619B">
        <w:trPr>
          <w:jc w:val="center"/>
        </w:trPr>
        <w:tc>
          <w:tcPr>
            <w:tcW w:w="4962" w:type="dxa"/>
            <w:tcBorders>
              <w:top w:val="single" w:sz="2" w:space="0" w:color="auto"/>
            </w:tcBorders>
            <w:vAlign w:val="bottom"/>
          </w:tcPr>
          <w:p w14:paraId="0C3629B2" w14:textId="77777777" w:rsidR="005E0D3F" w:rsidRPr="006D6AC9" w:rsidRDefault="005E0D3F" w:rsidP="00773F7B">
            <w:pPr>
              <w:pStyle w:val="T2"/>
              <w:jc w:val="left"/>
              <w:rPr>
                <w:b/>
                <w:bCs/>
              </w:rPr>
            </w:pPr>
            <w:r w:rsidRPr="006D6AC9">
              <w:rPr>
                <w:b/>
                <w:bCs/>
              </w:rPr>
              <w:t>Items of income and expense taken directly to equity</w:t>
            </w:r>
          </w:p>
        </w:tc>
        <w:tc>
          <w:tcPr>
            <w:tcW w:w="1134" w:type="dxa"/>
            <w:tcBorders>
              <w:top w:val="single" w:sz="2" w:space="0" w:color="auto"/>
            </w:tcBorders>
            <w:vAlign w:val="bottom"/>
          </w:tcPr>
          <w:p w14:paraId="14EA5541" w14:textId="77777777" w:rsidR="005E0D3F" w:rsidRPr="005D0EFF" w:rsidRDefault="005E0D3F" w:rsidP="006D6AC9">
            <w:pPr>
              <w:pStyle w:val="T2"/>
              <w:jc w:val="right"/>
              <w:rPr>
                <w:bCs/>
              </w:rPr>
            </w:pPr>
          </w:p>
        </w:tc>
        <w:tc>
          <w:tcPr>
            <w:tcW w:w="1134" w:type="dxa"/>
            <w:tcBorders>
              <w:top w:val="single" w:sz="2" w:space="0" w:color="auto"/>
            </w:tcBorders>
            <w:vAlign w:val="bottom"/>
          </w:tcPr>
          <w:p w14:paraId="7CD54BF1" w14:textId="77777777" w:rsidR="005E0D3F" w:rsidRPr="005D0EFF" w:rsidRDefault="005E0D3F" w:rsidP="006D6AC9">
            <w:pPr>
              <w:pStyle w:val="T2"/>
              <w:jc w:val="right"/>
              <w:rPr>
                <w:bCs/>
              </w:rPr>
            </w:pPr>
          </w:p>
        </w:tc>
        <w:tc>
          <w:tcPr>
            <w:tcW w:w="1134" w:type="dxa"/>
            <w:tcBorders>
              <w:top w:val="single" w:sz="2" w:space="0" w:color="auto"/>
            </w:tcBorders>
            <w:vAlign w:val="bottom"/>
          </w:tcPr>
          <w:p w14:paraId="1DCF58A2" w14:textId="77777777" w:rsidR="005E0D3F" w:rsidRPr="005D0EFF" w:rsidRDefault="005E0D3F" w:rsidP="006D6AC9">
            <w:pPr>
              <w:pStyle w:val="T2"/>
              <w:jc w:val="right"/>
              <w:rPr>
                <w:bCs/>
              </w:rPr>
            </w:pPr>
          </w:p>
        </w:tc>
        <w:tc>
          <w:tcPr>
            <w:tcW w:w="1134" w:type="dxa"/>
            <w:tcBorders>
              <w:top w:val="single" w:sz="2" w:space="0" w:color="auto"/>
            </w:tcBorders>
            <w:vAlign w:val="bottom"/>
          </w:tcPr>
          <w:p w14:paraId="368810E6" w14:textId="77777777" w:rsidR="005E0D3F" w:rsidRPr="005D0EFF" w:rsidRDefault="005E0D3F" w:rsidP="006D6AC9">
            <w:pPr>
              <w:pStyle w:val="T2"/>
              <w:jc w:val="right"/>
              <w:rPr>
                <w:bCs/>
              </w:rPr>
            </w:pPr>
          </w:p>
        </w:tc>
        <w:tc>
          <w:tcPr>
            <w:tcW w:w="1134" w:type="dxa"/>
            <w:tcBorders>
              <w:top w:val="single" w:sz="2" w:space="0" w:color="auto"/>
            </w:tcBorders>
            <w:vAlign w:val="bottom"/>
          </w:tcPr>
          <w:p w14:paraId="1CFD1D6D" w14:textId="77777777" w:rsidR="005E0D3F" w:rsidRPr="005D0EFF" w:rsidRDefault="005E0D3F" w:rsidP="006D6AC9">
            <w:pPr>
              <w:pStyle w:val="T2"/>
              <w:jc w:val="right"/>
              <w:rPr>
                <w:bCs/>
              </w:rPr>
            </w:pPr>
          </w:p>
        </w:tc>
      </w:tr>
      <w:tr w:rsidR="005E0D3F" w:rsidRPr="00C50E20" w14:paraId="340AB530" w14:textId="77777777" w:rsidTr="0006619B">
        <w:trPr>
          <w:jc w:val="center"/>
        </w:trPr>
        <w:tc>
          <w:tcPr>
            <w:tcW w:w="4962" w:type="dxa"/>
            <w:vAlign w:val="bottom"/>
          </w:tcPr>
          <w:p w14:paraId="1B3F9E9A" w14:textId="77777777" w:rsidR="005E0D3F" w:rsidRPr="00006931" w:rsidRDefault="005E0D3F" w:rsidP="00997038">
            <w:pPr>
              <w:pStyle w:val="T2"/>
              <w:jc w:val="left"/>
              <w:rPr>
                <w:bCs/>
              </w:rPr>
            </w:pPr>
            <w:r w:rsidRPr="00006931">
              <w:rPr>
                <w:bCs/>
              </w:rPr>
              <w:t>Currency translation adjustment</w:t>
            </w:r>
          </w:p>
        </w:tc>
        <w:tc>
          <w:tcPr>
            <w:tcW w:w="1134" w:type="dxa"/>
            <w:vAlign w:val="bottom"/>
          </w:tcPr>
          <w:p w14:paraId="72B43177" w14:textId="77777777" w:rsidR="005E0D3F" w:rsidRPr="00BB318F" w:rsidRDefault="005E0D3F" w:rsidP="0006619B">
            <w:pPr>
              <w:pStyle w:val="T2"/>
              <w:jc w:val="right"/>
              <w:rPr>
                <w:b/>
                <w:bCs/>
              </w:rPr>
            </w:pPr>
            <w:r w:rsidRPr="008719BA">
              <w:rPr>
                <w:b/>
              </w:rPr>
              <w:t>–</w:t>
            </w:r>
          </w:p>
        </w:tc>
        <w:tc>
          <w:tcPr>
            <w:tcW w:w="1134" w:type="dxa"/>
            <w:vAlign w:val="bottom"/>
          </w:tcPr>
          <w:p w14:paraId="05DA92ED" w14:textId="77777777" w:rsidR="005E0D3F" w:rsidRPr="00BB318F" w:rsidRDefault="005E0D3F" w:rsidP="0006619B">
            <w:pPr>
              <w:pStyle w:val="T2"/>
              <w:jc w:val="right"/>
              <w:rPr>
                <w:b/>
                <w:bCs/>
              </w:rPr>
            </w:pPr>
            <w:r w:rsidRPr="008719BA">
              <w:rPr>
                <w:b/>
              </w:rPr>
              <w:t>–</w:t>
            </w:r>
          </w:p>
        </w:tc>
        <w:tc>
          <w:tcPr>
            <w:tcW w:w="1134" w:type="dxa"/>
            <w:vAlign w:val="bottom"/>
          </w:tcPr>
          <w:p w14:paraId="2D4348C5" w14:textId="0BB3A6FE" w:rsidR="005E0D3F" w:rsidRPr="00BB318F" w:rsidRDefault="00E6317F" w:rsidP="0006619B">
            <w:pPr>
              <w:pStyle w:val="T2"/>
              <w:jc w:val="right"/>
              <w:rPr>
                <w:b/>
                <w:bCs/>
              </w:rPr>
            </w:pPr>
            <w:r>
              <w:rPr>
                <w:b/>
              </w:rPr>
              <w:t>(0.9)</w:t>
            </w:r>
          </w:p>
        </w:tc>
        <w:tc>
          <w:tcPr>
            <w:tcW w:w="1134" w:type="dxa"/>
            <w:vAlign w:val="bottom"/>
          </w:tcPr>
          <w:p w14:paraId="094B69AA" w14:textId="742FBE33" w:rsidR="005E0D3F" w:rsidRPr="00BB318F" w:rsidRDefault="005E0D3F" w:rsidP="0006619B">
            <w:pPr>
              <w:pStyle w:val="T2"/>
              <w:jc w:val="right"/>
              <w:rPr>
                <w:b/>
                <w:bCs/>
              </w:rPr>
            </w:pPr>
            <w:r w:rsidRPr="008719BA">
              <w:rPr>
                <w:b/>
              </w:rPr>
              <w:t>–</w:t>
            </w:r>
          </w:p>
        </w:tc>
        <w:tc>
          <w:tcPr>
            <w:tcW w:w="1134" w:type="dxa"/>
            <w:vAlign w:val="bottom"/>
          </w:tcPr>
          <w:p w14:paraId="2D2145CC" w14:textId="32A0BB67" w:rsidR="005E0D3F" w:rsidRPr="00BB318F" w:rsidRDefault="00E6317F" w:rsidP="0006619B">
            <w:pPr>
              <w:pStyle w:val="T2"/>
              <w:jc w:val="right"/>
              <w:rPr>
                <w:b/>
                <w:bCs/>
              </w:rPr>
            </w:pPr>
            <w:r>
              <w:rPr>
                <w:b/>
              </w:rPr>
              <w:t>(0.9)</w:t>
            </w:r>
          </w:p>
        </w:tc>
      </w:tr>
      <w:tr w:rsidR="005E0D3F" w:rsidRPr="00C50E20" w14:paraId="0F82EDEF" w14:textId="77777777" w:rsidTr="0006619B">
        <w:trPr>
          <w:jc w:val="center"/>
        </w:trPr>
        <w:tc>
          <w:tcPr>
            <w:tcW w:w="4962" w:type="dxa"/>
            <w:vAlign w:val="bottom"/>
          </w:tcPr>
          <w:p w14:paraId="0ED272C0" w14:textId="3FD0E3AF" w:rsidR="005E0D3F" w:rsidRPr="00006931" w:rsidRDefault="005E0D3F" w:rsidP="00997038">
            <w:pPr>
              <w:pStyle w:val="T2"/>
              <w:jc w:val="left"/>
              <w:rPr>
                <w:rFonts w:ascii="Calibri" w:hAnsi="Calibri" w:cs="Calibri"/>
                <w:bCs/>
              </w:rPr>
            </w:pPr>
            <w:r w:rsidRPr="00006931">
              <w:rPr>
                <w:rFonts w:ascii="Calibri" w:hAnsi="Calibri" w:cs="Calibri"/>
                <w:bCs/>
              </w:rPr>
              <w:t>Cash</w:t>
            </w:r>
            <w:r w:rsidR="0006619B">
              <w:rPr>
                <w:rFonts w:ascii="Calibri" w:hAnsi="Calibri" w:cs="Calibri"/>
                <w:bCs/>
              </w:rPr>
              <w:t xml:space="preserve"> </w:t>
            </w:r>
            <w:r w:rsidRPr="00006931">
              <w:rPr>
                <w:rFonts w:ascii="Calibri" w:hAnsi="Calibri" w:cs="Calibri"/>
                <w:bCs/>
              </w:rPr>
              <w:t>flow hedge fair value movement taken to equity</w:t>
            </w:r>
          </w:p>
        </w:tc>
        <w:tc>
          <w:tcPr>
            <w:tcW w:w="1134" w:type="dxa"/>
            <w:vAlign w:val="bottom"/>
          </w:tcPr>
          <w:p w14:paraId="3A88D9B6" w14:textId="77777777" w:rsidR="005E0D3F" w:rsidRPr="00BB318F" w:rsidRDefault="005E0D3F" w:rsidP="0006619B">
            <w:pPr>
              <w:pStyle w:val="T2"/>
              <w:jc w:val="right"/>
              <w:rPr>
                <w:rFonts w:ascii="Calibri" w:hAnsi="Calibri" w:cs="Calibri"/>
                <w:b/>
                <w:bCs/>
              </w:rPr>
            </w:pPr>
            <w:r w:rsidRPr="008719BA">
              <w:rPr>
                <w:b/>
              </w:rPr>
              <w:t>–</w:t>
            </w:r>
          </w:p>
        </w:tc>
        <w:tc>
          <w:tcPr>
            <w:tcW w:w="1134" w:type="dxa"/>
            <w:vAlign w:val="bottom"/>
          </w:tcPr>
          <w:p w14:paraId="2F14EA2B" w14:textId="77777777" w:rsidR="005E0D3F" w:rsidRPr="00BB318F" w:rsidRDefault="005E0D3F" w:rsidP="0006619B">
            <w:pPr>
              <w:pStyle w:val="T2"/>
              <w:jc w:val="right"/>
              <w:rPr>
                <w:rFonts w:ascii="Calibri" w:hAnsi="Calibri" w:cs="Calibri"/>
                <w:b/>
                <w:bCs/>
              </w:rPr>
            </w:pPr>
            <w:r w:rsidRPr="008719BA">
              <w:rPr>
                <w:b/>
              </w:rPr>
              <w:t>–</w:t>
            </w:r>
          </w:p>
        </w:tc>
        <w:tc>
          <w:tcPr>
            <w:tcW w:w="1134" w:type="dxa"/>
            <w:vAlign w:val="bottom"/>
          </w:tcPr>
          <w:p w14:paraId="50683F4C" w14:textId="0EFB868C" w:rsidR="005E0D3F" w:rsidRPr="00BB318F" w:rsidRDefault="00E6317F" w:rsidP="0006619B">
            <w:pPr>
              <w:pStyle w:val="T2"/>
              <w:jc w:val="right"/>
              <w:rPr>
                <w:rFonts w:ascii="Calibri" w:hAnsi="Calibri" w:cs="Calibri"/>
                <w:b/>
                <w:bCs/>
              </w:rPr>
            </w:pPr>
            <w:r>
              <w:rPr>
                <w:b/>
              </w:rPr>
              <w:t>2.5</w:t>
            </w:r>
          </w:p>
        </w:tc>
        <w:tc>
          <w:tcPr>
            <w:tcW w:w="1134" w:type="dxa"/>
            <w:vAlign w:val="bottom"/>
          </w:tcPr>
          <w:p w14:paraId="4A5131FB" w14:textId="3D49B3AD" w:rsidR="005E0D3F" w:rsidRPr="00BB318F" w:rsidRDefault="005E0D3F" w:rsidP="0006619B">
            <w:pPr>
              <w:pStyle w:val="T2"/>
              <w:jc w:val="right"/>
              <w:rPr>
                <w:rFonts w:ascii="Calibri" w:hAnsi="Calibri" w:cs="Calibri"/>
                <w:b/>
                <w:bCs/>
              </w:rPr>
            </w:pPr>
            <w:r w:rsidRPr="008719BA">
              <w:rPr>
                <w:b/>
              </w:rPr>
              <w:t>–</w:t>
            </w:r>
          </w:p>
        </w:tc>
        <w:tc>
          <w:tcPr>
            <w:tcW w:w="1134" w:type="dxa"/>
            <w:vAlign w:val="bottom"/>
          </w:tcPr>
          <w:p w14:paraId="27F74F30" w14:textId="1313EB45" w:rsidR="005E0D3F" w:rsidRPr="00BB318F" w:rsidRDefault="00E6317F" w:rsidP="0006619B">
            <w:pPr>
              <w:pStyle w:val="T2"/>
              <w:jc w:val="right"/>
              <w:rPr>
                <w:rFonts w:ascii="Calibri" w:hAnsi="Calibri" w:cs="Calibri"/>
                <w:b/>
                <w:bCs/>
              </w:rPr>
            </w:pPr>
            <w:r>
              <w:rPr>
                <w:b/>
              </w:rPr>
              <w:t>2.5</w:t>
            </w:r>
          </w:p>
        </w:tc>
      </w:tr>
      <w:tr w:rsidR="005E0D3F" w:rsidRPr="00C50E20" w14:paraId="57410493" w14:textId="77777777" w:rsidTr="0006619B">
        <w:trPr>
          <w:jc w:val="center"/>
        </w:trPr>
        <w:tc>
          <w:tcPr>
            <w:tcW w:w="4962" w:type="dxa"/>
            <w:vAlign w:val="bottom"/>
          </w:tcPr>
          <w:p w14:paraId="2CEE9B94" w14:textId="4BBB8804" w:rsidR="005E0D3F" w:rsidRPr="00006931" w:rsidRDefault="005E0D3F" w:rsidP="00997038">
            <w:pPr>
              <w:pStyle w:val="T2"/>
              <w:jc w:val="left"/>
              <w:rPr>
                <w:rFonts w:ascii="Calibri" w:hAnsi="Calibri" w:cs="Calibri"/>
                <w:bCs/>
              </w:rPr>
            </w:pPr>
            <w:r w:rsidRPr="00006931">
              <w:rPr>
                <w:rFonts w:ascii="Calibri" w:hAnsi="Calibri" w:cs="Calibri"/>
                <w:bCs/>
              </w:rPr>
              <w:t>Cash</w:t>
            </w:r>
            <w:r w:rsidR="0006619B">
              <w:rPr>
                <w:rFonts w:ascii="Calibri" w:hAnsi="Calibri" w:cs="Calibri"/>
                <w:bCs/>
              </w:rPr>
              <w:t xml:space="preserve"> </w:t>
            </w:r>
            <w:r w:rsidRPr="00006931">
              <w:rPr>
                <w:rFonts w:ascii="Calibri" w:hAnsi="Calibri" w:cs="Calibri"/>
                <w:bCs/>
              </w:rPr>
              <w:t>flow hedge transferred to Income Statement</w:t>
            </w:r>
          </w:p>
        </w:tc>
        <w:tc>
          <w:tcPr>
            <w:tcW w:w="1134" w:type="dxa"/>
            <w:vAlign w:val="bottom"/>
          </w:tcPr>
          <w:p w14:paraId="58D3479E" w14:textId="77777777" w:rsidR="005E0D3F" w:rsidRPr="00BB318F" w:rsidRDefault="005E0D3F" w:rsidP="0006619B">
            <w:pPr>
              <w:pStyle w:val="T2"/>
              <w:jc w:val="right"/>
              <w:rPr>
                <w:rFonts w:ascii="Calibri" w:hAnsi="Calibri" w:cs="Calibri"/>
                <w:b/>
                <w:bCs/>
              </w:rPr>
            </w:pPr>
            <w:r w:rsidRPr="008719BA">
              <w:rPr>
                <w:b/>
              </w:rPr>
              <w:t>–</w:t>
            </w:r>
          </w:p>
        </w:tc>
        <w:tc>
          <w:tcPr>
            <w:tcW w:w="1134" w:type="dxa"/>
            <w:vAlign w:val="bottom"/>
          </w:tcPr>
          <w:p w14:paraId="3C6F63D9" w14:textId="77777777" w:rsidR="005E0D3F" w:rsidRPr="00BB318F" w:rsidRDefault="005E0D3F" w:rsidP="0006619B">
            <w:pPr>
              <w:pStyle w:val="T2"/>
              <w:jc w:val="right"/>
              <w:rPr>
                <w:rFonts w:ascii="Calibri" w:hAnsi="Calibri" w:cs="Calibri"/>
                <w:b/>
                <w:bCs/>
              </w:rPr>
            </w:pPr>
            <w:r w:rsidRPr="008719BA">
              <w:rPr>
                <w:b/>
              </w:rPr>
              <w:t>–</w:t>
            </w:r>
          </w:p>
        </w:tc>
        <w:tc>
          <w:tcPr>
            <w:tcW w:w="1134" w:type="dxa"/>
            <w:vAlign w:val="bottom"/>
          </w:tcPr>
          <w:p w14:paraId="18564171" w14:textId="5F6F757C" w:rsidR="005E0D3F" w:rsidRPr="00BB318F" w:rsidRDefault="00E6317F" w:rsidP="0006619B">
            <w:pPr>
              <w:pStyle w:val="T2"/>
              <w:jc w:val="right"/>
              <w:rPr>
                <w:rFonts w:ascii="Calibri" w:hAnsi="Calibri" w:cs="Calibri"/>
                <w:b/>
                <w:bCs/>
              </w:rPr>
            </w:pPr>
            <w:r>
              <w:rPr>
                <w:b/>
              </w:rPr>
              <w:t>(0.9)</w:t>
            </w:r>
          </w:p>
        </w:tc>
        <w:tc>
          <w:tcPr>
            <w:tcW w:w="1134" w:type="dxa"/>
            <w:vAlign w:val="bottom"/>
          </w:tcPr>
          <w:p w14:paraId="40195C13" w14:textId="50633690" w:rsidR="005E0D3F" w:rsidRPr="00BB318F" w:rsidRDefault="005E0D3F" w:rsidP="0006619B">
            <w:pPr>
              <w:pStyle w:val="T2"/>
              <w:jc w:val="right"/>
              <w:rPr>
                <w:rFonts w:ascii="Calibri" w:hAnsi="Calibri" w:cs="Calibri"/>
                <w:b/>
                <w:bCs/>
              </w:rPr>
            </w:pPr>
            <w:r w:rsidRPr="008719BA">
              <w:rPr>
                <w:b/>
              </w:rPr>
              <w:t>–</w:t>
            </w:r>
          </w:p>
        </w:tc>
        <w:tc>
          <w:tcPr>
            <w:tcW w:w="1134" w:type="dxa"/>
            <w:vAlign w:val="bottom"/>
          </w:tcPr>
          <w:p w14:paraId="27EE1E72" w14:textId="5B5D7687" w:rsidR="005E0D3F" w:rsidRPr="00BB318F" w:rsidRDefault="00E6317F" w:rsidP="0006619B">
            <w:pPr>
              <w:pStyle w:val="T2"/>
              <w:jc w:val="right"/>
              <w:rPr>
                <w:rFonts w:ascii="Calibri" w:hAnsi="Calibri" w:cs="Calibri"/>
                <w:b/>
                <w:bCs/>
              </w:rPr>
            </w:pPr>
            <w:r>
              <w:rPr>
                <w:b/>
              </w:rPr>
              <w:t>(0.9)</w:t>
            </w:r>
          </w:p>
        </w:tc>
      </w:tr>
      <w:tr w:rsidR="005E0D3F" w:rsidRPr="00C50E20" w14:paraId="565283E8" w14:textId="77777777" w:rsidTr="0006619B">
        <w:trPr>
          <w:jc w:val="center"/>
        </w:trPr>
        <w:tc>
          <w:tcPr>
            <w:tcW w:w="4962" w:type="dxa"/>
            <w:vAlign w:val="bottom"/>
          </w:tcPr>
          <w:p w14:paraId="74595C35" w14:textId="77777777" w:rsidR="005E0D3F" w:rsidRPr="005D0EFF" w:rsidRDefault="005E0D3F" w:rsidP="00997038">
            <w:pPr>
              <w:pStyle w:val="T2"/>
              <w:jc w:val="left"/>
              <w:rPr>
                <w:rFonts w:ascii="Calibri" w:hAnsi="Calibri" w:cs="Calibri"/>
                <w:bCs/>
              </w:rPr>
            </w:pPr>
            <w:r w:rsidRPr="00006931">
              <w:rPr>
                <w:rFonts w:ascii="Calibri" w:hAnsi="Calibri" w:cs="Calibri"/>
                <w:bCs/>
              </w:rPr>
              <w:t xml:space="preserve">Actuarial </w:t>
            </w:r>
            <w:r>
              <w:rPr>
                <w:rFonts w:ascii="Calibri" w:hAnsi="Calibri" w:cs="Calibri"/>
                <w:bCs/>
              </w:rPr>
              <w:t>gain</w:t>
            </w:r>
            <w:r w:rsidRPr="00006931">
              <w:rPr>
                <w:rFonts w:ascii="Calibri" w:hAnsi="Calibri" w:cs="Calibri"/>
                <w:bCs/>
              </w:rPr>
              <w:t xml:space="preserve"> on Group legacy defined benefit pension schemes</w:t>
            </w:r>
          </w:p>
        </w:tc>
        <w:tc>
          <w:tcPr>
            <w:tcW w:w="1134" w:type="dxa"/>
            <w:vAlign w:val="bottom"/>
          </w:tcPr>
          <w:p w14:paraId="2333512C" w14:textId="77777777" w:rsidR="005E0D3F" w:rsidRPr="00BB318F" w:rsidRDefault="005E0D3F" w:rsidP="0006619B">
            <w:pPr>
              <w:pStyle w:val="T2"/>
              <w:jc w:val="right"/>
              <w:rPr>
                <w:b/>
                <w:bCs/>
              </w:rPr>
            </w:pPr>
            <w:r w:rsidRPr="008719BA">
              <w:rPr>
                <w:b/>
              </w:rPr>
              <w:t>–</w:t>
            </w:r>
          </w:p>
        </w:tc>
        <w:tc>
          <w:tcPr>
            <w:tcW w:w="1134" w:type="dxa"/>
            <w:vAlign w:val="bottom"/>
          </w:tcPr>
          <w:p w14:paraId="02BDB877" w14:textId="77777777" w:rsidR="005E0D3F" w:rsidRPr="00BB318F" w:rsidRDefault="005E0D3F" w:rsidP="0006619B">
            <w:pPr>
              <w:pStyle w:val="T2"/>
              <w:jc w:val="right"/>
              <w:rPr>
                <w:b/>
                <w:bCs/>
              </w:rPr>
            </w:pPr>
            <w:r w:rsidRPr="008719BA">
              <w:rPr>
                <w:b/>
              </w:rPr>
              <w:t>–</w:t>
            </w:r>
          </w:p>
        </w:tc>
        <w:tc>
          <w:tcPr>
            <w:tcW w:w="1134" w:type="dxa"/>
            <w:vAlign w:val="bottom"/>
          </w:tcPr>
          <w:p w14:paraId="435A588A" w14:textId="356DF769" w:rsidR="005E0D3F" w:rsidRPr="00BB318F" w:rsidRDefault="005E0D3F" w:rsidP="0006619B">
            <w:pPr>
              <w:pStyle w:val="T2"/>
              <w:jc w:val="right"/>
              <w:rPr>
                <w:b/>
                <w:bCs/>
              </w:rPr>
            </w:pPr>
            <w:r w:rsidRPr="008719BA">
              <w:rPr>
                <w:b/>
              </w:rPr>
              <w:t>–</w:t>
            </w:r>
          </w:p>
        </w:tc>
        <w:tc>
          <w:tcPr>
            <w:tcW w:w="1134" w:type="dxa"/>
            <w:vAlign w:val="bottom"/>
          </w:tcPr>
          <w:p w14:paraId="7C037F85" w14:textId="73706891" w:rsidR="005E0D3F" w:rsidRPr="00BB318F" w:rsidRDefault="00E6317F" w:rsidP="0006619B">
            <w:pPr>
              <w:pStyle w:val="T2"/>
              <w:jc w:val="right"/>
              <w:rPr>
                <w:b/>
                <w:bCs/>
              </w:rPr>
            </w:pPr>
            <w:r>
              <w:rPr>
                <w:b/>
              </w:rPr>
              <w:t>23.6</w:t>
            </w:r>
          </w:p>
        </w:tc>
        <w:tc>
          <w:tcPr>
            <w:tcW w:w="1134" w:type="dxa"/>
            <w:vAlign w:val="bottom"/>
          </w:tcPr>
          <w:p w14:paraId="2D401CE9" w14:textId="01242434" w:rsidR="005E0D3F" w:rsidRPr="00BB318F" w:rsidRDefault="00E6317F" w:rsidP="0006619B">
            <w:pPr>
              <w:pStyle w:val="T2"/>
              <w:jc w:val="right"/>
              <w:rPr>
                <w:b/>
                <w:bCs/>
              </w:rPr>
            </w:pPr>
            <w:r>
              <w:rPr>
                <w:b/>
              </w:rPr>
              <w:t>23.6</w:t>
            </w:r>
          </w:p>
        </w:tc>
      </w:tr>
      <w:tr w:rsidR="005E0D3F" w:rsidRPr="00C50E20" w14:paraId="22BE59C6" w14:textId="77777777" w:rsidTr="0006619B">
        <w:trPr>
          <w:jc w:val="center"/>
        </w:trPr>
        <w:tc>
          <w:tcPr>
            <w:tcW w:w="4962" w:type="dxa"/>
            <w:vAlign w:val="bottom"/>
          </w:tcPr>
          <w:p w14:paraId="369B4F92" w14:textId="77777777" w:rsidR="005E0D3F" w:rsidRPr="005D0EFF" w:rsidRDefault="005E0D3F" w:rsidP="00997038">
            <w:pPr>
              <w:pStyle w:val="T2"/>
              <w:jc w:val="left"/>
              <w:rPr>
                <w:rFonts w:ascii="Calibri" w:hAnsi="Calibri" w:cs="Calibri"/>
                <w:bCs/>
              </w:rPr>
            </w:pPr>
            <w:r w:rsidRPr="00006931">
              <w:rPr>
                <w:rFonts w:ascii="Calibri" w:hAnsi="Calibri" w:cs="Calibri"/>
                <w:bCs/>
              </w:rPr>
              <w:t>Deferred tax on Group legacy defined benefit pension schemes</w:t>
            </w:r>
          </w:p>
        </w:tc>
        <w:tc>
          <w:tcPr>
            <w:tcW w:w="1134" w:type="dxa"/>
            <w:vAlign w:val="bottom"/>
          </w:tcPr>
          <w:p w14:paraId="7F486A47" w14:textId="77777777" w:rsidR="005E0D3F" w:rsidRPr="00BB318F" w:rsidRDefault="005E0D3F" w:rsidP="0006619B">
            <w:pPr>
              <w:pStyle w:val="T2"/>
              <w:jc w:val="right"/>
              <w:rPr>
                <w:b/>
                <w:bCs/>
              </w:rPr>
            </w:pPr>
            <w:r w:rsidRPr="008719BA">
              <w:rPr>
                <w:b/>
              </w:rPr>
              <w:t>–</w:t>
            </w:r>
          </w:p>
        </w:tc>
        <w:tc>
          <w:tcPr>
            <w:tcW w:w="1134" w:type="dxa"/>
            <w:vAlign w:val="bottom"/>
          </w:tcPr>
          <w:p w14:paraId="1822289F" w14:textId="77777777" w:rsidR="005E0D3F" w:rsidRPr="00BB318F" w:rsidRDefault="005E0D3F" w:rsidP="0006619B">
            <w:pPr>
              <w:pStyle w:val="T2"/>
              <w:jc w:val="right"/>
              <w:rPr>
                <w:b/>
                <w:bCs/>
              </w:rPr>
            </w:pPr>
            <w:r w:rsidRPr="008719BA">
              <w:rPr>
                <w:b/>
              </w:rPr>
              <w:t>–</w:t>
            </w:r>
          </w:p>
        </w:tc>
        <w:tc>
          <w:tcPr>
            <w:tcW w:w="1134" w:type="dxa"/>
            <w:vAlign w:val="bottom"/>
          </w:tcPr>
          <w:p w14:paraId="717D14EE" w14:textId="1E1FA853" w:rsidR="005E0D3F" w:rsidRPr="00BB318F" w:rsidRDefault="005E0D3F" w:rsidP="0006619B">
            <w:pPr>
              <w:pStyle w:val="T2"/>
              <w:jc w:val="right"/>
              <w:rPr>
                <w:b/>
                <w:bCs/>
              </w:rPr>
            </w:pPr>
            <w:r w:rsidRPr="008719BA">
              <w:rPr>
                <w:b/>
              </w:rPr>
              <w:t>–</w:t>
            </w:r>
          </w:p>
        </w:tc>
        <w:tc>
          <w:tcPr>
            <w:tcW w:w="1134" w:type="dxa"/>
            <w:vAlign w:val="bottom"/>
          </w:tcPr>
          <w:p w14:paraId="6698DF00" w14:textId="5676E114" w:rsidR="005E0D3F" w:rsidRPr="001E1407" w:rsidRDefault="00884A63" w:rsidP="0006619B">
            <w:pPr>
              <w:pStyle w:val="T2"/>
              <w:jc w:val="right"/>
              <w:rPr>
                <w:b/>
                <w:bCs/>
              </w:rPr>
            </w:pPr>
            <w:r>
              <w:rPr>
                <w:b/>
              </w:rPr>
              <w:t>(6.0)</w:t>
            </w:r>
          </w:p>
        </w:tc>
        <w:tc>
          <w:tcPr>
            <w:tcW w:w="1134" w:type="dxa"/>
            <w:vAlign w:val="bottom"/>
          </w:tcPr>
          <w:p w14:paraId="11AFFC9D" w14:textId="1EAB1F28" w:rsidR="005E0D3F" w:rsidRPr="001E1407" w:rsidRDefault="00884A63" w:rsidP="0006619B">
            <w:pPr>
              <w:pStyle w:val="T2"/>
              <w:jc w:val="right"/>
              <w:rPr>
                <w:b/>
                <w:bCs/>
              </w:rPr>
            </w:pPr>
            <w:r>
              <w:rPr>
                <w:b/>
              </w:rPr>
              <w:t>(6.0)</w:t>
            </w:r>
          </w:p>
        </w:tc>
      </w:tr>
      <w:tr w:rsidR="005E0D3F" w:rsidRPr="00C50E20" w14:paraId="670EE558" w14:textId="77777777" w:rsidTr="0006619B">
        <w:trPr>
          <w:jc w:val="center"/>
        </w:trPr>
        <w:tc>
          <w:tcPr>
            <w:tcW w:w="4962" w:type="dxa"/>
            <w:tcBorders>
              <w:bottom w:val="single" w:sz="2" w:space="0" w:color="auto"/>
            </w:tcBorders>
            <w:vAlign w:val="bottom"/>
          </w:tcPr>
          <w:p w14:paraId="7B86CFAD" w14:textId="77777777" w:rsidR="005E0D3F" w:rsidRPr="00006931" w:rsidRDefault="005E0D3F" w:rsidP="00997038">
            <w:pPr>
              <w:pStyle w:val="T2"/>
              <w:jc w:val="left"/>
              <w:rPr>
                <w:rFonts w:ascii="Calibri" w:hAnsi="Calibri" w:cs="Calibri"/>
                <w:bCs/>
              </w:rPr>
            </w:pPr>
            <w:r w:rsidRPr="00006931">
              <w:rPr>
                <w:rFonts w:ascii="Calibri" w:hAnsi="Calibri" w:cs="Calibri"/>
                <w:bCs/>
              </w:rPr>
              <w:t>Profit for the financial period</w:t>
            </w:r>
          </w:p>
        </w:tc>
        <w:tc>
          <w:tcPr>
            <w:tcW w:w="1134" w:type="dxa"/>
            <w:tcBorders>
              <w:bottom w:val="single" w:sz="2" w:space="0" w:color="auto"/>
            </w:tcBorders>
            <w:vAlign w:val="bottom"/>
          </w:tcPr>
          <w:p w14:paraId="7DDA1C60" w14:textId="77777777" w:rsidR="005E0D3F" w:rsidRPr="00BB318F" w:rsidRDefault="005E0D3F" w:rsidP="0006619B">
            <w:pPr>
              <w:pStyle w:val="T2"/>
              <w:jc w:val="right"/>
              <w:rPr>
                <w:b/>
                <w:bCs/>
              </w:rPr>
            </w:pPr>
            <w:r w:rsidRPr="008719BA">
              <w:rPr>
                <w:b/>
              </w:rPr>
              <w:t>–</w:t>
            </w:r>
          </w:p>
        </w:tc>
        <w:tc>
          <w:tcPr>
            <w:tcW w:w="1134" w:type="dxa"/>
            <w:tcBorders>
              <w:bottom w:val="single" w:sz="2" w:space="0" w:color="auto"/>
            </w:tcBorders>
            <w:vAlign w:val="bottom"/>
          </w:tcPr>
          <w:p w14:paraId="337F8AE2" w14:textId="77777777" w:rsidR="005E0D3F" w:rsidRPr="00BB318F" w:rsidRDefault="005E0D3F" w:rsidP="0006619B">
            <w:pPr>
              <w:pStyle w:val="T2"/>
              <w:jc w:val="right"/>
              <w:rPr>
                <w:b/>
                <w:bCs/>
              </w:rPr>
            </w:pPr>
            <w:r w:rsidRPr="008719BA">
              <w:rPr>
                <w:b/>
              </w:rPr>
              <w:t>–</w:t>
            </w:r>
          </w:p>
        </w:tc>
        <w:tc>
          <w:tcPr>
            <w:tcW w:w="1134" w:type="dxa"/>
            <w:tcBorders>
              <w:bottom w:val="single" w:sz="2" w:space="0" w:color="auto"/>
            </w:tcBorders>
            <w:vAlign w:val="bottom"/>
          </w:tcPr>
          <w:p w14:paraId="3EFFCB41" w14:textId="0F9D2BA9" w:rsidR="005E0D3F" w:rsidRPr="00BB318F" w:rsidRDefault="005E0D3F" w:rsidP="0006619B">
            <w:pPr>
              <w:pStyle w:val="T2"/>
              <w:jc w:val="right"/>
              <w:rPr>
                <w:b/>
                <w:bCs/>
              </w:rPr>
            </w:pPr>
            <w:r w:rsidRPr="008719BA">
              <w:rPr>
                <w:b/>
              </w:rPr>
              <w:t>–</w:t>
            </w:r>
          </w:p>
        </w:tc>
        <w:tc>
          <w:tcPr>
            <w:tcW w:w="1134" w:type="dxa"/>
            <w:tcBorders>
              <w:bottom w:val="single" w:sz="2" w:space="0" w:color="auto"/>
            </w:tcBorders>
            <w:vAlign w:val="bottom"/>
          </w:tcPr>
          <w:p w14:paraId="76255D91" w14:textId="10A6F566" w:rsidR="005E0D3F" w:rsidRPr="00BB318F" w:rsidRDefault="00E6317F" w:rsidP="0006619B">
            <w:pPr>
              <w:pStyle w:val="T2"/>
              <w:jc w:val="right"/>
              <w:rPr>
                <w:b/>
                <w:bCs/>
              </w:rPr>
            </w:pPr>
            <w:r>
              <w:rPr>
                <w:b/>
              </w:rPr>
              <w:t>0.8</w:t>
            </w:r>
          </w:p>
        </w:tc>
        <w:tc>
          <w:tcPr>
            <w:tcW w:w="1134" w:type="dxa"/>
            <w:tcBorders>
              <w:bottom w:val="single" w:sz="2" w:space="0" w:color="auto"/>
            </w:tcBorders>
            <w:vAlign w:val="bottom"/>
          </w:tcPr>
          <w:p w14:paraId="12838588" w14:textId="77885B58" w:rsidR="005E0D3F" w:rsidRPr="00BB318F" w:rsidRDefault="00E6317F" w:rsidP="0006619B">
            <w:pPr>
              <w:pStyle w:val="T2"/>
              <w:jc w:val="right"/>
              <w:rPr>
                <w:b/>
                <w:bCs/>
              </w:rPr>
            </w:pPr>
            <w:r>
              <w:rPr>
                <w:b/>
              </w:rPr>
              <w:t>0.8</w:t>
            </w:r>
          </w:p>
        </w:tc>
      </w:tr>
      <w:tr w:rsidR="005E0D3F" w:rsidRPr="00BD5017" w14:paraId="7D2CF083" w14:textId="77777777" w:rsidTr="0006619B">
        <w:trPr>
          <w:jc w:val="center"/>
        </w:trPr>
        <w:tc>
          <w:tcPr>
            <w:tcW w:w="4962" w:type="dxa"/>
            <w:tcBorders>
              <w:top w:val="single" w:sz="2" w:space="0" w:color="auto"/>
              <w:bottom w:val="single" w:sz="2" w:space="0" w:color="auto"/>
            </w:tcBorders>
            <w:vAlign w:val="bottom"/>
          </w:tcPr>
          <w:p w14:paraId="418152B6" w14:textId="77777777" w:rsidR="005E0D3F" w:rsidRPr="00B52070" w:rsidRDefault="005E0D3F" w:rsidP="00997038">
            <w:pPr>
              <w:pStyle w:val="T2"/>
              <w:jc w:val="left"/>
              <w:rPr>
                <w:b/>
              </w:rPr>
            </w:pPr>
            <w:r>
              <w:rPr>
                <w:b/>
              </w:rPr>
              <w:t>Total comprehensive income for the financial period</w:t>
            </w:r>
          </w:p>
        </w:tc>
        <w:tc>
          <w:tcPr>
            <w:tcW w:w="1134" w:type="dxa"/>
            <w:tcBorders>
              <w:top w:val="single" w:sz="2" w:space="0" w:color="auto"/>
              <w:bottom w:val="single" w:sz="2" w:space="0" w:color="auto"/>
            </w:tcBorders>
            <w:vAlign w:val="bottom"/>
          </w:tcPr>
          <w:p w14:paraId="194EDF9E" w14:textId="77777777" w:rsidR="005E0D3F" w:rsidRPr="00BE7FD5" w:rsidRDefault="005E0D3F" w:rsidP="0006619B">
            <w:pPr>
              <w:pStyle w:val="T2"/>
              <w:jc w:val="right"/>
              <w:rPr>
                <w:b/>
              </w:rPr>
            </w:pPr>
            <w:r w:rsidRPr="008719BA">
              <w:rPr>
                <w:b/>
              </w:rPr>
              <w:t>–</w:t>
            </w:r>
          </w:p>
        </w:tc>
        <w:tc>
          <w:tcPr>
            <w:tcW w:w="1134" w:type="dxa"/>
            <w:tcBorders>
              <w:top w:val="single" w:sz="2" w:space="0" w:color="auto"/>
              <w:bottom w:val="single" w:sz="2" w:space="0" w:color="auto"/>
            </w:tcBorders>
            <w:vAlign w:val="bottom"/>
          </w:tcPr>
          <w:p w14:paraId="01E57F87" w14:textId="77777777" w:rsidR="005E0D3F" w:rsidRPr="00BE7FD5" w:rsidRDefault="005E0D3F" w:rsidP="0006619B">
            <w:pPr>
              <w:pStyle w:val="T2"/>
              <w:jc w:val="right"/>
              <w:rPr>
                <w:b/>
              </w:rPr>
            </w:pPr>
            <w:r w:rsidRPr="008719BA">
              <w:rPr>
                <w:b/>
              </w:rPr>
              <w:t>–</w:t>
            </w:r>
          </w:p>
        </w:tc>
        <w:tc>
          <w:tcPr>
            <w:tcW w:w="1134" w:type="dxa"/>
            <w:tcBorders>
              <w:top w:val="single" w:sz="2" w:space="0" w:color="auto"/>
              <w:bottom w:val="single" w:sz="2" w:space="0" w:color="auto"/>
            </w:tcBorders>
            <w:vAlign w:val="bottom"/>
          </w:tcPr>
          <w:p w14:paraId="5C5A0A53" w14:textId="735FF7DB" w:rsidR="005E0D3F" w:rsidRPr="00BD5B9E" w:rsidRDefault="0006619B" w:rsidP="0006619B">
            <w:pPr>
              <w:pStyle w:val="T2"/>
              <w:jc w:val="right"/>
              <w:rPr>
                <w:b/>
              </w:rPr>
            </w:pPr>
            <w:r>
              <w:rPr>
                <w:b/>
              </w:rPr>
              <w:t>0.7</w:t>
            </w:r>
          </w:p>
        </w:tc>
        <w:tc>
          <w:tcPr>
            <w:tcW w:w="1134" w:type="dxa"/>
            <w:tcBorders>
              <w:top w:val="single" w:sz="2" w:space="0" w:color="auto"/>
              <w:bottom w:val="single" w:sz="2" w:space="0" w:color="auto"/>
            </w:tcBorders>
            <w:vAlign w:val="bottom"/>
          </w:tcPr>
          <w:p w14:paraId="054AF969" w14:textId="497B7149" w:rsidR="005E0D3F" w:rsidRPr="00EA1A7A" w:rsidRDefault="00884A63" w:rsidP="0006619B">
            <w:pPr>
              <w:pStyle w:val="T2"/>
              <w:jc w:val="right"/>
              <w:rPr>
                <w:b/>
              </w:rPr>
            </w:pPr>
            <w:r>
              <w:rPr>
                <w:b/>
              </w:rPr>
              <w:t>18.4</w:t>
            </w:r>
          </w:p>
        </w:tc>
        <w:tc>
          <w:tcPr>
            <w:tcW w:w="1134" w:type="dxa"/>
            <w:tcBorders>
              <w:top w:val="single" w:sz="2" w:space="0" w:color="auto"/>
              <w:bottom w:val="single" w:sz="2" w:space="0" w:color="auto"/>
            </w:tcBorders>
            <w:vAlign w:val="bottom"/>
          </w:tcPr>
          <w:p w14:paraId="284EE0CD" w14:textId="650D65DE" w:rsidR="005E0D3F" w:rsidRPr="00850427" w:rsidRDefault="00884A63" w:rsidP="0006619B">
            <w:pPr>
              <w:pStyle w:val="T2"/>
              <w:jc w:val="right"/>
              <w:rPr>
                <w:b/>
              </w:rPr>
            </w:pPr>
            <w:r>
              <w:rPr>
                <w:b/>
              </w:rPr>
              <w:t>19.1</w:t>
            </w:r>
          </w:p>
        </w:tc>
      </w:tr>
      <w:tr w:rsidR="005E0D3F" w:rsidRPr="00C50E20" w14:paraId="27A4732C" w14:textId="77777777" w:rsidTr="0006619B">
        <w:trPr>
          <w:trHeight w:val="176"/>
          <w:jc w:val="center"/>
        </w:trPr>
        <w:tc>
          <w:tcPr>
            <w:tcW w:w="4962" w:type="dxa"/>
            <w:tcBorders>
              <w:top w:val="single" w:sz="2" w:space="0" w:color="auto"/>
            </w:tcBorders>
          </w:tcPr>
          <w:p w14:paraId="4013C581" w14:textId="77777777" w:rsidR="005E0D3F" w:rsidRPr="005D0EFF" w:rsidRDefault="005E0D3F" w:rsidP="00997038">
            <w:pPr>
              <w:pStyle w:val="T2"/>
              <w:jc w:val="left"/>
              <w:rPr>
                <w:bCs/>
              </w:rPr>
            </w:pPr>
            <w:r w:rsidRPr="00006931">
              <w:rPr>
                <w:bCs/>
              </w:rPr>
              <w:t xml:space="preserve">Employee </w:t>
            </w:r>
            <w:r w:rsidRPr="005D0EFF">
              <w:rPr>
                <w:bCs/>
              </w:rPr>
              <w:t>share</w:t>
            </w:r>
            <w:r>
              <w:rPr>
                <w:bCs/>
              </w:rPr>
              <w:t>–</w:t>
            </w:r>
            <w:r w:rsidRPr="005D0EFF">
              <w:rPr>
                <w:bCs/>
              </w:rPr>
              <w:t>based payment expense</w:t>
            </w:r>
          </w:p>
        </w:tc>
        <w:tc>
          <w:tcPr>
            <w:tcW w:w="1134" w:type="dxa"/>
            <w:tcBorders>
              <w:top w:val="single" w:sz="2" w:space="0" w:color="auto"/>
            </w:tcBorders>
            <w:vAlign w:val="bottom"/>
          </w:tcPr>
          <w:p w14:paraId="518CBFB4" w14:textId="77777777" w:rsidR="005E0D3F" w:rsidRPr="00BB14B7" w:rsidRDefault="005E0D3F" w:rsidP="0006619B">
            <w:pPr>
              <w:pStyle w:val="T2"/>
              <w:jc w:val="right"/>
              <w:rPr>
                <w:b/>
                <w:bCs/>
              </w:rPr>
            </w:pPr>
            <w:r w:rsidRPr="00B34A04">
              <w:rPr>
                <w:b/>
              </w:rPr>
              <w:t>–</w:t>
            </w:r>
          </w:p>
        </w:tc>
        <w:tc>
          <w:tcPr>
            <w:tcW w:w="1134" w:type="dxa"/>
            <w:tcBorders>
              <w:top w:val="single" w:sz="2" w:space="0" w:color="auto"/>
            </w:tcBorders>
            <w:vAlign w:val="bottom"/>
          </w:tcPr>
          <w:p w14:paraId="1FA32E11" w14:textId="77777777" w:rsidR="005E0D3F" w:rsidRPr="00BB14B7" w:rsidRDefault="005E0D3F" w:rsidP="0006619B">
            <w:pPr>
              <w:pStyle w:val="T2"/>
              <w:jc w:val="right"/>
              <w:rPr>
                <w:b/>
                <w:bCs/>
              </w:rPr>
            </w:pPr>
            <w:r w:rsidRPr="00B34A04">
              <w:rPr>
                <w:b/>
              </w:rPr>
              <w:t>–</w:t>
            </w:r>
          </w:p>
        </w:tc>
        <w:tc>
          <w:tcPr>
            <w:tcW w:w="1134" w:type="dxa"/>
            <w:tcBorders>
              <w:top w:val="single" w:sz="2" w:space="0" w:color="auto"/>
            </w:tcBorders>
            <w:vAlign w:val="bottom"/>
          </w:tcPr>
          <w:p w14:paraId="522AF533" w14:textId="2C08F85B" w:rsidR="005E0D3F" w:rsidRPr="00BB14B7" w:rsidRDefault="004E2045" w:rsidP="0006619B">
            <w:pPr>
              <w:pStyle w:val="T2"/>
              <w:jc w:val="right"/>
              <w:rPr>
                <w:b/>
                <w:bCs/>
              </w:rPr>
            </w:pPr>
            <w:r>
              <w:rPr>
                <w:b/>
              </w:rPr>
              <w:t>1.3</w:t>
            </w:r>
          </w:p>
        </w:tc>
        <w:tc>
          <w:tcPr>
            <w:tcW w:w="1134" w:type="dxa"/>
            <w:tcBorders>
              <w:top w:val="single" w:sz="2" w:space="0" w:color="auto"/>
            </w:tcBorders>
            <w:shd w:val="clear" w:color="auto" w:fill="auto"/>
            <w:vAlign w:val="bottom"/>
          </w:tcPr>
          <w:p w14:paraId="550D9A1D" w14:textId="30C7996E" w:rsidR="005E0D3F" w:rsidRPr="00336204" w:rsidRDefault="005E0D3F" w:rsidP="0006619B">
            <w:pPr>
              <w:pStyle w:val="T2"/>
              <w:jc w:val="right"/>
              <w:rPr>
                <w:b/>
                <w:bCs/>
              </w:rPr>
            </w:pPr>
            <w:r w:rsidRPr="00D46D43">
              <w:rPr>
                <w:b/>
              </w:rPr>
              <w:t>–</w:t>
            </w:r>
          </w:p>
        </w:tc>
        <w:tc>
          <w:tcPr>
            <w:tcW w:w="1134" w:type="dxa"/>
            <w:tcBorders>
              <w:top w:val="single" w:sz="2" w:space="0" w:color="auto"/>
            </w:tcBorders>
            <w:shd w:val="clear" w:color="auto" w:fill="auto"/>
            <w:vAlign w:val="bottom"/>
          </w:tcPr>
          <w:p w14:paraId="05DE3CA8" w14:textId="68195160" w:rsidR="005E0D3F" w:rsidRPr="008A2066" w:rsidRDefault="004E2045" w:rsidP="0006619B">
            <w:pPr>
              <w:pStyle w:val="T2"/>
              <w:jc w:val="right"/>
              <w:rPr>
                <w:b/>
                <w:bCs/>
              </w:rPr>
            </w:pPr>
            <w:r>
              <w:rPr>
                <w:b/>
              </w:rPr>
              <w:t>1.3</w:t>
            </w:r>
          </w:p>
        </w:tc>
      </w:tr>
      <w:tr w:rsidR="005E0D3F" w:rsidRPr="00C50E20" w14:paraId="526214F5" w14:textId="77777777" w:rsidTr="0006619B">
        <w:trPr>
          <w:trHeight w:val="176"/>
          <w:jc w:val="center"/>
        </w:trPr>
        <w:tc>
          <w:tcPr>
            <w:tcW w:w="4962" w:type="dxa"/>
          </w:tcPr>
          <w:p w14:paraId="6AE334A0" w14:textId="77777777" w:rsidR="005E0D3F" w:rsidRPr="00006931" w:rsidRDefault="005E0D3F" w:rsidP="00997038">
            <w:pPr>
              <w:pStyle w:val="T2"/>
              <w:jc w:val="left"/>
              <w:rPr>
                <w:bCs/>
              </w:rPr>
            </w:pPr>
            <w:r w:rsidRPr="00006931">
              <w:rPr>
                <w:bCs/>
              </w:rPr>
              <w:t>Exercise, lapse or forfeit of share</w:t>
            </w:r>
            <w:r>
              <w:rPr>
                <w:bCs/>
              </w:rPr>
              <w:t>–</w:t>
            </w:r>
            <w:r w:rsidRPr="00006931">
              <w:rPr>
                <w:bCs/>
              </w:rPr>
              <w:t>based payments</w:t>
            </w:r>
          </w:p>
        </w:tc>
        <w:tc>
          <w:tcPr>
            <w:tcW w:w="1134" w:type="dxa"/>
            <w:vAlign w:val="bottom"/>
          </w:tcPr>
          <w:p w14:paraId="2966CF91" w14:textId="77777777" w:rsidR="005E0D3F" w:rsidRPr="00BB14B7" w:rsidRDefault="005E0D3F" w:rsidP="0006619B">
            <w:pPr>
              <w:pStyle w:val="T2"/>
              <w:jc w:val="right"/>
              <w:rPr>
                <w:b/>
                <w:bCs/>
              </w:rPr>
            </w:pPr>
            <w:r w:rsidRPr="00B34A04">
              <w:rPr>
                <w:b/>
              </w:rPr>
              <w:t>–</w:t>
            </w:r>
          </w:p>
        </w:tc>
        <w:tc>
          <w:tcPr>
            <w:tcW w:w="1134" w:type="dxa"/>
            <w:vAlign w:val="bottom"/>
          </w:tcPr>
          <w:p w14:paraId="6835C7D0" w14:textId="77777777" w:rsidR="005E0D3F" w:rsidRPr="00BB14B7" w:rsidRDefault="005E0D3F" w:rsidP="0006619B">
            <w:pPr>
              <w:pStyle w:val="T2"/>
              <w:jc w:val="right"/>
              <w:rPr>
                <w:b/>
                <w:bCs/>
              </w:rPr>
            </w:pPr>
            <w:r w:rsidRPr="00B34A04">
              <w:rPr>
                <w:b/>
              </w:rPr>
              <w:t>–</w:t>
            </w:r>
          </w:p>
        </w:tc>
        <w:tc>
          <w:tcPr>
            <w:tcW w:w="1134" w:type="dxa"/>
            <w:vAlign w:val="bottom"/>
          </w:tcPr>
          <w:p w14:paraId="723F641B" w14:textId="5A7B9831" w:rsidR="005E0D3F" w:rsidRPr="00BB14B7" w:rsidRDefault="004E2045" w:rsidP="0006619B">
            <w:pPr>
              <w:pStyle w:val="T2"/>
              <w:jc w:val="right"/>
              <w:rPr>
                <w:b/>
                <w:bCs/>
              </w:rPr>
            </w:pPr>
            <w:r>
              <w:rPr>
                <w:b/>
              </w:rPr>
              <w:t>(1.5)</w:t>
            </w:r>
          </w:p>
        </w:tc>
        <w:tc>
          <w:tcPr>
            <w:tcW w:w="1134" w:type="dxa"/>
            <w:vAlign w:val="bottom"/>
          </w:tcPr>
          <w:p w14:paraId="04F04F15" w14:textId="1D1653A9" w:rsidR="005E0D3F" w:rsidRPr="00BB14B7" w:rsidRDefault="004E2045" w:rsidP="0006619B">
            <w:pPr>
              <w:pStyle w:val="T2"/>
              <w:jc w:val="right"/>
              <w:rPr>
                <w:b/>
                <w:bCs/>
              </w:rPr>
            </w:pPr>
            <w:r>
              <w:rPr>
                <w:b/>
              </w:rPr>
              <w:t>1.5</w:t>
            </w:r>
          </w:p>
        </w:tc>
        <w:tc>
          <w:tcPr>
            <w:tcW w:w="1134" w:type="dxa"/>
            <w:vAlign w:val="bottom"/>
          </w:tcPr>
          <w:p w14:paraId="12168211" w14:textId="1A8A2100" w:rsidR="005E0D3F" w:rsidRPr="00BB14B7" w:rsidRDefault="005E0D3F" w:rsidP="0006619B">
            <w:pPr>
              <w:pStyle w:val="T2"/>
              <w:jc w:val="right"/>
              <w:rPr>
                <w:b/>
                <w:bCs/>
              </w:rPr>
            </w:pPr>
            <w:r w:rsidRPr="000E3973">
              <w:rPr>
                <w:b/>
              </w:rPr>
              <w:t>–</w:t>
            </w:r>
          </w:p>
        </w:tc>
      </w:tr>
      <w:tr w:rsidR="005E0D3F" w:rsidRPr="00C50E20" w14:paraId="72C521F0" w14:textId="77777777" w:rsidTr="0006619B">
        <w:trPr>
          <w:trHeight w:val="176"/>
          <w:jc w:val="center"/>
        </w:trPr>
        <w:tc>
          <w:tcPr>
            <w:tcW w:w="4962" w:type="dxa"/>
          </w:tcPr>
          <w:p w14:paraId="69A3E05B" w14:textId="674A2FF8" w:rsidR="005E0D3F" w:rsidRPr="00006931" w:rsidRDefault="005E0D3F" w:rsidP="00997038">
            <w:pPr>
              <w:pStyle w:val="T2"/>
              <w:jc w:val="left"/>
              <w:rPr>
                <w:bCs/>
              </w:rPr>
            </w:pPr>
            <w:r>
              <w:rPr>
                <w:bCs/>
              </w:rPr>
              <w:t>Shares acquired by Employee Benefit Trust</w:t>
            </w:r>
          </w:p>
        </w:tc>
        <w:tc>
          <w:tcPr>
            <w:tcW w:w="1134" w:type="dxa"/>
            <w:vAlign w:val="bottom"/>
          </w:tcPr>
          <w:p w14:paraId="4EE2EC8F" w14:textId="13773104" w:rsidR="005E0D3F" w:rsidRPr="00B34A04" w:rsidRDefault="005E0D3F" w:rsidP="0006619B">
            <w:pPr>
              <w:pStyle w:val="T2"/>
              <w:jc w:val="right"/>
              <w:rPr>
                <w:b/>
              </w:rPr>
            </w:pPr>
            <w:r w:rsidRPr="002F2E9E">
              <w:rPr>
                <w:b/>
              </w:rPr>
              <w:t>–</w:t>
            </w:r>
          </w:p>
        </w:tc>
        <w:tc>
          <w:tcPr>
            <w:tcW w:w="1134" w:type="dxa"/>
            <w:vAlign w:val="bottom"/>
          </w:tcPr>
          <w:p w14:paraId="7299FA32" w14:textId="1A4FEA40" w:rsidR="005E0D3F" w:rsidRPr="00B34A04" w:rsidRDefault="005E0D3F" w:rsidP="0006619B">
            <w:pPr>
              <w:pStyle w:val="T2"/>
              <w:jc w:val="right"/>
              <w:rPr>
                <w:b/>
              </w:rPr>
            </w:pPr>
            <w:r w:rsidRPr="002F2E9E">
              <w:rPr>
                <w:b/>
              </w:rPr>
              <w:t>–</w:t>
            </w:r>
          </w:p>
        </w:tc>
        <w:tc>
          <w:tcPr>
            <w:tcW w:w="1134" w:type="dxa"/>
            <w:vAlign w:val="bottom"/>
          </w:tcPr>
          <w:p w14:paraId="18203E9C" w14:textId="7E0FD9F4" w:rsidR="005E0D3F" w:rsidRDefault="004E2045" w:rsidP="0006619B">
            <w:pPr>
              <w:pStyle w:val="T2"/>
              <w:jc w:val="right"/>
              <w:rPr>
                <w:b/>
              </w:rPr>
            </w:pPr>
            <w:r>
              <w:rPr>
                <w:b/>
              </w:rPr>
              <w:t>(3.0)</w:t>
            </w:r>
          </w:p>
        </w:tc>
        <w:tc>
          <w:tcPr>
            <w:tcW w:w="1134" w:type="dxa"/>
            <w:vAlign w:val="bottom"/>
          </w:tcPr>
          <w:p w14:paraId="280EB69F" w14:textId="657B76BB" w:rsidR="005E0D3F" w:rsidRDefault="005E0D3F" w:rsidP="0006619B">
            <w:pPr>
              <w:pStyle w:val="T2"/>
              <w:jc w:val="right"/>
              <w:rPr>
                <w:b/>
                <w:bCs/>
              </w:rPr>
            </w:pPr>
            <w:r w:rsidRPr="002F2E9E">
              <w:rPr>
                <w:b/>
              </w:rPr>
              <w:t>–</w:t>
            </w:r>
          </w:p>
        </w:tc>
        <w:tc>
          <w:tcPr>
            <w:tcW w:w="1134" w:type="dxa"/>
            <w:vAlign w:val="bottom"/>
          </w:tcPr>
          <w:p w14:paraId="5780C455" w14:textId="3C0395CC" w:rsidR="005E0D3F" w:rsidRPr="00B34A04" w:rsidRDefault="004E2045" w:rsidP="0006619B">
            <w:pPr>
              <w:pStyle w:val="T2"/>
              <w:jc w:val="right"/>
              <w:rPr>
                <w:b/>
              </w:rPr>
            </w:pPr>
            <w:r>
              <w:rPr>
                <w:b/>
              </w:rPr>
              <w:t>(3.0)</w:t>
            </w:r>
          </w:p>
        </w:tc>
      </w:tr>
      <w:tr w:rsidR="005E0D3F" w:rsidRPr="00C50E20" w14:paraId="72F25B24" w14:textId="77777777" w:rsidTr="0006619B">
        <w:trPr>
          <w:trHeight w:val="423"/>
          <w:jc w:val="center"/>
        </w:trPr>
        <w:tc>
          <w:tcPr>
            <w:tcW w:w="4962" w:type="dxa"/>
          </w:tcPr>
          <w:p w14:paraId="17CAD24C" w14:textId="77777777" w:rsidR="005E0D3F" w:rsidRPr="005D0EFF" w:rsidRDefault="005E0D3F" w:rsidP="00997038">
            <w:pPr>
              <w:pStyle w:val="T2"/>
              <w:jc w:val="left"/>
              <w:rPr>
                <w:bCs/>
              </w:rPr>
            </w:pPr>
            <w:r w:rsidRPr="00006931">
              <w:rPr>
                <w:bCs/>
              </w:rPr>
              <w:t xml:space="preserve">Transfer to Retained Earnings on </w:t>
            </w:r>
            <w:r>
              <w:rPr>
                <w:bCs/>
              </w:rPr>
              <w:t xml:space="preserve">transfer </w:t>
            </w:r>
            <w:r w:rsidRPr="00006931">
              <w:rPr>
                <w:bCs/>
              </w:rPr>
              <w:t>of shares to beneficiaries of the Employee Benefit Trust</w:t>
            </w:r>
          </w:p>
        </w:tc>
        <w:tc>
          <w:tcPr>
            <w:tcW w:w="1134" w:type="dxa"/>
            <w:vAlign w:val="bottom"/>
          </w:tcPr>
          <w:p w14:paraId="5AF27889" w14:textId="3DAB212B" w:rsidR="005E0D3F" w:rsidRPr="003313E6" w:rsidRDefault="005E0D3F" w:rsidP="0006619B">
            <w:pPr>
              <w:pStyle w:val="T2"/>
              <w:jc w:val="right"/>
              <w:rPr>
                <w:b/>
                <w:bCs/>
              </w:rPr>
            </w:pPr>
            <w:r w:rsidRPr="002F2E9E">
              <w:rPr>
                <w:b/>
              </w:rPr>
              <w:t>–</w:t>
            </w:r>
          </w:p>
        </w:tc>
        <w:tc>
          <w:tcPr>
            <w:tcW w:w="1134" w:type="dxa"/>
            <w:vAlign w:val="bottom"/>
          </w:tcPr>
          <w:p w14:paraId="23071230" w14:textId="011FDD57" w:rsidR="005E0D3F" w:rsidRPr="003313E6" w:rsidRDefault="005E0D3F" w:rsidP="0006619B">
            <w:pPr>
              <w:pStyle w:val="T2"/>
              <w:jc w:val="right"/>
              <w:rPr>
                <w:b/>
                <w:bCs/>
              </w:rPr>
            </w:pPr>
            <w:r w:rsidRPr="002F2E9E">
              <w:rPr>
                <w:b/>
              </w:rPr>
              <w:t>–</w:t>
            </w:r>
          </w:p>
        </w:tc>
        <w:tc>
          <w:tcPr>
            <w:tcW w:w="1134" w:type="dxa"/>
            <w:vAlign w:val="bottom"/>
          </w:tcPr>
          <w:p w14:paraId="61517CEC" w14:textId="3CD5EFA6" w:rsidR="005E0D3F" w:rsidRPr="003313E6" w:rsidRDefault="004E2045" w:rsidP="0006619B">
            <w:pPr>
              <w:pStyle w:val="T2"/>
              <w:jc w:val="right"/>
              <w:rPr>
                <w:b/>
                <w:bCs/>
              </w:rPr>
            </w:pPr>
            <w:r>
              <w:rPr>
                <w:b/>
              </w:rPr>
              <w:t>0.2</w:t>
            </w:r>
          </w:p>
        </w:tc>
        <w:tc>
          <w:tcPr>
            <w:tcW w:w="1134" w:type="dxa"/>
            <w:vAlign w:val="bottom"/>
          </w:tcPr>
          <w:p w14:paraId="0E326080" w14:textId="510AF2B0" w:rsidR="005E0D3F" w:rsidRPr="003313E6" w:rsidRDefault="004E2045" w:rsidP="0006619B">
            <w:pPr>
              <w:pStyle w:val="T2"/>
              <w:jc w:val="right"/>
              <w:rPr>
                <w:b/>
                <w:bCs/>
              </w:rPr>
            </w:pPr>
            <w:r>
              <w:rPr>
                <w:b/>
              </w:rPr>
              <w:t>(0.2)</w:t>
            </w:r>
          </w:p>
        </w:tc>
        <w:tc>
          <w:tcPr>
            <w:tcW w:w="1134" w:type="dxa"/>
            <w:vAlign w:val="bottom"/>
          </w:tcPr>
          <w:p w14:paraId="3DACBE28" w14:textId="3A25C045" w:rsidR="005E0D3F" w:rsidRPr="003313E6" w:rsidRDefault="004E2045" w:rsidP="0006619B">
            <w:pPr>
              <w:pStyle w:val="T2"/>
              <w:jc w:val="right"/>
              <w:rPr>
                <w:b/>
                <w:bCs/>
              </w:rPr>
            </w:pPr>
            <w:r w:rsidRPr="000E3973">
              <w:rPr>
                <w:b/>
              </w:rPr>
              <w:t>–</w:t>
            </w:r>
          </w:p>
        </w:tc>
      </w:tr>
      <w:tr w:rsidR="005E0D3F" w:rsidRPr="00C50E20" w14:paraId="7CCEA259" w14:textId="77777777" w:rsidTr="0006619B">
        <w:trPr>
          <w:jc w:val="center"/>
        </w:trPr>
        <w:tc>
          <w:tcPr>
            <w:tcW w:w="4962" w:type="dxa"/>
            <w:tcBorders>
              <w:top w:val="single" w:sz="2" w:space="0" w:color="auto"/>
              <w:bottom w:val="single" w:sz="2" w:space="0" w:color="auto"/>
            </w:tcBorders>
          </w:tcPr>
          <w:p w14:paraId="2845B12E" w14:textId="3B03442B" w:rsidR="005E0D3F" w:rsidRPr="005D0EFF" w:rsidRDefault="005E0D3F" w:rsidP="00997038">
            <w:pPr>
              <w:pStyle w:val="T2"/>
              <w:jc w:val="left"/>
              <w:rPr>
                <w:b/>
                <w:bCs/>
              </w:rPr>
            </w:pPr>
            <w:r w:rsidRPr="005D0EFF">
              <w:rPr>
                <w:b/>
                <w:bCs/>
              </w:rPr>
              <w:t xml:space="preserve">At </w:t>
            </w:r>
            <w:r>
              <w:rPr>
                <w:b/>
                <w:bCs/>
              </w:rPr>
              <w:t>25 March 2022</w:t>
            </w:r>
          </w:p>
        </w:tc>
        <w:tc>
          <w:tcPr>
            <w:tcW w:w="1134" w:type="dxa"/>
            <w:tcBorders>
              <w:top w:val="single" w:sz="2" w:space="0" w:color="auto"/>
              <w:bottom w:val="single" w:sz="2" w:space="0" w:color="auto"/>
            </w:tcBorders>
          </w:tcPr>
          <w:p w14:paraId="14AAF7B2" w14:textId="355A2C1E" w:rsidR="005E0D3F" w:rsidRPr="003313E6" w:rsidRDefault="00E6317F" w:rsidP="00997038">
            <w:pPr>
              <w:pStyle w:val="T2"/>
              <w:jc w:val="right"/>
              <w:rPr>
                <w:b/>
                <w:bCs/>
              </w:rPr>
            </w:pPr>
            <w:r>
              <w:rPr>
                <w:b/>
              </w:rPr>
              <w:t>5.3</w:t>
            </w:r>
          </w:p>
        </w:tc>
        <w:tc>
          <w:tcPr>
            <w:tcW w:w="1134" w:type="dxa"/>
            <w:tcBorders>
              <w:top w:val="single" w:sz="2" w:space="0" w:color="auto"/>
              <w:bottom w:val="single" w:sz="2" w:space="0" w:color="auto"/>
            </w:tcBorders>
          </w:tcPr>
          <w:p w14:paraId="7DED342A" w14:textId="197E7E8B" w:rsidR="005E0D3F" w:rsidRPr="003313E6" w:rsidRDefault="00E6317F" w:rsidP="00997038">
            <w:pPr>
              <w:pStyle w:val="T2"/>
              <w:jc w:val="right"/>
              <w:rPr>
                <w:b/>
                <w:bCs/>
              </w:rPr>
            </w:pPr>
            <w:r>
              <w:rPr>
                <w:b/>
              </w:rPr>
              <w:t>89.7</w:t>
            </w:r>
          </w:p>
        </w:tc>
        <w:tc>
          <w:tcPr>
            <w:tcW w:w="1134" w:type="dxa"/>
            <w:tcBorders>
              <w:top w:val="single" w:sz="2" w:space="0" w:color="auto"/>
              <w:bottom w:val="single" w:sz="2" w:space="0" w:color="auto"/>
            </w:tcBorders>
          </w:tcPr>
          <w:p w14:paraId="0FF71A8F" w14:textId="2095BA8B" w:rsidR="005E0D3F" w:rsidRPr="003313E6" w:rsidRDefault="00E6317F" w:rsidP="00997038">
            <w:pPr>
              <w:pStyle w:val="T2"/>
              <w:jc w:val="right"/>
              <w:rPr>
                <w:b/>
                <w:bCs/>
              </w:rPr>
            </w:pPr>
            <w:r>
              <w:rPr>
                <w:b/>
              </w:rPr>
              <w:t>119.1</w:t>
            </w:r>
          </w:p>
        </w:tc>
        <w:tc>
          <w:tcPr>
            <w:tcW w:w="1134" w:type="dxa"/>
            <w:tcBorders>
              <w:top w:val="single" w:sz="2" w:space="0" w:color="auto"/>
              <w:bottom w:val="single" w:sz="2" w:space="0" w:color="auto"/>
            </w:tcBorders>
          </w:tcPr>
          <w:p w14:paraId="15C297A0" w14:textId="2435EFB8" w:rsidR="005E0D3F" w:rsidRPr="003313E6" w:rsidRDefault="00E6317F" w:rsidP="00997038">
            <w:pPr>
              <w:pStyle w:val="T2"/>
              <w:jc w:val="right"/>
              <w:rPr>
                <w:b/>
                <w:bCs/>
              </w:rPr>
            </w:pPr>
            <w:r>
              <w:rPr>
                <w:b/>
              </w:rPr>
              <w:t>2</w:t>
            </w:r>
            <w:r w:rsidR="00884A63">
              <w:rPr>
                <w:b/>
              </w:rPr>
              <w:t>26.5</w:t>
            </w:r>
          </w:p>
        </w:tc>
        <w:tc>
          <w:tcPr>
            <w:tcW w:w="1134" w:type="dxa"/>
            <w:tcBorders>
              <w:top w:val="single" w:sz="2" w:space="0" w:color="auto"/>
              <w:bottom w:val="single" w:sz="2" w:space="0" w:color="auto"/>
            </w:tcBorders>
          </w:tcPr>
          <w:p w14:paraId="653F8706" w14:textId="63F9A3A3" w:rsidR="005E0D3F" w:rsidRPr="003313E6" w:rsidRDefault="00E6317F" w:rsidP="00997038">
            <w:pPr>
              <w:pStyle w:val="T2"/>
              <w:jc w:val="right"/>
              <w:rPr>
                <w:b/>
                <w:bCs/>
              </w:rPr>
            </w:pPr>
            <w:r>
              <w:rPr>
                <w:b/>
              </w:rPr>
              <w:t>4</w:t>
            </w:r>
            <w:r w:rsidR="00884A63">
              <w:rPr>
                <w:b/>
              </w:rPr>
              <w:t>40.6</w:t>
            </w:r>
          </w:p>
        </w:tc>
      </w:tr>
    </w:tbl>
    <w:p w14:paraId="1E371FAE" w14:textId="77777777" w:rsidR="009C27E0" w:rsidRDefault="009C27E0"/>
    <w:tbl>
      <w:tblPr>
        <w:tblStyle w:val="TableGrid"/>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709"/>
        <w:gridCol w:w="992"/>
        <w:gridCol w:w="850"/>
        <w:gridCol w:w="992"/>
        <w:gridCol w:w="826"/>
        <w:gridCol w:w="1020"/>
        <w:gridCol w:w="847"/>
      </w:tblGrid>
      <w:tr w:rsidR="00773F7B" w:rsidRPr="00BD5017" w14:paraId="38469C99" w14:textId="77777777" w:rsidTr="00B52070">
        <w:trPr>
          <w:jc w:val="center"/>
        </w:trPr>
        <w:tc>
          <w:tcPr>
            <w:tcW w:w="4395" w:type="dxa"/>
            <w:vAlign w:val="bottom"/>
          </w:tcPr>
          <w:p w14:paraId="43C706B1" w14:textId="77777777" w:rsidR="00773F7B" w:rsidRPr="00E57F3E" w:rsidRDefault="00773F7B" w:rsidP="00773F7B">
            <w:pPr>
              <w:pStyle w:val="T2"/>
              <w:jc w:val="left"/>
            </w:pPr>
          </w:p>
        </w:tc>
        <w:tc>
          <w:tcPr>
            <w:tcW w:w="709" w:type="dxa"/>
            <w:vAlign w:val="bottom"/>
          </w:tcPr>
          <w:p w14:paraId="45587BC8" w14:textId="77777777" w:rsidR="00773F7B" w:rsidRPr="00B52070" w:rsidRDefault="00773F7B" w:rsidP="00B52070">
            <w:pPr>
              <w:pStyle w:val="T2"/>
              <w:ind w:left="-126" w:firstLine="126"/>
              <w:jc w:val="right"/>
            </w:pPr>
            <w:r w:rsidRPr="00BE7FD5">
              <w:t>Share capital</w:t>
            </w:r>
          </w:p>
        </w:tc>
        <w:tc>
          <w:tcPr>
            <w:tcW w:w="992" w:type="dxa"/>
            <w:vAlign w:val="bottom"/>
          </w:tcPr>
          <w:p w14:paraId="6E918C6F" w14:textId="77777777" w:rsidR="00773F7B" w:rsidRPr="00B52070" w:rsidRDefault="00773F7B" w:rsidP="00B52070">
            <w:pPr>
              <w:pStyle w:val="T2"/>
              <w:ind w:left="-126" w:firstLine="126"/>
              <w:jc w:val="right"/>
            </w:pPr>
            <w:r w:rsidRPr="00BE7FD5">
              <w:t>Share premium</w:t>
            </w:r>
          </w:p>
        </w:tc>
        <w:tc>
          <w:tcPr>
            <w:tcW w:w="850" w:type="dxa"/>
            <w:vAlign w:val="bottom"/>
          </w:tcPr>
          <w:p w14:paraId="60C563ED" w14:textId="77777777" w:rsidR="00773F7B" w:rsidRPr="00B52070" w:rsidRDefault="00773F7B" w:rsidP="00B52070">
            <w:pPr>
              <w:pStyle w:val="T2"/>
              <w:ind w:left="-126" w:firstLine="126"/>
              <w:jc w:val="right"/>
            </w:pPr>
            <w:r w:rsidRPr="00BE7FD5">
              <w:t>Other reserves</w:t>
            </w:r>
          </w:p>
        </w:tc>
        <w:tc>
          <w:tcPr>
            <w:tcW w:w="992" w:type="dxa"/>
            <w:vAlign w:val="bottom"/>
          </w:tcPr>
          <w:p w14:paraId="0F9760A1" w14:textId="77777777" w:rsidR="00773F7B" w:rsidRPr="00B52070" w:rsidRDefault="00773F7B" w:rsidP="00B52070">
            <w:pPr>
              <w:pStyle w:val="T2"/>
              <w:ind w:left="-126" w:firstLine="126"/>
              <w:jc w:val="right"/>
            </w:pPr>
            <w:r w:rsidRPr="00BE7FD5">
              <w:t>Retained earnings</w:t>
            </w:r>
          </w:p>
        </w:tc>
        <w:tc>
          <w:tcPr>
            <w:tcW w:w="826" w:type="dxa"/>
            <w:vAlign w:val="bottom"/>
          </w:tcPr>
          <w:p w14:paraId="3D62B8AF" w14:textId="77777777" w:rsidR="00773F7B" w:rsidRPr="00B52070" w:rsidRDefault="00773F7B" w:rsidP="00B52070">
            <w:pPr>
              <w:pStyle w:val="T2"/>
              <w:ind w:left="-126" w:firstLine="126"/>
              <w:jc w:val="right"/>
            </w:pPr>
            <w:r w:rsidRPr="00BE7FD5">
              <w:t>Total</w:t>
            </w:r>
          </w:p>
        </w:tc>
        <w:tc>
          <w:tcPr>
            <w:tcW w:w="1020" w:type="dxa"/>
            <w:vAlign w:val="bottom"/>
          </w:tcPr>
          <w:p w14:paraId="0F53F442" w14:textId="77777777" w:rsidR="00773F7B" w:rsidRPr="00B52070" w:rsidRDefault="00773F7B" w:rsidP="00B52070">
            <w:pPr>
              <w:pStyle w:val="T2"/>
              <w:ind w:left="-126" w:right="-10" w:firstLine="126"/>
              <w:jc w:val="right"/>
            </w:pPr>
            <w:r w:rsidRPr="00BE7FD5">
              <w:t>Non–controlling interest</w:t>
            </w:r>
          </w:p>
        </w:tc>
        <w:tc>
          <w:tcPr>
            <w:tcW w:w="847" w:type="dxa"/>
            <w:vAlign w:val="bottom"/>
          </w:tcPr>
          <w:p w14:paraId="22CE43EC" w14:textId="77777777" w:rsidR="00773F7B" w:rsidRPr="00BE7FD5" w:rsidRDefault="00773F7B" w:rsidP="00B52070">
            <w:pPr>
              <w:pStyle w:val="T2"/>
              <w:ind w:left="-126" w:firstLine="126"/>
              <w:jc w:val="right"/>
            </w:pPr>
            <w:r w:rsidRPr="00BE7FD5">
              <w:t xml:space="preserve">Total </w:t>
            </w:r>
          </w:p>
          <w:p w14:paraId="5E107432" w14:textId="77777777" w:rsidR="00773F7B" w:rsidRPr="00B52070" w:rsidRDefault="00773F7B" w:rsidP="00B52070">
            <w:pPr>
              <w:pStyle w:val="T2"/>
              <w:ind w:left="-126" w:firstLine="126"/>
              <w:jc w:val="right"/>
            </w:pPr>
            <w:r w:rsidRPr="00BE7FD5">
              <w:t>equity</w:t>
            </w:r>
          </w:p>
        </w:tc>
      </w:tr>
      <w:tr w:rsidR="00773F7B" w:rsidRPr="00BD5017" w14:paraId="46D72EF3" w14:textId="77777777" w:rsidTr="00B52070">
        <w:trPr>
          <w:jc w:val="center"/>
        </w:trPr>
        <w:tc>
          <w:tcPr>
            <w:tcW w:w="4395" w:type="dxa"/>
            <w:tcBorders>
              <w:bottom w:val="single" w:sz="2" w:space="0" w:color="auto"/>
            </w:tcBorders>
            <w:vAlign w:val="bottom"/>
          </w:tcPr>
          <w:p w14:paraId="07F26BC8" w14:textId="77777777" w:rsidR="00773F7B" w:rsidRPr="00E57F3E" w:rsidRDefault="00773F7B" w:rsidP="00773F7B">
            <w:pPr>
              <w:pStyle w:val="T2"/>
              <w:jc w:val="left"/>
              <w:rPr>
                <w:b/>
              </w:rPr>
            </w:pPr>
          </w:p>
        </w:tc>
        <w:tc>
          <w:tcPr>
            <w:tcW w:w="709" w:type="dxa"/>
            <w:tcBorders>
              <w:bottom w:val="single" w:sz="2" w:space="0" w:color="auto"/>
            </w:tcBorders>
            <w:vAlign w:val="bottom"/>
          </w:tcPr>
          <w:p w14:paraId="7A1D9518" w14:textId="77777777" w:rsidR="00773F7B" w:rsidRPr="00B52070" w:rsidRDefault="00773F7B" w:rsidP="00B52070">
            <w:pPr>
              <w:pStyle w:val="T2"/>
              <w:ind w:left="-126" w:firstLine="126"/>
              <w:jc w:val="right"/>
            </w:pPr>
            <w:r w:rsidRPr="00BE7FD5">
              <w:t>£m</w:t>
            </w:r>
          </w:p>
        </w:tc>
        <w:tc>
          <w:tcPr>
            <w:tcW w:w="992" w:type="dxa"/>
            <w:tcBorders>
              <w:bottom w:val="single" w:sz="2" w:space="0" w:color="auto"/>
            </w:tcBorders>
            <w:vAlign w:val="bottom"/>
          </w:tcPr>
          <w:p w14:paraId="5BEDB7D2" w14:textId="77777777" w:rsidR="00773F7B" w:rsidRPr="00B52070" w:rsidRDefault="00773F7B" w:rsidP="00B52070">
            <w:pPr>
              <w:pStyle w:val="T2"/>
              <w:ind w:left="-126" w:firstLine="126"/>
              <w:jc w:val="right"/>
            </w:pPr>
            <w:r w:rsidRPr="00BE7FD5">
              <w:t>£m</w:t>
            </w:r>
          </w:p>
        </w:tc>
        <w:tc>
          <w:tcPr>
            <w:tcW w:w="850" w:type="dxa"/>
            <w:tcBorders>
              <w:bottom w:val="single" w:sz="2" w:space="0" w:color="auto"/>
            </w:tcBorders>
            <w:vAlign w:val="bottom"/>
          </w:tcPr>
          <w:p w14:paraId="49B1E81A" w14:textId="77777777" w:rsidR="00773F7B" w:rsidRPr="00B52070" w:rsidRDefault="00773F7B" w:rsidP="00B52070">
            <w:pPr>
              <w:pStyle w:val="T2"/>
              <w:ind w:left="-126" w:firstLine="126"/>
              <w:jc w:val="right"/>
            </w:pPr>
            <w:r w:rsidRPr="00BE7FD5">
              <w:t>£m</w:t>
            </w:r>
          </w:p>
        </w:tc>
        <w:tc>
          <w:tcPr>
            <w:tcW w:w="992" w:type="dxa"/>
            <w:tcBorders>
              <w:bottom w:val="single" w:sz="2" w:space="0" w:color="auto"/>
            </w:tcBorders>
            <w:vAlign w:val="bottom"/>
          </w:tcPr>
          <w:p w14:paraId="49220E1A" w14:textId="77777777" w:rsidR="00773F7B" w:rsidRPr="00B52070" w:rsidRDefault="00773F7B" w:rsidP="00B52070">
            <w:pPr>
              <w:pStyle w:val="T2"/>
              <w:ind w:left="-126" w:firstLine="126"/>
              <w:jc w:val="right"/>
            </w:pPr>
            <w:r w:rsidRPr="00BE7FD5">
              <w:t>£m</w:t>
            </w:r>
          </w:p>
        </w:tc>
        <w:tc>
          <w:tcPr>
            <w:tcW w:w="826" w:type="dxa"/>
            <w:tcBorders>
              <w:bottom w:val="single" w:sz="2" w:space="0" w:color="auto"/>
            </w:tcBorders>
            <w:vAlign w:val="bottom"/>
          </w:tcPr>
          <w:p w14:paraId="3A83E16C" w14:textId="77777777" w:rsidR="00773F7B" w:rsidRPr="00B52070" w:rsidRDefault="00773F7B" w:rsidP="00B52070">
            <w:pPr>
              <w:pStyle w:val="T2"/>
              <w:ind w:left="-126" w:firstLine="126"/>
              <w:jc w:val="right"/>
            </w:pPr>
            <w:r w:rsidRPr="00BE7FD5">
              <w:t>£m</w:t>
            </w:r>
          </w:p>
        </w:tc>
        <w:tc>
          <w:tcPr>
            <w:tcW w:w="1020" w:type="dxa"/>
            <w:tcBorders>
              <w:bottom w:val="single" w:sz="2" w:space="0" w:color="auto"/>
            </w:tcBorders>
            <w:vAlign w:val="bottom"/>
          </w:tcPr>
          <w:p w14:paraId="706BCE3D" w14:textId="77777777" w:rsidR="00773F7B" w:rsidRPr="00B52070" w:rsidRDefault="00773F7B" w:rsidP="00B52070">
            <w:pPr>
              <w:pStyle w:val="T2"/>
              <w:ind w:left="-126" w:firstLine="126"/>
              <w:jc w:val="right"/>
            </w:pPr>
            <w:r w:rsidRPr="00BE7FD5">
              <w:t>£m</w:t>
            </w:r>
          </w:p>
        </w:tc>
        <w:tc>
          <w:tcPr>
            <w:tcW w:w="847" w:type="dxa"/>
            <w:tcBorders>
              <w:bottom w:val="single" w:sz="2" w:space="0" w:color="auto"/>
            </w:tcBorders>
            <w:vAlign w:val="bottom"/>
          </w:tcPr>
          <w:p w14:paraId="72D3EA7A" w14:textId="77777777" w:rsidR="00773F7B" w:rsidRPr="00B52070" w:rsidRDefault="00773F7B" w:rsidP="00B52070">
            <w:pPr>
              <w:pStyle w:val="T2"/>
              <w:ind w:left="-126" w:firstLine="126"/>
              <w:jc w:val="right"/>
            </w:pPr>
            <w:r w:rsidRPr="00BE7FD5">
              <w:t>£m</w:t>
            </w:r>
          </w:p>
        </w:tc>
      </w:tr>
      <w:tr w:rsidR="00773F7B" w14:paraId="14263EF5" w14:textId="77777777" w:rsidTr="00B52070">
        <w:trPr>
          <w:jc w:val="center"/>
        </w:trPr>
        <w:tc>
          <w:tcPr>
            <w:tcW w:w="4395" w:type="dxa"/>
            <w:tcBorders>
              <w:top w:val="single" w:sz="2" w:space="0" w:color="auto"/>
              <w:bottom w:val="single" w:sz="2" w:space="0" w:color="auto"/>
            </w:tcBorders>
            <w:vAlign w:val="bottom"/>
          </w:tcPr>
          <w:p w14:paraId="4830F805" w14:textId="00EB7705" w:rsidR="00773F7B" w:rsidRPr="00B52070" w:rsidRDefault="00773F7B" w:rsidP="002F718C">
            <w:pPr>
              <w:pStyle w:val="T2"/>
              <w:jc w:val="left"/>
              <w:rPr>
                <w:b/>
              </w:rPr>
            </w:pPr>
            <w:r w:rsidRPr="00B52070">
              <w:rPr>
                <w:b/>
              </w:rPr>
              <w:t>At 2</w:t>
            </w:r>
            <w:r w:rsidR="00997038">
              <w:rPr>
                <w:b/>
              </w:rPr>
              <w:t>5</w:t>
            </w:r>
            <w:r w:rsidRPr="00B52070">
              <w:rPr>
                <w:b/>
              </w:rPr>
              <w:t xml:space="preserve"> September 20</w:t>
            </w:r>
            <w:r w:rsidR="00997038">
              <w:rPr>
                <w:b/>
              </w:rPr>
              <w:t>20</w:t>
            </w:r>
            <w:r w:rsidRPr="00B52070">
              <w:rPr>
                <w:b/>
              </w:rPr>
              <w:t xml:space="preserve"> </w:t>
            </w:r>
          </w:p>
        </w:tc>
        <w:tc>
          <w:tcPr>
            <w:tcW w:w="709" w:type="dxa"/>
            <w:tcBorders>
              <w:top w:val="single" w:sz="2" w:space="0" w:color="auto"/>
              <w:bottom w:val="single" w:sz="2" w:space="0" w:color="auto"/>
            </w:tcBorders>
            <w:vAlign w:val="bottom"/>
          </w:tcPr>
          <w:p w14:paraId="19A7A632" w14:textId="77777777" w:rsidR="00773F7B" w:rsidRPr="00BE7FD5" w:rsidRDefault="002F718C" w:rsidP="00773F7B">
            <w:pPr>
              <w:pStyle w:val="T2"/>
              <w:jc w:val="right"/>
              <w:rPr>
                <w:bCs/>
              </w:rPr>
            </w:pPr>
            <w:r>
              <w:rPr>
                <w:bCs/>
              </w:rPr>
              <w:t>4.5</w:t>
            </w:r>
          </w:p>
        </w:tc>
        <w:tc>
          <w:tcPr>
            <w:tcW w:w="992" w:type="dxa"/>
            <w:tcBorders>
              <w:top w:val="single" w:sz="2" w:space="0" w:color="auto"/>
              <w:bottom w:val="single" w:sz="2" w:space="0" w:color="auto"/>
            </w:tcBorders>
            <w:vAlign w:val="bottom"/>
          </w:tcPr>
          <w:p w14:paraId="4F9F7F7D" w14:textId="2AE237B4" w:rsidR="00773F7B" w:rsidRPr="00BD5B9E" w:rsidRDefault="002F718C" w:rsidP="00773F7B">
            <w:pPr>
              <w:pStyle w:val="T2"/>
              <w:jc w:val="right"/>
              <w:rPr>
                <w:bCs/>
              </w:rPr>
            </w:pPr>
            <w:r>
              <w:rPr>
                <w:bCs/>
              </w:rPr>
              <w:t>0.</w:t>
            </w:r>
            <w:r w:rsidR="004B6E8D">
              <w:rPr>
                <w:bCs/>
              </w:rPr>
              <w:t>4</w:t>
            </w:r>
          </w:p>
        </w:tc>
        <w:tc>
          <w:tcPr>
            <w:tcW w:w="850" w:type="dxa"/>
            <w:tcBorders>
              <w:top w:val="single" w:sz="2" w:space="0" w:color="auto"/>
              <w:bottom w:val="single" w:sz="2" w:space="0" w:color="auto"/>
            </w:tcBorders>
            <w:vAlign w:val="bottom"/>
          </w:tcPr>
          <w:p w14:paraId="34EAC882" w14:textId="12021182" w:rsidR="00773F7B" w:rsidRPr="00850427" w:rsidRDefault="002F718C" w:rsidP="00773F7B">
            <w:pPr>
              <w:pStyle w:val="T2"/>
              <w:jc w:val="right"/>
              <w:rPr>
                <w:bCs/>
              </w:rPr>
            </w:pPr>
            <w:r>
              <w:rPr>
                <w:bCs/>
              </w:rPr>
              <w:t>1</w:t>
            </w:r>
            <w:r w:rsidR="004B6E8D">
              <w:rPr>
                <w:bCs/>
              </w:rPr>
              <w:t>23.9</w:t>
            </w:r>
          </w:p>
        </w:tc>
        <w:tc>
          <w:tcPr>
            <w:tcW w:w="992" w:type="dxa"/>
            <w:tcBorders>
              <w:top w:val="single" w:sz="2" w:space="0" w:color="auto"/>
              <w:bottom w:val="single" w:sz="2" w:space="0" w:color="auto"/>
            </w:tcBorders>
            <w:vAlign w:val="bottom"/>
          </w:tcPr>
          <w:p w14:paraId="2E1B04DC" w14:textId="5E5C0DCC" w:rsidR="00773F7B" w:rsidRPr="00313FBC" w:rsidRDefault="00AB4E31" w:rsidP="00773F7B">
            <w:pPr>
              <w:pStyle w:val="T2"/>
              <w:jc w:val="right"/>
              <w:rPr>
                <w:bCs/>
              </w:rPr>
            </w:pPr>
            <w:r>
              <w:rPr>
                <w:bCs/>
              </w:rPr>
              <w:t>147.7</w:t>
            </w:r>
          </w:p>
        </w:tc>
        <w:tc>
          <w:tcPr>
            <w:tcW w:w="826" w:type="dxa"/>
            <w:tcBorders>
              <w:top w:val="single" w:sz="2" w:space="0" w:color="auto"/>
              <w:bottom w:val="single" w:sz="2" w:space="0" w:color="auto"/>
            </w:tcBorders>
            <w:vAlign w:val="bottom"/>
          </w:tcPr>
          <w:p w14:paraId="5D963965" w14:textId="101C3615" w:rsidR="00773F7B" w:rsidRPr="006D0A46" w:rsidRDefault="002F718C" w:rsidP="00773F7B">
            <w:pPr>
              <w:pStyle w:val="T2"/>
              <w:jc w:val="right"/>
              <w:rPr>
                <w:bCs/>
              </w:rPr>
            </w:pPr>
            <w:r>
              <w:rPr>
                <w:bCs/>
              </w:rPr>
              <w:t>2</w:t>
            </w:r>
            <w:r w:rsidR="004B6E8D">
              <w:rPr>
                <w:bCs/>
              </w:rPr>
              <w:t>76.5</w:t>
            </w:r>
          </w:p>
        </w:tc>
        <w:tc>
          <w:tcPr>
            <w:tcW w:w="1020" w:type="dxa"/>
            <w:tcBorders>
              <w:top w:val="single" w:sz="2" w:space="0" w:color="auto"/>
              <w:bottom w:val="single" w:sz="2" w:space="0" w:color="auto"/>
            </w:tcBorders>
            <w:vAlign w:val="bottom"/>
          </w:tcPr>
          <w:p w14:paraId="6724D0D9" w14:textId="631DD14D" w:rsidR="00773F7B" w:rsidRPr="00AF32EB" w:rsidRDefault="004B6E8D" w:rsidP="00773F7B">
            <w:pPr>
              <w:pStyle w:val="T2"/>
              <w:jc w:val="right"/>
              <w:rPr>
                <w:bCs/>
              </w:rPr>
            </w:pPr>
            <w:r>
              <w:rPr>
                <w:bCs/>
              </w:rPr>
              <w:t>5.7</w:t>
            </w:r>
          </w:p>
        </w:tc>
        <w:tc>
          <w:tcPr>
            <w:tcW w:w="847" w:type="dxa"/>
            <w:tcBorders>
              <w:top w:val="single" w:sz="2" w:space="0" w:color="auto"/>
              <w:bottom w:val="single" w:sz="2" w:space="0" w:color="auto"/>
            </w:tcBorders>
            <w:vAlign w:val="bottom"/>
          </w:tcPr>
          <w:p w14:paraId="0A6D0A06" w14:textId="0E96A7C0" w:rsidR="00773F7B" w:rsidRPr="001C4EF0" w:rsidRDefault="004B6E8D" w:rsidP="00773F7B">
            <w:pPr>
              <w:pStyle w:val="T2"/>
              <w:jc w:val="right"/>
              <w:rPr>
                <w:bCs/>
              </w:rPr>
            </w:pPr>
            <w:r>
              <w:rPr>
                <w:bCs/>
              </w:rPr>
              <w:t>282.2</w:t>
            </w:r>
          </w:p>
        </w:tc>
      </w:tr>
      <w:tr w:rsidR="00773F7B" w14:paraId="27DEBDED" w14:textId="77777777" w:rsidTr="00B52070">
        <w:trPr>
          <w:jc w:val="center"/>
        </w:trPr>
        <w:tc>
          <w:tcPr>
            <w:tcW w:w="4395" w:type="dxa"/>
            <w:tcBorders>
              <w:top w:val="single" w:sz="2" w:space="0" w:color="auto"/>
            </w:tcBorders>
            <w:vAlign w:val="bottom"/>
          </w:tcPr>
          <w:p w14:paraId="0CF0EDF2" w14:textId="77777777" w:rsidR="00773F7B" w:rsidRPr="006D6AC9" w:rsidRDefault="00773F7B" w:rsidP="00773F7B">
            <w:pPr>
              <w:pStyle w:val="T2"/>
              <w:jc w:val="left"/>
              <w:rPr>
                <w:b/>
              </w:rPr>
            </w:pPr>
            <w:r w:rsidRPr="006D6AC9">
              <w:rPr>
                <w:b/>
                <w:bCs/>
              </w:rPr>
              <w:t>Items of income and expense taken directly to equity</w:t>
            </w:r>
          </w:p>
        </w:tc>
        <w:tc>
          <w:tcPr>
            <w:tcW w:w="709" w:type="dxa"/>
            <w:tcBorders>
              <w:top w:val="single" w:sz="2" w:space="0" w:color="auto"/>
            </w:tcBorders>
            <w:vAlign w:val="bottom"/>
          </w:tcPr>
          <w:p w14:paraId="11E521A0" w14:textId="77777777" w:rsidR="00773F7B" w:rsidRPr="00BE7FD5" w:rsidRDefault="00773F7B" w:rsidP="00773F7B">
            <w:pPr>
              <w:pStyle w:val="T2"/>
              <w:jc w:val="right"/>
              <w:rPr>
                <w:bCs/>
              </w:rPr>
            </w:pPr>
          </w:p>
        </w:tc>
        <w:tc>
          <w:tcPr>
            <w:tcW w:w="992" w:type="dxa"/>
            <w:tcBorders>
              <w:top w:val="single" w:sz="2" w:space="0" w:color="auto"/>
            </w:tcBorders>
            <w:vAlign w:val="bottom"/>
          </w:tcPr>
          <w:p w14:paraId="1E47C042" w14:textId="77777777" w:rsidR="00773F7B" w:rsidRPr="00BD5B9E" w:rsidRDefault="00773F7B" w:rsidP="00773F7B">
            <w:pPr>
              <w:pStyle w:val="T2"/>
              <w:jc w:val="right"/>
              <w:rPr>
                <w:bCs/>
              </w:rPr>
            </w:pPr>
          </w:p>
        </w:tc>
        <w:tc>
          <w:tcPr>
            <w:tcW w:w="850" w:type="dxa"/>
            <w:tcBorders>
              <w:top w:val="single" w:sz="2" w:space="0" w:color="auto"/>
            </w:tcBorders>
            <w:vAlign w:val="bottom"/>
          </w:tcPr>
          <w:p w14:paraId="41A7623E" w14:textId="77777777" w:rsidR="00773F7B" w:rsidRPr="0052700C" w:rsidRDefault="00773F7B" w:rsidP="00773F7B">
            <w:pPr>
              <w:pStyle w:val="T2"/>
              <w:jc w:val="right"/>
              <w:rPr>
                <w:bCs/>
              </w:rPr>
            </w:pPr>
          </w:p>
        </w:tc>
        <w:tc>
          <w:tcPr>
            <w:tcW w:w="992" w:type="dxa"/>
            <w:tcBorders>
              <w:top w:val="single" w:sz="2" w:space="0" w:color="auto"/>
            </w:tcBorders>
            <w:vAlign w:val="bottom"/>
          </w:tcPr>
          <w:p w14:paraId="4D70BC30" w14:textId="77777777" w:rsidR="00773F7B" w:rsidRPr="00850427" w:rsidRDefault="00773F7B" w:rsidP="00773F7B">
            <w:pPr>
              <w:pStyle w:val="T2"/>
              <w:jc w:val="right"/>
              <w:rPr>
                <w:bCs/>
              </w:rPr>
            </w:pPr>
          </w:p>
        </w:tc>
        <w:tc>
          <w:tcPr>
            <w:tcW w:w="826" w:type="dxa"/>
            <w:tcBorders>
              <w:top w:val="single" w:sz="2" w:space="0" w:color="auto"/>
            </w:tcBorders>
            <w:vAlign w:val="bottom"/>
          </w:tcPr>
          <w:p w14:paraId="78F06B34" w14:textId="77777777" w:rsidR="00773F7B" w:rsidRPr="00313FBC" w:rsidRDefault="00773F7B" w:rsidP="00773F7B">
            <w:pPr>
              <w:pStyle w:val="T2"/>
              <w:jc w:val="right"/>
              <w:rPr>
                <w:bCs/>
              </w:rPr>
            </w:pPr>
          </w:p>
        </w:tc>
        <w:tc>
          <w:tcPr>
            <w:tcW w:w="1020" w:type="dxa"/>
            <w:tcBorders>
              <w:top w:val="single" w:sz="2" w:space="0" w:color="auto"/>
            </w:tcBorders>
            <w:vAlign w:val="bottom"/>
          </w:tcPr>
          <w:p w14:paraId="3A4DAE11" w14:textId="77777777" w:rsidR="00773F7B" w:rsidRPr="00313FBC" w:rsidRDefault="00773F7B" w:rsidP="00773F7B">
            <w:pPr>
              <w:pStyle w:val="T2"/>
              <w:jc w:val="right"/>
              <w:rPr>
                <w:bCs/>
              </w:rPr>
            </w:pPr>
          </w:p>
        </w:tc>
        <w:tc>
          <w:tcPr>
            <w:tcW w:w="847" w:type="dxa"/>
            <w:tcBorders>
              <w:top w:val="single" w:sz="2" w:space="0" w:color="auto"/>
            </w:tcBorders>
            <w:vAlign w:val="bottom"/>
          </w:tcPr>
          <w:p w14:paraId="511B8589" w14:textId="77777777" w:rsidR="00773F7B" w:rsidRPr="006D0A46" w:rsidRDefault="00773F7B" w:rsidP="00773F7B">
            <w:pPr>
              <w:pStyle w:val="T2"/>
              <w:jc w:val="right"/>
              <w:rPr>
                <w:bCs/>
              </w:rPr>
            </w:pPr>
          </w:p>
        </w:tc>
      </w:tr>
      <w:tr w:rsidR="00997038" w14:paraId="678E16D6" w14:textId="77777777" w:rsidTr="00B52070">
        <w:trPr>
          <w:jc w:val="center"/>
        </w:trPr>
        <w:tc>
          <w:tcPr>
            <w:tcW w:w="4395" w:type="dxa"/>
            <w:vAlign w:val="bottom"/>
          </w:tcPr>
          <w:p w14:paraId="2728E8D1" w14:textId="77777777" w:rsidR="00997038" w:rsidRPr="00E57F3E" w:rsidRDefault="00997038" w:rsidP="00997038">
            <w:pPr>
              <w:pStyle w:val="T2"/>
              <w:jc w:val="left"/>
              <w:rPr>
                <w:b/>
              </w:rPr>
            </w:pPr>
            <w:r w:rsidRPr="0096767F">
              <w:rPr>
                <w:bCs/>
              </w:rPr>
              <w:t>Currency translation adjustment</w:t>
            </w:r>
          </w:p>
        </w:tc>
        <w:tc>
          <w:tcPr>
            <w:tcW w:w="709" w:type="dxa"/>
            <w:vAlign w:val="bottom"/>
          </w:tcPr>
          <w:p w14:paraId="67786AD9" w14:textId="15EA165F" w:rsidR="00997038" w:rsidRPr="00997038" w:rsidRDefault="00997038" w:rsidP="00997038">
            <w:pPr>
              <w:pStyle w:val="T2"/>
              <w:jc w:val="right"/>
              <w:rPr>
                <w:bCs/>
              </w:rPr>
            </w:pPr>
            <w:r w:rsidRPr="00997038">
              <w:rPr>
                <w:bCs/>
              </w:rPr>
              <w:t>–</w:t>
            </w:r>
          </w:p>
        </w:tc>
        <w:tc>
          <w:tcPr>
            <w:tcW w:w="992" w:type="dxa"/>
            <w:vAlign w:val="bottom"/>
          </w:tcPr>
          <w:p w14:paraId="11A7E745" w14:textId="66EBB8A5" w:rsidR="00997038" w:rsidRPr="00997038" w:rsidRDefault="00997038" w:rsidP="00997038">
            <w:pPr>
              <w:pStyle w:val="T2"/>
              <w:jc w:val="right"/>
              <w:rPr>
                <w:bCs/>
              </w:rPr>
            </w:pPr>
            <w:r w:rsidRPr="00997038">
              <w:rPr>
                <w:bCs/>
              </w:rPr>
              <w:t>–</w:t>
            </w:r>
          </w:p>
        </w:tc>
        <w:tc>
          <w:tcPr>
            <w:tcW w:w="850" w:type="dxa"/>
            <w:vAlign w:val="bottom"/>
          </w:tcPr>
          <w:p w14:paraId="715FECC6" w14:textId="2E123557" w:rsidR="00997038" w:rsidRPr="00997038" w:rsidRDefault="00997038" w:rsidP="00997038">
            <w:pPr>
              <w:pStyle w:val="T2"/>
              <w:jc w:val="right"/>
              <w:rPr>
                <w:bCs/>
              </w:rPr>
            </w:pPr>
            <w:r w:rsidRPr="00997038">
              <w:rPr>
                <w:bCs/>
              </w:rPr>
              <w:t>(3.2)</w:t>
            </w:r>
          </w:p>
        </w:tc>
        <w:tc>
          <w:tcPr>
            <w:tcW w:w="992" w:type="dxa"/>
            <w:vAlign w:val="bottom"/>
          </w:tcPr>
          <w:p w14:paraId="080B564E" w14:textId="72848804" w:rsidR="00997038" w:rsidRPr="00997038" w:rsidRDefault="00997038" w:rsidP="00997038">
            <w:pPr>
              <w:pStyle w:val="T2"/>
              <w:jc w:val="right"/>
              <w:rPr>
                <w:bCs/>
              </w:rPr>
            </w:pPr>
            <w:r w:rsidRPr="00997038">
              <w:rPr>
                <w:bCs/>
              </w:rPr>
              <w:t>–</w:t>
            </w:r>
          </w:p>
        </w:tc>
        <w:tc>
          <w:tcPr>
            <w:tcW w:w="826" w:type="dxa"/>
            <w:vAlign w:val="bottom"/>
          </w:tcPr>
          <w:p w14:paraId="35FA90E1" w14:textId="2CB6ADA0" w:rsidR="00997038" w:rsidRPr="00997038" w:rsidRDefault="00997038" w:rsidP="00997038">
            <w:pPr>
              <w:pStyle w:val="T2"/>
              <w:jc w:val="right"/>
              <w:rPr>
                <w:bCs/>
              </w:rPr>
            </w:pPr>
            <w:r w:rsidRPr="00997038">
              <w:rPr>
                <w:bCs/>
              </w:rPr>
              <w:t>(3.2)</w:t>
            </w:r>
          </w:p>
        </w:tc>
        <w:tc>
          <w:tcPr>
            <w:tcW w:w="1020" w:type="dxa"/>
            <w:vAlign w:val="bottom"/>
          </w:tcPr>
          <w:p w14:paraId="6894D776" w14:textId="7B02B1C9" w:rsidR="00997038" w:rsidRPr="00997038" w:rsidRDefault="00997038" w:rsidP="00997038">
            <w:pPr>
              <w:pStyle w:val="T2"/>
              <w:jc w:val="right"/>
              <w:rPr>
                <w:bCs/>
              </w:rPr>
            </w:pPr>
            <w:r w:rsidRPr="00997038">
              <w:rPr>
                <w:bCs/>
              </w:rPr>
              <w:t>(0.2)</w:t>
            </w:r>
          </w:p>
        </w:tc>
        <w:tc>
          <w:tcPr>
            <w:tcW w:w="847" w:type="dxa"/>
            <w:vAlign w:val="bottom"/>
          </w:tcPr>
          <w:p w14:paraId="311AADE6" w14:textId="02EF83C4" w:rsidR="00997038" w:rsidRPr="00997038" w:rsidRDefault="00997038" w:rsidP="00997038">
            <w:pPr>
              <w:pStyle w:val="T2"/>
              <w:jc w:val="right"/>
              <w:rPr>
                <w:bCs/>
              </w:rPr>
            </w:pPr>
            <w:r w:rsidRPr="00997038">
              <w:rPr>
                <w:bCs/>
              </w:rPr>
              <w:t>(3.4)</w:t>
            </w:r>
          </w:p>
        </w:tc>
      </w:tr>
      <w:tr w:rsidR="00997038" w14:paraId="2A0553EA" w14:textId="77777777" w:rsidTr="00B52070">
        <w:trPr>
          <w:jc w:val="center"/>
        </w:trPr>
        <w:tc>
          <w:tcPr>
            <w:tcW w:w="4395" w:type="dxa"/>
            <w:vAlign w:val="bottom"/>
          </w:tcPr>
          <w:p w14:paraId="3064F9FC" w14:textId="625246CF" w:rsidR="00997038" w:rsidRPr="0096767F" w:rsidRDefault="00997038" w:rsidP="00997038">
            <w:pPr>
              <w:pStyle w:val="T2"/>
              <w:jc w:val="left"/>
              <w:rPr>
                <w:rFonts w:ascii="Calibri" w:hAnsi="Calibri" w:cs="Calibri"/>
                <w:bCs/>
              </w:rPr>
            </w:pPr>
            <w:r w:rsidRPr="00765393">
              <w:t xml:space="preserve">Translation reserve transferred to </w:t>
            </w:r>
            <w:r>
              <w:t>I</w:t>
            </w:r>
            <w:r w:rsidRPr="00765393">
              <w:t xml:space="preserve">ncome </w:t>
            </w:r>
            <w:r>
              <w:t>S</w:t>
            </w:r>
            <w:r w:rsidRPr="00765393">
              <w:t xml:space="preserve">tatement </w:t>
            </w:r>
            <w:r>
              <w:t>on disposal of subsidiary</w:t>
            </w:r>
          </w:p>
        </w:tc>
        <w:tc>
          <w:tcPr>
            <w:tcW w:w="709" w:type="dxa"/>
            <w:vAlign w:val="bottom"/>
          </w:tcPr>
          <w:p w14:paraId="2CD718D5" w14:textId="399EA901" w:rsidR="00997038" w:rsidRPr="00997038" w:rsidRDefault="00997038" w:rsidP="00997038">
            <w:pPr>
              <w:pStyle w:val="T2"/>
              <w:jc w:val="right"/>
              <w:rPr>
                <w:rFonts w:ascii="Calibri" w:hAnsi="Calibri" w:cs="Calibri"/>
                <w:bCs/>
              </w:rPr>
            </w:pPr>
            <w:r w:rsidRPr="00997038">
              <w:rPr>
                <w:bCs/>
              </w:rPr>
              <w:t>–</w:t>
            </w:r>
          </w:p>
        </w:tc>
        <w:tc>
          <w:tcPr>
            <w:tcW w:w="992" w:type="dxa"/>
            <w:vAlign w:val="bottom"/>
          </w:tcPr>
          <w:p w14:paraId="52E06684" w14:textId="16C66B0D" w:rsidR="00997038" w:rsidRPr="00997038" w:rsidRDefault="00997038" w:rsidP="00997038">
            <w:pPr>
              <w:pStyle w:val="T2"/>
              <w:jc w:val="right"/>
              <w:rPr>
                <w:rFonts w:ascii="Calibri" w:hAnsi="Calibri" w:cs="Calibri"/>
                <w:bCs/>
              </w:rPr>
            </w:pPr>
            <w:r w:rsidRPr="00997038">
              <w:rPr>
                <w:bCs/>
              </w:rPr>
              <w:t>–</w:t>
            </w:r>
          </w:p>
        </w:tc>
        <w:tc>
          <w:tcPr>
            <w:tcW w:w="850" w:type="dxa"/>
            <w:vAlign w:val="bottom"/>
          </w:tcPr>
          <w:p w14:paraId="05C9A635" w14:textId="55059A7A" w:rsidR="00997038" w:rsidRPr="00997038" w:rsidRDefault="00997038" w:rsidP="00997038">
            <w:pPr>
              <w:pStyle w:val="T2"/>
              <w:jc w:val="right"/>
              <w:rPr>
                <w:rFonts w:ascii="Calibri" w:hAnsi="Calibri" w:cs="Calibri"/>
                <w:bCs/>
              </w:rPr>
            </w:pPr>
            <w:r w:rsidRPr="00997038">
              <w:rPr>
                <w:bCs/>
              </w:rPr>
              <w:t>(1.0)</w:t>
            </w:r>
          </w:p>
        </w:tc>
        <w:tc>
          <w:tcPr>
            <w:tcW w:w="992" w:type="dxa"/>
            <w:vAlign w:val="bottom"/>
          </w:tcPr>
          <w:p w14:paraId="23F9E0F9" w14:textId="53042278" w:rsidR="00997038" w:rsidRPr="00997038" w:rsidRDefault="00997038" w:rsidP="00997038">
            <w:pPr>
              <w:pStyle w:val="T2"/>
              <w:jc w:val="right"/>
              <w:rPr>
                <w:rFonts w:ascii="Calibri" w:hAnsi="Calibri" w:cs="Calibri"/>
                <w:bCs/>
              </w:rPr>
            </w:pPr>
            <w:r w:rsidRPr="00997038">
              <w:rPr>
                <w:bCs/>
              </w:rPr>
              <w:t>–</w:t>
            </w:r>
          </w:p>
        </w:tc>
        <w:tc>
          <w:tcPr>
            <w:tcW w:w="826" w:type="dxa"/>
            <w:vAlign w:val="bottom"/>
          </w:tcPr>
          <w:p w14:paraId="44388041" w14:textId="60AB41DD" w:rsidR="00997038" w:rsidRPr="00997038" w:rsidRDefault="00997038" w:rsidP="00997038">
            <w:pPr>
              <w:pStyle w:val="T2"/>
              <w:jc w:val="right"/>
              <w:rPr>
                <w:rFonts w:ascii="Calibri" w:hAnsi="Calibri" w:cs="Calibri"/>
                <w:bCs/>
              </w:rPr>
            </w:pPr>
            <w:r w:rsidRPr="00997038">
              <w:rPr>
                <w:bCs/>
              </w:rPr>
              <w:t>(1.0)</w:t>
            </w:r>
          </w:p>
        </w:tc>
        <w:tc>
          <w:tcPr>
            <w:tcW w:w="1020" w:type="dxa"/>
            <w:vAlign w:val="bottom"/>
          </w:tcPr>
          <w:p w14:paraId="469D289C" w14:textId="250AA72F" w:rsidR="00997038" w:rsidRPr="00997038" w:rsidRDefault="00997038" w:rsidP="00997038">
            <w:pPr>
              <w:pStyle w:val="T2"/>
              <w:jc w:val="right"/>
              <w:rPr>
                <w:rFonts w:ascii="Calibri" w:hAnsi="Calibri" w:cs="Calibri"/>
                <w:bCs/>
              </w:rPr>
            </w:pPr>
            <w:r w:rsidRPr="00997038">
              <w:rPr>
                <w:bCs/>
              </w:rPr>
              <w:t>–</w:t>
            </w:r>
          </w:p>
        </w:tc>
        <w:tc>
          <w:tcPr>
            <w:tcW w:w="847" w:type="dxa"/>
            <w:vAlign w:val="bottom"/>
          </w:tcPr>
          <w:p w14:paraId="162BD133" w14:textId="24BC7F22" w:rsidR="00997038" w:rsidRPr="00997038" w:rsidRDefault="00997038" w:rsidP="00997038">
            <w:pPr>
              <w:pStyle w:val="T2"/>
              <w:jc w:val="right"/>
              <w:rPr>
                <w:rFonts w:ascii="Calibri" w:hAnsi="Calibri" w:cs="Calibri"/>
                <w:bCs/>
              </w:rPr>
            </w:pPr>
            <w:r w:rsidRPr="00997038">
              <w:rPr>
                <w:bCs/>
              </w:rPr>
              <w:t>(1.0)</w:t>
            </w:r>
          </w:p>
        </w:tc>
      </w:tr>
      <w:tr w:rsidR="00997038" w14:paraId="734F7428" w14:textId="77777777" w:rsidTr="00B52070">
        <w:trPr>
          <w:jc w:val="center"/>
        </w:trPr>
        <w:tc>
          <w:tcPr>
            <w:tcW w:w="4395" w:type="dxa"/>
            <w:vAlign w:val="bottom"/>
          </w:tcPr>
          <w:p w14:paraId="29710F4D" w14:textId="09735030" w:rsidR="00997038" w:rsidRPr="0096767F" w:rsidRDefault="00997038" w:rsidP="00997038">
            <w:pPr>
              <w:pStyle w:val="T2"/>
              <w:jc w:val="left"/>
              <w:rPr>
                <w:rFonts w:ascii="Calibri" w:hAnsi="Calibri" w:cs="Calibri"/>
                <w:bCs/>
              </w:rPr>
            </w:pPr>
            <w:r>
              <w:rPr>
                <w:rFonts w:ascii="Calibri" w:hAnsi="Calibri" w:cs="Calibri"/>
                <w:bCs/>
              </w:rPr>
              <w:t xml:space="preserve">Non-controlling interest transferred to Income Statement on disposal of subsidiary </w:t>
            </w:r>
          </w:p>
        </w:tc>
        <w:tc>
          <w:tcPr>
            <w:tcW w:w="709" w:type="dxa"/>
            <w:vAlign w:val="bottom"/>
          </w:tcPr>
          <w:p w14:paraId="7164C7E6" w14:textId="6E65F2A5" w:rsidR="00997038" w:rsidRPr="00997038" w:rsidRDefault="00997038" w:rsidP="00997038">
            <w:pPr>
              <w:pStyle w:val="T2"/>
              <w:jc w:val="right"/>
              <w:rPr>
                <w:rFonts w:ascii="Calibri" w:hAnsi="Calibri" w:cs="Calibri"/>
                <w:bCs/>
              </w:rPr>
            </w:pPr>
            <w:r w:rsidRPr="00997038">
              <w:rPr>
                <w:bCs/>
              </w:rPr>
              <w:t>–</w:t>
            </w:r>
          </w:p>
        </w:tc>
        <w:tc>
          <w:tcPr>
            <w:tcW w:w="992" w:type="dxa"/>
            <w:vAlign w:val="bottom"/>
          </w:tcPr>
          <w:p w14:paraId="4255B4F8" w14:textId="581AA617" w:rsidR="00997038" w:rsidRPr="00997038" w:rsidRDefault="00997038" w:rsidP="00997038">
            <w:pPr>
              <w:pStyle w:val="T2"/>
              <w:jc w:val="right"/>
              <w:rPr>
                <w:rFonts w:ascii="Calibri" w:hAnsi="Calibri" w:cs="Calibri"/>
                <w:bCs/>
              </w:rPr>
            </w:pPr>
            <w:r w:rsidRPr="00997038">
              <w:rPr>
                <w:bCs/>
              </w:rPr>
              <w:t>–</w:t>
            </w:r>
          </w:p>
        </w:tc>
        <w:tc>
          <w:tcPr>
            <w:tcW w:w="850" w:type="dxa"/>
            <w:vAlign w:val="bottom"/>
          </w:tcPr>
          <w:p w14:paraId="6D0C7604" w14:textId="1162ADD4" w:rsidR="00997038" w:rsidRPr="00997038" w:rsidRDefault="00997038" w:rsidP="00997038">
            <w:pPr>
              <w:pStyle w:val="T2"/>
              <w:jc w:val="right"/>
              <w:rPr>
                <w:rFonts w:ascii="Calibri" w:hAnsi="Calibri" w:cs="Calibri"/>
                <w:bCs/>
              </w:rPr>
            </w:pPr>
            <w:r w:rsidRPr="00997038">
              <w:rPr>
                <w:bCs/>
              </w:rPr>
              <w:t>–</w:t>
            </w:r>
          </w:p>
        </w:tc>
        <w:tc>
          <w:tcPr>
            <w:tcW w:w="992" w:type="dxa"/>
            <w:vAlign w:val="bottom"/>
          </w:tcPr>
          <w:p w14:paraId="12187530" w14:textId="11B35FF5" w:rsidR="00997038" w:rsidRPr="00997038" w:rsidRDefault="00997038" w:rsidP="00997038">
            <w:pPr>
              <w:pStyle w:val="T2"/>
              <w:jc w:val="right"/>
              <w:rPr>
                <w:rFonts w:ascii="Calibri" w:hAnsi="Calibri" w:cs="Calibri"/>
                <w:bCs/>
              </w:rPr>
            </w:pPr>
            <w:r w:rsidRPr="00997038">
              <w:rPr>
                <w:bCs/>
              </w:rPr>
              <w:t>–</w:t>
            </w:r>
          </w:p>
        </w:tc>
        <w:tc>
          <w:tcPr>
            <w:tcW w:w="826" w:type="dxa"/>
            <w:vAlign w:val="bottom"/>
          </w:tcPr>
          <w:p w14:paraId="4F545E1F" w14:textId="2974E77D" w:rsidR="00997038" w:rsidRPr="00997038" w:rsidRDefault="00997038" w:rsidP="00997038">
            <w:pPr>
              <w:pStyle w:val="T2"/>
              <w:jc w:val="right"/>
              <w:rPr>
                <w:rFonts w:ascii="Calibri" w:hAnsi="Calibri" w:cs="Calibri"/>
                <w:bCs/>
              </w:rPr>
            </w:pPr>
            <w:r w:rsidRPr="00997038">
              <w:rPr>
                <w:bCs/>
              </w:rPr>
              <w:t>–</w:t>
            </w:r>
          </w:p>
        </w:tc>
        <w:tc>
          <w:tcPr>
            <w:tcW w:w="1020" w:type="dxa"/>
            <w:vAlign w:val="bottom"/>
          </w:tcPr>
          <w:p w14:paraId="72ABA120" w14:textId="04E163B5" w:rsidR="00997038" w:rsidRPr="00997038" w:rsidRDefault="00997038" w:rsidP="00997038">
            <w:pPr>
              <w:pStyle w:val="T2"/>
              <w:jc w:val="right"/>
              <w:rPr>
                <w:rFonts w:ascii="Calibri" w:hAnsi="Calibri" w:cs="Calibri"/>
                <w:bCs/>
              </w:rPr>
            </w:pPr>
            <w:r w:rsidRPr="00997038">
              <w:rPr>
                <w:bCs/>
              </w:rPr>
              <w:t>(5.8)</w:t>
            </w:r>
          </w:p>
        </w:tc>
        <w:tc>
          <w:tcPr>
            <w:tcW w:w="847" w:type="dxa"/>
            <w:vAlign w:val="bottom"/>
          </w:tcPr>
          <w:p w14:paraId="3D514EF9" w14:textId="55BABA32" w:rsidR="00997038" w:rsidRPr="00997038" w:rsidRDefault="00997038" w:rsidP="00997038">
            <w:pPr>
              <w:pStyle w:val="T2"/>
              <w:jc w:val="right"/>
              <w:rPr>
                <w:rFonts w:ascii="Calibri" w:hAnsi="Calibri" w:cs="Calibri"/>
                <w:bCs/>
              </w:rPr>
            </w:pPr>
            <w:r w:rsidRPr="00997038">
              <w:rPr>
                <w:bCs/>
              </w:rPr>
              <w:t>(5.8)</w:t>
            </w:r>
          </w:p>
        </w:tc>
      </w:tr>
      <w:tr w:rsidR="00997038" w14:paraId="33B487E9" w14:textId="77777777" w:rsidTr="00B52070">
        <w:trPr>
          <w:jc w:val="center"/>
        </w:trPr>
        <w:tc>
          <w:tcPr>
            <w:tcW w:w="4395" w:type="dxa"/>
            <w:vAlign w:val="bottom"/>
          </w:tcPr>
          <w:p w14:paraId="510EF81E" w14:textId="745DDA51" w:rsidR="00997038" w:rsidRPr="00E57F3E" w:rsidRDefault="00997038" w:rsidP="00997038">
            <w:pPr>
              <w:pStyle w:val="T2"/>
              <w:jc w:val="left"/>
            </w:pPr>
            <w:r w:rsidRPr="0096767F">
              <w:rPr>
                <w:rFonts w:ascii="Calibri" w:hAnsi="Calibri" w:cs="Calibri"/>
                <w:bCs/>
              </w:rPr>
              <w:t>Cash</w:t>
            </w:r>
            <w:r w:rsidR="0006619B">
              <w:rPr>
                <w:rFonts w:ascii="Calibri" w:hAnsi="Calibri" w:cs="Calibri"/>
                <w:bCs/>
              </w:rPr>
              <w:t xml:space="preserve"> </w:t>
            </w:r>
            <w:r w:rsidRPr="0096767F">
              <w:rPr>
                <w:rFonts w:ascii="Calibri" w:hAnsi="Calibri" w:cs="Calibri"/>
                <w:bCs/>
              </w:rPr>
              <w:t>flow hedge fair value movement taken to equity</w:t>
            </w:r>
          </w:p>
        </w:tc>
        <w:tc>
          <w:tcPr>
            <w:tcW w:w="709" w:type="dxa"/>
            <w:vAlign w:val="bottom"/>
          </w:tcPr>
          <w:p w14:paraId="465171B6" w14:textId="66F35F98" w:rsidR="00997038" w:rsidRPr="00997038" w:rsidRDefault="00997038" w:rsidP="00997038">
            <w:pPr>
              <w:pStyle w:val="T2"/>
              <w:jc w:val="right"/>
              <w:rPr>
                <w:bCs/>
              </w:rPr>
            </w:pPr>
            <w:r w:rsidRPr="00997038">
              <w:rPr>
                <w:bCs/>
              </w:rPr>
              <w:t>–</w:t>
            </w:r>
          </w:p>
        </w:tc>
        <w:tc>
          <w:tcPr>
            <w:tcW w:w="992" w:type="dxa"/>
            <w:vAlign w:val="bottom"/>
          </w:tcPr>
          <w:p w14:paraId="3D8432A7" w14:textId="279FFCC6" w:rsidR="00997038" w:rsidRPr="00997038" w:rsidRDefault="00997038" w:rsidP="00997038">
            <w:pPr>
              <w:pStyle w:val="T2"/>
              <w:jc w:val="right"/>
              <w:rPr>
                <w:bCs/>
              </w:rPr>
            </w:pPr>
            <w:r w:rsidRPr="00997038">
              <w:rPr>
                <w:bCs/>
              </w:rPr>
              <w:t>–</w:t>
            </w:r>
          </w:p>
        </w:tc>
        <w:tc>
          <w:tcPr>
            <w:tcW w:w="850" w:type="dxa"/>
            <w:vAlign w:val="bottom"/>
          </w:tcPr>
          <w:p w14:paraId="1397FADA" w14:textId="03FB6729" w:rsidR="00997038" w:rsidRPr="00997038" w:rsidRDefault="00997038" w:rsidP="00997038">
            <w:pPr>
              <w:pStyle w:val="T2"/>
              <w:jc w:val="right"/>
              <w:rPr>
                <w:bCs/>
              </w:rPr>
            </w:pPr>
            <w:r w:rsidRPr="00997038">
              <w:rPr>
                <w:rFonts w:ascii="Calibri" w:hAnsi="Calibri" w:cs="Calibri"/>
                <w:bCs/>
              </w:rPr>
              <w:t>(0.8)</w:t>
            </w:r>
          </w:p>
        </w:tc>
        <w:tc>
          <w:tcPr>
            <w:tcW w:w="992" w:type="dxa"/>
            <w:vAlign w:val="bottom"/>
          </w:tcPr>
          <w:p w14:paraId="487F29ED" w14:textId="5166E5B3" w:rsidR="00997038" w:rsidRPr="00997038" w:rsidRDefault="00997038" w:rsidP="00997038">
            <w:pPr>
              <w:pStyle w:val="T2"/>
              <w:jc w:val="right"/>
              <w:rPr>
                <w:bCs/>
              </w:rPr>
            </w:pPr>
            <w:r w:rsidRPr="00997038">
              <w:rPr>
                <w:bCs/>
              </w:rPr>
              <w:t>–</w:t>
            </w:r>
          </w:p>
        </w:tc>
        <w:tc>
          <w:tcPr>
            <w:tcW w:w="826" w:type="dxa"/>
            <w:vAlign w:val="bottom"/>
          </w:tcPr>
          <w:p w14:paraId="517853CB" w14:textId="1A6183A6" w:rsidR="00997038" w:rsidRPr="00997038" w:rsidRDefault="00997038" w:rsidP="00997038">
            <w:pPr>
              <w:pStyle w:val="T2"/>
              <w:jc w:val="right"/>
              <w:rPr>
                <w:bCs/>
              </w:rPr>
            </w:pPr>
            <w:r w:rsidRPr="00997038">
              <w:rPr>
                <w:rFonts w:ascii="Calibri" w:hAnsi="Calibri" w:cs="Calibri"/>
                <w:bCs/>
              </w:rPr>
              <w:t>(0.8)</w:t>
            </w:r>
          </w:p>
        </w:tc>
        <w:tc>
          <w:tcPr>
            <w:tcW w:w="1020" w:type="dxa"/>
            <w:vAlign w:val="bottom"/>
          </w:tcPr>
          <w:p w14:paraId="103385C4" w14:textId="7CEA0C53" w:rsidR="00997038" w:rsidRPr="00997038" w:rsidRDefault="00997038" w:rsidP="00997038">
            <w:pPr>
              <w:pStyle w:val="T2"/>
              <w:jc w:val="right"/>
              <w:rPr>
                <w:bCs/>
              </w:rPr>
            </w:pPr>
            <w:r w:rsidRPr="00997038">
              <w:rPr>
                <w:bCs/>
              </w:rPr>
              <w:t>–</w:t>
            </w:r>
          </w:p>
        </w:tc>
        <w:tc>
          <w:tcPr>
            <w:tcW w:w="847" w:type="dxa"/>
            <w:vAlign w:val="bottom"/>
          </w:tcPr>
          <w:p w14:paraId="239F5CB6" w14:textId="0C865196" w:rsidR="00997038" w:rsidRPr="00997038" w:rsidRDefault="00997038" w:rsidP="00997038">
            <w:pPr>
              <w:pStyle w:val="T2"/>
              <w:jc w:val="right"/>
              <w:rPr>
                <w:bCs/>
              </w:rPr>
            </w:pPr>
            <w:r w:rsidRPr="00997038">
              <w:rPr>
                <w:rFonts w:ascii="Calibri" w:hAnsi="Calibri" w:cs="Calibri"/>
                <w:bCs/>
              </w:rPr>
              <w:t>(0.8)</w:t>
            </w:r>
          </w:p>
        </w:tc>
      </w:tr>
      <w:tr w:rsidR="00997038" w14:paraId="184A01A3" w14:textId="77777777" w:rsidTr="00B52070">
        <w:trPr>
          <w:jc w:val="center"/>
        </w:trPr>
        <w:tc>
          <w:tcPr>
            <w:tcW w:w="4395" w:type="dxa"/>
            <w:vAlign w:val="bottom"/>
          </w:tcPr>
          <w:p w14:paraId="2FCECEA9" w14:textId="4F8D3F99" w:rsidR="00997038" w:rsidRPr="00E57F3E" w:rsidRDefault="00997038" w:rsidP="00997038">
            <w:pPr>
              <w:pStyle w:val="T2"/>
              <w:jc w:val="left"/>
            </w:pPr>
            <w:r w:rsidRPr="0096767F">
              <w:rPr>
                <w:rFonts w:ascii="Calibri" w:hAnsi="Calibri" w:cs="Calibri"/>
                <w:bCs/>
              </w:rPr>
              <w:t>Cash</w:t>
            </w:r>
            <w:r w:rsidR="0006619B">
              <w:rPr>
                <w:rFonts w:ascii="Calibri" w:hAnsi="Calibri" w:cs="Calibri"/>
                <w:bCs/>
              </w:rPr>
              <w:t xml:space="preserve"> </w:t>
            </w:r>
            <w:r w:rsidRPr="0096767F">
              <w:rPr>
                <w:rFonts w:ascii="Calibri" w:hAnsi="Calibri" w:cs="Calibri"/>
                <w:bCs/>
              </w:rPr>
              <w:t>flow hedge transferred to Income Statement</w:t>
            </w:r>
          </w:p>
        </w:tc>
        <w:tc>
          <w:tcPr>
            <w:tcW w:w="709" w:type="dxa"/>
            <w:vAlign w:val="bottom"/>
          </w:tcPr>
          <w:p w14:paraId="2BDAFB25" w14:textId="1CD8DA0E" w:rsidR="00997038" w:rsidRPr="00997038" w:rsidRDefault="00997038" w:rsidP="00997038">
            <w:pPr>
              <w:pStyle w:val="T2"/>
              <w:jc w:val="right"/>
              <w:rPr>
                <w:bCs/>
              </w:rPr>
            </w:pPr>
            <w:r w:rsidRPr="00997038">
              <w:rPr>
                <w:bCs/>
              </w:rPr>
              <w:t>–</w:t>
            </w:r>
          </w:p>
        </w:tc>
        <w:tc>
          <w:tcPr>
            <w:tcW w:w="992" w:type="dxa"/>
            <w:vAlign w:val="bottom"/>
          </w:tcPr>
          <w:p w14:paraId="0AE17471" w14:textId="081C3F2F" w:rsidR="00997038" w:rsidRPr="00997038" w:rsidRDefault="00997038" w:rsidP="00997038">
            <w:pPr>
              <w:pStyle w:val="T2"/>
              <w:jc w:val="right"/>
              <w:rPr>
                <w:bCs/>
              </w:rPr>
            </w:pPr>
            <w:r w:rsidRPr="00997038">
              <w:rPr>
                <w:bCs/>
              </w:rPr>
              <w:t>–</w:t>
            </w:r>
          </w:p>
        </w:tc>
        <w:tc>
          <w:tcPr>
            <w:tcW w:w="850" w:type="dxa"/>
            <w:vAlign w:val="bottom"/>
          </w:tcPr>
          <w:p w14:paraId="063CB6CC" w14:textId="1B3AB87D" w:rsidR="00997038" w:rsidRPr="00997038" w:rsidRDefault="00997038" w:rsidP="00997038">
            <w:pPr>
              <w:pStyle w:val="T2"/>
              <w:jc w:val="right"/>
              <w:rPr>
                <w:bCs/>
              </w:rPr>
            </w:pPr>
            <w:r w:rsidRPr="00997038">
              <w:rPr>
                <w:bCs/>
              </w:rPr>
              <w:t>0.6</w:t>
            </w:r>
          </w:p>
        </w:tc>
        <w:tc>
          <w:tcPr>
            <w:tcW w:w="992" w:type="dxa"/>
            <w:vAlign w:val="bottom"/>
          </w:tcPr>
          <w:p w14:paraId="623D55DF" w14:textId="2602400F" w:rsidR="00997038" w:rsidRPr="00997038" w:rsidRDefault="00997038" w:rsidP="00997038">
            <w:pPr>
              <w:pStyle w:val="T2"/>
              <w:jc w:val="right"/>
              <w:rPr>
                <w:bCs/>
              </w:rPr>
            </w:pPr>
            <w:r w:rsidRPr="00997038">
              <w:rPr>
                <w:bCs/>
              </w:rPr>
              <w:t>–</w:t>
            </w:r>
          </w:p>
        </w:tc>
        <w:tc>
          <w:tcPr>
            <w:tcW w:w="826" w:type="dxa"/>
            <w:vAlign w:val="bottom"/>
          </w:tcPr>
          <w:p w14:paraId="66143AD4" w14:textId="68A85E9A" w:rsidR="00997038" w:rsidRPr="00997038" w:rsidRDefault="00997038" w:rsidP="00997038">
            <w:pPr>
              <w:pStyle w:val="T2"/>
              <w:jc w:val="right"/>
              <w:rPr>
                <w:bCs/>
              </w:rPr>
            </w:pPr>
            <w:r w:rsidRPr="00997038">
              <w:rPr>
                <w:bCs/>
              </w:rPr>
              <w:t>0.6</w:t>
            </w:r>
          </w:p>
        </w:tc>
        <w:tc>
          <w:tcPr>
            <w:tcW w:w="1020" w:type="dxa"/>
            <w:vAlign w:val="bottom"/>
          </w:tcPr>
          <w:p w14:paraId="3121C9A8" w14:textId="6DDD340D" w:rsidR="00997038" w:rsidRPr="00997038" w:rsidRDefault="00997038" w:rsidP="00997038">
            <w:pPr>
              <w:pStyle w:val="T2"/>
              <w:jc w:val="right"/>
              <w:rPr>
                <w:bCs/>
              </w:rPr>
            </w:pPr>
            <w:r w:rsidRPr="00997038">
              <w:rPr>
                <w:bCs/>
              </w:rPr>
              <w:t>–</w:t>
            </w:r>
          </w:p>
        </w:tc>
        <w:tc>
          <w:tcPr>
            <w:tcW w:w="847" w:type="dxa"/>
            <w:vAlign w:val="bottom"/>
          </w:tcPr>
          <w:p w14:paraId="7842086C" w14:textId="047F8094" w:rsidR="00997038" w:rsidRPr="00997038" w:rsidRDefault="00997038" w:rsidP="00997038">
            <w:pPr>
              <w:pStyle w:val="T2"/>
              <w:jc w:val="right"/>
              <w:rPr>
                <w:bCs/>
              </w:rPr>
            </w:pPr>
            <w:r w:rsidRPr="00997038">
              <w:rPr>
                <w:bCs/>
              </w:rPr>
              <w:t>0.6</w:t>
            </w:r>
          </w:p>
        </w:tc>
      </w:tr>
      <w:tr w:rsidR="00997038" w14:paraId="13931AEE" w14:textId="77777777" w:rsidTr="00B52070">
        <w:trPr>
          <w:jc w:val="center"/>
        </w:trPr>
        <w:tc>
          <w:tcPr>
            <w:tcW w:w="4395" w:type="dxa"/>
            <w:vAlign w:val="bottom"/>
          </w:tcPr>
          <w:p w14:paraId="6A2D7AFE" w14:textId="77777777" w:rsidR="00997038" w:rsidRPr="00E57F3E" w:rsidRDefault="00997038" w:rsidP="00997038">
            <w:pPr>
              <w:pStyle w:val="T2"/>
              <w:jc w:val="left"/>
              <w:rPr>
                <w:b/>
              </w:rPr>
            </w:pPr>
            <w:r w:rsidRPr="0096767F">
              <w:rPr>
                <w:rFonts w:ascii="Calibri" w:hAnsi="Calibri" w:cs="Calibri"/>
                <w:bCs/>
              </w:rPr>
              <w:t xml:space="preserve">Actuarial </w:t>
            </w:r>
            <w:r>
              <w:rPr>
                <w:rFonts w:ascii="Calibri" w:hAnsi="Calibri" w:cs="Calibri"/>
                <w:bCs/>
              </w:rPr>
              <w:t>gain</w:t>
            </w:r>
            <w:r w:rsidRPr="0096767F">
              <w:rPr>
                <w:rFonts w:ascii="Calibri" w:hAnsi="Calibri" w:cs="Calibri"/>
                <w:bCs/>
              </w:rPr>
              <w:t xml:space="preserve"> on Group legacy defined benefit pension schemes</w:t>
            </w:r>
          </w:p>
        </w:tc>
        <w:tc>
          <w:tcPr>
            <w:tcW w:w="709" w:type="dxa"/>
            <w:vAlign w:val="bottom"/>
          </w:tcPr>
          <w:p w14:paraId="6DD445A0" w14:textId="4B989228" w:rsidR="00997038" w:rsidRPr="00997038" w:rsidRDefault="00997038" w:rsidP="00997038">
            <w:pPr>
              <w:pStyle w:val="T2"/>
              <w:jc w:val="right"/>
              <w:rPr>
                <w:bCs/>
              </w:rPr>
            </w:pPr>
            <w:r w:rsidRPr="00997038">
              <w:rPr>
                <w:bCs/>
              </w:rPr>
              <w:t>–</w:t>
            </w:r>
          </w:p>
        </w:tc>
        <w:tc>
          <w:tcPr>
            <w:tcW w:w="992" w:type="dxa"/>
            <w:vAlign w:val="bottom"/>
          </w:tcPr>
          <w:p w14:paraId="038005C9" w14:textId="27FD1AAE" w:rsidR="00997038" w:rsidRPr="00997038" w:rsidRDefault="00997038" w:rsidP="00997038">
            <w:pPr>
              <w:pStyle w:val="T2"/>
              <w:jc w:val="right"/>
              <w:rPr>
                <w:bCs/>
              </w:rPr>
            </w:pPr>
            <w:r w:rsidRPr="00997038">
              <w:rPr>
                <w:bCs/>
              </w:rPr>
              <w:t>–</w:t>
            </w:r>
          </w:p>
        </w:tc>
        <w:tc>
          <w:tcPr>
            <w:tcW w:w="850" w:type="dxa"/>
            <w:vAlign w:val="bottom"/>
          </w:tcPr>
          <w:p w14:paraId="616AB0D5" w14:textId="638F1275" w:rsidR="00997038" w:rsidRPr="00997038" w:rsidRDefault="00997038" w:rsidP="00997038">
            <w:pPr>
              <w:pStyle w:val="T2"/>
              <w:jc w:val="right"/>
              <w:rPr>
                <w:bCs/>
              </w:rPr>
            </w:pPr>
            <w:r w:rsidRPr="00997038">
              <w:rPr>
                <w:bCs/>
              </w:rPr>
              <w:t>–</w:t>
            </w:r>
          </w:p>
        </w:tc>
        <w:tc>
          <w:tcPr>
            <w:tcW w:w="992" w:type="dxa"/>
            <w:vAlign w:val="bottom"/>
          </w:tcPr>
          <w:p w14:paraId="550EB9CA" w14:textId="35ACEB55" w:rsidR="00997038" w:rsidRPr="00997038" w:rsidRDefault="00997038" w:rsidP="00997038">
            <w:pPr>
              <w:pStyle w:val="T2"/>
              <w:jc w:val="right"/>
              <w:rPr>
                <w:bCs/>
              </w:rPr>
            </w:pPr>
            <w:r w:rsidRPr="00997038">
              <w:rPr>
                <w:bCs/>
              </w:rPr>
              <w:t>12.6</w:t>
            </w:r>
          </w:p>
        </w:tc>
        <w:tc>
          <w:tcPr>
            <w:tcW w:w="826" w:type="dxa"/>
            <w:vAlign w:val="bottom"/>
          </w:tcPr>
          <w:p w14:paraId="30FA4F21" w14:textId="64238F32" w:rsidR="00997038" w:rsidRPr="00997038" w:rsidRDefault="00997038" w:rsidP="00997038">
            <w:pPr>
              <w:pStyle w:val="T2"/>
              <w:jc w:val="right"/>
              <w:rPr>
                <w:bCs/>
              </w:rPr>
            </w:pPr>
            <w:r w:rsidRPr="00997038">
              <w:rPr>
                <w:bCs/>
              </w:rPr>
              <w:t>12.6</w:t>
            </w:r>
          </w:p>
        </w:tc>
        <w:tc>
          <w:tcPr>
            <w:tcW w:w="1020" w:type="dxa"/>
            <w:vAlign w:val="bottom"/>
          </w:tcPr>
          <w:p w14:paraId="0DBA692D" w14:textId="0BF30984" w:rsidR="00997038" w:rsidRPr="00997038" w:rsidRDefault="00997038" w:rsidP="00997038">
            <w:pPr>
              <w:pStyle w:val="T2"/>
              <w:jc w:val="right"/>
              <w:rPr>
                <w:bCs/>
              </w:rPr>
            </w:pPr>
            <w:r w:rsidRPr="00997038">
              <w:rPr>
                <w:bCs/>
              </w:rPr>
              <w:t>–</w:t>
            </w:r>
          </w:p>
        </w:tc>
        <w:tc>
          <w:tcPr>
            <w:tcW w:w="847" w:type="dxa"/>
            <w:vAlign w:val="bottom"/>
          </w:tcPr>
          <w:p w14:paraId="4361A210" w14:textId="4FA5C1FE" w:rsidR="00997038" w:rsidRPr="00997038" w:rsidRDefault="00997038" w:rsidP="00997038">
            <w:pPr>
              <w:pStyle w:val="T2"/>
              <w:jc w:val="right"/>
              <w:rPr>
                <w:bCs/>
              </w:rPr>
            </w:pPr>
            <w:r w:rsidRPr="00997038">
              <w:rPr>
                <w:bCs/>
              </w:rPr>
              <w:t>12.6</w:t>
            </w:r>
          </w:p>
        </w:tc>
      </w:tr>
      <w:tr w:rsidR="00997038" w14:paraId="7F7EE780" w14:textId="77777777" w:rsidTr="00B52070">
        <w:trPr>
          <w:jc w:val="center"/>
        </w:trPr>
        <w:tc>
          <w:tcPr>
            <w:tcW w:w="4395" w:type="dxa"/>
            <w:vAlign w:val="bottom"/>
          </w:tcPr>
          <w:p w14:paraId="0D7CCB25" w14:textId="77777777" w:rsidR="00997038" w:rsidRPr="00E57F3E" w:rsidRDefault="00997038" w:rsidP="00997038">
            <w:pPr>
              <w:pStyle w:val="T2"/>
              <w:jc w:val="left"/>
            </w:pPr>
            <w:r w:rsidRPr="0096767F">
              <w:rPr>
                <w:rFonts w:ascii="Calibri" w:hAnsi="Calibri" w:cs="Calibri"/>
                <w:bCs/>
              </w:rPr>
              <w:t>Deferred tax on Group legacy defined benefit pension schemes</w:t>
            </w:r>
          </w:p>
        </w:tc>
        <w:tc>
          <w:tcPr>
            <w:tcW w:w="709" w:type="dxa"/>
            <w:vAlign w:val="bottom"/>
          </w:tcPr>
          <w:p w14:paraId="078A0424" w14:textId="74C51FFF" w:rsidR="00997038" w:rsidRPr="00997038" w:rsidRDefault="00997038" w:rsidP="00997038">
            <w:pPr>
              <w:pStyle w:val="T2"/>
              <w:jc w:val="right"/>
              <w:rPr>
                <w:bCs/>
              </w:rPr>
            </w:pPr>
            <w:r w:rsidRPr="00997038">
              <w:rPr>
                <w:bCs/>
              </w:rPr>
              <w:t>–</w:t>
            </w:r>
          </w:p>
        </w:tc>
        <w:tc>
          <w:tcPr>
            <w:tcW w:w="992" w:type="dxa"/>
            <w:vAlign w:val="bottom"/>
          </w:tcPr>
          <w:p w14:paraId="54CD874F" w14:textId="6AD6687E" w:rsidR="00997038" w:rsidRPr="00997038" w:rsidRDefault="00997038" w:rsidP="00997038">
            <w:pPr>
              <w:pStyle w:val="T2"/>
              <w:jc w:val="right"/>
              <w:rPr>
                <w:bCs/>
              </w:rPr>
            </w:pPr>
            <w:r w:rsidRPr="00997038">
              <w:rPr>
                <w:bCs/>
              </w:rPr>
              <w:t>–</w:t>
            </w:r>
          </w:p>
        </w:tc>
        <w:tc>
          <w:tcPr>
            <w:tcW w:w="850" w:type="dxa"/>
            <w:vAlign w:val="bottom"/>
          </w:tcPr>
          <w:p w14:paraId="6BCCBE4F" w14:textId="74EB1D65" w:rsidR="00997038" w:rsidRPr="00997038" w:rsidRDefault="00997038" w:rsidP="00997038">
            <w:pPr>
              <w:pStyle w:val="T2"/>
              <w:jc w:val="right"/>
              <w:rPr>
                <w:bCs/>
              </w:rPr>
            </w:pPr>
            <w:r w:rsidRPr="00997038">
              <w:rPr>
                <w:bCs/>
              </w:rPr>
              <w:t>–</w:t>
            </w:r>
          </w:p>
        </w:tc>
        <w:tc>
          <w:tcPr>
            <w:tcW w:w="992" w:type="dxa"/>
            <w:vAlign w:val="bottom"/>
          </w:tcPr>
          <w:p w14:paraId="28ADCA05" w14:textId="269E54B2" w:rsidR="00997038" w:rsidRPr="00997038" w:rsidRDefault="00997038" w:rsidP="00997038">
            <w:pPr>
              <w:pStyle w:val="T2"/>
              <w:jc w:val="right"/>
              <w:rPr>
                <w:bCs/>
              </w:rPr>
            </w:pPr>
            <w:r w:rsidRPr="00997038">
              <w:rPr>
                <w:bCs/>
              </w:rPr>
              <w:t>(2.3)</w:t>
            </w:r>
          </w:p>
        </w:tc>
        <w:tc>
          <w:tcPr>
            <w:tcW w:w="826" w:type="dxa"/>
            <w:vAlign w:val="bottom"/>
          </w:tcPr>
          <w:p w14:paraId="2E2BFC42" w14:textId="349D779C" w:rsidR="00997038" w:rsidRPr="00997038" w:rsidRDefault="00997038" w:rsidP="00997038">
            <w:pPr>
              <w:pStyle w:val="T2"/>
              <w:jc w:val="right"/>
              <w:rPr>
                <w:bCs/>
              </w:rPr>
            </w:pPr>
            <w:r w:rsidRPr="00997038">
              <w:rPr>
                <w:bCs/>
              </w:rPr>
              <w:t>(2.3)</w:t>
            </w:r>
          </w:p>
        </w:tc>
        <w:tc>
          <w:tcPr>
            <w:tcW w:w="1020" w:type="dxa"/>
            <w:vAlign w:val="bottom"/>
          </w:tcPr>
          <w:p w14:paraId="68792CAB" w14:textId="31E72E50" w:rsidR="00997038" w:rsidRPr="00997038" w:rsidRDefault="00997038" w:rsidP="00997038">
            <w:pPr>
              <w:pStyle w:val="T2"/>
              <w:jc w:val="right"/>
              <w:rPr>
                <w:bCs/>
              </w:rPr>
            </w:pPr>
            <w:r w:rsidRPr="00997038">
              <w:rPr>
                <w:bCs/>
              </w:rPr>
              <w:t>–</w:t>
            </w:r>
          </w:p>
        </w:tc>
        <w:tc>
          <w:tcPr>
            <w:tcW w:w="847" w:type="dxa"/>
            <w:vAlign w:val="bottom"/>
          </w:tcPr>
          <w:p w14:paraId="0BB37AE9" w14:textId="50B7487C" w:rsidR="00997038" w:rsidRPr="00997038" w:rsidRDefault="00997038" w:rsidP="00997038">
            <w:pPr>
              <w:pStyle w:val="T2"/>
              <w:jc w:val="right"/>
              <w:rPr>
                <w:bCs/>
              </w:rPr>
            </w:pPr>
            <w:r w:rsidRPr="00997038">
              <w:rPr>
                <w:bCs/>
              </w:rPr>
              <w:t>(2.3)</w:t>
            </w:r>
          </w:p>
        </w:tc>
      </w:tr>
      <w:tr w:rsidR="00997038" w14:paraId="4C998DCE" w14:textId="77777777" w:rsidTr="004B6C20">
        <w:trPr>
          <w:jc w:val="center"/>
        </w:trPr>
        <w:tc>
          <w:tcPr>
            <w:tcW w:w="4395" w:type="dxa"/>
            <w:tcBorders>
              <w:bottom w:val="single" w:sz="2" w:space="0" w:color="auto"/>
            </w:tcBorders>
            <w:vAlign w:val="bottom"/>
          </w:tcPr>
          <w:p w14:paraId="428415CE" w14:textId="77777777" w:rsidR="00997038" w:rsidRPr="00E57F3E" w:rsidRDefault="00997038" w:rsidP="00997038">
            <w:pPr>
              <w:pStyle w:val="T2"/>
              <w:jc w:val="left"/>
            </w:pPr>
            <w:r w:rsidRPr="0096767F">
              <w:rPr>
                <w:rFonts w:ascii="Calibri" w:hAnsi="Calibri" w:cs="Calibri"/>
                <w:bCs/>
              </w:rPr>
              <w:t>Profit for the financial period</w:t>
            </w:r>
          </w:p>
        </w:tc>
        <w:tc>
          <w:tcPr>
            <w:tcW w:w="709" w:type="dxa"/>
            <w:tcBorders>
              <w:bottom w:val="single" w:sz="2" w:space="0" w:color="auto"/>
            </w:tcBorders>
            <w:vAlign w:val="bottom"/>
          </w:tcPr>
          <w:p w14:paraId="604566DC" w14:textId="0A58F8FB" w:rsidR="00997038" w:rsidRPr="00997038" w:rsidRDefault="00997038" w:rsidP="00997038">
            <w:pPr>
              <w:jc w:val="right"/>
              <w:rPr>
                <w:rFonts w:ascii="Calibri" w:hAnsi="Calibri" w:cs="Calibri"/>
                <w:bCs/>
                <w:sz w:val="18"/>
                <w:szCs w:val="18"/>
              </w:rPr>
            </w:pPr>
            <w:r w:rsidRPr="00997038">
              <w:rPr>
                <w:bCs/>
              </w:rPr>
              <w:t>–</w:t>
            </w:r>
          </w:p>
        </w:tc>
        <w:tc>
          <w:tcPr>
            <w:tcW w:w="992" w:type="dxa"/>
            <w:tcBorders>
              <w:bottom w:val="single" w:sz="2" w:space="0" w:color="auto"/>
            </w:tcBorders>
            <w:vAlign w:val="bottom"/>
          </w:tcPr>
          <w:p w14:paraId="6187FCC2" w14:textId="4DB8509D" w:rsidR="00997038" w:rsidRPr="00997038" w:rsidRDefault="00997038" w:rsidP="00997038">
            <w:pPr>
              <w:pStyle w:val="T2"/>
              <w:jc w:val="right"/>
              <w:rPr>
                <w:bCs/>
              </w:rPr>
            </w:pPr>
            <w:r w:rsidRPr="00997038">
              <w:rPr>
                <w:bCs/>
              </w:rPr>
              <w:t>–</w:t>
            </w:r>
          </w:p>
        </w:tc>
        <w:tc>
          <w:tcPr>
            <w:tcW w:w="850" w:type="dxa"/>
            <w:tcBorders>
              <w:bottom w:val="single" w:sz="2" w:space="0" w:color="auto"/>
            </w:tcBorders>
            <w:vAlign w:val="bottom"/>
          </w:tcPr>
          <w:p w14:paraId="38F87B77" w14:textId="28773B83" w:rsidR="00997038" w:rsidRPr="00997038" w:rsidRDefault="00997038" w:rsidP="00997038">
            <w:pPr>
              <w:pStyle w:val="T2"/>
              <w:jc w:val="right"/>
              <w:rPr>
                <w:bCs/>
              </w:rPr>
            </w:pPr>
            <w:r w:rsidRPr="00997038">
              <w:rPr>
                <w:bCs/>
              </w:rPr>
              <w:t>–</w:t>
            </w:r>
          </w:p>
        </w:tc>
        <w:tc>
          <w:tcPr>
            <w:tcW w:w="992" w:type="dxa"/>
            <w:tcBorders>
              <w:bottom w:val="single" w:sz="2" w:space="0" w:color="auto"/>
            </w:tcBorders>
            <w:vAlign w:val="bottom"/>
          </w:tcPr>
          <w:p w14:paraId="2FA547AB" w14:textId="161C74E2" w:rsidR="00997038" w:rsidRPr="00997038" w:rsidRDefault="00997038" w:rsidP="00997038">
            <w:pPr>
              <w:pStyle w:val="T2"/>
              <w:jc w:val="right"/>
              <w:rPr>
                <w:bCs/>
              </w:rPr>
            </w:pPr>
            <w:r w:rsidRPr="00997038">
              <w:rPr>
                <w:bCs/>
              </w:rPr>
              <w:t>0.1</w:t>
            </w:r>
          </w:p>
        </w:tc>
        <w:tc>
          <w:tcPr>
            <w:tcW w:w="826" w:type="dxa"/>
            <w:tcBorders>
              <w:bottom w:val="single" w:sz="2" w:space="0" w:color="auto"/>
            </w:tcBorders>
            <w:vAlign w:val="bottom"/>
          </w:tcPr>
          <w:p w14:paraId="72BB30E0" w14:textId="4E2190DA" w:rsidR="00997038" w:rsidRPr="00997038" w:rsidRDefault="00997038" w:rsidP="00997038">
            <w:pPr>
              <w:pStyle w:val="T2"/>
              <w:jc w:val="right"/>
              <w:rPr>
                <w:bCs/>
              </w:rPr>
            </w:pPr>
            <w:r w:rsidRPr="00997038">
              <w:rPr>
                <w:bCs/>
              </w:rPr>
              <w:t>0.1</w:t>
            </w:r>
          </w:p>
        </w:tc>
        <w:tc>
          <w:tcPr>
            <w:tcW w:w="1020" w:type="dxa"/>
            <w:tcBorders>
              <w:bottom w:val="single" w:sz="2" w:space="0" w:color="auto"/>
            </w:tcBorders>
            <w:vAlign w:val="bottom"/>
          </w:tcPr>
          <w:p w14:paraId="124F05B4" w14:textId="4E978E11" w:rsidR="00997038" w:rsidRPr="00997038" w:rsidRDefault="00997038" w:rsidP="00997038">
            <w:pPr>
              <w:pStyle w:val="T2"/>
              <w:jc w:val="right"/>
              <w:rPr>
                <w:bCs/>
              </w:rPr>
            </w:pPr>
            <w:r w:rsidRPr="00997038">
              <w:rPr>
                <w:bCs/>
              </w:rPr>
              <w:t>0.3</w:t>
            </w:r>
          </w:p>
        </w:tc>
        <w:tc>
          <w:tcPr>
            <w:tcW w:w="847" w:type="dxa"/>
            <w:tcBorders>
              <w:bottom w:val="single" w:sz="2" w:space="0" w:color="auto"/>
            </w:tcBorders>
            <w:vAlign w:val="bottom"/>
          </w:tcPr>
          <w:p w14:paraId="7C9A7579" w14:textId="44A0AB7C" w:rsidR="00997038" w:rsidRPr="00997038" w:rsidRDefault="00997038" w:rsidP="00997038">
            <w:pPr>
              <w:pStyle w:val="T2"/>
              <w:jc w:val="right"/>
              <w:rPr>
                <w:bCs/>
              </w:rPr>
            </w:pPr>
            <w:r w:rsidRPr="00997038">
              <w:rPr>
                <w:bCs/>
              </w:rPr>
              <w:t>0.4</w:t>
            </w:r>
          </w:p>
        </w:tc>
      </w:tr>
      <w:tr w:rsidR="00997038" w14:paraId="18DF8FBF" w14:textId="77777777" w:rsidTr="004B6C20">
        <w:trPr>
          <w:jc w:val="center"/>
        </w:trPr>
        <w:tc>
          <w:tcPr>
            <w:tcW w:w="4395" w:type="dxa"/>
            <w:tcBorders>
              <w:top w:val="single" w:sz="2" w:space="0" w:color="auto"/>
              <w:bottom w:val="single" w:sz="2" w:space="0" w:color="auto"/>
            </w:tcBorders>
            <w:vAlign w:val="bottom"/>
          </w:tcPr>
          <w:p w14:paraId="39E1F293" w14:textId="77777777" w:rsidR="00997038" w:rsidRPr="004803BC" w:rsidRDefault="00997038" w:rsidP="00997038">
            <w:pPr>
              <w:pStyle w:val="T2"/>
              <w:jc w:val="left"/>
              <w:rPr>
                <w:b/>
              </w:rPr>
            </w:pPr>
            <w:r w:rsidRPr="004803BC">
              <w:rPr>
                <w:b/>
              </w:rPr>
              <w:t>Total comprehensive income for the financial period</w:t>
            </w:r>
          </w:p>
        </w:tc>
        <w:tc>
          <w:tcPr>
            <w:tcW w:w="709" w:type="dxa"/>
            <w:tcBorders>
              <w:top w:val="single" w:sz="2" w:space="0" w:color="auto"/>
              <w:bottom w:val="single" w:sz="2" w:space="0" w:color="auto"/>
            </w:tcBorders>
            <w:vAlign w:val="bottom"/>
          </w:tcPr>
          <w:p w14:paraId="2C23C9F8" w14:textId="372A79EE" w:rsidR="00997038" w:rsidRPr="004803BC" w:rsidRDefault="00997038" w:rsidP="00997038">
            <w:pPr>
              <w:jc w:val="right"/>
              <w:rPr>
                <w:rFonts w:ascii="Calibri" w:hAnsi="Calibri" w:cs="Calibri"/>
                <w:bCs/>
                <w:sz w:val="18"/>
                <w:szCs w:val="18"/>
              </w:rPr>
            </w:pPr>
            <w:r w:rsidRPr="004B6C20">
              <w:rPr>
                <w:bCs/>
                <w:sz w:val="18"/>
                <w:szCs w:val="18"/>
              </w:rPr>
              <w:t>–</w:t>
            </w:r>
          </w:p>
        </w:tc>
        <w:tc>
          <w:tcPr>
            <w:tcW w:w="992" w:type="dxa"/>
            <w:tcBorders>
              <w:top w:val="single" w:sz="2" w:space="0" w:color="auto"/>
              <w:bottom w:val="single" w:sz="2" w:space="0" w:color="auto"/>
            </w:tcBorders>
            <w:vAlign w:val="bottom"/>
          </w:tcPr>
          <w:p w14:paraId="7407FD64" w14:textId="1E60BA4A" w:rsidR="00997038" w:rsidRPr="004803BC" w:rsidRDefault="00997038" w:rsidP="00997038">
            <w:pPr>
              <w:pStyle w:val="T2"/>
              <w:jc w:val="right"/>
              <w:rPr>
                <w:bCs/>
              </w:rPr>
            </w:pPr>
            <w:r w:rsidRPr="004803BC">
              <w:rPr>
                <w:bCs/>
              </w:rPr>
              <w:t>–</w:t>
            </w:r>
          </w:p>
        </w:tc>
        <w:tc>
          <w:tcPr>
            <w:tcW w:w="850" w:type="dxa"/>
            <w:tcBorders>
              <w:top w:val="single" w:sz="2" w:space="0" w:color="auto"/>
              <w:bottom w:val="single" w:sz="2" w:space="0" w:color="auto"/>
            </w:tcBorders>
            <w:vAlign w:val="bottom"/>
          </w:tcPr>
          <w:p w14:paraId="7190DE69" w14:textId="0751E0D1" w:rsidR="00997038" w:rsidRPr="004803BC" w:rsidRDefault="00997038" w:rsidP="00997038">
            <w:pPr>
              <w:pStyle w:val="T2"/>
              <w:jc w:val="right"/>
              <w:rPr>
                <w:bCs/>
              </w:rPr>
            </w:pPr>
            <w:r w:rsidRPr="004803BC">
              <w:rPr>
                <w:bCs/>
              </w:rPr>
              <w:t>(4.4)</w:t>
            </w:r>
          </w:p>
        </w:tc>
        <w:tc>
          <w:tcPr>
            <w:tcW w:w="992" w:type="dxa"/>
            <w:tcBorders>
              <w:top w:val="single" w:sz="2" w:space="0" w:color="auto"/>
              <w:bottom w:val="single" w:sz="2" w:space="0" w:color="auto"/>
            </w:tcBorders>
            <w:vAlign w:val="bottom"/>
          </w:tcPr>
          <w:p w14:paraId="5DB1505D" w14:textId="55A06528" w:rsidR="00997038" w:rsidRPr="004803BC" w:rsidRDefault="00997038" w:rsidP="00997038">
            <w:pPr>
              <w:pStyle w:val="T2"/>
              <w:jc w:val="right"/>
              <w:rPr>
                <w:bCs/>
              </w:rPr>
            </w:pPr>
            <w:r w:rsidRPr="004803BC">
              <w:rPr>
                <w:bCs/>
              </w:rPr>
              <w:t>10.4</w:t>
            </w:r>
          </w:p>
        </w:tc>
        <w:tc>
          <w:tcPr>
            <w:tcW w:w="826" w:type="dxa"/>
            <w:tcBorders>
              <w:top w:val="single" w:sz="2" w:space="0" w:color="auto"/>
              <w:bottom w:val="single" w:sz="2" w:space="0" w:color="auto"/>
            </w:tcBorders>
            <w:vAlign w:val="bottom"/>
          </w:tcPr>
          <w:p w14:paraId="7664E11D" w14:textId="3EF3C2A1" w:rsidR="00997038" w:rsidRPr="004803BC" w:rsidRDefault="00997038" w:rsidP="00997038">
            <w:pPr>
              <w:pStyle w:val="T2"/>
              <w:jc w:val="right"/>
              <w:rPr>
                <w:bCs/>
              </w:rPr>
            </w:pPr>
            <w:r w:rsidRPr="004803BC">
              <w:rPr>
                <w:bCs/>
              </w:rPr>
              <w:t>6.0</w:t>
            </w:r>
          </w:p>
        </w:tc>
        <w:tc>
          <w:tcPr>
            <w:tcW w:w="1020" w:type="dxa"/>
            <w:tcBorders>
              <w:top w:val="single" w:sz="2" w:space="0" w:color="auto"/>
              <w:bottom w:val="single" w:sz="2" w:space="0" w:color="auto"/>
            </w:tcBorders>
            <w:vAlign w:val="bottom"/>
          </w:tcPr>
          <w:p w14:paraId="171D13DE" w14:textId="17A03C6A" w:rsidR="00997038" w:rsidRPr="004803BC" w:rsidRDefault="00997038" w:rsidP="00997038">
            <w:pPr>
              <w:pStyle w:val="T2"/>
              <w:jc w:val="right"/>
              <w:rPr>
                <w:bCs/>
              </w:rPr>
            </w:pPr>
            <w:r w:rsidRPr="004803BC">
              <w:rPr>
                <w:bCs/>
              </w:rPr>
              <w:t>(5.7)</w:t>
            </w:r>
          </w:p>
        </w:tc>
        <w:tc>
          <w:tcPr>
            <w:tcW w:w="847" w:type="dxa"/>
            <w:tcBorders>
              <w:top w:val="single" w:sz="2" w:space="0" w:color="auto"/>
              <w:bottom w:val="single" w:sz="2" w:space="0" w:color="auto"/>
            </w:tcBorders>
            <w:vAlign w:val="bottom"/>
          </w:tcPr>
          <w:p w14:paraId="518FE8B7" w14:textId="4F2159FA" w:rsidR="00997038" w:rsidRPr="004803BC" w:rsidRDefault="00997038" w:rsidP="00997038">
            <w:pPr>
              <w:pStyle w:val="T2"/>
              <w:jc w:val="right"/>
              <w:rPr>
                <w:bCs/>
              </w:rPr>
            </w:pPr>
            <w:r w:rsidRPr="004803BC">
              <w:rPr>
                <w:bCs/>
              </w:rPr>
              <w:t>0.3</w:t>
            </w:r>
          </w:p>
        </w:tc>
      </w:tr>
      <w:tr w:rsidR="00997038" w14:paraId="02D51613" w14:textId="77777777" w:rsidTr="004B6C20">
        <w:trPr>
          <w:jc w:val="center"/>
        </w:trPr>
        <w:tc>
          <w:tcPr>
            <w:tcW w:w="4395" w:type="dxa"/>
            <w:tcBorders>
              <w:top w:val="single" w:sz="2" w:space="0" w:color="auto"/>
            </w:tcBorders>
          </w:tcPr>
          <w:p w14:paraId="539A4F01" w14:textId="1BF896BC" w:rsidR="00997038" w:rsidRPr="00AF5104" w:rsidRDefault="00997038" w:rsidP="00997038">
            <w:pPr>
              <w:pStyle w:val="T2"/>
              <w:jc w:val="left"/>
            </w:pPr>
            <w:r w:rsidRPr="00006931">
              <w:rPr>
                <w:bCs/>
              </w:rPr>
              <w:t xml:space="preserve">Employee </w:t>
            </w:r>
            <w:r w:rsidRPr="005D0EFF">
              <w:rPr>
                <w:bCs/>
              </w:rPr>
              <w:t>share</w:t>
            </w:r>
            <w:r>
              <w:rPr>
                <w:bCs/>
              </w:rPr>
              <w:t>–</w:t>
            </w:r>
            <w:r w:rsidRPr="005D0EFF">
              <w:rPr>
                <w:bCs/>
              </w:rPr>
              <w:t>based payment expense</w:t>
            </w:r>
          </w:p>
        </w:tc>
        <w:tc>
          <w:tcPr>
            <w:tcW w:w="709" w:type="dxa"/>
            <w:tcBorders>
              <w:top w:val="single" w:sz="2" w:space="0" w:color="auto"/>
            </w:tcBorders>
            <w:vAlign w:val="bottom"/>
          </w:tcPr>
          <w:p w14:paraId="61D5B12D" w14:textId="644F557D" w:rsidR="00997038" w:rsidRPr="00997038" w:rsidRDefault="00997038" w:rsidP="00997038">
            <w:pPr>
              <w:pStyle w:val="T2"/>
              <w:jc w:val="right"/>
              <w:rPr>
                <w:bCs/>
              </w:rPr>
            </w:pPr>
            <w:r w:rsidRPr="00997038">
              <w:rPr>
                <w:bCs/>
              </w:rPr>
              <w:t>–</w:t>
            </w:r>
          </w:p>
        </w:tc>
        <w:tc>
          <w:tcPr>
            <w:tcW w:w="992" w:type="dxa"/>
            <w:tcBorders>
              <w:top w:val="single" w:sz="2" w:space="0" w:color="auto"/>
            </w:tcBorders>
            <w:vAlign w:val="bottom"/>
          </w:tcPr>
          <w:p w14:paraId="5DFB070E" w14:textId="68E596CF" w:rsidR="00997038" w:rsidRPr="00997038" w:rsidRDefault="00997038" w:rsidP="00997038">
            <w:pPr>
              <w:pStyle w:val="T2"/>
              <w:jc w:val="right"/>
              <w:rPr>
                <w:bCs/>
              </w:rPr>
            </w:pPr>
            <w:r w:rsidRPr="00997038">
              <w:rPr>
                <w:bCs/>
              </w:rPr>
              <w:t>–</w:t>
            </w:r>
          </w:p>
        </w:tc>
        <w:tc>
          <w:tcPr>
            <w:tcW w:w="850" w:type="dxa"/>
            <w:tcBorders>
              <w:top w:val="single" w:sz="2" w:space="0" w:color="auto"/>
            </w:tcBorders>
            <w:vAlign w:val="bottom"/>
          </w:tcPr>
          <w:p w14:paraId="024A79A8" w14:textId="49011647" w:rsidR="00997038" w:rsidRPr="00997038" w:rsidRDefault="00997038" w:rsidP="00997038">
            <w:pPr>
              <w:pStyle w:val="T2"/>
              <w:jc w:val="right"/>
              <w:rPr>
                <w:bCs/>
              </w:rPr>
            </w:pPr>
            <w:r w:rsidRPr="00997038">
              <w:rPr>
                <w:bCs/>
              </w:rPr>
              <w:t>1.0</w:t>
            </w:r>
          </w:p>
        </w:tc>
        <w:tc>
          <w:tcPr>
            <w:tcW w:w="992" w:type="dxa"/>
            <w:tcBorders>
              <w:top w:val="single" w:sz="2" w:space="0" w:color="auto"/>
            </w:tcBorders>
            <w:vAlign w:val="bottom"/>
          </w:tcPr>
          <w:p w14:paraId="7E29E623" w14:textId="7B1CA773" w:rsidR="00997038" w:rsidRPr="00997038" w:rsidRDefault="00997038" w:rsidP="00997038">
            <w:pPr>
              <w:pStyle w:val="T2"/>
              <w:jc w:val="right"/>
              <w:rPr>
                <w:bCs/>
              </w:rPr>
            </w:pPr>
            <w:r w:rsidRPr="00997038">
              <w:rPr>
                <w:bCs/>
              </w:rPr>
              <w:t>–</w:t>
            </w:r>
          </w:p>
        </w:tc>
        <w:tc>
          <w:tcPr>
            <w:tcW w:w="826" w:type="dxa"/>
            <w:tcBorders>
              <w:top w:val="single" w:sz="2" w:space="0" w:color="auto"/>
            </w:tcBorders>
            <w:vAlign w:val="bottom"/>
          </w:tcPr>
          <w:p w14:paraId="286ED131" w14:textId="57F9E820" w:rsidR="00997038" w:rsidRPr="00997038" w:rsidRDefault="00997038" w:rsidP="00997038">
            <w:pPr>
              <w:pStyle w:val="T2"/>
              <w:jc w:val="right"/>
              <w:rPr>
                <w:bCs/>
              </w:rPr>
            </w:pPr>
            <w:r w:rsidRPr="00997038">
              <w:rPr>
                <w:bCs/>
              </w:rPr>
              <w:t>1.0</w:t>
            </w:r>
          </w:p>
        </w:tc>
        <w:tc>
          <w:tcPr>
            <w:tcW w:w="1020" w:type="dxa"/>
            <w:tcBorders>
              <w:top w:val="single" w:sz="2" w:space="0" w:color="auto"/>
            </w:tcBorders>
            <w:vAlign w:val="bottom"/>
          </w:tcPr>
          <w:p w14:paraId="3E5C14C0" w14:textId="3ACC9CAB" w:rsidR="00997038" w:rsidRPr="00997038" w:rsidRDefault="00997038" w:rsidP="00997038">
            <w:pPr>
              <w:pStyle w:val="T2"/>
              <w:jc w:val="right"/>
              <w:rPr>
                <w:bCs/>
              </w:rPr>
            </w:pPr>
            <w:r w:rsidRPr="00997038">
              <w:rPr>
                <w:bCs/>
              </w:rPr>
              <w:t>–</w:t>
            </w:r>
          </w:p>
        </w:tc>
        <w:tc>
          <w:tcPr>
            <w:tcW w:w="847" w:type="dxa"/>
            <w:tcBorders>
              <w:top w:val="single" w:sz="2" w:space="0" w:color="auto"/>
            </w:tcBorders>
            <w:vAlign w:val="bottom"/>
          </w:tcPr>
          <w:p w14:paraId="6D94DC52" w14:textId="4DB1ABFE" w:rsidR="00997038" w:rsidRPr="00997038" w:rsidRDefault="00997038" w:rsidP="00997038">
            <w:pPr>
              <w:pStyle w:val="T2"/>
              <w:jc w:val="right"/>
              <w:rPr>
                <w:bCs/>
              </w:rPr>
            </w:pPr>
            <w:r w:rsidRPr="00997038">
              <w:rPr>
                <w:bCs/>
              </w:rPr>
              <w:t>1.0</w:t>
            </w:r>
          </w:p>
        </w:tc>
      </w:tr>
      <w:tr w:rsidR="00997038" w14:paraId="0D2F9465" w14:textId="77777777" w:rsidTr="00AB28DB">
        <w:trPr>
          <w:jc w:val="center"/>
        </w:trPr>
        <w:tc>
          <w:tcPr>
            <w:tcW w:w="4395" w:type="dxa"/>
          </w:tcPr>
          <w:p w14:paraId="43BC9A1D" w14:textId="737ECA47" w:rsidR="00997038" w:rsidRPr="00AF5104" w:rsidRDefault="00997038" w:rsidP="00997038">
            <w:pPr>
              <w:pStyle w:val="T2"/>
              <w:jc w:val="left"/>
            </w:pPr>
            <w:r w:rsidRPr="00006931">
              <w:rPr>
                <w:bCs/>
              </w:rPr>
              <w:t>Exercise, lapse or forfeit of share</w:t>
            </w:r>
            <w:r>
              <w:rPr>
                <w:bCs/>
              </w:rPr>
              <w:t>–</w:t>
            </w:r>
            <w:r w:rsidRPr="00006931">
              <w:rPr>
                <w:bCs/>
              </w:rPr>
              <w:t>based payments</w:t>
            </w:r>
          </w:p>
        </w:tc>
        <w:tc>
          <w:tcPr>
            <w:tcW w:w="709" w:type="dxa"/>
            <w:vAlign w:val="bottom"/>
          </w:tcPr>
          <w:p w14:paraId="357121C1" w14:textId="4DFBB8D5" w:rsidR="00997038" w:rsidRPr="00997038" w:rsidRDefault="00997038" w:rsidP="00997038">
            <w:pPr>
              <w:pStyle w:val="T2"/>
              <w:jc w:val="right"/>
              <w:rPr>
                <w:bCs/>
              </w:rPr>
            </w:pPr>
            <w:r w:rsidRPr="00997038">
              <w:rPr>
                <w:bCs/>
              </w:rPr>
              <w:t>–</w:t>
            </w:r>
          </w:p>
        </w:tc>
        <w:tc>
          <w:tcPr>
            <w:tcW w:w="992" w:type="dxa"/>
            <w:vAlign w:val="bottom"/>
          </w:tcPr>
          <w:p w14:paraId="5028C413" w14:textId="7B65443E" w:rsidR="00997038" w:rsidRPr="00997038" w:rsidRDefault="00997038" w:rsidP="00997038">
            <w:pPr>
              <w:pStyle w:val="T2"/>
              <w:jc w:val="right"/>
              <w:rPr>
                <w:bCs/>
              </w:rPr>
            </w:pPr>
            <w:r w:rsidRPr="00997038">
              <w:rPr>
                <w:bCs/>
              </w:rPr>
              <w:t>–</w:t>
            </w:r>
          </w:p>
        </w:tc>
        <w:tc>
          <w:tcPr>
            <w:tcW w:w="850" w:type="dxa"/>
            <w:vAlign w:val="bottom"/>
          </w:tcPr>
          <w:p w14:paraId="46F6FA5F" w14:textId="2186E7AB" w:rsidR="00997038" w:rsidRPr="00997038" w:rsidRDefault="00997038" w:rsidP="00997038">
            <w:pPr>
              <w:pStyle w:val="T2"/>
              <w:jc w:val="right"/>
              <w:rPr>
                <w:bCs/>
              </w:rPr>
            </w:pPr>
            <w:r w:rsidRPr="00997038">
              <w:rPr>
                <w:bCs/>
              </w:rPr>
              <w:t>(2.1)</w:t>
            </w:r>
          </w:p>
        </w:tc>
        <w:tc>
          <w:tcPr>
            <w:tcW w:w="992" w:type="dxa"/>
            <w:vAlign w:val="bottom"/>
          </w:tcPr>
          <w:p w14:paraId="0BEFF6D1" w14:textId="707B9B5A" w:rsidR="00997038" w:rsidRPr="00997038" w:rsidRDefault="00997038" w:rsidP="00997038">
            <w:pPr>
              <w:pStyle w:val="T2"/>
              <w:jc w:val="right"/>
              <w:rPr>
                <w:bCs/>
              </w:rPr>
            </w:pPr>
            <w:r w:rsidRPr="00997038">
              <w:rPr>
                <w:bCs/>
              </w:rPr>
              <w:t>2.1</w:t>
            </w:r>
          </w:p>
        </w:tc>
        <w:tc>
          <w:tcPr>
            <w:tcW w:w="826" w:type="dxa"/>
            <w:vAlign w:val="bottom"/>
          </w:tcPr>
          <w:p w14:paraId="0FDC5D69" w14:textId="15007E5D" w:rsidR="00997038" w:rsidRPr="00997038" w:rsidRDefault="00997038" w:rsidP="00997038">
            <w:pPr>
              <w:pStyle w:val="T2"/>
              <w:jc w:val="right"/>
              <w:rPr>
                <w:bCs/>
              </w:rPr>
            </w:pPr>
            <w:r w:rsidRPr="00997038">
              <w:rPr>
                <w:bCs/>
              </w:rPr>
              <w:t>–</w:t>
            </w:r>
          </w:p>
        </w:tc>
        <w:tc>
          <w:tcPr>
            <w:tcW w:w="1020" w:type="dxa"/>
            <w:vAlign w:val="bottom"/>
          </w:tcPr>
          <w:p w14:paraId="13F84270" w14:textId="44C95C3A" w:rsidR="00997038" w:rsidRPr="00997038" w:rsidRDefault="00997038" w:rsidP="00997038">
            <w:pPr>
              <w:pStyle w:val="T2"/>
              <w:jc w:val="right"/>
              <w:rPr>
                <w:bCs/>
              </w:rPr>
            </w:pPr>
            <w:r w:rsidRPr="00997038">
              <w:rPr>
                <w:bCs/>
              </w:rPr>
              <w:t>–</w:t>
            </w:r>
          </w:p>
        </w:tc>
        <w:tc>
          <w:tcPr>
            <w:tcW w:w="847" w:type="dxa"/>
            <w:vAlign w:val="bottom"/>
          </w:tcPr>
          <w:p w14:paraId="36198C7E" w14:textId="73983969" w:rsidR="00997038" w:rsidRPr="00997038" w:rsidRDefault="00997038" w:rsidP="00997038">
            <w:pPr>
              <w:pStyle w:val="T2"/>
              <w:jc w:val="right"/>
              <w:rPr>
                <w:bCs/>
              </w:rPr>
            </w:pPr>
            <w:r w:rsidRPr="00997038">
              <w:rPr>
                <w:bCs/>
              </w:rPr>
              <w:t>–</w:t>
            </w:r>
          </w:p>
        </w:tc>
      </w:tr>
      <w:tr w:rsidR="00997038" w14:paraId="4783FF1C" w14:textId="77777777" w:rsidTr="00AB28DB">
        <w:trPr>
          <w:jc w:val="center"/>
        </w:trPr>
        <w:tc>
          <w:tcPr>
            <w:tcW w:w="4395" w:type="dxa"/>
          </w:tcPr>
          <w:p w14:paraId="755C9944" w14:textId="71935CDF" w:rsidR="00997038" w:rsidRPr="003841B4" w:rsidRDefault="00997038" w:rsidP="00997038">
            <w:pPr>
              <w:pStyle w:val="T2"/>
              <w:jc w:val="left"/>
              <w:rPr>
                <w:b/>
              </w:rPr>
            </w:pPr>
            <w:r w:rsidRPr="00006931">
              <w:rPr>
                <w:bCs/>
              </w:rPr>
              <w:t xml:space="preserve">Transfer to Retained Earnings on </w:t>
            </w:r>
            <w:r>
              <w:rPr>
                <w:bCs/>
              </w:rPr>
              <w:t xml:space="preserve">transfer </w:t>
            </w:r>
            <w:r w:rsidRPr="00006931">
              <w:rPr>
                <w:bCs/>
              </w:rPr>
              <w:t>of shares to beneficiaries of the Employee Benefit Trust</w:t>
            </w:r>
          </w:p>
        </w:tc>
        <w:tc>
          <w:tcPr>
            <w:tcW w:w="709" w:type="dxa"/>
            <w:vAlign w:val="bottom"/>
          </w:tcPr>
          <w:p w14:paraId="7C70B6D7" w14:textId="5FAB2784" w:rsidR="00997038" w:rsidRPr="00997038" w:rsidRDefault="00997038" w:rsidP="00997038">
            <w:pPr>
              <w:pStyle w:val="T2"/>
              <w:jc w:val="right"/>
              <w:rPr>
                <w:bCs/>
              </w:rPr>
            </w:pPr>
            <w:r w:rsidRPr="00997038">
              <w:rPr>
                <w:bCs/>
              </w:rPr>
              <w:t>–</w:t>
            </w:r>
          </w:p>
        </w:tc>
        <w:tc>
          <w:tcPr>
            <w:tcW w:w="992" w:type="dxa"/>
            <w:vAlign w:val="bottom"/>
          </w:tcPr>
          <w:p w14:paraId="0B23611A" w14:textId="60773526" w:rsidR="00997038" w:rsidRPr="00997038" w:rsidRDefault="00997038" w:rsidP="00997038">
            <w:pPr>
              <w:pStyle w:val="T2"/>
              <w:jc w:val="right"/>
              <w:rPr>
                <w:bCs/>
              </w:rPr>
            </w:pPr>
            <w:r w:rsidRPr="00997038">
              <w:rPr>
                <w:bCs/>
              </w:rPr>
              <w:t>–</w:t>
            </w:r>
          </w:p>
        </w:tc>
        <w:tc>
          <w:tcPr>
            <w:tcW w:w="850" w:type="dxa"/>
            <w:vAlign w:val="bottom"/>
          </w:tcPr>
          <w:p w14:paraId="6750D3D2" w14:textId="7ECA2A41" w:rsidR="00997038" w:rsidRPr="00997038" w:rsidRDefault="00997038" w:rsidP="00997038">
            <w:pPr>
              <w:pStyle w:val="T2"/>
              <w:jc w:val="right"/>
              <w:rPr>
                <w:bCs/>
              </w:rPr>
            </w:pPr>
            <w:r w:rsidRPr="00997038">
              <w:rPr>
                <w:bCs/>
              </w:rPr>
              <w:t>1.1</w:t>
            </w:r>
          </w:p>
        </w:tc>
        <w:tc>
          <w:tcPr>
            <w:tcW w:w="992" w:type="dxa"/>
            <w:vAlign w:val="bottom"/>
          </w:tcPr>
          <w:p w14:paraId="22DB1408" w14:textId="73F240D9" w:rsidR="00997038" w:rsidRPr="00997038" w:rsidRDefault="00997038" w:rsidP="00997038">
            <w:pPr>
              <w:pStyle w:val="T2"/>
              <w:jc w:val="right"/>
              <w:rPr>
                <w:bCs/>
              </w:rPr>
            </w:pPr>
            <w:r w:rsidRPr="00997038">
              <w:rPr>
                <w:bCs/>
              </w:rPr>
              <w:t>(1.1)</w:t>
            </w:r>
          </w:p>
        </w:tc>
        <w:tc>
          <w:tcPr>
            <w:tcW w:w="826" w:type="dxa"/>
            <w:vAlign w:val="bottom"/>
          </w:tcPr>
          <w:p w14:paraId="499C2A3B" w14:textId="5D9BE9AB" w:rsidR="00997038" w:rsidRPr="00997038" w:rsidRDefault="00997038" w:rsidP="00997038">
            <w:pPr>
              <w:pStyle w:val="T2"/>
              <w:jc w:val="right"/>
              <w:rPr>
                <w:bCs/>
              </w:rPr>
            </w:pPr>
            <w:r w:rsidRPr="00997038">
              <w:rPr>
                <w:bCs/>
              </w:rPr>
              <w:t>–</w:t>
            </w:r>
          </w:p>
        </w:tc>
        <w:tc>
          <w:tcPr>
            <w:tcW w:w="1020" w:type="dxa"/>
            <w:vAlign w:val="bottom"/>
          </w:tcPr>
          <w:p w14:paraId="070D0389" w14:textId="23310B45" w:rsidR="00997038" w:rsidRPr="00997038" w:rsidRDefault="00997038" w:rsidP="00997038">
            <w:pPr>
              <w:pStyle w:val="T2"/>
              <w:jc w:val="right"/>
              <w:rPr>
                <w:bCs/>
              </w:rPr>
            </w:pPr>
            <w:r w:rsidRPr="00997038">
              <w:rPr>
                <w:bCs/>
              </w:rPr>
              <w:t>–</w:t>
            </w:r>
          </w:p>
        </w:tc>
        <w:tc>
          <w:tcPr>
            <w:tcW w:w="847" w:type="dxa"/>
            <w:vAlign w:val="bottom"/>
          </w:tcPr>
          <w:p w14:paraId="194D5A0A" w14:textId="6B4937E5" w:rsidR="00997038" w:rsidRPr="00997038" w:rsidRDefault="00997038" w:rsidP="00997038">
            <w:pPr>
              <w:pStyle w:val="T2"/>
              <w:jc w:val="right"/>
              <w:rPr>
                <w:bCs/>
              </w:rPr>
            </w:pPr>
            <w:r w:rsidRPr="00997038">
              <w:rPr>
                <w:bCs/>
              </w:rPr>
              <w:t>–</w:t>
            </w:r>
          </w:p>
        </w:tc>
      </w:tr>
      <w:tr w:rsidR="00997038" w14:paraId="6DB2DC2F" w14:textId="77777777" w:rsidTr="00AB28DB">
        <w:trPr>
          <w:jc w:val="center"/>
        </w:trPr>
        <w:tc>
          <w:tcPr>
            <w:tcW w:w="4395" w:type="dxa"/>
          </w:tcPr>
          <w:p w14:paraId="2DDEA7F8" w14:textId="77BE69F7" w:rsidR="00997038" w:rsidRPr="00A52C8E" w:rsidRDefault="00997038" w:rsidP="00997038">
            <w:pPr>
              <w:pStyle w:val="T2"/>
              <w:jc w:val="left"/>
            </w:pPr>
            <w:r>
              <w:rPr>
                <w:bCs/>
              </w:rPr>
              <w:t>Shares issued in the period</w:t>
            </w:r>
          </w:p>
        </w:tc>
        <w:tc>
          <w:tcPr>
            <w:tcW w:w="709" w:type="dxa"/>
            <w:vAlign w:val="bottom"/>
          </w:tcPr>
          <w:p w14:paraId="51DEA3EB" w14:textId="544FB1AD" w:rsidR="00997038" w:rsidRPr="00997038" w:rsidRDefault="00997038" w:rsidP="00997038">
            <w:pPr>
              <w:pStyle w:val="T2"/>
              <w:jc w:val="right"/>
              <w:rPr>
                <w:bCs/>
              </w:rPr>
            </w:pPr>
            <w:r w:rsidRPr="00997038">
              <w:rPr>
                <w:bCs/>
              </w:rPr>
              <w:t>0.8</w:t>
            </w:r>
          </w:p>
        </w:tc>
        <w:tc>
          <w:tcPr>
            <w:tcW w:w="992" w:type="dxa"/>
            <w:vAlign w:val="bottom"/>
          </w:tcPr>
          <w:p w14:paraId="65434B81" w14:textId="52B78366" w:rsidR="00997038" w:rsidRPr="00997038" w:rsidRDefault="00997038" w:rsidP="00997038">
            <w:pPr>
              <w:pStyle w:val="T2"/>
              <w:jc w:val="right"/>
              <w:rPr>
                <w:bCs/>
              </w:rPr>
            </w:pPr>
            <w:r w:rsidRPr="00997038">
              <w:rPr>
                <w:bCs/>
              </w:rPr>
              <w:t>89.2</w:t>
            </w:r>
          </w:p>
        </w:tc>
        <w:tc>
          <w:tcPr>
            <w:tcW w:w="850" w:type="dxa"/>
            <w:vAlign w:val="bottom"/>
          </w:tcPr>
          <w:p w14:paraId="61B48B99" w14:textId="4E627F4A" w:rsidR="00997038" w:rsidRPr="00997038" w:rsidRDefault="00997038" w:rsidP="00997038">
            <w:pPr>
              <w:pStyle w:val="T2"/>
              <w:jc w:val="right"/>
              <w:rPr>
                <w:bCs/>
              </w:rPr>
            </w:pPr>
            <w:r w:rsidRPr="00997038">
              <w:rPr>
                <w:bCs/>
              </w:rPr>
              <w:t>–</w:t>
            </w:r>
          </w:p>
        </w:tc>
        <w:tc>
          <w:tcPr>
            <w:tcW w:w="992" w:type="dxa"/>
            <w:vAlign w:val="bottom"/>
          </w:tcPr>
          <w:p w14:paraId="665C5076" w14:textId="07E64B9A" w:rsidR="00997038" w:rsidRPr="00997038" w:rsidRDefault="00997038" w:rsidP="00997038">
            <w:pPr>
              <w:pStyle w:val="T2"/>
              <w:jc w:val="right"/>
              <w:rPr>
                <w:bCs/>
              </w:rPr>
            </w:pPr>
            <w:r w:rsidRPr="00997038">
              <w:rPr>
                <w:bCs/>
              </w:rPr>
              <w:t>–</w:t>
            </w:r>
          </w:p>
        </w:tc>
        <w:tc>
          <w:tcPr>
            <w:tcW w:w="826" w:type="dxa"/>
            <w:vAlign w:val="bottom"/>
          </w:tcPr>
          <w:p w14:paraId="7E879D93" w14:textId="75EFE23B" w:rsidR="00997038" w:rsidRPr="00997038" w:rsidRDefault="00997038" w:rsidP="00997038">
            <w:pPr>
              <w:pStyle w:val="T2"/>
              <w:jc w:val="right"/>
              <w:rPr>
                <w:bCs/>
              </w:rPr>
            </w:pPr>
            <w:r w:rsidRPr="00997038">
              <w:rPr>
                <w:bCs/>
              </w:rPr>
              <w:t>90.0</w:t>
            </w:r>
          </w:p>
        </w:tc>
        <w:tc>
          <w:tcPr>
            <w:tcW w:w="1020" w:type="dxa"/>
            <w:vAlign w:val="bottom"/>
          </w:tcPr>
          <w:p w14:paraId="33B50105" w14:textId="7E176FA7" w:rsidR="00997038" w:rsidRPr="00997038" w:rsidRDefault="00997038" w:rsidP="00997038">
            <w:pPr>
              <w:pStyle w:val="T2"/>
              <w:jc w:val="right"/>
              <w:rPr>
                <w:bCs/>
              </w:rPr>
            </w:pPr>
            <w:r w:rsidRPr="00997038">
              <w:rPr>
                <w:bCs/>
              </w:rPr>
              <w:t>–</w:t>
            </w:r>
          </w:p>
        </w:tc>
        <w:tc>
          <w:tcPr>
            <w:tcW w:w="847" w:type="dxa"/>
            <w:vAlign w:val="bottom"/>
          </w:tcPr>
          <w:p w14:paraId="41F4F6F5" w14:textId="3A303DDD" w:rsidR="00997038" w:rsidRPr="00997038" w:rsidRDefault="00997038" w:rsidP="00997038">
            <w:pPr>
              <w:pStyle w:val="T2"/>
              <w:jc w:val="right"/>
              <w:rPr>
                <w:bCs/>
              </w:rPr>
            </w:pPr>
            <w:r w:rsidRPr="00997038">
              <w:rPr>
                <w:bCs/>
              </w:rPr>
              <w:t>90.0</w:t>
            </w:r>
          </w:p>
        </w:tc>
      </w:tr>
      <w:tr w:rsidR="00997038" w14:paraId="367D3AF8" w14:textId="77777777" w:rsidTr="00AB28DB">
        <w:trPr>
          <w:jc w:val="center"/>
        </w:trPr>
        <w:tc>
          <w:tcPr>
            <w:tcW w:w="4395" w:type="dxa"/>
            <w:tcBorders>
              <w:bottom w:val="single" w:sz="2" w:space="0" w:color="auto"/>
            </w:tcBorders>
          </w:tcPr>
          <w:p w14:paraId="01B5E659" w14:textId="5934BABD" w:rsidR="00997038" w:rsidRPr="00A52C8E" w:rsidRDefault="00997038" w:rsidP="00997038">
            <w:pPr>
              <w:pStyle w:val="T2"/>
              <w:jc w:val="left"/>
            </w:pPr>
            <w:r>
              <w:rPr>
                <w:bCs/>
              </w:rPr>
              <w:t>Transaction costs of share issue</w:t>
            </w:r>
          </w:p>
        </w:tc>
        <w:tc>
          <w:tcPr>
            <w:tcW w:w="709" w:type="dxa"/>
            <w:tcBorders>
              <w:bottom w:val="single" w:sz="2" w:space="0" w:color="auto"/>
            </w:tcBorders>
            <w:vAlign w:val="bottom"/>
          </w:tcPr>
          <w:p w14:paraId="3A528DC5" w14:textId="19B4E5E2" w:rsidR="00997038" w:rsidRPr="00997038" w:rsidRDefault="00997038" w:rsidP="00997038">
            <w:pPr>
              <w:pStyle w:val="T2"/>
              <w:jc w:val="right"/>
              <w:rPr>
                <w:bCs/>
              </w:rPr>
            </w:pPr>
            <w:r w:rsidRPr="00997038">
              <w:rPr>
                <w:bCs/>
              </w:rPr>
              <w:t>–</w:t>
            </w:r>
          </w:p>
        </w:tc>
        <w:tc>
          <w:tcPr>
            <w:tcW w:w="992" w:type="dxa"/>
            <w:tcBorders>
              <w:bottom w:val="single" w:sz="2" w:space="0" w:color="auto"/>
            </w:tcBorders>
            <w:vAlign w:val="bottom"/>
          </w:tcPr>
          <w:p w14:paraId="0C158335" w14:textId="7CC34CE4" w:rsidR="00997038" w:rsidRPr="00997038" w:rsidRDefault="00997038" w:rsidP="00997038">
            <w:pPr>
              <w:pStyle w:val="T2"/>
              <w:jc w:val="right"/>
              <w:rPr>
                <w:bCs/>
              </w:rPr>
            </w:pPr>
            <w:r w:rsidRPr="00997038">
              <w:rPr>
                <w:bCs/>
              </w:rPr>
              <w:t>–</w:t>
            </w:r>
          </w:p>
        </w:tc>
        <w:tc>
          <w:tcPr>
            <w:tcW w:w="850" w:type="dxa"/>
            <w:tcBorders>
              <w:bottom w:val="single" w:sz="2" w:space="0" w:color="auto"/>
            </w:tcBorders>
            <w:vAlign w:val="bottom"/>
          </w:tcPr>
          <w:p w14:paraId="30573B0E" w14:textId="518A0C4F" w:rsidR="00997038" w:rsidRPr="00997038" w:rsidRDefault="00997038" w:rsidP="00997038">
            <w:pPr>
              <w:pStyle w:val="T2"/>
              <w:jc w:val="right"/>
              <w:rPr>
                <w:bCs/>
              </w:rPr>
            </w:pPr>
            <w:r w:rsidRPr="00997038">
              <w:rPr>
                <w:bCs/>
              </w:rPr>
              <w:t>–</w:t>
            </w:r>
          </w:p>
        </w:tc>
        <w:tc>
          <w:tcPr>
            <w:tcW w:w="992" w:type="dxa"/>
            <w:tcBorders>
              <w:bottom w:val="single" w:sz="2" w:space="0" w:color="auto"/>
            </w:tcBorders>
            <w:vAlign w:val="bottom"/>
          </w:tcPr>
          <w:p w14:paraId="1D8167C6" w14:textId="0202D59A" w:rsidR="00997038" w:rsidRPr="00997038" w:rsidRDefault="00997038" w:rsidP="00997038">
            <w:pPr>
              <w:pStyle w:val="T2"/>
              <w:jc w:val="right"/>
              <w:rPr>
                <w:bCs/>
              </w:rPr>
            </w:pPr>
            <w:r w:rsidRPr="00997038">
              <w:rPr>
                <w:bCs/>
              </w:rPr>
              <w:t>(3.0)</w:t>
            </w:r>
          </w:p>
        </w:tc>
        <w:tc>
          <w:tcPr>
            <w:tcW w:w="826" w:type="dxa"/>
            <w:tcBorders>
              <w:bottom w:val="single" w:sz="2" w:space="0" w:color="auto"/>
            </w:tcBorders>
            <w:vAlign w:val="bottom"/>
          </w:tcPr>
          <w:p w14:paraId="0876C8B0" w14:textId="5C295407" w:rsidR="00997038" w:rsidRPr="00997038" w:rsidRDefault="00997038" w:rsidP="00997038">
            <w:pPr>
              <w:pStyle w:val="T2"/>
              <w:jc w:val="right"/>
              <w:rPr>
                <w:bCs/>
              </w:rPr>
            </w:pPr>
            <w:r w:rsidRPr="00997038">
              <w:rPr>
                <w:bCs/>
              </w:rPr>
              <w:t>(3.0)</w:t>
            </w:r>
          </w:p>
        </w:tc>
        <w:tc>
          <w:tcPr>
            <w:tcW w:w="1020" w:type="dxa"/>
            <w:tcBorders>
              <w:bottom w:val="single" w:sz="2" w:space="0" w:color="auto"/>
            </w:tcBorders>
            <w:vAlign w:val="bottom"/>
          </w:tcPr>
          <w:p w14:paraId="4FFDAC6D" w14:textId="0F82EC92" w:rsidR="00997038" w:rsidRPr="00997038" w:rsidRDefault="00997038" w:rsidP="00997038">
            <w:pPr>
              <w:pStyle w:val="T2"/>
              <w:jc w:val="right"/>
              <w:rPr>
                <w:bCs/>
              </w:rPr>
            </w:pPr>
            <w:r w:rsidRPr="00997038">
              <w:rPr>
                <w:bCs/>
              </w:rPr>
              <w:t>–</w:t>
            </w:r>
          </w:p>
        </w:tc>
        <w:tc>
          <w:tcPr>
            <w:tcW w:w="847" w:type="dxa"/>
            <w:tcBorders>
              <w:bottom w:val="single" w:sz="2" w:space="0" w:color="auto"/>
            </w:tcBorders>
            <w:vAlign w:val="bottom"/>
          </w:tcPr>
          <w:p w14:paraId="51CCBD0B" w14:textId="05D7654A" w:rsidR="00997038" w:rsidRPr="00997038" w:rsidRDefault="00997038" w:rsidP="00997038">
            <w:pPr>
              <w:pStyle w:val="T2"/>
              <w:jc w:val="right"/>
              <w:rPr>
                <w:bCs/>
              </w:rPr>
            </w:pPr>
            <w:r w:rsidRPr="00997038">
              <w:rPr>
                <w:bCs/>
              </w:rPr>
              <w:t>(3.0)</w:t>
            </w:r>
          </w:p>
        </w:tc>
      </w:tr>
      <w:tr w:rsidR="00997038" w14:paraId="0F4A0F1D" w14:textId="77777777" w:rsidTr="00AB28DB">
        <w:trPr>
          <w:jc w:val="center"/>
        </w:trPr>
        <w:tc>
          <w:tcPr>
            <w:tcW w:w="4395" w:type="dxa"/>
            <w:tcBorders>
              <w:top w:val="single" w:sz="2" w:space="0" w:color="auto"/>
              <w:bottom w:val="single" w:sz="2" w:space="0" w:color="auto"/>
            </w:tcBorders>
          </w:tcPr>
          <w:p w14:paraId="7D4C0C1D" w14:textId="34F65C50" w:rsidR="00997038" w:rsidRPr="00B52070" w:rsidRDefault="00997038" w:rsidP="00997038">
            <w:pPr>
              <w:pStyle w:val="T2"/>
              <w:jc w:val="left"/>
              <w:rPr>
                <w:b/>
              </w:rPr>
            </w:pPr>
            <w:r w:rsidRPr="00B52070">
              <w:rPr>
                <w:b/>
              </w:rPr>
              <w:t xml:space="preserve">At </w:t>
            </w:r>
            <w:r>
              <w:rPr>
                <w:b/>
              </w:rPr>
              <w:t>26 March 2021</w:t>
            </w:r>
          </w:p>
        </w:tc>
        <w:tc>
          <w:tcPr>
            <w:tcW w:w="709" w:type="dxa"/>
            <w:tcBorders>
              <w:top w:val="single" w:sz="2" w:space="0" w:color="auto"/>
              <w:bottom w:val="single" w:sz="2" w:space="0" w:color="auto"/>
            </w:tcBorders>
            <w:vAlign w:val="bottom"/>
          </w:tcPr>
          <w:p w14:paraId="6979B470" w14:textId="7047F727" w:rsidR="00997038" w:rsidRPr="00997038" w:rsidRDefault="00997038" w:rsidP="00997038">
            <w:pPr>
              <w:pStyle w:val="T2"/>
              <w:jc w:val="right"/>
              <w:rPr>
                <w:bCs/>
              </w:rPr>
            </w:pPr>
            <w:r w:rsidRPr="00997038">
              <w:rPr>
                <w:bCs/>
              </w:rPr>
              <w:t>5.3</w:t>
            </w:r>
          </w:p>
        </w:tc>
        <w:tc>
          <w:tcPr>
            <w:tcW w:w="992" w:type="dxa"/>
            <w:tcBorders>
              <w:top w:val="single" w:sz="2" w:space="0" w:color="auto"/>
              <w:bottom w:val="single" w:sz="2" w:space="0" w:color="auto"/>
            </w:tcBorders>
            <w:vAlign w:val="bottom"/>
          </w:tcPr>
          <w:p w14:paraId="7D0C08EC" w14:textId="4EF0DFEB" w:rsidR="00997038" w:rsidRPr="00997038" w:rsidRDefault="00997038" w:rsidP="00997038">
            <w:pPr>
              <w:pStyle w:val="T2"/>
              <w:jc w:val="right"/>
              <w:rPr>
                <w:bCs/>
              </w:rPr>
            </w:pPr>
            <w:r w:rsidRPr="00997038">
              <w:rPr>
                <w:bCs/>
              </w:rPr>
              <w:t>89.6</w:t>
            </w:r>
          </w:p>
        </w:tc>
        <w:tc>
          <w:tcPr>
            <w:tcW w:w="850" w:type="dxa"/>
            <w:tcBorders>
              <w:top w:val="single" w:sz="2" w:space="0" w:color="auto"/>
              <w:bottom w:val="single" w:sz="2" w:space="0" w:color="auto"/>
            </w:tcBorders>
            <w:vAlign w:val="bottom"/>
          </w:tcPr>
          <w:p w14:paraId="51BF3693" w14:textId="4E4653A0" w:rsidR="00997038" w:rsidRPr="00997038" w:rsidRDefault="00997038" w:rsidP="00997038">
            <w:pPr>
              <w:pStyle w:val="T2"/>
              <w:jc w:val="right"/>
              <w:rPr>
                <w:bCs/>
              </w:rPr>
            </w:pPr>
            <w:r w:rsidRPr="00997038">
              <w:rPr>
                <w:bCs/>
              </w:rPr>
              <w:t>119.5</w:t>
            </w:r>
          </w:p>
        </w:tc>
        <w:tc>
          <w:tcPr>
            <w:tcW w:w="992" w:type="dxa"/>
            <w:tcBorders>
              <w:top w:val="single" w:sz="2" w:space="0" w:color="auto"/>
              <w:bottom w:val="single" w:sz="2" w:space="0" w:color="auto"/>
            </w:tcBorders>
            <w:vAlign w:val="bottom"/>
          </w:tcPr>
          <w:p w14:paraId="2F9D9486" w14:textId="3DD576B8" w:rsidR="00997038" w:rsidRPr="00997038" w:rsidRDefault="00997038" w:rsidP="00997038">
            <w:pPr>
              <w:pStyle w:val="T2"/>
              <w:jc w:val="right"/>
              <w:rPr>
                <w:bCs/>
              </w:rPr>
            </w:pPr>
            <w:r w:rsidRPr="00997038">
              <w:rPr>
                <w:bCs/>
              </w:rPr>
              <w:t>156.1</w:t>
            </w:r>
          </w:p>
        </w:tc>
        <w:tc>
          <w:tcPr>
            <w:tcW w:w="826" w:type="dxa"/>
            <w:tcBorders>
              <w:top w:val="single" w:sz="2" w:space="0" w:color="auto"/>
              <w:bottom w:val="single" w:sz="2" w:space="0" w:color="auto"/>
            </w:tcBorders>
            <w:vAlign w:val="bottom"/>
          </w:tcPr>
          <w:p w14:paraId="4B579A77" w14:textId="28596474" w:rsidR="00997038" w:rsidRPr="00997038" w:rsidRDefault="00997038" w:rsidP="00997038">
            <w:pPr>
              <w:pStyle w:val="T2"/>
              <w:jc w:val="right"/>
              <w:rPr>
                <w:bCs/>
              </w:rPr>
            </w:pPr>
            <w:r w:rsidRPr="00997038">
              <w:rPr>
                <w:bCs/>
              </w:rPr>
              <w:t>370.5</w:t>
            </w:r>
          </w:p>
        </w:tc>
        <w:tc>
          <w:tcPr>
            <w:tcW w:w="1020" w:type="dxa"/>
            <w:tcBorders>
              <w:top w:val="single" w:sz="2" w:space="0" w:color="auto"/>
              <w:bottom w:val="single" w:sz="2" w:space="0" w:color="auto"/>
            </w:tcBorders>
            <w:vAlign w:val="bottom"/>
          </w:tcPr>
          <w:p w14:paraId="7ACDB380" w14:textId="3921B6CF" w:rsidR="00997038" w:rsidRPr="00997038" w:rsidRDefault="00997038" w:rsidP="00997038">
            <w:pPr>
              <w:pStyle w:val="T2"/>
              <w:jc w:val="right"/>
              <w:rPr>
                <w:bCs/>
              </w:rPr>
            </w:pPr>
            <w:r w:rsidRPr="00997038">
              <w:rPr>
                <w:bCs/>
              </w:rPr>
              <w:t>–</w:t>
            </w:r>
          </w:p>
        </w:tc>
        <w:tc>
          <w:tcPr>
            <w:tcW w:w="847" w:type="dxa"/>
            <w:tcBorders>
              <w:top w:val="single" w:sz="2" w:space="0" w:color="auto"/>
              <w:bottom w:val="single" w:sz="2" w:space="0" w:color="auto"/>
            </w:tcBorders>
            <w:vAlign w:val="bottom"/>
          </w:tcPr>
          <w:p w14:paraId="406C2166" w14:textId="026D62A9" w:rsidR="00997038" w:rsidRPr="00997038" w:rsidRDefault="00997038" w:rsidP="00997038">
            <w:pPr>
              <w:pStyle w:val="T2"/>
              <w:jc w:val="right"/>
              <w:rPr>
                <w:bCs/>
              </w:rPr>
            </w:pPr>
            <w:r w:rsidRPr="00997038">
              <w:rPr>
                <w:bCs/>
              </w:rPr>
              <w:t>370.5</w:t>
            </w:r>
          </w:p>
        </w:tc>
      </w:tr>
      <w:tr w:rsidR="00997038" w14:paraId="7DCA5EE3" w14:textId="77777777" w:rsidTr="001F1616">
        <w:trPr>
          <w:jc w:val="center"/>
        </w:trPr>
        <w:tc>
          <w:tcPr>
            <w:tcW w:w="4395" w:type="dxa"/>
            <w:tcBorders>
              <w:top w:val="single" w:sz="2" w:space="0" w:color="auto"/>
            </w:tcBorders>
            <w:vAlign w:val="bottom"/>
          </w:tcPr>
          <w:p w14:paraId="273282D6" w14:textId="77777777" w:rsidR="00997038" w:rsidRDefault="00997038" w:rsidP="00997038">
            <w:pPr>
              <w:pStyle w:val="T2"/>
              <w:jc w:val="left"/>
            </w:pPr>
          </w:p>
        </w:tc>
        <w:tc>
          <w:tcPr>
            <w:tcW w:w="709" w:type="dxa"/>
            <w:tcBorders>
              <w:top w:val="single" w:sz="2" w:space="0" w:color="auto"/>
            </w:tcBorders>
          </w:tcPr>
          <w:p w14:paraId="57D2012A" w14:textId="77777777" w:rsidR="00997038" w:rsidRDefault="00997038" w:rsidP="00997038">
            <w:pPr>
              <w:pStyle w:val="T2"/>
            </w:pPr>
          </w:p>
        </w:tc>
        <w:tc>
          <w:tcPr>
            <w:tcW w:w="992" w:type="dxa"/>
            <w:tcBorders>
              <w:top w:val="single" w:sz="2" w:space="0" w:color="auto"/>
            </w:tcBorders>
          </w:tcPr>
          <w:p w14:paraId="2E8395A8" w14:textId="77777777" w:rsidR="00997038" w:rsidRDefault="00997038" w:rsidP="00997038">
            <w:pPr>
              <w:pStyle w:val="T2"/>
            </w:pPr>
          </w:p>
        </w:tc>
        <w:tc>
          <w:tcPr>
            <w:tcW w:w="850" w:type="dxa"/>
            <w:tcBorders>
              <w:top w:val="single" w:sz="2" w:space="0" w:color="auto"/>
            </w:tcBorders>
          </w:tcPr>
          <w:p w14:paraId="09110901" w14:textId="77777777" w:rsidR="00997038" w:rsidRDefault="00997038" w:rsidP="00997038">
            <w:pPr>
              <w:pStyle w:val="T2"/>
            </w:pPr>
          </w:p>
        </w:tc>
        <w:tc>
          <w:tcPr>
            <w:tcW w:w="992" w:type="dxa"/>
            <w:tcBorders>
              <w:top w:val="single" w:sz="2" w:space="0" w:color="auto"/>
            </w:tcBorders>
          </w:tcPr>
          <w:p w14:paraId="6D931CF7" w14:textId="77777777" w:rsidR="00997038" w:rsidRDefault="00997038" w:rsidP="00997038">
            <w:pPr>
              <w:pStyle w:val="T2"/>
            </w:pPr>
          </w:p>
        </w:tc>
        <w:tc>
          <w:tcPr>
            <w:tcW w:w="826" w:type="dxa"/>
            <w:tcBorders>
              <w:top w:val="single" w:sz="2" w:space="0" w:color="auto"/>
            </w:tcBorders>
          </w:tcPr>
          <w:p w14:paraId="3FCB1303" w14:textId="77777777" w:rsidR="00997038" w:rsidRDefault="00997038" w:rsidP="00997038">
            <w:pPr>
              <w:pStyle w:val="T2"/>
            </w:pPr>
          </w:p>
        </w:tc>
        <w:tc>
          <w:tcPr>
            <w:tcW w:w="1020" w:type="dxa"/>
            <w:tcBorders>
              <w:top w:val="single" w:sz="2" w:space="0" w:color="auto"/>
            </w:tcBorders>
          </w:tcPr>
          <w:p w14:paraId="6CA5277D" w14:textId="77777777" w:rsidR="00997038" w:rsidRDefault="00997038" w:rsidP="00997038">
            <w:pPr>
              <w:pStyle w:val="T2"/>
            </w:pPr>
          </w:p>
        </w:tc>
        <w:tc>
          <w:tcPr>
            <w:tcW w:w="847" w:type="dxa"/>
            <w:tcBorders>
              <w:top w:val="single" w:sz="2" w:space="0" w:color="auto"/>
            </w:tcBorders>
          </w:tcPr>
          <w:p w14:paraId="16E8D89B" w14:textId="77777777" w:rsidR="00997038" w:rsidRDefault="00997038" w:rsidP="00997038">
            <w:pPr>
              <w:pStyle w:val="T2"/>
            </w:pPr>
          </w:p>
        </w:tc>
      </w:tr>
    </w:tbl>
    <w:p w14:paraId="62C59E5C" w14:textId="77777777" w:rsidR="008B0BBD" w:rsidRDefault="008B0BBD" w:rsidP="005B3BEE">
      <w:pPr>
        <w:pStyle w:val="SectionH3"/>
      </w:pPr>
    </w:p>
    <w:p w14:paraId="438CCEE6" w14:textId="0F163A42" w:rsidR="00773F7B" w:rsidRDefault="00773F7B" w:rsidP="005B3BEE">
      <w:pPr>
        <w:pStyle w:val="SectionH3"/>
      </w:pPr>
      <w:r>
        <w:t>OTHER RESERVES</w:t>
      </w:r>
    </w:p>
    <w:tbl>
      <w:tblPr>
        <w:tblStyle w:val="TableGrid"/>
        <w:tblW w:w="10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907"/>
        <w:gridCol w:w="907"/>
        <w:gridCol w:w="1437"/>
        <w:gridCol w:w="904"/>
        <w:gridCol w:w="1033"/>
        <w:gridCol w:w="907"/>
      </w:tblGrid>
      <w:tr w:rsidR="00834013" w:rsidRPr="00EC0196" w14:paraId="6134B452" w14:textId="77777777" w:rsidTr="005B3BEE">
        <w:trPr>
          <w:jc w:val="center"/>
        </w:trPr>
        <w:tc>
          <w:tcPr>
            <w:tcW w:w="4394" w:type="dxa"/>
          </w:tcPr>
          <w:p w14:paraId="0BEA2D9E" w14:textId="77777777" w:rsidR="00773F7B" w:rsidRPr="00EC0196" w:rsidRDefault="00773F7B" w:rsidP="00773F7B">
            <w:pPr>
              <w:pStyle w:val="T2"/>
              <w:rPr>
                <w:b/>
              </w:rPr>
            </w:pPr>
          </w:p>
        </w:tc>
        <w:tc>
          <w:tcPr>
            <w:tcW w:w="907" w:type="dxa"/>
            <w:vAlign w:val="bottom"/>
          </w:tcPr>
          <w:p w14:paraId="31E4B4A1" w14:textId="77777777" w:rsidR="00773F7B" w:rsidRPr="00EC0196" w:rsidRDefault="00773F7B" w:rsidP="00773F7B">
            <w:pPr>
              <w:pStyle w:val="T2"/>
              <w:jc w:val="right"/>
              <w:rPr>
                <w:b/>
              </w:rPr>
            </w:pPr>
            <w:r w:rsidRPr="00EC0196">
              <w:rPr>
                <w:b/>
              </w:rPr>
              <w:t xml:space="preserve">Share </w:t>
            </w:r>
          </w:p>
          <w:p w14:paraId="2DF2611A" w14:textId="77777777" w:rsidR="00773F7B" w:rsidRPr="00EC0196" w:rsidRDefault="00773F7B" w:rsidP="00773F7B">
            <w:pPr>
              <w:pStyle w:val="T2"/>
              <w:jc w:val="right"/>
              <w:rPr>
                <w:b/>
              </w:rPr>
            </w:pPr>
            <w:r w:rsidRPr="00EC0196">
              <w:rPr>
                <w:b/>
              </w:rPr>
              <w:t>options</w:t>
            </w:r>
          </w:p>
        </w:tc>
        <w:tc>
          <w:tcPr>
            <w:tcW w:w="907" w:type="dxa"/>
            <w:vAlign w:val="bottom"/>
          </w:tcPr>
          <w:p w14:paraId="4683E967" w14:textId="77777777" w:rsidR="00773F7B" w:rsidRPr="00EC0196" w:rsidRDefault="00773F7B" w:rsidP="00773F7B">
            <w:pPr>
              <w:pStyle w:val="T2"/>
              <w:jc w:val="right"/>
              <w:rPr>
                <w:b/>
              </w:rPr>
            </w:pPr>
            <w:r w:rsidRPr="00EC0196">
              <w:rPr>
                <w:b/>
              </w:rPr>
              <w:t xml:space="preserve">Own </w:t>
            </w:r>
          </w:p>
          <w:p w14:paraId="4D9DEEC8" w14:textId="77777777" w:rsidR="00773F7B" w:rsidRPr="00EC0196" w:rsidRDefault="00773F7B" w:rsidP="00773F7B">
            <w:pPr>
              <w:pStyle w:val="T2"/>
              <w:jc w:val="right"/>
              <w:rPr>
                <w:b/>
              </w:rPr>
            </w:pPr>
            <w:r w:rsidRPr="00EC0196">
              <w:rPr>
                <w:b/>
              </w:rPr>
              <w:t>shares</w:t>
            </w:r>
          </w:p>
        </w:tc>
        <w:tc>
          <w:tcPr>
            <w:tcW w:w="1437" w:type="dxa"/>
            <w:vAlign w:val="bottom"/>
          </w:tcPr>
          <w:p w14:paraId="3EDE4ABE" w14:textId="77777777" w:rsidR="00773F7B" w:rsidRPr="00EC0196" w:rsidRDefault="00773F7B" w:rsidP="00773F7B">
            <w:pPr>
              <w:pStyle w:val="T2"/>
              <w:jc w:val="right"/>
              <w:rPr>
                <w:b/>
              </w:rPr>
            </w:pPr>
            <w:r w:rsidRPr="00EC0196">
              <w:rPr>
                <w:b/>
              </w:rPr>
              <w:t>Undenominated capital reserve</w:t>
            </w:r>
          </w:p>
        </w:tc>
        <w:tc>
          <w:tcPr>
            <w:tcW w:w="904" w:type="dxa"/>
            <w:vAlign w:val="bottom"/>
          </w:tcPr>
          <w:p w14:paraId="70E63DED" w14:textId="77777777" w:rsidR="00773F7B" w:rsidRPr="00EC0196" w:rsidRDefault="00773F7B" w:rsidP="00773F7B">
            <w:pPr>
              <w:pStyle w:val="T2"/>
              <w:jc w:val="right"/>
              <w:rPr>
                <w:b/>
              </w:rPr>
            </w:pPr>
            <w:r w:rsidRPr="00EC0196">
              <w:rPr>
                <w:b/>
              </w:rPr>
              <w:t>Hedging reserve</w:t>
            </w:r>
          </w:p>
        </w:tc>
        <w:tc>
          <w:tcPr>
            <w:tcW w:w="1033" w:type="dxa"/>
            <w:vAlign w:val="bottom"/>
          </w:tcPr>
          <w:p w14:paraId="4BE2A44F" w14:textId="77777777" w:rsidR="00773F7B" w:rsidRPr="00EC0196" w:rsidRDefault="00773F7B" w:rsidP="00773F7B">
            <w:pPr>
              <w:pStyle w:val="T2"/>
              <w:jc w:val="right"/>
              <w:rPr>
                <w:b/>
              </w:rPr>
            </w:pPr>
            <w:r w:rsidRPr="00EC0196">
              <w:rPr>
                <w:b/>
              </w:rPr>
              <w:t>Foreign currency translation reserve</w:t>
            </w:r>
          </w:p>
        </w:tc>
        <w:tc>
          <w:tcPr>
            <w:tcW w:w="907" w:type="dxa"/>
            <w:vAlign w:val="bottom"/>
          </w:tcPr>
          <w:p w14:paraId="50C6443D" w14:textId="77777777" w:rsidR="00773F7B" w:rsidRPr="00EC0196" w:rsidRDefault="00773F7B" w:rsidP="00773F7B">
            <w:pPr>
              <w:pStyle w:val="T2"/>
              <w:jc w:val="right"/>
              <w:rPr>
                <w:b/>
              </w:rPr>
            </w:pPr>
            <w:r w:rsidRPr="00EC0196">
              <w:rPr>
                <w:b/>
              </w:rPr>
              <w:t>Total</w:t>
            </w:r>
          </w:p>
        </w:tc>
      </w:tr>
      <w:tr w:rsidR="00834013" w:rsidRPr="00C75824" w14:paraId="5B9E8A28" w14:textId="77777777" w:rsidTr="005B3BEE">
        <w:trPr>
          <w:jc w:val="center"/>
        </w:trPr>
        <w:tc>
          <w:tcPr>
            <w:tcW w:w="4394" w:type="dxa"/>
            <w:tcBorders>
              <w:bottom w:val="single" w:sz="2" w:space="0" w:color="auto"/>
            </w:tcBorders>
          </w:tcPr>
          <w:p w14:paraId="3DF697AA" w14:textId="77777777" w:rsidR="00773F7B" w:rsidRPr="00C75824" w:rsidRDefault="00773F7B" w:rsidP="00773F7B">
            <w:pPr>
              <w:pStyle w:val="T2"/>
            </w:pPr>
          </w:p>
        </w:tc>
        <w:tc>
          <w:tcPr>
            <w:tcW w:w="907" w:type="dxa"/>
            <w:tcBorders>
              <w:bottom w:val="single" w:sz="2" w:space="0" w:color="auto"/>
            </w:tcBorders>
            <w:vAlign w:val="bottom"/>
          </w:tcPr>
          <w:p w14:paraId="3825217C" w14:textId="77777777" w:rsidR="00773F7B" w:rsidRPr="00377178" w:rsidRDefault="00773F7B" w:rsidP="00773F7B">
            <w:pPr>
              <w:pStyle w:val="T2"/>
              <w:jc w:val="right"/>
              <w:rPr>
                <w:b/>
              </w:rPr>
            </w:pPr>
            <w:r w:rsidRPr="00377178">
              <w:rPr>
                <w:b/>
              </w:rPr>
              <w:t>£m</w:t>
            </w:r>
          </w:p>
        </w:tc>
        <w:tc>
          <w:tcPr>
            <w:tcW w:w="907" w:type="dxa"/>
            <w:tcBorders>
              <w:bottom w:val="single" w:sz="2" w:space="0" w:color="auto"/>
            </w:tcBorders>
            <w:vAlign w:val="bottom"/>
          </w:tcPr>
          <w:p w14:paraId="03826BE4" w14:textId="77777777" w:rsidR="00773F7B" w:rsidRPr="00377178" w:rsidRDefault="00773F7B" w:rsidP="00773F7B">
            <w:pPr>
              <w:pStyle w:val="T2"/>
              <w:jc w:val="right"/>
              <w:rPr>
                <w:b/>
              </w:rPr>
            </w:pPr>
            <w:r w:rsidRPr="00377178">
              <w:rPr>
                <w:b/>
              </w:rPr>
              <w:t>£m</w:t>
            </w:r>
          </w:p>
        </w:tc>
        <w:tc>
          <w:tcPr>
            <w:tcW w:w="1437" w:type="dxa"/>
            <w:tcBorders>
              <w:bottom w:val="single" w:sz="2" w:space="0" w:color="auto"/>
            </w:tcBorders>
            <w:vAlign w:val="bottom"/>
          </w:tcPr>
          <w:p w14:paraId="3D71B523" w14:textId="77777777" w:rsidR="00773F7B" w:rsidRPr="00377178" w:rsidRDefault="00773F7B" w:rsidP="00773F7B">
            <w:pPr>
              <w:pStyle w:val="T2"/>
              <w:jc w:val="right"/>
              <w:rPr>
                <w:b/>
              </w:rPr>
            </w:pPr>
            <w:r w:rsidRPr="00377178">
              <w:rPr>
                <w:b/>
              </w:rPr>
              <w:t>£m</w:t>
            </w:r>
          </w:p>
        </w:tc>
        <w:tc>
          <w:tcPr>
            <w:tcW w:w="904" w:type="dxa"/>
            <w:tcBorders>
              <w:bottom w:val="single" w:sz="2" w:space="0" w:color="auto"/>
            </w:tcBorders>
            <w:vAlign w:val="bottom"/>
          </w:tcPr>
          <w:p w14:paraId="4E3ED91B" w14:textId="77777777" w:rsidR="00773F7B" w:rsidRPr="00377178" w:rsidRDefault="00773F7B" w:rsidP="00773F7B">
            <w:pPr>
              <w:pStyle w:val="T2"/>
              <w:jc w:val="right"/>
              <w:rPr>
                <w:b/>
              </w:rPr>
            </w:pPr>
            <w:r w:rsidRPr="00377178">
              <w:rPr>
                <w:b/>
              </w:rPr>
              <w:t>£m</w:t>
            </w:r>
          </w:p>
        </w:tc>
        <w:tc>
          <w:tcPr>
            <w:tcW w:w="1033" w:type="dxa"/>
            <w:tcBorders>
              <w:bottom w:val="single" w:sz="2" w:space="0" w:color="auto"/>
            </w:tcBorders>
            <w:vAlign w:val="bottom"/>
          </w:tcPr>
          <w:p w14:paraId="5C1BAF08" w14:textId="77777777" w:rsidR="00773F7B" w:rsidRPr="00377178" w:rsidRDefault="00773F7B" w:rsidP="00773F7B">
            <w:pPr>
              <w:pStyle w:val="T2"/>
              <w:jc w:val="right"/>
              <w:rPr>
                <w:b/>
              </w:rPr>
            </w:pPr>
            <w:r w:rsidRPr="00377178">
              <w:rPr>
                <w:b/>
              </w:rPr>
              <w:t>£m</w:t>
            </w:r>
          </w:p>
        </w:tc>
        <w:tc>
          <w:tcPr>
            <w:tcW w:w="907" w:type="dxa"/>
            <w:tcBorders>
              <w:bottom w:val="single" w:sz="2" w:space="0" w:color="auto"/>
            </w:tcBorders>
            <w:vAlign w:val="bottom"/>
          </w:tcPr>
          <w:p w14:paraId="2D16B806" w14:textId="77777777" w:rsidR="00773F7B" w:rsidRPr="00377178" w:rsidRDefault="00773F7B" w:rsidP="00773F7B">
            <w:pPr>
              <w:pStyle w:val="T2"/>
              <w:jc w:val="right"/>
              <w:rPr>
                <w:b/>
              </w:rPr>
            </w:pPr>
            <w:r w:rsidRPr="00377178">
              <w:rPr>
                <w:b/>
              </w:rPr>
              <w:t>£m</w:t>
            </w:r>
          </w:p>
        </w:tc>
      </w:tr>
      <w:tr w:rsidR="00834013" w:rsidRPr="00C75824" w14:paraId="24F0D0CF" w14:textId="77777777" w:rsidTr="005B3BEE">
        <w:trPr>
          <w:jc w:val="center"/>
        </w:trPr>
        <w:tc>
          <w:tcPr>
            <w:tcW w:w="4394" w:type="dxa"/>
            <w:tcBorders>
              <w:top w:val="single" w:sz="2" w:space="0" w:color="auto"/>
              <w:bottom w:val="single" w:sz="2" w:space="0" w:color="auto"/>
            </w:tcBorders>
            <w:vAlign w:val="bottom"/>
          </w:tcPr>
          <w:p w14:paraId="6C270169" w14:textId="56503727" w:rsidR="00773F7B" w:rsidRPr="008A2EFB" w:rsidRDefault="00773F7B" w:rsidP="00DD4093">
            <w:pPr>
              <w:pStyle w:val="T2"/>
              <w:jc w:val="left"/>
              <w:rPr>
                <w:b/>
              </w:rPr>
            </w:pPr>
            <w:r w:rsidRPr="008A2EFB">
              <w:rPr>
                <w:b/>
              </w:rPr>
              <w:t>At 2</w:t>
            </w:r>
            <w:r w:rsidR="005E0D3F">
              <w:rPr>
                <w:b/>
              </w:rPr>
              <w:t>4</w:t>
            </w:r>
            <w:r w:rsidRPr="008A2EFB">
              <w:rPr>
                <w:b/>
              </w:rPr>
              <w:t xml:space="preserve"> September 20</w:t>
            </w:r>
            <w:r w:rsidR="00DD4093">
              <w:rPr>
                <w:b/>
              </w:rPr>
              <w:t>2</w:t>
            </w:r>
            <w:r w:rsidR="005E0D3F">
              <w:rPr>
                <w:b/>
              </w:rPr>
              <w:t>1</w:t>
            </w:r>
          </w:p>
        </w:tc>
        <w:tc>
          <w:tcPr>
            <w:tcW w:w="907" w:type="dxa"/>
            <w:tcBorders>
              <w:top w:val="single" w:sz="2" w:space="0" w:color="auto"/>
              <w:bottom w:val="single" w:sz="2" w:space="0" w:color="auto"/>
            </w:tcBorders>
            <w:vAlign w:val="bottom"/>
          </w:tcPr>
          <w:p w14:paraId="2F6E1407" w14:textId="1AF07C16" w:rsidR="00773F7B" w:rsidRPr="003313E6" w:rsidRDefault="005E0D3F" w:rsidP="00773F7B">
            <w:pPr>
              <w:pStyle w:val="T2"/>
              <w:jc w:val="right"/>
              <w:rPr>
                <w:b/>
                <w:bCs/>
              </w:rPr>
            </w:pPr>
            <w:r>
              <w:rPr>
                <w:b/>
                <w:bCs/>
              </w:rPr>
              <w:t>3.6</w:t>
            </w:r>
          </w:p>
        </w:tc>
        <w:tc>
          <w:tcPr>
            <w:tcW w:w="907" w:type="dxa"/>
            <w:tcBorders>
              <w:top w:val="single" w:sz="2" w:space="0" w:color="auto"/>
              <w:bottom w:val="single" w:sz="2" w:space="0" w:color="auto"/>
            </w:tcBorders>
            <w:vAlign w:val="bottom"/>
          </w:tcPr>
          <w:p w14:paraId="2D032630" w14:textId="5EC6FD1C" w:rsidR="00773F7B" w:rsidRPr="003313E6" w:rsidRDefault="00773F7B" w:rsidP="002F718C">
            <w:pPr>
              <w:pStyle w:val="T2"/>
              <w:jc w:val="right"/>
              <w:rPr>
                <w:b/>
                <w:bCs/>
              </w:rPr>
            </w:pPr>
            <w:r w:rsidRPr="003313E6">
              <w:rPr>
                <w:b/>
                <w:bCs/>
              </w:rPr>
              <w:t>(</w:t>
            </w:r>
            <w:r w:rsidR="005E0D3F">
              <w:rPr>
                <w:b/>
                <w:bCs/>
              </w:rPr>
              <w:t>1.8</w:t>
            </w:r>
            <w:r w:rsidRPr="003313E6">
              <w:rPr>
                <w:b/>
                <w:bCs/>
              </w:rPr>
              <w:t>)</w:t>
            </w:r>
          </w:p>
        </w:tc>
        <w:tc>
          <w:tcPr>
            <w:tcW w:w="1437" w:type="dxa"/>
            <w:tcBorders>
              <w:top w:val="single" w:sz="2" w:space="0" w:color="auto"/>
              <w:bottom w:val="single" w:sz="2" w:space="0" w:color="auto"/>
            </w:tcBorders>
            <w:vAlign w:val="bottom"/>
          </w:tcPr>
          <w:p w14:paraId="6CDCCA83" w14:textId="77777777" w:rsidR="00773F7B" w:rsidRPr="003313E6" w:rsidRDefault="00773F7B" w:rsidP="00773F7B">
            <w:pPr>
              <w:pStyle w:val="T2"/>
              <w:jc w:val="right"/>
              <w:rPr>
                <w:b/>
                <w:bCs/>
              </w:rPr>
            </w:pPr>
            <w:r w:rsidRPr="003313E6">
              <w:rPr>
                <w:b/>
                <w:bCs/>
              </w:rPr>
              <w:t>120.4</w:t>
            </w:r>
          </w:p>
        </w:tc>
        <w:tc>
          <w:tcPr>
            <w:tcW w:w="904" w:type="dxa"/>
            <w:tcBorders>
              <w:top w:val="single" w:sz="2" w:space="0" w:color="auto"/>
              <w:bottom w:val="single" w:sz="2" w:space="0" w:color="auto"/>
            </w:tcBorders>
            <w:vAlign w:val="bottom"/>
          </w:tcPr>
          <w:p w14:paraId="6D5203F1" w14:textId="23EA41F4" w:rsidR="00773F7B" w:rsidRPr="003313E6" w:rsidRDefault="005E0D3F" w:rsidP="00773F7B">
            <w:pPr>
              <w:pStyle w:val="T2"/>
              <w:jc w:val="right"/>
              <w:rPr>
                <w:b/>
                <w:bCs/>
              </w:rPr>
            </w:pPr>
            <w:r>
              <w:rPr>
                <w:b/>
                <w:bCs/>
              </w:rPr>
              <w:t>1.2</w:t>
            </w:r>
          </w:p>
        </w:tc>
        <w:tc>
          <w:tcPr>
            <w:tcW w:w="1033" w:type="dxa"/>
            <w:tcBorders>
              <w:top w:val="single" w:sz="2" w:space="0" w:color="auto"/>
              <w:bottom w:val="single" w:sz="2" w:space="0" w:color="auto"/>
            </w:tcBorders>
            <w:vAlign w:val="bottom"/>
          </w:tcPr>
          <w:p w14:paraId="7E6E143B" w14:textId="6FF06DF5" w:rsidR="00773F7B" w:rsidRPr="003313E6" w:rsidRDefault="005E0D3F" w:rsidP="00773F7B">
            <w:pPr>
              <w:pStyle w:val="T2"/>
              <w:jc w:val="right"/>
              <w:rPr>
                <w:b/>
                <w:bCs/>
              </w:rPr>
            </w:pPr>
            <w:r>
              <w:rPr>
                <w:b/>
                <w:bCs/>
              </w:rPr>
              <w:t>(</w:t>
            </w:r>
            <w:r w:rsidR="002F718C">
              <w:rPr>
                <w:b/>
                <w:bCs/>
              </w:rPr>
              <w:t>2.0</w:t>
            </w:r>
            <w:r>
              <w:rPr>
                <w:b/>
                <w:bCs/>
              </w:rPr>
              <w:t>)</w:t>
            </w:r>
          </w:p>
        </w:tc>
        <w:tc>
          <w:tcPr>
            <w:tcW w:w="907" w:type="dxa"/>
            <w:tcBorders>
              <w:top w:val="single" w:sz="2" w:space="0" w:color="auto"/>
              <w:bottom w:val="single" w:sz="2" w:space="0" w:color="auto"/>
            </w:tcBorders>
            <w:vAlign w:val="bottom"/>
          </w:tcPr>
          <w:p w14:paraId="600B19FC" w14:textId="2CCC372F" w:rsidR="00773F7B" w:rsidRPr="003313E6" w:rsidRDefault="002F718C" w:rsidP="00773F7B">
            <w:pPr>
              <w:pStyle w:val="T2"/>
              <w:jc w:val="right"/>
              <w:rPr>
                <w:b/>
                <w:bCs/>
              </w:rPr>
            </w:pPr>
            <w:r>
              <w:rPr>
                <w:b/>
                <w:bCs/>
              </w:rPr>
              <w:t>12</w:t>
            </w:r>
            <w:r w:rsidR="00CB6D4E">
              <w:rPr>
                <w:b/>
                <w:bCs/>
              </w:rPr>
              <w:t>1</w:t>
            </w:r>
            <w:r>
              <w:rPr>
                <w:b/>
                <w:bCs/>
              </w:rPr>
              <w:t>.</w:t>
            </w:r>
            <w:r w:rsidR="00CB6D4E">
              <w:rPr>
                <w:b/>
                <w:bCs/>
              </w:rPr>
              <w:t>4</w:t>
            </w:r>
          </w:p>
        </w:tc>
      </w:tr>
      <w:tr w:rsidR="00834013" w:rsidRPr="00C75824" w14:paraId="5A04E6B0" w14:textId="77777777" w:rsidTr="005B3BEE">
        <w:trPr>
          <w:jc w:val="center"/>
        </w:trPr>
        <w:tc>
          <w:tcPr>
            <w:tcW w:w="4394" w:type="dxa"/>
            <w:tcBorders>
              <w:top w:val="single" w:sz="2" w:space="0" w:color="auto"/>
            </w:tcBorders>
            <w:vAlign w:val="bottom"/>
          </w:tcPr>
          <w:p w14:paraId="45875D21" w14:textId="77777777" w:rsidR="00773F7B" w:rsidRPr="008A2EFB" w:rsidRDefault="00773F7B" w:rsidP="00773F7B">
            <w:pPr>
              <w:pStyle w:val="T2"/>
              <w:jc w:val="left"/>
              <w:rPr>
                <w:b/>
              </w:rPr>
            </w:pPr>
            <w:r w:rsidRPr="008A2EFB">
              <w:rPr>
                <w:b/>
              </w:rPr>
              <w:t>Items of income and expense taken directly to equity</w:t>
            </w:r>
          </w:p>
        </w:tc>
        <w:tc>
          <w:tcPr>
            <w:tcW w:w="907" w:type="dxa"/>
            <w:tcBorders>
              <w:top w:val="single" w:sz="2" w:space="0" w:color="auto"/>
            </w:tcBorders>
            <w:vAlign w:val="bottom"/>
          </w:tcPr>
          <w:p w14:paraId="750CA336" w14:textId="77777777" w:rsidR="00773F7B" w:rsidRPr="003313E6" w:rsidRDefault="00773F7B" w:rsidP="00773F7B">
            <w:pPr>
              <w:pStyle w:val="T2"/>
              <w:jc w:val="right"/>
              <w:rPr>
                <w:b/>
                <w:bCs/>
              </w:rPr>
            </w:pPr>
          </w:p>
        </w:tc>
        <w:tc>
          <w:tcPr>
            <w:tcW w:w="907" w:type="dxa"/>
            <w:tcBorders>
              <w:top w:val="single" w:sz="2" w:space="0" w:color="auto"/>
            </w:tcBorders>
            <w:vAlign w:val="bottom"/>
          </w:tcPr>
          <w:p w14:paraId="00DE41DC" w14:textId="77777777" w:rsidR="00773F7B" w:rsidRPr="003313E6" w:rsidRDefault="00773F7B" w:rsidP="00773F7B">
            <w:pPr>
              <w:pStyle w:val="T2"/>
              <w:jc w:val="right"/>
              <w:rPr>
                <w:b/>
                <w:bCs/>
              </w:rPr>
            </w:pPr>
          </w:p>
        </w:tc>
        <w:tc>
          <w:tcPr>
            <w:tcW w:w="1437" w:type="dxa"/>
            <w:tcBorders>
              <w:top w:val="single" w:sz="2" w:space="0" w:color="auto"/>
            </w:tcBorders>
            <w:vAlign w:val="bottom"/>
          </w:tcPr>
          <w:p w14:paraId="6991567B" w14:textId="77777777" w:rsidR="00773F7B" w:rsidRPr="003313E6" w:rsidRDefault="00773F7B" w:rsidP="00773F7B">
            <w:pPr>
              <w:pStyle w:val="T2"/>
              <w:jc w:val="right"/>
              <w:rPr>
                <w:b/>
                <w:bCs/>
              </w:rPr>
            </w:pPr>
          </w:p>
        </w:tc>
        <w:tc>
          <w:tcPr>
            <w:tcW w:w="904" w:type="dxa"/>
            <w:tcBorders>
              <w:top w:val="single" w:sz="2" w:space="0" w:color="auto"/>
            </w:tcBorders>
            <w:vAlign w:val="bottom"/>
          </w:tcPr>
          <w:p w14:paraId="07AFAA6B" w14:textId="77777777" w:rsidR="00773F7B" w:rsidRPr="003313E6" w:rsidRDefault="00773F7B" w:rsidP="00773F7B">
            <w:pPr>
              <w:pStyle w:val="T2"/>
              <w:jc w:val="right"/>
              <w:rPr>
                <w:b/>
                <w:bCs/>
              </w:rPr>
            </w:pPr>
          </w:p>
        </w:tc>
        <w:tc>
          <w:tcPr>
            <w:tcW w:w="1033" w:type="dxa"/>
            <w:tcBorders>
              <w:top w:val="single" w:sz="2" w:space="0" w:color="auto"/>
            </w:tcBorders>
            <w:vAlign w:val="bottom"/>
          </w:tcPr>
          <w:p w14:paraId="792981DE" w14:textId="77777777" w:rsidR="00773F7B" w:rsidRPr="003313E6" w:rsidRDefault="00773F7B" w:rsidP="00773F7B">
            <w:pPr>
              <w:pStyle w:val="T2"/>
              <w:jc w:val="right"/>
              <w:rPr>
                <w:b/>
                <w:bCs/>
              </w:rPr>
            </w:pPr>
          </w:p>
        </w:tc>
        <w:tc>
          <w:tcPr>
            <w:tcW w:w="907" w:type="dxa"/>
            <w:tcBorders>
              <w:top w:val="single" w:sz="2" w:space="0" w:color="auto"/>
            </w:tcBorders>
            <w:vAlign w:val="bottom"/>
          </w:tcPr>
          <w:p w14:paraId="486807ED" w14:textId="77777777" w:rsidR="00773F7B" w:rsidRPr="003313E6" w:rsidRDefault="00773F7B" w:rsidP="00773F7B">
            <w:pPr>
              <w:pStyle w:val="T2"/>
              <w:jc w:val="right"/>
              <w:rPr>
                <w:b/>
                <w:bCs/>
              </w:rPr>
            </w:pPr>
          </w:p>
        </w:tc>
      </w:tr>
      <w:tr w:rsidR="00CB6D4E" w:rsidRPr="00C75824" w14:paraId="6038D56D" w14:textId="77777777" w:rsidTr="00D477E0">
        <w:trPr>
          <w:jc w:val="center"/>
        </w:trPr>
        <w:tc>
          <w:tcPr>
            <w:tcW w:w="4394" w:type="dxa"/>
            <w:vAlign w:val="bottom"/>
          </w:tcPr>
          <w:p w14:paraId="0912D4BE" w14:textId="77777777" w:rsidR="00CB6D4E" w:rsidRPr="008A2EFB" w:rsidRDefault="00CB6D4E" w:rsidP="00CB6D4E">
            <w:pPr>
              <w:pStyle w:val="T2"/>
              <w:jc w:val="left"/>
            </w:pPr>
            <w:r w:rsidRPr="008A2EFB">
              <w:t>Currency translation adjustment</w:t>
            </w:r>
          </w:p>
        </w:tc>
        <w:tc>
          <w:tcPr>
            <w:tcW w:w="907" w:type="dxa"/>
            <w:vAlign w:val="bottom"/>
          </w:tcPr>
          <w:p w14:paraId="32783898" w14:textId="77777777" w:rsidR="00CB6D4E" w:rsidRPr="003313E6" w:rsidRDefault="00CB6D4E" w:rsidP="00CB6D4E">
            <w:pPr>
              <w:pStyle w:val="T2"/>
              <w:jc w:val="right"/>
              <w:rPr>
                <w:b/>
                <w:bCs/>
              </w:rPr>
            </w:pPr>
            <w:r w:rsidRPr="00525379">
              <w:rPr>
                <w:b/>
                <w:bCs/>
              </w:rPr>
              <w:t>–</w:t>
            </w:r>
          </w:p>
        </w:tc>
        <w:tc>
          <w:tcPr>
            <w:tcW w:w="907" w:type="dxa"/>
            <w:vAlign w:val="bottom"/>
          </w:tcPr>
          <w:p w14:paraId="491FE234" w14:textId="34F1CB31" w:rsidR="00CB6D4E" w:rsidRPr="003313E6" w:rsidRDefault="00CB6D4E" w:rsidP="00CB6D4E">
            <w:pPr>
              <w:pStyle w:val="T2"/>
              <w:jc w:val="right"/>
              <w:rPr>
                <w:b/>
                <w:bCs/>
              </w:rPr>
            </w:pPr>
            <w:r w:rsidRPr="00525379">
              <w:rPr>
                <w:b/>
                <w:bCs/>
              </w:rPr>
              <w:t>–</w:t>
            </w:r>
          </w:p>
        </w:tc>
        <w:tc>
          <w:tcPr>
            <w:tcW w:w="1437" w:type="dxa"/>
            <w:vAlign w:val="bottom"/>
          </w:tcPr>
          <w:p w14:paraId="6735CD90" w14:textId="40AD69E5" w:rsidR="00CB6D4E" w:rsidRPr="003313E6" w:rsidRDefault="00CB6D4E" w:rsidP="00CB6D4E">
            <w:pPr>
              <w:pStyle w:val="T2"/>
              <w:jc w:val="right"/>
              <w:rPr>
                <w:b/>
                <w:bCs/>
              </w:rPr>
            </w:pPr>
            <w:r w:rsidRPr="00525379">
              <w:rPr>
                <w:b/>
                <w:bCs/>
              </w:rPr>
              <w:t>–</w:t>
            </w:r>
          </w:p>
        </w:tc>
        <w:tc>
          <w:tcPr>
            <w:tcW w:w="904" w:type="dxa"/>
            <w:vAlign w:val="bottom"/>
          </w:tcPr>
          <w:p w14:paraId="161C0400" w14:textId="49B09DD0" w:rsidR="00CB6D4E" w:rsidRPr="003313E6" w:rsidRDefault="00CB6D4E" w:rsidP="00CB6D4E">
            <w:pPr>
              <w:pStyle w:val="T2"/>
              <w:jc w:val="right"/>
              <w:rPr>
                <w:b/>
                <w:bCs/>
              </w:rPr>
            </w:pPr>
            <w:r w:rsidRPr="00525379">
              <w:rPr>
                <w:b/>
                <w:bCs/>
              </w:rPr>
              <w:t>–</w:t>
            </w:r>
          </w:p>
        </w:tc>
        <w:tc>
          <w:tcPr>
            <w:tcW w:w="1033" w:type="dxa"/>
            <w:vAlign w:val="bottom"/>
          </w:tcPr>
          <w:p w14:paraId="4BD2430D" w14:textId="11F29783" w:rsidR="00CB6D4E" w:rsidRPr="003313E6" w:rsidRDefault="004E2045" w:rsidP="00CB6D4E">
            <w:pPr>
              <w:pStyle w:val="T2"/>
              <w:jc w:val="right"/>
              <w:rPr>
                <w:b/>
                <w:bCs/>
              </w:rPr>
            </w:pPr>
            <w:r>
              <w:rPr>
                <w:b/>
                <w:bCs/>
              </w:rPr>
              <w:t>(0.9)</w:t>
            </w:r>
          </w:p>
        </w:tc>
        <w:tc>
          <w:tcPr>
            <w:tcW w:w="907" w:type="dxa"/>
            <w:vAlign w:val="bottom"/>
          </w:tcPr>
          <w:p w14:paraId="5C631566" w14:textId="76E9DEB5" w:rsidR="00CB6D4E" w:rsidRPr="003313E6" w:rsidRDefault="004E2045" w:rsidP="00CB6D4E">
            <w:pPr>
              <w:pStyle w:val="T2"/>
              <w:jc w:val="right"/>
              <w:rPr>
                <w:b/>
                <w:bCs/>
              </w:rPr>
            </w:pPr>
            <w:r>
              <w:rPr>
                <w:b/>
                <w:bCs/>
              </w:rPr>
              <w:t>(0.9)</w:t>
            </w:r>
          </w:p>
        </w:tc>
      </w:tr>
      <w:tr w:rsidR="00CB6D4E" w:rsidRPr="00C75824" w14:paraId="7C9B9505" w14:textId="77777777" w:rsidTr="00D477E0">
        <w:trPr>
          <w:jc w:val="center"/>
        </w:trPr>
        <w:tc>
          <w:tcPr>
            <w:tcW w:w="4394" w:type="dxa"/>
            <w:vAlign w:val="bottom"/>
          </w:tcPr>
          <w:p w14:paraId="7706EB18" w14:textId="77777777" w:rsidR="00CB6D4E" w:rsidRPr="008A2EFB" w:rsidRDefault="00CB6D4E" w:rsidP="00CB6D4E">
            <w:pPr>
              <w:pStyle w:val="T2"/>
              <w:jc w:val="left"/>
            </w:pPr>
            <w:r w:rsidRPr="008A2EFB">
              <w:t>Cash flow hedge fair value movement taken to equity</w:t>
            </w:r>
          </w:p>
        </w:tc>
        <w:tc>
          <w:tcPr>
            <w:tcW w:w="907" w:type="dxa"/>
            <w:vAlign w:val="bottom"/>
          </w:tcPr>
          <w:p w14:paraId="5F75E27D" w14:textId="77777777" w:rsidR="00CB6D4E" w:rsidRPr="003313E6" w:rsidRDefault="00CB6D4E" w:rsidP="00CB6D4E">
            <w:pPr>
              <w:pStyle w:val="T2"/>
              <w:jc w:val="right"/>
              <w:rPr>
                <w:b/>
                <w:bCs/>
              </w:rPr>
            </w:pPr>
            <w:r w:rsidRPr="00525379">
              <w:rPr>
                <w:b/>
                <w:bCs/>
              </w:rPr>
              <w:t>–</w:t>
            </w:r>
          </w:p>
        </w:tc>
        <w:tc>
          <w:tcPr>
            <w:tcW w:w="907" w:type="dxa"/>
            <w:vAlign w:val="bottom"/>
          </w:tcPr>
          <w:p w14:paraId="487ECF78" w14:textId="261D7822" w:rsidR="00CB6D4E" w:rsidRPr="003313E6" w:rsidRDefault="00CB6D4E" w:rsidP="00CB6D4E">
            <w:pPr>
              <w:pStyle w:val="T2"/>
              <w:jc w:val="right"/>
              <w:rPr>
                <w:b/>
                <w:bCs/>
              </w:rPr>
            </w:pPr>
            <w:r w:rsidRPr="00525379">
              <w:rPr>
                <w:b/>
                <w:bCs/>
              </w:rPr>
              <w:t>–</w:t>
            </w:r>
          </w:p>
        </w:tc>
        <w:tc>
          <w:tcPr>
            <w:tcW w:w="1437" w:type="dxa"/>
            <w:vAlign w:val="bottom"/>
          </w:tcPr>
          <w:p w14:paraId="43EA0450" w14:textId="2E826334" w:rsidR="00CB6D4E" w:rsidRPr="003313E6" w:rsidRDefault="00CB6D4E" w:rsidP="00CB6D4E">
            <w:pPr>
              <w:pStyle w:val="T2"/>
              <w:jc w:val="right"/>
              <w:rPr>
                <w:b/>
                <w:bCs/>
              </w:rPr>
            </w:pPr>
            <w:r w:rsidRPr="00525379">
              <w:rPr>
                <w:b/>
                <w:bCs/>
              </w:rPr>
              <w:t>–</w:t>
            </w:r>
          </w:p>
        </w:tc>
        <w:tc>
          <w:tcPr>
            <w:tcW w:w="904" w:type="dxa"/>
            <w:vAlign w:val="bottom"/>
          </w:tcPr>
          <w:p w14:paraId="03B4431D" w14:textId="351445CC" w:rsidR="00CB6D4E" w:rsidRPr="003313E6" w:rsidRDefault="004E2045" w:rsidP="00CB6D4E">
            <w:pPr>
              <w:pStyle w:val="T2"/>
              <w:jc w:val="right"/>
              <w:rPr>
                <w:b/>
                <w:bCs/>
              </w:rPr>
            </w:pPr>
            <w:r>
              <w:rPr>
                <w:b/>
                <w:bCs/>
              </w:rPr>
              <w:t>2.5</w:t>
            </w:r>
          </w:p>
        </w:tc>
        <w:tc>
          <w:tcPr>
            <w:tcW w:w="1033" w:type="dxa"/>
            <w:vAlign w:val="bottom"/>
          </w:tcPr>
          <w:p w14:paraId="357F5F0A" w14:textId="1B29180C" w:rsidR="00CB6D4E" w:rsidRPr="003313E6" w:rsidRDefault="00CB6D4E" w:rsidP="00CB6D4E">
            <w:pPr>
              <w:pStyle w:val="T2"/>
              <w:jc w:val="right"/>
              <w:rPr>
                <w:b/>
                <w:bCs/>
              </w:rPr>
            </w:pPr>
            <w:r w:rsidRPr="00525379">
              <w:rPr>
                <w:b/>
                <w:bCs/>
              </w:rPr>
              <w:t>–</w:t>
            </w:r>
          </w:p>
        </w:tc>
        <w:tc>
          <w:tcPr>
            <w:tcW w:w="907" w:type="dxa"/>
            <w:vAlign w:val="bottom"/>
          </w:tcPr>
          <w:p w14:paraId="726DE29D" w14:textId="62E6765D" w:rsidR="00CB6D4E" w:rsidRPr="003313E6" w:rsidRDefault="004E2045" w:rsidP="00CB6D4E">
            <w:pPr>
              <w:pStyle w:val="T2"/>
              <w:jc w:val="right"/>
              <w:rPr>
                <w:b/>
                <w:bCs/>
              </w:rPr>
            </w:pPr>
            <w:r>
              <w:rPr>
                <w:b/>
                <w:bCs/>
              </w:rPr>
              <w:t>2.5</w:t>
            </w:r>
          </w:p>
        </w:tc>
      </w:tr>
      <w:tr w:rsidR="00CB6D4E" w:rsidRPr="00C75824" w14:paraId="0BF4321C" w14:textId="77777777" w:rsidTr="00D477E0">
        <w:trPr>
          <w:jc w:val="center"/>
        </w:trPr>
        <w:tc>
          <w:tcPr>
            <w:tcW w:w="4394" w:type="dxa"/>
            <w:tcBorders>
              <w:bottom w:val="single" w:sz="2" w:space="0" w:color="auto"/>
            </w:tcBorders>
            <w:vAlign w:val="bottom"/>
          </w:tcPr>
          <w:p w14:paraId="77B0E7E9" w14:textId="77777777" w:rsidR="00CB6D4E" w:rsidRPr="008A2EFB" w:rsidRDefault="00CB6D4E" w:rsidP="00CB6D4E">
            <w:pPr>
              <w:pStyle w:val="T2"/>
              <w:jc w:val="left"/>
            </w:pPr>
            <w:r w:rsidRPr="008A2EFB">
              <w:t>Cash flow hedge transferred to Income Statement</w:t>
            </w:r>
          </w:p>
        </w:tc>
        <w:tc>
          <w:tcPr>
            <w:tcW w:w="907" w:type="dxa"/>
            <w:tcBorders>
              <w:bottom w:val="single" w:sz="2" w:space="0" w:color="auto"/>
            </w:tcBorders>
            <w:vAlign w:val="bottom"/>
          </w:tcPr>
          <w:p w14:paraId="58BDC2AA" w14:textId="77777777" w:rsidR="00CB6D4E" w:rsidRPr="003313E6" w:rsidRDefault="00CB6D4E" w:rsidP="00CB6D4E">
            <w:pPr>
              <w:pStyle w:val="T2"/>
              <w:jc w:val="right"/>
              <w:rPr>
                <w:b/>
                <w:bCs/>
              </w:rPr>
            </w:pPr>
            <w:r w:rsidRPr="00525379">
              <w:rPr>
                <w:b/>
                <w:bCs/>
              </w:rPr>
              <w:t>–</w:t>
            </w:r>
          </w:p>
        </w:tc>
        <w:tc>
          <w:tcPr>
            <w:tcW w:w="907" w:type="dxa"/>
            <w:tcBorders>
              <w:bottom w:val="single" w:sz="2" w:space="0" w:color="auto"/>
            </w:tcBorders>
            <w:vAlign w:val="bottom"/>
          </w:tcPr>
          <w:p w14:paraId="02E1D8B1" w14:textId="4EF305FC" w:rsidR="00CB6D4E" w:rsidRPr="003313E6" w:rsidRDefault="00CB6D4E" w:rsidP="00CB6D4E">
            <w:pPr>
              <w:pStyle w:val="T2"/>
              <w:jc w:val="right"/>
              <w:rPr>
                <w:b/>
                <w:bCs/>
              </w:rPr>
            </w:pPr>
            <w:r w:rsidRPr="00525379">
              <w:rPr>
                <w:b/>
                <w:bCs/>
              </w:rPr>
              <w:t>–</w:t>
            </w:r>
          </w:p>
        </w:tc>
        <w:tc>
          <w:tcPr>
            <w:tcW w:w="1437" w:type="dxa"/>
            <w:tcBorders>
              <w:bottom w:val="single" w:sz="2" w:space="0" w:color="auto"/>
            </w:tcBorders>
            <w:vAlign w:val="bottom"/>
          </w:tcPr>
          <w:p w14:paraId="2D42A51D" w14:textId="266BA720" w:rsidR="00CB6D4E" w:rsidRPr="003313E6" w:rsidRDefault="00CB6D4E" w:rsidP="00CB6D4E">
            <w:pPr>
              <w:pStyle w:val="T2"/>
              <w:jc w:val="right"/>
              <w:rPr>
                <w:b/>
                <w:bCs/>
              </w:rPr>
            </w:pPr>
            <w:r w:rsidRPr="00525379">
              <w:rPr>
                <w:b/>
                <w:bCs/>
              </w:rPr>
              <w:t>–</w:t>
            </w:r>
          </w:p>
        </w:tc>
        <w:tc>
          <w:tcPr>
            <w:tcW w:w="904" w:type="dxa"/>
            <w:tcBorders>
              <w:bottom w:val="single" w:sz="2" w:space="0" w:color="auto"/>
            </w:tcBorders>
            <w:vAlign w:val="bottom"/>
          </w:tcPr>
          <w:p w14:paraId="70C526D2" w14:textId="77AFD003" w:rsidR="00CB6D4E" w:rsidRPr="003313E6" w:rsidRDefault="004E2045" w:rsidP="00CB6D4E">
            <w:pPr>
              <w:pStyle w:val="T2"/>
              <w:jc w:val="right"/>
              <w:rPr>
                <w:b/>
                <w:bCs/>
              </w:rPr>
            </w:pPr>
            <w:r>
              <w:rPr>
                <w:b/>
                <w:bCs/>
              </w:rPr>
              <w:t>(0.9)</w:t>
            </w:r>
          </w:p>
        </w:tc>
        <w:tc>
          <w:tcPr>
            <w:tcW w:w="1033" w:type="dxa"/>
            <w:tcBorders>
              <w:bottom w:val="single" w:sz="2" w:space="0" w:color="auto"/>
            </w:tcBorders>
            <w:vAlign w:val="bottom"/>
          </w:tcPr>
          <w:p w14:paraId="566F3C9A" w14:textId="2D06C7B6" w:rsidR="00CB6D4E" w:rsidRPr="003313E6" w:rsidRDefault="00CB6D4E" w:rsidP="00CB6D4E">
            <w:pPr>
              <w:pStyle w:val="T2"/>
              <w:jc w:val="right"/>
              <w:rPr>
                <w:b/>
                <w:bCs/>
              </w:rPr>
            </w:pPr>
            <w:r w:rsidRPr="00525379">
              <w:rPr>
                <w:b/>
                <w:bCs/>
              </w:rPr>
              <w:t>–</w:t>
            </w:r>
          </w:p>
        </w:tc>
        <w:tc>
          <w:tcPr>
            <w:tcW w:w="907" w:type="dxa"/>
            <w:tcBorders>
              <w:bottom w:val="single" w:sz="2" w:space="0" w:color="auto"/>
            </w:tcBorders>
            <w:vAlign w:val="bottom"/>
          </w:tcPr>
          <w:p w14:paraId="0474B298" w14:textId="7B0F3519" w:rsidR="00CB6D4E" w:rsidRPr="003313E6" w:rsidRDefault="004E2045" w:rsidP="00CB6D4E">
            <w:pPr>
              <w:pStyle w:val="T2"/>
              <w:jc w:val="right"/>
              <w:rPr>
                <w:b/>
                <w:bCs/>
              </w:rPr>
            </w:pPr>
            <w:r>
              <w:rPr>
                <w:b/>
                <w:bCs/>
              </w:rPr>
              <w:t>(0.9)</w:t>
            </w:r>
          </w:p>
        </w:tc>
      </w:tr>
      <w:tr w:rsidR="00CB6D4E" w:rsidRPr="00C75824" w14:paraId="51066D6B" w14:textId="77777777" w:rsidTr="00D477E0">
        <w:trPr>
          <w:jc w:val="center"/>
        </w:trPr>
        <w:tc>
          <w:tcPr>
            <w:tcW w:w="4394" w:type="dxa"/>
            <w:tcBorders>
              <w:top w:val="single" w:sz="2" w:space="0" w:color="auto"/>
              <w:bottom w:val="single" w:sz="2" w:space="0" w:color="auto"/>
            </w:tcBorders>
            <w:vAlign w:val="bottom"/>
          </w:tcPr>
          <w:p w14:paraId="32331B30" w14:textId="77777777" w:rsidR="00CB6D4E" w:rsidRPr="008A2EFB" w:rsidRDefault="00CB6D4E" w:rsidP="00CB6D4E">
            <w:pPr>
              <w:pStyle w:val="T2"/>
              <w:jc w:val="left"/>
              <w:rPr>
                <w:b/>
              </w:rPr>
            </w:pPr>
            <w:r w:rsidRPr="008A2EFB">
              <w:rPr>
                <w:b/>
              </w:rPr>
              <w:t xml:space="preserve">Total </w:t>
            </w:r>
            <w:r>
              <w:rPr>
                <w:b/>
              </w:rPr>
              <w:t>comprehensive income for the financial period</w:t>
            </w:r>
          </w:p>
        </w:tc>
        <w:tc>
          <w:tcPr>
            <w:tcW w:w="907" w:type="dxa"/>
            <w:tcBorders>
              <w:top w:val="single" w:sz="2" w:space="0" w:color="auto"/>
              <w:bottom w:val="single" w:sz="2" w:space="0" w:color="auto"/>
            </w:tcBorders>
            <w:vAlign w:val="bottom"/>
          </w:tcPr>
          <w:p w14:paraId="6DA6D10F" w14:textId="77777777" w:rsidR="00CB6D4E" w:rsidRPr="003313E6" w:rsidRDefault="00CB6D4E" w:rsidP="00CB6D4E">
            <w:pPr>
              <w:pStyle w:val="T2"/>
              <w:jc w:val="right"/>
              <w:rPr>
                <w:rFonts w:ascii="Calibri" w:hAnsi="Calibri" w:cs="Calibri"/>
                <w:b/>
                <w:bCs/>
              </w:rPr>
            </w:pPr>
            <w:r w:rsidRPr="00525379">
              <w:rPr>
                <w:b/>
                <w:bCs/>
              </w:rPr>
              <w:t>–</w:t>
            </w:r>
          </w:p>
        </w:tc>
        <w:tc>
          <w:tcPr>
            <w:tcW w:w="907" w:type="dxa"/>
            <w:tcBorders>
              <w:top w:val="single" w:sz="2" w:space="0" w:color="auto"/>
              <w:bottom w:val="single" w:sz="2" w:space="0" w:color="auto"/>
            </w:tcBorders>
            <w:vAlign w:val="bottom"/>
          </w:tcPr>
          <w:p w14:paraId="33AF175F" w14:textId="225AFCFE" w:rsidR="00CB6D4E" w:rsidRPr="003313E6" w:rsidRDefault="00CB6D4E" w:rsidP="00CB6D4E">
            <w:pPr>
              <w:pStyle w:val="T2"/>
              <w:jc w:val="right"/>
              <w:rPr>
                <w:rFonts w:ascii="Calibri" w:hAnsi="Calibri" w:cs="Calibri"/>
                <w:b/>
                <w:bCs/>
              </w:rPr>
            </w:pPr>
            <w:r w:rsidRPr="00525379">
              <w:rPr>
                <w:b/>
                <w:bCs/>
              </w:rPr>
              <w:t>–</w:t>
            </w:r>
          </w:p>
        </w:tc>
        <w:tc>
          <w:tcPr>
            <w:tcW w:w="1437" w:type="dxa"/>
            <w:tcBorders>
              <w:top w:val="single" w:sz="2" w:space="0" w:color="auto"/>
              <w:bottom w:val="single" w:sz="2" w:space="0" w:color="auto"/>
            </w:tcBorders>
            <w:vAlign w:val="bottom"/>
          </w:tcPr>
          <w:p w14:paraId="5F207924" w14:textId="497E1D71" w:rsidR="00CB6D4E" w:rsidRPr="003313E6" w:rsidRDefault="00CB6D4E" w:rsidP="00CB6D4E">
            <w:pPr>
              <w:pStyle w:val="T2"/>
              <w:jc w:val="right"/>
              <w:rPr>
                <w:rFonts w:ascii="Calibri" w:hAnsi="Calibri" w:cs="Calibri"/>
                <w:b/>
                <w:bCs/>
              </w:rPr>
            </w:pPr>
            <w:r w:rsidRPr="00525379">
              <w:rPr>
                <w:b/>
                <w:bCs/>
              </w:rPr>
              <w:t>–</w:t>
            </w:r>
          </w:p>
        </w:tc>
        <w:tc>
          <w:tcPr>
            <w:tcW w:w="904" w:type="dxa"/>
            <w:tcBorders>
              <w:top w:val="single" w:sz="2" w:space="0" w:color="auto"/>
              <w:bottom w:val="single" w:sz="2" w:space="0" w:color="auto"/>
            </w:tcBorders>
            <w:vAlign w:val="bottom"/>
          </w:tcPr>
          <w:p w14:paraId="7BD44DEA" w14:textId="777ED129" w:rsidR="00CB6D4E" w:rsidRPr="003313E6" w:rsidRDefault="004E2045" w:rsidP="00CB6D4E">
            <w:pPr>
              <w:pStyle w:val="T2"/>
              <w:jc w:val="right"/>
              <w:rPr>
                <w:rFonts w:ascii="Calibri" w:hAnsi="Calibri" w:cs="Calibri"/>
                <w:b/>
                <w:bCs/>
              </w:rPr>
            </w:pPr>
            <w:r>
              <w:rPr>
                <w:b/>
                <w:bCs/>
              </w:rPr>
              <w:t>1.6</w:t>
            </w:r>
          </w:p>
        </w:tc>
        <w:tc>
          <w:tcPr>
            <w:tcW w:w="1033" w:type="dxa"/>
            <w:tcBorders>
              <w:top w:val="single" w:sz="2" w:space="0" w:color="auto"/>
              <w:bottom w:val="single" w:sz="2" w:space="0" w:color="auto"/>
            </w:tcBorders>
            <w:vAlign w:val="bottom"/>
          </w:tcPr>
          <w:p w14:paraId="1ABE032B" w14:textId="3B821B77" w:rsidR="00CB6D4E" w:rsidRPr="003313E6" w:rsidRDefault="004E2045" w:rsidP="00CB6D4E">
            <w:pPr>
              <w:pStyle w:val="T2"/>
              <w:jc w:val="right"/>
              <w:rPr>
                <w:rFonts w:ascii="Calibri" w:hAnsi="Calibri" w:cs="Calibri"/>
                <w:b/>
                <w:bCs/>
              </w:rPr>
            </w:pPr>
            <w:r>
              <w:rPr>
                <w:b/>
                <w:bCs/>
              </w:rPr>
              <w:t>(0.9)</w:t>
            </w:r>
          </w:p>
        </w:tc>
        <w:tc>
          <w:tcPr>
            <w:tcW w:w="907" w:type="dxa"/>
            <w:tcBorders>
              <w:top w:val="single" w:sz="2" w:space="0" w:color="auto"/>
              <w:bottom w:val="single" w:sz="2" w:space="0" w:color="auto"/>
            </w:tcBorders>
            <w:vAlign w:val="bottom"/>
          </w:tcPr>
          <w:p w14:paraId="068C5786" w14:textId="22DBF638" w:rsidR="00CB6D4E" w:rsidRPr="003313E6" w:rsidRDefault="004E2045" w:rsidP="00CB6D4E">
            <w:pPr>
              <w:pStyle w:val="T2"/>
              <w:jc w:val="right"/>
              <w:rPr>
                <w:rFonts w:ascii="Calibri" w:hAnsi="Calibri" w:cs="Calibri"/>
                <w:b/>
                <w:bCs/>
              </w:rPr>
            </w:pPr>
            <w:r>
              <w:rPr>
                <w:b/>
                <w:bCs/>
              </w:rPr>
              <w:t>0.7</w:t>
            </w:r>
          </w:p>
        </w:tc>
      </w:tr>
      <w:tr w:rsidR="00CB6D4E" w:rsidRPr="00C75824" w14:paraId="38C53811" w14:textId="77777777" w:rsidTr="00D477E0">
        <w:trPr>
          <w:jc w:val="center"/>
        </w:trPr>
        <w:tc>
          <w:tcPr>
            <w:tcW w:w="4394" w:type="dxa"/>
            <w:tcBorders>
              <w:top w:val="single" w:sz="2" w:space="0" w:color="auto"/>
            </w:tcBorders>
            <w:vAlign w:val="bottom"/>
          </w:tcPr>
          <w:p w14:paraId="7EA0957B" w14:textId="77777777" w:rsidR="00CB6D4E" w:rsidRPr="008A2EFB" w:rsidRDefault="00CB6D4E" w:rsidP="00CB6D4E">
            <w:pPr>
              <w:pStyle w:val="T2"/>
              <w:jc w:val="left"/>
            </w:pPr>
            <w:r w:rsidRPr="008A2EFB">
              <w:t>Employee share</w:t>
            </w:r>
            <w:r>
              <w:t>–</w:t>
            </w:r>
            <w:r w:rsidRPr="008A2EFB">
              <w:t>based payment expense</w:t>
            </w:r>
          </w:p>
        </w:tc>
        <w:tc>
          <w:tcPr>
            <w:tcW w:w="907" w:type="dxa"/>
            <w:tcBorders>
              <w:top w:val="single" w:sz="2" w:space="0" w:color="auto"/>
            </w:tcBorders>
            <w:vAlign w:val="bottom"/>
          </w:tcPr>
          <w:p w14:paraId="71939A4C" w14:textId="68628883" w:rsidR="00CB6D4E" w:rsidRPr="003313E6" w:rsidRDefault="004E2045" w:rsidP="00CB6D4E">
            <w:pPr>
              <w:pStyle w:val="T2"/>
              <w:jc w:val="right"/>
              <w:rPr>
                <w:b/>
                <w:bCs/>
              </w:rPr>
            </w:pPr>
            <w:r>
              <w:rPr>
                <w:b/>
                <w:bCs/>
              </w:rPr>
              <w:t>1.3</w:t>
            </w:r>
          </w:p>
        </w:tc>
        <w:tc>
          <w:tcPr>
            <w:tcW w:w="907" w:type="dxa"/>
            <w:tcBorders>
              <w:top w:val="single" w:sz="2" w:space="0" w:color="auto"/>
            </w:tcBorders>
            <w:vAlign w:val="bottom"/>
          </w:tcPr>
          <w:p w14:paraId="4693574F" w14:textId="31A04C8C" w:rsidR="00CB6D4E" w:rsidRPr="003313E6" w:rsidRDefault="00CB6D4E" w:rsidP="00CB6D4E">
            <w:pPr>
              <w:pStyle w:val="T2"/>
              <w:jc w:val="right"/>
              <w:rPr>
                <w:b/>
                <w:bCs/>
              </w:rPr>
            </w:pPr>
            <w:r w:rsidRPr="00525379">
              <w:rPr>
                <w:b/>
                <w:bCs/>
              </w:rPr>
              <w:t>–</w:t>
            </w:r>
          </w:p>
        </w:tc>
        <w:tc>
          <w:tcPr>
            <w:tcW w:w="1437" w:type="dxa"/>
            <w:tcBorders>
              <w:top w:val="single" w:sz="2" w:space="0" w:color="auto"/>
            </w:tcBorders>
            <w:vAlign w:val="bottom"/>
          </w:tcPr>
          <w:p w14:paraId="1D895BBA" w14:textId="531E6980" w:rsidR="00CB6D4E" w:rsidRPr="003313E6" w:rsidRDefault="00CB6D4E" w:rsidP="00CB6D4E">
            <w:pPr>
              <w:pStyle w:val="T2"/>
              <w:jc w:val="right"/>
              <w:rPr>
                <w:b/>
                <w:bCs/>
              </w:rPr>
            </w:pPr>
            <w:r w:rsidRPr="00525379">
              <w:rPr>
                <w:b/>
                <w:bCs/>
              </w:rPr>
              <w:t>–</w:t>
            </w:r>
          </w:p>
        </w:tc>
        <w:tc>
          <w:tcPr>
            <w:tcW w:w="904" w:type="dxa"/>
            <w:tcBorders>
              <w:top w:val="single" w:sz="2" w:space="0" w:color="auto"/>
            </w:tcBorders>
            <w:vAlign w:val="bottom"/>
          </w:tcPr>
          <w:p w14:paraId="3990A2DF" w14:textId="6AB90255" w:rsidR="00CB6D4E" w:rsidRPr="003313E6" w:rsidRDefault="00CB6D4E" w:rsidP="00CB6D4E">
            <w:pPr>
              <w:pStyle w:val="T2"/>
              <w:jc w:val="right"/>
              <w:rPr>
                <w:b/>
                <w:bCs/>
              </w:rPr>
            </w:pPr>
            <w:r w:rsidRPr="00525379">
              <w:rPr>
                <w:b/>
                <w:bCs/>
              </w:rPr>
              <w:t>–</w:t>
            </w:r>
          </w:p>
        </w:tc>
        <w:tc>
          <w:tcPr>
            <w:tcW w:w="1033" w:type="dxa"/>
            <w:tcBorders>
              <w:top w:val="single" w:sz="2" w:space="0" w:color="auto"/>
            </w:tcBorders>
            <w:vAlign w:val="bottom"/>
          </w:tcPr>
          <w:p w14:paraId="7CC5169B" w14:textId="6C9C3B6A" w:rsidR="00CB6D4E" w:rsidRPr="003313E6" w:rsidRDefault="00CB6D4E" w:rsidP="00CB6D4E">
            <w:pPr>
              <w:pStyle w:val="T2"/>
              <w:jc w:val="right"/>
              <w:rPr>
                <w:b/>
                <w:bCs/>
              </w:rPr>
            </w:pPr>
            <w:r w:rsidRPr="00525379">
              <w:rPr>
                <w:b/>
                <w:bCs/>
              </w:rPr>
              <w:t>–</w:t>
            </w:r>
          </w:p>
        </w:tc>
        <w:tc>
          <w:tcPr>
            <w:tcW w:w="907" w:type="dxa"/>
            <w:tcBorders>
              <w:top w:val="single" w:sz="2" w:space="0" w:color="auto"/>
            </w:tcBorders>
            <w:vAlign w:val="bottom"/>
          </w:tcPr>
          <w:p w14:paraId="30013118" w14:textId="426BABA7" w:rsidR="00CB6D4E" w:rsidRPr="003313E6" w:rsidRDefault="004E2045" w:rsidP="00CB6D4E">
            <w:pPr>
              <w:pStyle w:val="T2"/>
              <w:jc w:val="right"/>
              <w:rPr>
                <w:b/>
                <w:bCs/>
              </w:rPr>
            </w:pPr>
            <w:r>
              <w:rPr>
                <w:b/>
                <w:bCs/>
              </w:rPr>
              <w:t>1.3</w:t>
            </w:r>
          </w:p>
        </w:tc>
      </w:tr>
      <w:tr w:rsidR="00CB6D4E" w:rsidRPr="00C75824" w14:paraId="303D03E5" w14:textId="77777777" w:rsidTr="0006619B">
        <w:trPr>
          <w:jc w:val="center"/>
        </w:trPr>
        <w:tc>
          <w:tcPr>
            <w:tcW w:w="4394" w:type="dxa"/>
            <w:vAlign w:val="bottom"/>
          </w:tcPr>
          <w:p w14:paraId="0104AF8F" w14:textId="77777777" w:rsidR="00CB6D4E" w:rsidRPr="008A2EFB" w:rsidRDefault="00CB6D4E" w:rsidP="00CB6D4E">
            <w:pPr>
              <w:pStyle w:val="T2"/>
              <w:jc w:val="left"/>
            </w:pPr>
            <w:r w:rsidRPr="008A2EFB">
              <w:t>Exercise, lapse or forfeit of share</w:t>
            </w:r>
            <w:r>
              <w:t>–</w:t>
            </w:r>
            <w:r w:rsidRPr="008A2EFB">
              <w:t>based payments</w:t>
            </w:r>
          </w:p>
        </w:tc>
        <w:tc>
          <w:tcPr>
            <w:tcW w:w="907" w:type="dxa"/>
            <w:vAlign w:val="bottom"/>
          </w:tcPr>
          <w:p w14:paraId="2BCFAA16" w14:textId="61990BCF" w:rsidR="00CB6D4E" w:rsidRPr="003313E6" w:rsidRDefault="004E2045" w:rsidP="00CB6D4E">
            <w:pPr>
              <w:pStyle w:val="T2"/>
              <w:jc w:val="right"/>
              <w:rPr>
                <w:b/>
                <w:bCs/>
              </w:rPr>
            </w:pPr>
            <w:r>
              <w:rPr>
                <w:b/>
                <w:bCs/>
              </w:rPr>
              <w:t>(1.5)</w:t>
            </w:r>
          </w:p>
        </w:tc>
        <w:tc>
          <w:tcPr>
            <w:tcW w:w="907" w:type="dxa"/>
            <w:vAlign w:val="bottom"/>
          </w:tcPr>
          <w:p w14:paraId="58BCDD1E" w14:textId="7FE12930" w:rsidR="00CB6D4E" w:rsidRPr="003313E6" w:rsidRDefault="00CB6D4E" w:rsidP="00CB6D4E">
            <w:pPr>
              <w:pStyle w:val="T2"/>
              <w:jc w:val="right"/>
              <w:rPr>
                <w:b/>
                <w:bCs/>
              </w:rPr>
            </w:pPr>
            <w:r w:rsidRPr="00525379">
              <w:rPr>
                <w:b/>
                <w:bCs/>
              </w:rPr>
              <w:t>–</w:t>
            </w:r>
          </w:p>
        </w:tc>
        <w:tc>
          <w:tcPr>
            <w:tcW w:w="1437" w:type="dxa"/>
            <w:vAlign w:val="bottom"/>
          </w:tcPr>
          <w:p w14:paraId="607BA60B" w14:textId="4440F50E" w:rsidR="00CB6D4E" w:rsidRPr="003313E6" w:rsidRDefault="00CB6D4E" w:rsidP="00CB6D4E">
            <w:pPr>
              <w:pStyle w:val="T2"/>
              <w:jc w:val="right"/>
              <w:rPr>
                <w:b/>
                <w:bCs/>
              </w:rPr>
            </w:pPr>
            <w:r w:rsidRPr="00525379">
              <w:rPr>
                <w:b/>
                <w:bCs/>
              </w:rPr>
              <w:t>–</w:t>
            </w:r>
          </w:p>
        </w:tc>
        <w:tc>
          <w:tcPr>
            <w:tcW w:w="904" w:type="dxa"/>
            <w:vAlign w:val="bottom"/>
          </w:tcPr>
          <w:p w14:paraId="029DE9F0" w14:textId="2387E593" w:rsidR="00CB6D4E" w:rsidRPr="003313E6" w:rsidRDefault="00CB6D4E" w:rsidP="00CB6D4E">
            <w:pPr>
              <w:pStyle w:val="T2"/>
              <w:jc w:val="right"/>
              <w:rPr>
                <w:b/>
                <w:bCs/>
              </w:rPr>
            </w:pPr>
            <w:r w:rsidRPr="00525379">
              <w:rPr>
                <w:b/>
                <w:bCs/>
              </w:rPr>
              <w:t>–</w:t>
            </w:r>
          </w:p>
        </w:tc>
        <w:tc>
          <w:tcPr>
            <w:tcW w:w="1033" w:type="dxa"/>
            <w:vAlign w:val="bottom"/>
          </w:tcPr>
          <w:p w14:paraId="7F244BEA" w14:textId="5FDED6B6" w:rsidR="00CB6D4E" w:rsidRPr="003313E6" w:rsidRDefault="00CB6D4E" w:rsidP="00CB6D4E">
            <w:pPr>
              <w:pStyle w:val="T2"/>
              <w:jc w:val="right"/>
              <w:rPr>
                <w:b/>
                <w:bCs/>
              </w:rPr>
            </w:pPr>
            <w:r w:rsidRPr="00525379">
              <w:rPr>
                <w:b/>
                <w:bCs/>
              </w:rPr>
              <w:t>–</w:t>
            </w:r>
          </w:p>
        </w:tc>
        <w:tc>
          <w:tcPr>
            <w:tcW w:w="907" w:type="dxa"/>
            <w:vAlign w:val="bottom"/>
          </w:tcPr>
          <w:p w14:paraId="2E8144E6" w14:textId="40686762" w:rsidR="00CB6D4E" w:rsidRPr="003313E6" w:rsidRDefault="004E2045" w:rsidP="00CB6D4E">
            <w:pPr>
              <w:pStyle w:val="T2"/>
              <w:jc w:val="right"/>
              <w:rPr>
                <w:b/>
                <w:bCs/>
              </w:rPr>
            </w:pPr>
            <w:r>
              <w:rPr>
                <w:b/>
                <w:bCs/>
              </w:rPr>
              <w:t>(1.5)</w:t>
            </w:r>
          </w:p>
        </w:tc>
      </w:tr>
      <w:tr w:rsidR="00CB6D4E" w:rsidRPr="00C75824" w14:paraId="077DB165" w14:textId="77777777" w:rsidTr="0006619B">
        <w:trPr>
          <w:jc w:val="center"/>
        </w:trPr>
        <w:tc>
          <w:tcPr>
            <w:tcW w:w="4394" w:type="dxa"/>
            <w:vAlign w:val="bottom"/>
          </w:tcPr>
          <w:p w14:paraId="6DF94B58" w14:textId="1E628F23" w:rsidR="00CB6D4E" w:rsidRPr="008A2EFB" w:rsidRDefault="00CB6D4E" w:rsidP="00CB6D4E">
            <w:pPr>
              <w:pStyle w:val="T2"/>
              <w:jc w:val="left"/>
            </w:pPr>
            <w:r>
              <w:t>Shares acquired by Employee Benefit Trust</w:t>
            </w:r>
          </w:p>
        </w:tc>
        <w:tc>
          <w:tcPr>
            <w:tcW w:w="907" w:type="dxa"/>
            <w:vAlign w:val="bottom"/>
          </w:tcPr>
          <w:p w14:paraId="0FCC5566" w14:textId="0250C42A" w:rsidR="00CB6D4E" w:rsidRPr="00525379" w:rsidRDefault="00CB6D4E" w:rsidP="00CB6D4E">
            <w:pPr>
              <w:pStyle w:val="T2"/>
              <w:jc w:val="right"/>
              <w:rPr>
                <w:b/>
                <w:bCs/>
              </w:rPr>
            </w:pPr>
            <w:r w:rsidRPr="00525379">
              <w:rPr>
                <w:b/>
                <w:bCs/>
              </w:rPr>
              <w:t>–</w:t>
            </w:r>
          </w:p>
        </w:tc>
        <w:tc>
          <w:tcPr>
            <w:tcW w:w="907" w:type="dxa"/>
            <w:vAlign w:val="bottom"/>
          </w:tcPr>
          <w:p w14:paraId="2CF4E939" w14:textId="7FA88832" w:rsidR="00CB6D4E" w:rsidRDefault="004E2045" w:rsidP="00CB6D4E">
            <w:pPr>
              <w:pStyle w:val="T2"/>
              <w:jc w:val="right"/>
              <w:rPr>
                <w:b/>
                <w:bCs/>
              </w:rPr>
            </w:pPr>
            <w:r>
              <w:rPr>
                <w:b/>
                <w:bCs/>
              </w:rPr>
              <w:t>(3.0)</w:t>
            </w:r>
          </w:p>
        </w:tc>
        <w:tc>
          <w:tcPr>
            <w:tcW w:w="1437" w:type="dxa"/>
            <w:vAlign w:val="bottom"/>
          </w:tcPr>
          <w:p w14:paraId="4AA3E7E7" w14:textId="0B05E5D8" w:rsidR="00CB6D4E" w:rsidRPr="00525379" w:rsidRDefault="00CB6D4E" w:rsidP="00CB6D4E">
            <w:pPr>
              <w:pStyle w:val="T2"/>
              <w:jc w:val="right"/>
              <w:rPr>
                <w:b/>
                <w:bCs/>
              </w:rPr>
            </w:pPr>
            <w:r w:rsidRPr="00525379">
              <w:rPr>
                <w:b/>
                <w:bCs/>
              </w:rPr>
              <w:t>–</w:t>
            </w:r>
          </w:p>
        </w:tc>
        <w:tc>
          <w:tcPr>
            <w:tcW w:w="904" w:type="dxa"/>
            <w:vAlign w:val="bottom"/>
          </w:tcPr>
          <w:p w14:paraId="0D046B9A" w14:textId="2F7EEBA8" w:rsidR="00CB6D4E" w:rsidRPr="00525379" w:rsidRDefault="00CB6D4E" w:rsidP="00CB6D4E">
            <w:pPr>
              <w:pStyle w:val="T2"/>
              <w:jc w:val="right"/>
              <w:rPr>
                <w:b/>
                <w:bCs/>
              </w:rPr>
            </w:pPr>
            <w:r w:rsidRPr="00525379">
              <w:rPr>
                <w:b/>
                <w:bCs/>
              </w:rPr>
              <w:t>–</w:t>
            </w:r>
          </w:p>
        </w:tc>
        <w:tc>
          <w:tcPr>
            <w:tcW w:w="1033" w:type="dxa"/>
            <w:vAlign w:val="bottom"/>
          </w:tcPr>
          <w:p w14:paraId="7DA0AEE2" w14:textId="02DFDDBC" w:rsidR="00CB6D4E" w:rsidRPr="00525379" w:rsidRDefault="00CB6D4E" w:rsidP="00CB6D4E">
            <w:pPr>
              <w:pStyle w:val="T2"/>
              <w:jc w:val="right"/>
              <w:rPr>
                <w:b/>
                <w:bCs/>
              </w:rPr>
            </w:pPr>
            <w:r w:rsidRPr="00525379">
              <w:rPr>
                <w:b/>
                <w:bCs/>
              </w:rPr>
              <w:t>–</w:t>
            </w:r>
          </w:p>
        </w:tc>
        <w:tc>
          <w:tcPr>
            <w:tcW w:w="907" w:type="dxa"/>
            <w:vAlign w:val="bottom"/>
          </w:tcPr>
          <w:p w14:paraId="1862204C" w14:textId="0F368138" w:rsidR="00CB6D4E" w:rsidRDefault="004E2045" w:rsidP="00CB6D4E">
            <w:pPr>
              <w:pStyle w:val="T2"/>
              <w:jc w:val="right"/>
              <w:rPr>
                <w:b/>
                <w:bCs/>
              </w:rPr>
            </w:pPr>
            <w:r>
              <w:rPr>
                <w:b/>
                <w:bCs/>
              </w:rPr>
              <w:t>(3.0)</w:t>
            </w:r>
          </w:p>
        </w:tc>
      </w:tr>
      <w:tr w:rsidR="00CB6D4E" w:rsidRPr="00C75824" w14:paraId="74D64CDB" w14:textId="77777777" w:rsidTr="001F1616">
        <w:trPr>
          <w:jc w:val="center"/>
        </w:trPr>
        <w:tc>
          <w:tcPr>
            <w:tcW w:w="4394" w:type="dxa"/>
            <w:tcBorders>
              <w:bottom w:val="single" w:sz="2" w:space="0" w:color="auto"/>
            </w:tcBorders>
            <w:vAlign w:val="bottom"/>
          </w:tcPr>
          <w:p w14:paraId="2FCB47F3" w14:textId="77777777" w:rsidR="00CB6D4E" w:rsidRPr="008A2EFB" w:rsidRDefault="00CB6D4E" w:rsidP="00CB6D4E">
            <w:pPr>
              <w:pStyle w:val="T2"/>
              <w:jc w:val="left"/>
            </w:pPr>
            <w:r w:rsidRPr="008A2EFB">
              <w:t xml:space="preserve">Transfer to </w:t>
            </w:r>
            <w:r>
              <w:t>R</w:t>
            </w:r>
            <w:r w:rsidRPr="008A2EFB">
              <w:t xml:space="preserve">etained </w:t>
            </w:r>
            <w:r>
              <w:t>E</w:t>
            </w:r>
            <w:r w:rsidRPr="008A2EFB">
              <w:t xml:space="preserve">arnings on </w:t>
            </w:r>
            <w:r>
              <w:t>transfer</w:t>
            </w:r>
            <w:r w:rsidRPr="008A2EFB">
              <w:t xml:space="preserve"> of shares to beneficiaries of the Employee Benefit Trust</w:t>
            </w:r>
          </w:p>
        </w:tc>
        <w:tc>
          <w:tcPr>
            <w:tcW w:w="907" w:type="dxa"/>
            <w:tcBorders>
              <w:bottom w:val="single" w:sz="2" w:space="0" w:color="auto"/>
            </w:tcBorders>
            <w:vAlign w:val="bottom"/>
          </w:tcPr>
          <w:p w14:paraId="2494145D" w14:textId="77777777" w:rsidR="00CB6D4E" w:rsidRPr="003313E6" w:rsidRDefault="00CB6D4E" w:rsidP="00CB6D4E">
            <w:pPr>
              <w:pStyle w:val="T2"/>
              <w:jc w:val="right"/>
              <w:rPr>
                <w:b/>
                <w:bCs/>
              </w:rPr>
            </w:pPr>
            <w:r w:rsidRPr="00525379">
              <w:rPr>
                <w:b/>
                <w:bCs/>
              </w:rPr>
              <w:t>–</w:t>
            </w:r>
          </w:p>
        </w:tc>
        <w:tc>
          <w:tcPr>
            <w:tcW w:w="907" w:type="dxa"/>
            <w:tcBorders>
              <w:bottom w:val="single" w:sz="2" w:space="0" w:color="auto"/>
            </w:tcBorders>
            <w:vAlign w:val="bottom"/>
          </w:tcPr>
          <w:p w14:paraId="5FDDFA84" w14:textId="1F783E50" w:rsidR="00CB6D4E" w:rsidRPr="003313E6" w:rsidRDefault="004E2045" w:rsidP="00CB6D4E">
            <w:pPr>
              <w:pStyle w:val="T2"/>
              <w:jc w:val="right"/>
              <w:rPr>
                <w:b/>
                <w:bCs/>
              </w:rPr>
            </w:pPr>
            <w:r>
              <w:rPr>
                <w:b/>
                <w:bCs/>
              </w:rPr>
              <w:t>0.2</w:t>
            </w:r>
          </w:p>
        </w:tc>
        <w:tc>
          <w:tcPr>
            <w:tcW w:w="1437" w:type="dxa"/>
            <w:tcBorders>
              <w:bottom w:val="single" w:sz="2" w:space="0" w:color="auto"/>
            </w:tcBorders>
            <w:vAlign w:val="bottom"/>
          </w:tcPr>
          <w:p w14:paraId="61E085C6" w14:textId="05B44784" w:rsidR="00CB6D4E" w:rsidRPr="003313E6" w:rsidRDefault="00CB6D4E" w:rsidP="00CB6D4E">
            <w:pPr>
              <w:pStyle w:val="T2"/>
              <w:jc w:val="right"/>
              <w:rPr>
                <w:b/>
                <w:bCs/>
              </w:rPr>
            </w:pPr>
            <w:r w:rsidRPr="00525379">
              <w:rPr>
                <w:b/>
                <w:bCs/>
              </w:rPr>
              <w:t>–</w:t>
            </w:r>
          </w:p>
        </w:tc>
        <w:tc>
          <w:tcPr>
            <w:tcW w:w="904" w:type="dxa"/>
            <w:tcBorders>
              <w:bottom w:val="single" w:sz="2" w:space="0" w:color="auto"/>
            </w:tcBorders>
            <w:vAlign w:val="bottom"/>
          </w:tcPr>
          <w:p w14:paraId="7D78E560" w14:textId="6BAC9FDC" w:rsidR="00CB6D4E" w:rsidRPr="003313E6" w:rsidRDefault="00CB6D4E" w:rsidP="00CB6D4E">
            <w:pPr>
              <w:pStyle w:val="T2"/>
              <w:jc w:val="right"/>
              <w:rPr>
                <w:b/>
                <w:bCs/>
              </w:rPr>
            </w:pPr>
            <w:r w:rsidRPr="00525379">
              <w:rPr>
                <w:b/>
                <w:bCs/>
              </w:rPr>
              <w:t>–</w:t>
            </w:r>
          </w:p>
        </w:tc>
        <w:tc>
          <w:tcPr>
            <w:tcW w:w="1033" w:type="dxa"/>
            <w:tcBorders>
              <w:bottom w:val="single" w:sz="2" w:space="0" w:color="auto"/>
            </w:tcBorders>
            <w:vAlign w:val="bottom"/>
          </w:tcPr>
          <w:p w14:paraId="22049C06" w14:textId="766F7591" w:rsidR="00CB6D4E" w:rsidRPr="003313E6" w:rsidRDefault="00CB6D4E" w:rsidP="00CB6D4E">
            <w:pPr>
              <w:pStyle w:val="T2"/>
              <w:jc w:val="right"/>
              <w:rPr>
                <w:b/>
                <w:bCs/>
              </w:rPr>
            </w:pPr>
            <w:r w:rsidRPr="00525379">
              <w:rPr>
                <w:b/>
                <w:bCs/>
              </w:rPr>
              <w:t>–</w:t>
            </w:r>
          </w:p>
        </w:tc>
        <w:tc>
          <w:tcPr>
            <w:tcW w:w="907" w:type="dxa"/>
            <w:tcBorders>
              <w:bottom w:val="single" w:sz="2" w:space="0" w:color="auto"/>
            </w:tcBorders>
            <w:vAlign w:val="bottom"/>
          </w:tcPr>
          <w:p w14:paraId="25E2474E" w14:textId="65E65CA9" w:rsidR="00CB6D4E" w:rsidRPr="003313E6" w:rsidRDefault="004E2045" w:rsidP="00CB6D4E">
            <w:pPr>
              <w:pStyle w:val="T2"/>
              <w:jc w:val="right"/>
              <w:rPr>
                <w:b/>
                <w:bCs/>
              </w:rPr>
            </w:pPr>
            <w:r>
              <w:rPr>
                <w:b/>
                <w:bCs/>
              </w:rPr>
              <w:t>0.2</w:t>
            </w:r>
          </w:p>
        </w:tc>
      </w:tr>
      <w:tr w:rsidR="00CB6D4E" w:rsidRPr="00C75824" w14:paraId="4BB46943" w14:textId="77777777" w:rsidTr="001F1616">
        <w:trPr>
          <w:trHeight w:val="51"/>
          <w:jc w:val="center"/>
        </w:trPr>
        <w:tc>
          <w:tcPr>
            <w:tcW w:w="4394" w:type="dxa"/>
            <w:tcBorders>
              <w:top w:val="single" w:sz="2" w:space="0" w:color="auto"/>
              <w:bottom w:val="single" w:sz="2" w:space="0" w:color="auto"/>
            </w:tcBorders>
            <w:vAlign w:val="bottom"/>
          </w:tcPr>
          <w:p w14:paraId="5C4F5F60" w14:textId="45470EBC" w:rsidR="00CB6D4E" w:rsidRPr="008A2EFB" w:rsidRDefault="00CB6D4E" w:rsidP="00CB6D4E">
            <w:pPr>
              <w:pStyle w:val="T2"/>
              <w:jc w:val="left"/>
              <w:rPr>
                <w:b/>
              </w:rPr>
            </w:pPr>
            <w:r w:rsidRPr="008A2EFB">
              <w:rPr>
                <w:b/>
              </w:rPr>
              <w:t xml:space="preserve">At </w:t>
            </w:r>
            <w:r>
              <w:rPr>
                <w:b/>
              </w:rPr>
              <w:t>25 March 2022</w:t>
            </w:r>
          </w:p>
        </w:tc>
        <w:tc>
          <w:tcPr>
            <w:tcW w:w="907" w:type="dxa"/>
            <w:tcBorders>
              <w:top w:val="single" w:sz="2" w:space="0" w:color="auto"/>
              <w:bottom w:val="single" w:sz="2" w:space="0" w:color="auto"/>
            </w:tcBorders>
            <w:vAlign w:val="bottom"/>
          </w:tcPr>
          <w:p w14:paraId="6C0ABC6A" w14:textId="2B10CA5E" w:rsidR="00CB6D4E" w:rsidRPr="003313E6" w:rsidRDefault="004E2045" w:rsidP="00CB6D4E">
            <w:pPr>
              <w:pStyle w:val="T2"/>
              <w:jc w:val="right"/>
              <w:rPr>
                <w:b/>
                <w:bCs/>
              </w:rPr>
            </w:pPr>
            <w:r>
              <w:rPr>
                <w:b/>
                <w:bCs/>
              </w:rPr>
              <w:t>3.4</w:t>
            </w:r>
          </w:p>
        </w:tc>
        <w:tc>
          <w:tcPr>
            <w:tcW w:w="907" w:type="dxa"/>
            <w:tcBorders>
              <w:top w:val="single" w:sz="2" w:space="0" w:color="auto"/>
              <w:bottom w:val="single" w:sz="2" w:space="0" w:color="auto"/>
            </w:tcBorders>
            <w:vAlign w:val="bottom"/>
          </w:tcPr>
          <w:p w14:paraId="72EB26D7" w14:textId="1DFE9B54" w:rsidR="00CB6D4E" w:rsidRPr="003313E6" w:rsidRDefault="004E2045" w:rsidP="00CB6D4E">
            <w:pPr>
              <w:pStyle w:val="T2"/>
              <w:jc w:val="right"/>
              <w:rPr>
                <w:b/>
                <w:bCs/>
              </w:rPr>
            </w:pPr>
            <w:r>
              <w:rPr>
                <w:b/>
                <w:bCs/>
              </w:rPr>
              <w:t>(4.6)</w:t>
            </w:r>
          </w:p>
        </w:tc>
        <w:tc>
          <w:tcPr>
            <w:tcW w:w="1437" w:type="dxa"/>
            <w:tcBorders>
              <w:top w:val="single" w:sz="2" w:space="0" w:color="auto"/>
              <w:bottom w:val="single" w:sz="2" w:space="0" w:color="auto"/>
            </w:tcBorders>
            <w:vAlign w:val="bottom"/>
          </w:tcPr>
          <w:p w14:paraId="423DFB85" w14:textId="24633D38" w:rsidR="00CB6D4E" w:rsidRPr="003313E6" w:rsidRDefault="0006619B" w:rsidP="00CB6D4E">
            <w:pPr>
              <w:pStyle w:val="T2"/>
              <w:jc w:val="right"/>
              <w:rPr>
                <w:b/>
                <w:bCs/>
              </w:rPr>
            </w:pPr>
            <w:r>
              <w:rPr>
                <w:b/>
                <w:bCs/>
              </w:rPr>
              <w:t>120.4</w:t>
            </w:r>
          </w:p>
        </w:tc>
        <w:tc>
          <w:tcPr>
            <w:tcW w:w="904" w:type="dxa"/>
            <w:tcBorders>
              <w:top w:val="single" w:sz="2" w:space="0" w:color="auto"/>
              <w:bottom w:val="single" w:sz="2" w:space="0" w:color="auto"/>
            </w:tcBorders>
            <w:vAlign w:val="bottom"/>
          </w:tcPr>
          <w:p w14:paraId="5EE6E911" w14:textId="182626BA" w:rsidR="00CB6D4E" w:rsidRPr="003313E6" w:rsidRDefault="004E2045" w:rsidP="00CB6D4E">
            <w:pPr>
              <w:pStyle w:val="T2"/>
              <w:jc w:val="right"/>
              <w:rPr>
                <w:b/>
                <w:bCs/>
              </w:rPr>
            </w:pPr>
            <w:r>
              <w:rPr>
                <w:b/>
                <w:bCs/>
              </w:rPr>
              <w:t>2.8</w:t>
            </w:r>
          </w:p>
        </w:tc>
        <w:tc>
          <w:tcPr>
            <w:tcW w:w="1033" w:type="dxa"/>
            <w:tcBorders>
              <w:top w:val="single" w:sz="2" w:space="0" w:color="auto"/>
              <w:bottom w:val="single" w:sz="2" w:space="0" w:color="auto"/>
            </w:tcBorders>
            <w:vAlign w:val="bottom"/>
          </w:tcPr>
          <w:p w14:paraId="5B882384" w14:textId="4F8E0882" w:rsidR="00CB6D4E" w:rsidRPr="003313E6" w:rsidRDefault="004E2045" w:rsidP="00CB6D4E">
            <w:pPr>
              <w:pStyle w:val="T2"/>
              <w:jc w:val="right"/>
              <w:rPr>
                <w:b/>
                <w:bCs/>
              </w:rPr>
            </w:pPr>
            <w:r>
              <w:rPr>
                <w:b/>
                <w:bCs/>
              </w:rPr>
              <w:t>(2.9)</w:t>
            </w:r>
          </w:p>
        </w:tc>
        <w:tc>
          <w:tcPr>
            <w:tcW w:w="907" w:type="dxa"/>
            <w:tcBorders>
              <w:top w:val="single" w:sz="2" w:space="0" w:color="auto"/>
              <w:bottom w:val="single" w:sz="2" w:space="0" w:color="auto"/>
            </w:tcBorders>
            <w:vAlign w:val="bottom"/>
          </w:tcPr>
          <w:p w14:paraId="10C75FD7" w14:textId="7052E73F" w:rsidR="00CB6D4E" w:rsidRPr="003313E6" w:rsidRDefault="004E2045" w:rsidP="00CB6D4E">
            <w:pPr>
              <w:pStyle w:val="T2"/>
              <w:jc w:val="right"/>
              <w:rPr>
                <w:b/>
                <w:bCs/>
              </w:rPr>
            </w:pPr>
            <w:r>
              <w:rPr>
                <w:b/>
                <w:bCs/>
              </w:rPr>
              <w:t>119.1</w:t>
            </w:r>
          </w:p>
        </w:tc>
      </w:tr>
      <w:tr w:rsidR="00CB6D4E" w:rsidRPr="00C75824" w14:paraId="02DB4C7D" w14:textId="77777777" w:rsidTr="001F1616">
        <w:trPr>
          <w:jc w:val="center"/>
        </w:trPr>
        <w:tc>
          <w:tcPr>
            <w:tcW w:w="4394" w:type="dxa"/>
            <w:tcBorders>
              <w:top w:val="single" w:sz="2" w:space="0" w:color="auto"/>
            </w:tcBorders>
          </w:tcPr>
          <w:p w14:paraId="633704FB" w14:textId="77777777" w:rsidR="00CB6D4E" w:rsidRPr="00C75824" w:rsidRDefault="00CB6D4E" w:rsidP="00CB6D4E">
            <w:pPr>
              <w:pStyle w:val="T2"/>
            </w:pPr>
          </w:p>
        </w:tc>
        <w:tc>
          <w:tcPr>
            <w:tcW w:w="907" w:type="dxa"/>
            <w:tcBorders>
              <w:top w:val="single" w:sz="2" w:space="0" w:color="auto"/>
            </w:tcBorders>
          </w:tcPr>
          <w:p w14:paraId="50C702A0" w14:textId="77777777" w:rsidR="00CB6D4E" w:rsidRPr="007573FA" w:rsidRDefault="00CB6D4E" w:rsidP="00CB6D4E">
            <w:pPr>
              <w:pStyle w:val="T2"/>
            </w:pPr>
          </w:p>
        </w:tc>
        <w:tc>
          <w:tcPr>
            <w:tcW w:w="907" w:type="dxa"/>
            <w:tcBorders>
              <w:top w:val="single" w:sz="2" w:space="0" w:color="auto"/>
            </w:tcBorders>
          </w:tcPr>
          <w:p w14:paraId="7DBC8E1C" w14:textId="77777777" w:rsidR="00CB6D4E" w:rsidRPr="007573FA" w:rsidRDefault="00CB6D4E" w:rsidP="00CB6D4E">
            <w:pPr>
              <w:pStyle w:val="T2"/>
            </w:pPr>
          </w:p>
        </w:tc>
        <w:tc>
          <w:tcPr>
            <w:tcW w:w="1437" w:type="dxa"/>
            <w:tcBorders>
              <w:top w:val="single" w:sz="2" w:space="0" w:color="auto"/>
            </w:tcBorders>
          </w:tcPr>
          <w:p w14:paraId="45A4CE25" w14:textId="77777777" w:rsidR="00CB6D4E" w:rsidRPr="007573FA" w:rsidRDefault="00CB6D4E" w:rsidP="00CB6D4E">
            <w:pPr>
              <w:pStyle w:val="T2"/>
            </w:pPr>
          </w:p>
        </w:tc>
        <w:tc>
          <w:tcPr>
            <w:tcW w:w="904" w:type="dxa"/>
            <w:tcBorders>
              <w:top w:val="single" w:sz="2" w:space="0" w:color="auto"/>
            </w:tcBorders>
          </w:tcPr>
          <w:p w14:paraId="5E853296" w14:textId="77777777" w:rsidR="00CB6D4E" w:rsidRPr="007573FA" w:rsidRDefault="00CB6D4E" w:rsidP="00CB6D4E">
            <w:pPr>
              <w:pStyle w:val="T2"/>
            </w:pPr>
          </w:p>
        </w:tc>
        <w:tc>
          <w:tcPr>
            <w:tcW w:w="1033" w:type="dxa"/>
            <w:tcBorders>
              <w:top w:val="single" w:sz="2" w:space="0" w:color="auto"/>
            </w:tcBorders>
          </w:tcPr>
          <w:p w14:paraId="36F299D5" w14:textId="77777777" w:rsidR="00CB6D4E" w:rsidRPr="007573FA" w:rsidRDefault="00CB6D4E" w:rsidP="00CB6D4E">
            <w:pPr>
              <w:pStyle w:val="T2"/>
            </w:pPr>
          </w:p>
        </w:tc>
        <w:tc>
          <w:tcPr>
            <w:tcW w:w="907" w:type="dxa"/>
            <w:tcBorders>
              <w:top w:val="single" w:sz="2" w:space="0" w:color="auto"/>
            </w:tcBorders>
          </w:tcPr>
          <w:p w14:paraId="14044517" w14:textId="77777777" w:rsidR="00CB6D4E" w:rsidRPr="007573FA" w:rsidRDefault="00CB6D4E" w:rsidP="00CB6D4E">
            <w:pPr>
              <w:pStyle w:val="T2"/>
            </w:pPr>
          </w:p>
        </w:tc>
      </w:tr>
      <w:tr w:rsidR="00CB6D4E" w:rsidRPr="00C75824" w14:paraId="33D7B13D" w14:textId="77777777" w:rsidTr="005B3BEE">
        <w:trPr>
          <w:jc w:val="center"/>
        </w:trPr>
        <w:tc>
          <w:tcPr>
            <w:tcW w:w="4394" w:type="dxa"/>
          </w:tcPr>
          <w:p w14:paraId="321215AD" w14:textId="77777777" w:rsidR="00CB6D4E" w:rsidRPr="00C75824" w:rsidRDefault="00CB6D4E" w:rsidP="00CB6D4E">
            <w:pPr>
              <w:pStyle w:val="T2"/>
            </w:pPr>
          </w:p>
        </w:tc>
        <w:tc>
          <w:tcPr>
            <w:tcW w:w="907" w:type="dxa"/>
            <w:vAlign w:val="bottom"/>
          </w:tcPr>
          <w:p w14:paraId="7AD66583" w14:textId="77777777" w:rsidR="00CB6D4E" w:rsidRPr="007573FA" w:rsidRDefault="00CB6D4E" w:rsidP="00CB6D4E">
            <w:pPr>
              <w:pStyle w:val="T2"/>
              <w:jc w:val="right"/>
            </w:pPr>
            <w:r w:rsidRPr="007573FA">
              <w:t xml:space="preserve">Share </w:t>
            </w:r>
          </w:p>
          <w:p w14:paraId="0E01575E" w14:textId="77777777" w:rsidR="00CB6D4E" w:rsidRPr="007573FA" w:rsidRDefault="00CB6D4E" w:rsidP="00CB6D4E">
            <w:pPr>
              <w:pStyle w:val="T2"/>
              <w:jc w:val="right"/>
            </w:pPr>
            <w:r w:rsidRPr="007573FA">
              <w:t>options</w:t>
            </w:r>
          </w:p>
        </w:tc>
        <w:tc>
          <w:tcPr>
            <w:tcW w:w="907" w:type="dxa"/>
            <w:vAlign w:val="bottom"/>
          </w:tcPr>
          <w:p w14:paraId="64815F87" w14:textId="77777777" w:rsidR="00CB6D4E" w:rsidRPr="007573FA" w:rsidRDefault="00CB6D4E" w:rsidP="00CB6D4E">
            <w:pPr>
              <w:pStyle w:val="T2"/>
              <w:jc w:val="right"/>
            </w:pPr>
            <w:r w:rsidRPr="007573FA">
              <w:t xml:space="preserve">Own </w:t>
            </w:r>
          </w:p>
          <w:p w14:paraId="523AA897" w14:textId="77777777" w:rsidR="00CB6D4E" w:rsidRPr="007573FA" w:rsidRDefault="00CB6D4E" w:rsidP="00CB6D4E">
            <w:pPr>
              <w:pStyle w:val="T2"/>
              <w:jc w:val="right"/>
            </w:pPr>
            <w:r w:rsidRPr="007573FA">
              <w:t>shares</w:t>
            </w:r>
          </w:p>
        </w:tc>
        <w:tc>
          <w:tcPr>
            <w:tcW w:w="1437" w:type="dxa"/>
            <w:vAlign w:val="bottom"/>
          </w:tcPr>
          <w:p w14:paraId="2F628DEF" w14:textId="77777777" w:rsidR="00CB6D4E" w:rsidRPr="007573FA" w:rsidRDefault="00CB6D4E" w:rsidP="00CB6D4E">
            <w:pPr>
              <w:pStyle w:val="T2"/>
              <w:jc w:val="right"/>
            </w:pPr>
            <w:r w:rsidRPr="007573FA">
              <w:t>Undenominated capital reserve</w:t>
            </w:r>
          </w:p>
        </w:tc>
        <w:tc>
          <w:tcPr>
            <w:tcW w:w="904" w:type="dxa"/>
            <w:vAlign w:val="bottom"/>
          </w:tcPr>
          <w:p w14:paraId="72EBE4EF" w14:textId="77777777" w:rsidR="00CB6D4E" w:rsidRPr="007573FA" w:rsidRDefault="00CB6D4E" w:rsidP="00CB6D4E">
            <w:pPr>
              <w:pStyle w:val="T2"/>
              <w:jc w:val="right"/>
            </w:pPr>
            <w:r w:rsidRPr="007573FA">
              <w:t>Hedging reserve</w:t>
            </w:r>
          </w:p>
        </w:tc>
        <w:tc>
          <w:tcPr>
            <w:tcW w:w="1033" w:type="dxa"/>
            <w:shd w:val="clear" w:color="auto" w:fill="auto"/>
            <w:vAlign w:val="bottom"/>
          </w:tcPr>
          <w:p w14:paraId="5EBAA03B" w14:textId="77777777" w:rsidR="00CB6D4E" w:rsidRPr="007573FA" w:rsidRDefault="00CB6D4E" w:rsidP="00CB6D4E">
            <w:pPr>
              <w:pStyle w:val="T2"/>
              <w:jc w:val="right"/>
            </w:pPr>
            <w:r w:rsidRPr="007573FA">
              <w:t>Foreign currency translation reserve</w:t>
            </w:r>
          </w:p>
        </w:tc>
        <w:tc>
          <w:tcPr>
            <w:tcW w:w="907" w:type="dxa"/>
            <w:vAlign w:val="bottom"/>
          </w:tcPr>
          <w:p w14:paraId="38A1D791" w14:textId="77777777" w:rsidR="00CB6D4E" w:rsidRPr="007573FA" w:rsidRDefault="00CB6D4E" w:rsidP="00CB6D4E">
            <w:pPr>
              <w:pStyle w:val="T2"/>
              <w:jc w:val="right"/>
            </w:pPr>
            <w:r w:rsidRPr="007573FA">
              <w:t>Total</w:t>
            </w:r>
          </w:p>
        </w:tc>
      </w:tr>
      <w:tr w:rsidR="00CB6D4E" w:rsidRPr="00C75824" w14:paraId="6AD396CC" w14:textId="77777777" w:rsidTr="005B3BEE">
        <w:trPr>
          <w:jc w:val="center"/>
        </w:trPr>
        <w:tc>
          <w:tcPr>
            <w:tcW w:w="4394" w:type="dxa"/>
            <w:tcBorders>
              <w:bottom w:val="single" w:sz="2" w:space="0" w:color="auto"/>
            </w:tcBorders>
          </w:tcPr>
          <w:p w14:paraId="74B749A6" w14:textId="77777777" w:rsidR="00CB6D4E" w:rsidRPr="00C75824" w:rsidRDefault="00CB6D4E" w:rsidP="00CB6D4E">
            <w:pPr>
              <w:pStyle w:val="T2"/>
            </w:pPr>
          </w:p>
        </w:tc>
        <w:tc>
          <w:tcPr>
            <w:tcW w:w="907" w:type="dxa"/>
            <w:tcBorders>
              <w:bottom w:val="single" w:sz="2" w:space="0" w:color="auto"/>
            </w:tcBorders>
            <w:vAlign w:val="bottom"/>
          </w:tcPr>
          <w:p w14:paraId="36915300" w14:textId="77777777" w:rsidR="00CB6D4E" w:rsidRPr="007573FA" w:rsidRDefault="00CB6D4E" w:rsidP="00CB6D4E">
            <w:pPr>
              <w:pStyle w:val="T2"/>
              <w:jc w:val="right"/>
            </w:pPr>
            <w:r w:rsidRPr="007573FA">
              <w:t>£m</w:t>
            </w:r>
          </w:p>
        </w:tc>
        <w:tc>
          <w:tcPr>
            <w:tcW w:w="907" w:type="dxa"/>
            <w:tcBorders>
              <w:bottom w:val="single" w:sz="2" w:space="0" w:color="auto"/>
            </w:tcBorders>
            <w:vAlign w:val="bottom"/>
          </w:tcPr>
          <w:p w14:paraId="0029FDD9" w14:textId="77777777" w:rsidR="00CB6D4E" w:rsidRPr="007573FA" w:rsidRDefault="00CB6D4E" w:rsidP="00CB6D4E">
            <w:pPr>
              <w:pStyle w:val="T2"/>
              <w:jc w:val="right"/>
            </w:pPr>
            <w:r w:rsidRPr="007573FA">
              <w:t>£m</w:t>
            </w:r>
          </w:p>
        </w:tc>
        <w:tc>
          <w:tcPr>
            <w:tcW w:w="1437" w:type="dxa"/>
            <w:tcBorders>
              <w:bottom w:val="single" w:sz="2" w:space="0" w:color="auto"/>
            </w:tcBorders>
            <w:vAlign w:val="bottom"/>
          </w:tcPr>
          <w:p w14:paraId="65FC0EF3" w14:textId="77777777" w:rsidR="00CB6D4E" w:rsidRPr="007573FA" w:rsidRDefault="00CB6D4E" w:rsidP="00CB6D4E">
            <w:pPr>
              <w:pStyle w:val="T2"/>
              <w:jc w:val="right"/>
            </w:pPr>
            <w:r w:rsidRPr="007573FA">
              <w:t>£m</w:t>
            </w:r>
          </w:p>
        </w:tc>
        <w:tc>
          <w:tcPr>
            <w:tcW w:w="904" w:type="dxa"/>
            <w:tcBorders>
              <w:bottom w:val="single" w:sz="2" w:space="0" w:color="auto"/>
            </w:tcBorders>
            <w:vAlign w:val="bottom"/>
          </w:tcPr>
          <w:p w14:paraId="11D6650F" w14:textId="77777777" w:rsidR="00CB6D4E" w:rsidRPr="007573FA" w:rsidRDefault="00CB6D4E" w:rsidP="00CB6D4E">
            <w:pPr>
              <w:pStyle w:val="T2"/>
              <w:jc w:val="right"/>
            </w:pPr>
            <w:r w:rsidRPr="007573FA">
              <w:t>£m</w:t>
            </w:r>
          </w:p>
        </w:tc>
        <w:tc>
          <w:tcPr>
            <w:tcW w:w="1033" w:type="dxa"/>
            <w:tcBorders>
              <w:bottom w:val="single" w:sz="2" w:space="0" w:color="auto"/>
            </w:tcBorders>
            <w:vAlign w:val="bottom"/>
          </w:tcPr>
          <w:p w14:paraId="68EFBE13" w14:textId="77777777" w:rsidR="00CB6D4E" w:rsidRPr="007573FA" w:rsidRDefault="00CB6D4E" w:rsidP="00CB6D4E">
            <w:pPr>
              <w:pStyle w:val="T2"/>
              <w:jc w:val="right"/>
            </w:pPr>
            <w:r w:rsidRPr="007573FA">
              <w:t>£m</w:t>
            </w:r>
          </w:p>
        </w:tc>
        <w:tc>
          <w:tcPr>
            <w:tcW w:w="907" w:type="dxa"/>
            <w:tcBorders>
              <w:bottom w:val="single" w:sz="2" w:space="0" w:color="auto"/>
            </w:tcBorders>
            <w:vAlign w:val="bottom"/>
          </w:tcPr>
          <w:p w14:paraId="505BBFA2" w14:textId="77777777" w:rsidR="00CB6D4E" w:rsidRPr="007573FA" w:rsidRDefault="00CB6D4E" w:rsidP="00CB6D4E">
            <w:pPr>
              <w:pStyle w:val="T2"/>
              <w:jc w:val="right"/>
            </w:pPr>
            <w:r w:rsidRPr="007573FA">
              <w:t>£m</w:t>
            </w:r>
          </w:p>
        </w:tc>
      </w:tr>
      <w:tr w:rsidR="00CB6D4E" w:rsidRPr="00C75824" w14:paraId="0B549558" w14:textId="77777777" w:rsidTr="005B3BEE">
        <w:trPr>
          <w:jc w:val="center"/>
        </w:trPr>
        <w:tc>
          <w:tcPr>
            <w:tcW w:w="4394" w:type="dxa"/>
            <w:tcBorders>
              <w:top w:val="single" w:sz="2" w:space="0" w:color="auto"/>
              <w:bottom w:val="single" w:sz="2" w:space="0" w:color="auto"/>
            </w:tcBorders>
            <w:vAlign w:val="bottom"/>
          </w:tcPr>
          <w:p w14:paraId="524CEDFE" w14:textId="3BB045DC" w:rsidR="00CB6D4E" w:rsidRPr="00E02FFC" w:rsidRDefault="00CB6D4E" w:rsidP="00CB6D4E">
            <w:pPr>
              <w:pStyle w:val="T2"/>
              <w:jc w:val="left"/>
              <w:rPr>
                <w:b/>
              </w:rPr>
            </w:pPr>
            <w:r w:rsidRPr="00E02FFC">
              <w:rPr>
                <w:b/>
              </w:rPr>
              <w:t>At 2</w:t>
            </w:r>
            <w:r>
              <w:rPr>
                <w:b/>
              </w:rPr>
              <w:t>5</w:t>
            </w:r>
            <w:r w:rsidRPr="00E02FFC">
              <w:rPr>
                <w:b/>
              </w:rPr>
              <w:t xml:space="preserve"> September 20</w:t>
            </w:r>
            <w:r>
              <w:rPr>
                <w:b/>
              </w:rPr>
              <w:t>20</w:t>
            </w:r>
            <w:r w:rsidRPr="00E02FFC">
              <w:rPr>
                <w:b/>
              </w:rPr>
              <w:tab/>
            </w:r>
            <w:r w:rsidRPr="00E02FFC">
              <w:rPr>
                <w:b/>
              </w:rPr>
              <w:tab/>
            </w:r>
          </w:p>
        </w:tc>
        <w:tc>
          <w:tcPr>
            <w:tcW w:w="907" w:type="dxa"/>
            <w:tcBorders>
              <w:top w:val="single" w:sz="2" w:space="0" w:color="auto"/>
              <w:bottom w:val="single" w:sz="2" w:space="0" w:color="auto"/>
            </w:tcBorders>
            <w:vAlign w:val="bottom"/>
          </w:tcPr>
          <w:p w14:paraId="6C531A0A" w14:textId="3581F63D" w:rsidR="00CB6D4E" w:rsidRPr="005E0D3F" w:rsidRDefault="00CB6D4E" w:rsidP="00CB6D4E">
            <w:pPr>
              <w:pStyle w:val="T2"/>
              <w:jc w:val="right"/>
              <w:rPr>
                <w:rFonts w:cs="Calibri"/>
              </w:rPr>
            </w:pPr>
            <w:r w:rsidRPr="005E0D3F">
              <w:t>3.9</w:t>
            </w:r>
          </w:p>
        </w:tc>
        <w:tc>
          <w:tcPr>
            <w:tcW w:w="907" w:type="dxa"/>
            <w:tcBorders>
              <w:top w:val="single" w:sz="2" w:space="0" w:color="auto"/>
              <w:bottom w:val="single" w:sz="2" w:space="0" w:color="auto"/>
            </w:tcBorders>
            <w:vAlign w:val="bottom"/>
          </w:tcPr>
          <w:p w14:paraId="4B1AD9A2" w14:textId="31F6A53F" w:rsidR="00CB6D4E" w:rsidRPr="005E0D3F" w:rsidRDefault="00CB6D4E" w:rsidP="00CB6D4E">
            <w:pPr>
              <w:pStyle w:val="T2"/>
              <w:jc w:val="right"/>
              <w:rPr>
                <w:rFonts w:cs="Calibri"/>
              </w:rPr>
            </w:pPr>
            <w:r w:rsidRPr="005E0D3F">
              <w:t>(2.9)</w:t>
            </w:r>
          </w:p>
        </w:tc>
        <w:tc>
          <w:tcPr>
            <w:tcW w:w="1437" w:type="dxa"/>
            <w:tcBorders>
              <w:top w:val="single" w:sz="2" w:space="0" w:color="auto"/>
              <w:bottom w:val="single" w:sz="2" w:space="0" w:color="auto"/>
            </w:tcBorders>
            <w:vAlign w:val="bottom"/>
          </w:tcPr>
          <w:p w14:paraId="601BFA2F" w14:textId="2DE7298E" w:rsidR="00CB6D4E" w:rsidRPr="005E0D3F" w:rsidRDefault="00CB6D4E" w:rsidP="00CB6D4E">
            <w:pPr>
              <w:pStyle w:val="T2"/>
              <w:jc w:val="right"/>
              <w:rPr>
                <w:rFonts w:cs="Calibri"/>
              </w:rPr>
            </w:pPr>
            <w:r w:rsidRPr="005E0D3F">
              <w:t>120.4</w:t>
            </w:r>
          </w:p>
        </w:tc>
        <w:tc>
          <w:tcPr>
            <w:tcW w:w="904" w:type="dxa"/>
            <w:tcBorders>
              <w:top w:val="single" w:sz="2" w:space="0" w:color="auto"/>
              <w:bottom w:val="single" w:sz="2" w:space="0" w:color="auto"/>
            </w:tcBorders>
            <w:vAlign w:val="bottom"/>
          </w:tcPr>
          <w:p w14:paraId="2C59D137" w14:textId="509527A2" w:rsidR="00CB6D4E" w:rsidRPr="005E0D3F" w:rsidRDefault="00CB6D4E" w:rsidP="00CB6D4E">
            <w:pPr>
              <w:pStyle w:val="T2"/>
              <w:jc w:val="right"/>
              <w:rPr>
                <w:rFonts w:cs="Calibri"/>
              </w:rPr>
            </w:pPr>
            <w:r w:rsidRPr="005E0D3F">
              <w:t>0.5</w:t>
            </w:r>
          </w:p>
        </w:tc>
        <w:tc>
          <w:tcPr>
            <w:tcW w:w="1033" w:type="dxa"/>
            <w:tcBorders>
              <w:top w:val="single" w:sz="2" w:space="0" w:color="auto"/>
              <w:bottom w:val="single" w:sz="2" w:space="0" w:color="auto"/>
            </w:tcBorders>
            <w:vAlign w:val="bottom"/>
          </w:tcPr>
          <w:p w14:paraId="0CBBF34A" w14:textId="77AF06EF" w:rsidR="00CB6D4E" w:rsidRPr="005E0D3F" w:rsidRDefault="00CB6D4E" w:rsidP="00CB6D4E">
            <w:pPr>
              <w:pStyle w:val="T2"/>
              <w:jc w:val="right"/>
              <w:rPr>
                <w:rFonts w:cs="Calibri"/>
              </w:rPr>
            </w:pPr>
            <w:r w:rsidRPr="005E0D3F">
              <w:t>2.0</w:t>
            </w:r>
          </w:p>
        </w:tc>
        <w:tc>
          <w:tcPr>
            <w:tcW w:w="907" w:type="dxa"/>
            <w:tcBorders>
              <w:top w:val="single" w:sz="2" w:space="0" w:color="auto"/>
              <w:bottom w:val="single" w:sz="2" w:space="0" w:color="auto"/>
            </w:tcBorders>
            <w:vAlign w:val="bottom"/>
          </w:tcPr>
          <w:p w14:paraId="21711C3A" w14:textId="62C0D746" w:rsidR="00CB6D4E" w:rsidRPr="005E0D3F" w:rsidRDefault="00CB6D4E" w:rsidP="00CB6D4E">
            <w:pPr>
              <w:pStyle w:val="T2"/>
              <w:jc w:val="right"/>
              <w:rPr>
                <w:rFonts w:cs="Calibri"/>
              </w:rPr>
            </w:pPr>
            <w:r w:rsidRPr="005E0D3F">
              <w:t>123.9</w:t>
            </w:r>
          </w:p>
        </w:tc>
      </w:tr>
      <w:tr w:rsidR="00CB6D4E" w:rsidRPr="00C75824" w14:paraId="34153F89" w14:textId="77777777" w:rsidTr="005B3BEE">
        <w:trPr>
          <w:jc w:val="center"/>
        </w:trPr>
        <w:tc>
          <w:tcPr>
            <w:tcW w:w="4394" w:type="dxa"/>
            <w:tcBorders>
              <w:top w:val="single" w:sz="2" w:space="0" w:color="auto"/>
            </w:tcBorders>
            <w:vAlign w:val="bottom"/>
          </w:tcPr>
          <w:p w14:paraId="46F21441" w14:textId="72B8C29E" w:rsidR="00CB6D4E" w:rsidRPr="00E02FFC" w:rsidRDefault="00CB6D4E" w:rsidP="00CB6D4E">
            <w:pPr>
              <w:pStyle w:val="T2"/>
              <w:jc w:val="left"/>
              <w:rPr>
                <w:b/>
              </w:rPr>
            </w:pPr>
            <w:r w:rsidRPr="00E02FFC">
              <w:rPr>
                <w:b/>
              </w:rPr>
              <w:t xml:space="preserve">Items of income and expense taken directly to equity </w:t>
            </w:r>
          </w:p>
        </w:tc>
        <w:tc>
          <w:tcPr>
            <w:tcW w:w="907" w:type="dxa"/>
            <w:tcBorders>
              <w:top w:val="single" w:sz="2" w:space="0" w:color="auto"/>
            </w:tcBorders>
            <w:vAlign w:val="bottom"/>
          </w:tcPr>
          <w:p w14:paraId="4FFFDFCC" w14:textId="77777777" w:rsidR="00CB6D4E" w:rsidRPr="005E0D3F" w:rsidRDefault="00CB6D4E" w:rsidP="00CB6D4E">
            <w:pPr>
              <w:pStyle w:val="T2"/>
            </w:pPr>
          </w:p>
        </w:tc>
        <w:tc>
          <w:tcPr>
            <w:tcW w:w="907" w:type="dxa"/>
            <w:tcBorders>
              <w:top w:val="single" w:sz="2" w:space="0" w:color="auto"/>
            </w:tcBorders>
            <w:vAlign w:val="bottom"/>
          </w:tcPr>
          <w:p w14:paraId="26397B50" w14:textId="77777777" w:rsidR="00CB6D4E" w:rsidRPr="005E0D3F" w:rsidRDefault="00CB6D4E" w:rsidP="00CB6D4E">
            <w:pPr>
              <w:pStyle w:val="T2"/>
              <w:jc w:val="right"/>
            </w:pPr>
          </w:p>
        </w:tc>
        <w:tc>
          <w:tcPr>
            <w:tcW w:w="1437" w:type="dxa"/>
            <w:tcBorders>
              <w:top w:val="single" w:sz="2" w:space="0" w:color="auto"/>
            </w:tcBorders>
            <w:vAlign w:val="bottom"/>
          </w:tcPr>
          <w:p w14:paraId="063C7C9D" w14:textId="77777777" w:rsidR="00CB6D4E" w:rsidRPr="005E0D3F" w:rsidRDefault="00CB6D4E" w:rsidP="00CB6D4E">
            <w:pPr>
              <w:pStyle w:val="T2"/>
              <w:jc w:val="right"/>
            </w:pPr>
          </w:p>
        </w:tc>
        <w:tc>
          <w:tcPr>
            <w:tcW w:w="904" w:type="dxa"/>
            <w:tcBorders>
              <w:top w:val="single" w:sz="2" w:space="0" w:color="auto"/>
            </w:tcBorders>
            <w:vAlign w:val="bottom"/>
          </w:tcPr>
          <w:p w14:paraId="598550A0" w14:textId="77777777" w:rsidR="00CB6D4E" w:rsidRPr="005E0D3F" w:rsidRDefault="00CB6D4E" w:rsidP="00CB6D4E">
            <w:pPr>
              <w:pStyle w:val="T2"/>
              <w:jc w:val="right"/>
            </w:pPr>
          </w:p>
        </w:tc>
        <w:tc>
          <w:tcPr>
            <w:tcW w:w="1033" w:type="dxa"/>
            <w:tcBorders>
              <w:top w:val="single" w:sz="2" w:space="0" w:color="auto"/>
            </w:tcBorders>
            <w:vAlign w:val="bottom"/>
          </w:tcPr>
          <w:p w14:paraId="6A72EFCD" w14:textId="77777777" w:rsidR="00CB6D4E" w:rsidRPr="005E0D3F" w:rsidRDefault="00CB6D4E" w:rsidP="00CB6D4E">
            <w:pPr>
              <w:pStyle w:val="T2"/>
              <w:jc w:val="right"/>
            </w:pPr>
          </w:p>
        </w:tc>
        <w:tc>
          <w:tcPr>
            <w:tcW w:w="907" w:type="dxa"/>
            <w:tcBorders>
              <w:top w:val="single" w:sz="2" w:space="0" w:color="auto"/>
            </w:tcBorders>
            <w:vAlign w:val="bottom"/>
          </w:tcPr>
          <w:p w14:paraId="566677F8" w14:textId="77777777" w:rsidR="00CB6D4E" w:rsidRPr="005E0D3F" w:rsidRDefault="00CB6D4E" w:rsidP="00CB6D4E">
            <w:pPr>
              <w:pStyle w:val="T2"/>
              <w:jc w:val="right"/>
            </w:pPr>
          </w:p>
        </w:tc>
      </w:tr>
      <w:tr w:rsidR="00CB6D4E" w:rsidRPr="00C75824" w14:paraId="317F2F1E" w14:textId="77777777" w:rsidTr="005B3BEE">
        <w:trPr>
          <w:jc w:val="center"/>
        </w:trPr>
        <w:tc>
          <w:tcPr>
            <w:tcW w:w="4394" w:type="dxa"/>
            <w:vAlign w:val="bottom"/>
          </w:tcPr>
          <w:p w14:paraId="2E332776" w14:textId="77777777" w:rsidR="00CB6D4E" w:rsidRPr="00172EC0" w:rsidRDefault="00CB6D4E" w:rsidP="00CB6D4E">
            <w:pPr>
              <w:pStyle w:val="T2"/>
              <w:jc w:val="left"/>
            </w:pPr>
            <w:r w:rsidRPr="00172EC0">
              <w:t>Currency translation adjustment</w:t>
            </w:r>
          </w:p>
        </w:tc>
        <w:tc>
          <w:tcPr>
            <w:tcW w:w="907" w:type="dxa"/>
            <w:vAlign w:val="bottom"/>
          </w:tcPr>
          <w:p w14:paraId="7B7DB8A6" w14:textId="3D1AD628" w:rsidR="00CB6D4E" w:rsidRPr="005E0D3F" w:rsidRDefault="00CB6D4E" w:rsidP="00CB6D4E">
            <w:pPr>
              <w:pStyle w:val="T2"/>
              <w:jc w:val="right"/>
            </w:pPr>
            <w:r w:rsidRPr="005E0D3F">
              <w:t>–</w:t>
            </w:r>
          </w:p>
        </w:tc>
        <w:tc>
          <w:tcPr>
            <w:tcW w:w="907" w:type="dxa"/>
            <w:vAlign w:val="bottom"/>
          </w:tcPr>
          <w:p w14:paraId="2121AFE4" w14:textId="32809BC3" w:rsidR="00CB6D4E" w:rsidRPr="005E0D3F" w:rsidRDefault="00CB6D4E" w:rsidP="00CB6D4E">
            <w:pPr>
              <w:pStyle w:val="T2"/>
              <w:jc w:val="right"/>
            </w:pPr>
            <w:r w:rsidRPr="005E0D3F">
              <w:t>–</w:t>
            </w:r>
          </w:p>
        </w:tc>
        <w:tc>
          <w:tcPr>
            <w:tcW w:w="1437" w:type="dxa"/>
            <w:vAlign w:val="bottom"/>
          </w:tcPr>
          <w:p w14:paraId="246593C6" w14:textId="72C12D34" w:rsidR="00CB6D4E" w:rsidRPr="005E0D3F" w:rsidRDefault="00CB6D4E" w:rsidP="00CB6D4E">
            <w:pPr>
              <w:pStyle w:val="T2"/>
              <w:jc w:val="right"/>
            </w:pPr>
            <w:r w:rsidRPr="005E0D3F">
              <w:t>–</w:t>
            </w:r>
          </w:p>
        </w:tc>
        <w:tc>
          <w:tcPr>
            <w:tcW w:w="904" w:type="dxa"/>
            <w:vAlign w:val="bottom"/>
          </w:tcPr>
          <w:p w14:paraId="67E2D384" w14:textId="52802039" w:rsidR="00CB6D4E" w:rsidRPr="005E0D3F" w:rsidRDefault="00CB6D4E" w:rsidP="00CB6D4E">
            <w:pPr>
              <w:pStyle w:val="T2"/>
              <w:jc w:val="right"/>
            </w:pPr>
            <w:r w:rsidRPr="005E0D3F">
              <w:t>–</w:t>
            </w:r>
          </w:p>
        </w:tc>
        <w:tc>
          <w:tcPr>
            <w:tcW w:w="1033" w:type="dxa"/>
            <w:vAlign w:val="bottom"/>
          </w:tcPr>
          <w:p w14:paraId="03D95ED3" w14:textId="5B885115" w:rsidR="00CB6D4E" w:rsidRPr="005E0D3F" w:rsidRDefault="00CB6D4E" w:rsidP="00CB6D4E">
            <w:pPr>
              <w:pStyle w:val="T2"/>
              <w:jc w:val="right"/>
            </w:pPr>
            <w:r w:rsidRPr="005E0D3F">
              <w:t>(3.2)</w:t>
            </w:r>
          </w:p>
        </w:tc>
        <w:tc>
          <w:tcPr>
            <w:tcW w:w="907" w:type="dxa"/>
            <w:vAlign w:val="bottom"/>
          </w:tcPr>
          <w:p w14:paraId="45177F65" w14:textId="44DB9861" w:rsidR="00CB6D4E" w:rsidRPr="005E0D3F" w:rsidRDefault="00CB6D4E" w:rsidP="00CB6D4E">
            <w:pPr>
              <w:pStyle w:val="T2"/>
              <w:jc w:val="right"/>
            </w:pPr>
            <w:r w:rsidRPr="005E0D3F">
              <w:t>(3.2)</w:t>
            </w:r>
          </w:p>
        </w:tc>
      </w:tr>
      <w:tr w:rsidR="00CB6D4E" w:rsidRPr="00C75824" w14:paraId="5D55995D" w14:textId="77777777" w:rsidTr="005B3BEE">
        <w:trPr>
          <w:jc w:val="center"/>
        </w:trPr>
        <w:tc>
          <w:tcPr>
            <w:tcW w:w="4394" w:type="dxa"/>
            <w:vAlign w:val="bottom"/>
          </w:tcPr>
          <w:p w14:paraId="596A08FB" w14:textId="2A2908BB" w:rsidR="00CB6D4E" w:rsidRPr="00172EC0" w:rsidRDefault="00CB6D4E" w:rsidP="00CB6D4E">
            <w:pPr>
              <w:pStyle w:val="T2"/>
              <w:jc w:val="left"/>
            </w:pPr>
            <w:r w:rsidRPr="00765393">
              <w:t xml:space="preserve">Translation reserve transferred to </w:t>
            </w:r>
            <w:r>
              <w:t>I</w:t>
            </w:r>
            <w:r w:rsidRPr="00765393">
              <w:t xml:space="preserve">ncome </w:t>
            </w:r>
            <w:r>
              <w:t>S</w:t>
            </w:r>
            <w:r w:rsidRPr="00765393">
              <w:t xml:space="preserve">tatement </w:t>
            </w:r>
            <w:r>
              <w:t>on disposal of subsidiary</w:t>
            </w:r>
          </w:p>
        </w:tc>
        <w:tc>
          <w:tcPr>
            <w:tcW w:w="907" w:type="dxa"/>
            <w:vAlign w:val="bottom"/>
          </w:tcPr>
          <w:p w14:paraId="53E76B4F" w14:textId="3771A9C4" w:rsidR="00CB6D4E" w:rsidRPr="005E0D3F" w:rsidRDefault="00CB6D4E" w:rsidP="00CB6D4E">
            <w:pPr>
              <w:pStyle w:val="T2"/>
              <w:jc w:val="right"/>
            </w:pPr>
            <w:r w:rsidRPr="005E0D3F">
              <w:t>–</w:t>
            </w:r>
          </w:p>
        </w:tc>
        <w:tc>
          <w:tcPr>
            <w:tcW w:w="907" w:type="dxa"/>
            <w:vAlign w:val="bottom"/>
          </w:tcPr>
          <w:p w14:paraId="700CA5A4" w14:textId="1E8A8698" w:rsidR="00CB6D4E" w:rsidRPr="005E0D3F" w:rsidRDefault="00CB6D4E" w:rsidP="00CB6D4E">
            <w:pPr>
              <w:pStyle w:val="T2"/>
              <w:jc w:val="right"/>
            </w:pPr>
            <w:r w:rsidRPr="005E0D3F">
              <w:t>–</w:t>
            </w:r>
          </w:p>
        </w:tc>
        <w:tc>
          <w:tcPr>
            <w:tcW w:w="1437" w:type="dxa"/>
            <w:vAlign w:val="bottom"/>
          </w:tcPr>
          <w:p w14:paraId="303B6CA8" w14:textId="435A2626" w:rsidR="00CB6D4E" w:rsidRPr="005E0D3F" w:rsidRDefault="00CB6D4E" w:rsidP="00CB6D4E">
            <w:pPr>
              <w:pStyle w:val="T2"/>
              <w:jc w:val="right"/>
            </w:pPr>
            <w:r w:rsidRPr="005E0D3F">
              <w:t>–</w:t>
            </w:r>
          </w:p>
        </w:tc>
        <w:tc>
          <w:tcPr>
            <w:tcW w:w="904" w:type="dxa"/>
            <w:vAlign w:val="bottom"/>
          </w:tcPr>
          <w:p w14:paraId="72C4280B" w14:textId="74764ABB" w:rsidR="00CB6D4E" w:rsidRPr="005E0D3F" w:rsidRDefault="00CB6D4E" w:rsidP="00CB6D4E">
            <w:pPr>
              <w:pStyle w:val="T2"/>
              <w:jc w:val="right"/>
            </w:pPr>
            <w:r w:rsidRPr="005E0D3F">
              <w:t>–</w:t>
            </w:r>
          </w:p>
        </w:tc>
        <w:tc>
          <w:tcPr>
            <w:tcW w:w="1033" w:type="dxa"/>
            <w:vAlign w:val="bottom"/>
          </w:tcPr>
          <w:p w14:paraId="6A4124FB" w14:textId="791DDA59" w:rsidR="00CB6D4E" w:rsidRPr="005E0D3F" w:rsidRDefault="00CB6D4E" w:rsidP="00CB6D4E">
            <w:pPr>
              <w:pStyle w:val="T2"/>
              <w:jc w:val="right"/>
            </w:pPr>
            <w:r w:rsidRPr="005E0D3F">
              <w:t>(1.0)</w:t>
            </w:r>
          </w:p>
        </w:tc>
        <w:tc>
          <w:tcPr>
            <w:tcW w:w="907" w:type="dxa"/>
            <w:vAlign w:val="bottom"/>
          </w:tcPr>
          <w:p w14:paraId="60349C1B" w14:textId="094E7043" w:rsidR="00CB6D4E" w:rsidRPr="005E0D3F" w:rsidRDefault="00CB6D4E" w:rsidP="00CB6D4E">
            <w:pPr>
              <w:pStyle w:val="T2"/>
              <w:jc w:val="right"/>
            </w:pPr>
            <w:r w:rsidRPr="005E0D3F">
              <w:t>(1.0)</w:t>
            </w:r>
          </w:p>
        </w:tc>
      </w:tr>
      <w:tr w:rsidR="00CB6D4E" w:rsidRPr="00C75824" w14:paraId="53C151CF" w14:textId="77777777" w:rsidTr="005B3BEE">
        <w:trPr>
          <w:jc w:val="center"/>
        </w:trPr>
        <w:tc>
          <w:tcPr>
            <w:tcW w:w="4394" w:type="dxa"/>
            <w:vAlign w:val="bottom"/>
          </w:tcPr>
          <w:p w14:paraId="773F5B2D" w14:textId="77777777" w:rsidR="00CB6D4E" w:rsidRPr="00172EC0" w:rsidRDefault="00CB6D4E" w:rsidP="00CB6D4E">
            <w:pPr>
              <w:pStyle w:val="T2"/>
              <w:jc w:val="left"/>
            </w:pPr>
            <w:r w:rsidRPr="00172EC0">
              <w:t>Cash flow hedge fair value movement taken to equity</w:t>
            </w:r>
          </w:p>
        </w:tc>
        <w:tc>
          <w:tcPr>
            <w:tcW w:w="907" w:type="dxa"/>
            <w:vAlign w:val="bottom"/>
          </w:tcPr>
          <w:p w14:paraId="5499BFE9" w14:textId="1966C0BD" w:rsidR="00CB6D4E" w:rsidRPr="005E0D3F" w:rsidRDefault="00CB6D4E" w:rsidP="00CB6D4E">
            <w:pPr>
              <w:pStyle w:val="T2"/>
              <w:jc w:val="right"/>
            </w:pPr>
            <w:r w:rsidRPr="005E0D3F">
              <w:t>–</w:t>
            </w:r>
          </w:p>
        </w:tc>
        <w:tc>
          <w:tcPr>
            <w:tcW w:w="907" w:type="dxa"/>
            <w:vAlign w:val="bottom"/>
          </w:tcPr>
          <w:p w14:paraId="29644382" w14:textId="1FBCA232" w:rsidR="00CB6D4E" w:rsidRPr="005E0D3F" w:rsidRDefault="00CB6D4E" w:rsidP="00CB6D4E">
            <w:pPr>
              <w:pStyle w:val="T2"/>
              <w:jc w:val="right"/>
            </w:pPr>
            <w:r w:rsidRPr="005E0D3F">
              <w:t>–</w:t>
            </w:r>
          </w:p>
        </w:tc>
        <w:tc>
          <w:tcPr>
            <w:tcW w:w="1437" w:type="dxa"/>
            <w:vAlign w:val="bottom"/>
          </w:tcPr>
          <w:p w14:paraId="067EA15B" w14:textId="00BDBE7E" w:rsidR="00CB6D4E" w:rsidRPr="005E0D3F" w:rsidRDefault="00CB6D4E" w:rsidP="00CB6D4E">
            <w:pPr>
              <w:pStyle w:val="T2"/>
              <w:jc w:val="right"/>
            </w:pPr>
            <w:r w:rsidRPr="005E0D3F">
              <w:t>–</w:t>
            </w:r>
          </w:p>
        </w:tc>
        <w:tc>
          <w:tcPr>
            <w:tcW w:w="904" w:type="dxa"/>
            <w:vAlign w:val="bottom"/>
          </w:tcPr>
          <w:p w14:paraId="4300CC57" w14:textId="0FC01104" w:rsidR="00CB6D4E" w:rsidRPr="005E0D3F" w:rsidRDefault="00CB6D4E" w:rsidP="00CB6D4E">
            <w:pPr>
              <w:pStyle w:val="T2"/>
              <w:jc w:val="right"/>
            </w:pPr>
            <w:r w:rsidRPr="005E0D3F">
              <w:t>(0.8)</w:t>
            </w:r>
          </w:p>
        </w:tc>
        <w:tc>
          <w:tcPr>
            <w:tcW w:w="1033" w:type="dxa"/>
            <w:vAlign w:val="bottom"/>
          </w:tcPr>
          <w:p w14:paraId="10AC0CDC" w14:textId="4263B8A9" w:rsidR="00CB6D4E" w:rsidRPr="005E0D3F" w:rsidRDefault="00CB6D4E" w:rsidP="00CB6D4E">
            <w:pPr>
              <w:pStyle w:val="T2"/>
              <w:jc w:val="right"/>
            </w:pPr>
            <w:r w:rsidRPr="005E0D3F">
              <w:t>–</w:t>
            </w:r>
          </w:p>
        </w:tc>
        <w:tc>
          <w:tcPr>
            <w:tcW w:w="907" w:type="dxa"/>
            <w:vAlign w:val="bottom"/>
          </w:tcPr>
          <w:p w14:paraId="337612F0" w14:textId="2C5DA299" w:rsidR="00CB6D4E" w:rsidRPr="005E0D3F" w:rsidRDefault="00CB6D4E" w:rsidP="00CB6D4E">
            <w:pPr>
              <w:pStyle w:val="T2"/>
              <w:jc w:val="right"/>
            </w:pPr>
            <w:r w:rsidRPr="005E0D3F">
              <w:t>(0.8)</w:t>
            </w:r>
          </w:p>
        </w:tc>
      </w:tr>
      <w:tr w:rsidR="00CB6D4E" w:rsidRPr="00C75824" w14:paraId="093F82B3" w14:textId="77777777" w:rsidTr="005B3BEE">
        <w:trPr>
          <w:jc w:val="center"/>
        </w:trPr>
        <w:tc>
          <w:tcPr>
            <w:tcW w:w="4394" w:type="dxa"/>
            <w:tcBorders>
              <w:bottom w:val="single" w:sz="2" w:space="0" w:color="auto"/>
            </w:tcBorders>
            <w:vAlign w:val="bottom"/>
          </w:tcPr>
          <w:p w14:paraId="3A6C5D1F" w14:textId="77777777" w:rsidR="00CB6D4E" w:rsidRPr="00172EC0" w:rsidRDefault="00CB6D4E" w:rsidP="00CB6D4E">
            <w:pPr>
              <w:pStyle w:val="T2"/>
              <w:jc w:val="left"/>
            </w:pPr>
            <w:r w:rsidRPr="00172EC0">
              <w:t>Cash flow hedge transferred to Income Statement</w:t>
            </w:r>
          </w:p>
        </w:tc>
        <w:tc>
          <w:tcPr>
            <w:tcW w:w="907" w:type="dxa"/>
            <w:tcBorders>
              <w:bottom w:val="single" w:sz="2" w:space="0" w:color="auto"/>
            </w:tcBorders>
            <w:vAlign w:val="bottom"/>
          </w:tcPr>
          <w:p w14:paraId="6A3D4FD1" w14:textId="1604949D" w:rsidR="00CB6D4E" w:rsidRPr="005E0D3F" w:rsidRDefault="00CB6D4E" w:rsidP="00CB6D4E">
            <w:pPr>
              <w:pStyle w:val="T2"/>
              <w:jc w:val="right"/>
            </w:pPr>
            <w:r w:rsidRPr="005E0D3F">
              <w:t>–</w:t>
            </w:r>
          </w:p>
        </w:tc>
        <w:tc>
          <w:tcPr>
            <w:tcW w:w="907" w:type="dxa"/>
            <w:tcBorders>
              <w:bottom w:val="single" w:sz="2" w:space="0" w:color="auto"/>
            </w:tcBorders>
            <w:vAlign w:val="bottom"/>
          </w:tcPr>
          <w:p w14:paraId="4D2BF1CC" w14:textId="71373CF0" w:rsidR="00CB6D4E" w:rsidRPr="005E0D3F" w:rsidRDefault="00CB6D4E" w:rsidP="00CB6D4E">
            <w:pPr>
              <w:pStyle w:val="T2"/>
              <w:jc w:val="right"/>
            </w:pPr>
            <w:r w:rsidRPr="005E0D3F">
              <w:t>–</w:t>
            </w:r>
          </w:p>
        </w:tc>
        <w:tc>
          <w:tcPr>
            <w:tcW w:w="1437" w:type="dxa"/>
            <w:tcBorders>
              <w:bottom w:val="single" w:sz="2" w:space="0" w:color="auto"/>
            </w:tcBorders>
            <w:vAlign w:val="bottom"/>
          </w:tcPr>
          <w:p w14:paraId="29E7F607" w14:textId="2D232891" w:rsidR="00CB6D4E" w:rsidRPr="005E0D3F" w:rsidRDefault="00CB6D4E" w:rsidP="00CB6D4E">
            <w:pPr>
              <w:pStyle w:val="T2"/>
              <w:jc w:val="right"/>
            </w:pPr>
            <w:r w:rsidRPr="005E0D3F">
              <w:t>–</w:t>
            </w:r>
          </w:p>
        </w:tc>
        <w:tc>
          <w:tcPr>
            <w:tcW w:w="904" w:type="dxa"/>
            <w:tcBorders>
              <w:bottom w:val="single" w:sz="2" w:space="0" w:color="auto"/>
            </w:tcBorders>
            <w:vAlign w:val="bottom"/>
          </w:tcPr>
          <w:p w14:paraId="42D638FE" w14:textId="5318E4AA" w:rsidR="00CB6D4E" w:rsidRPr="005E0D3F" w:rsidRDefault="00CB6D4E" w:rsidP="00CB6D4E">
            <w:pPr>
              <w:pStyle w:val="T2"/>
              <w:jc w:val="right"/>
            </w:pPr>
            <w:r w:rsidRPr="005E0D3F">
              <w:t>0.6</w:t>
            </w:r>
          </w:p>
        </w:tc>
        <w:tc>
          <w:tcPr>
            <w:tcW w:w="1033" w:type="dxa"/>
            <w:tcBorders>
              <w:bottom w:val="single" w:sz="2" w:space="0" w:color="auto"/>
            </w:tcBorders>
            <w:vAlign w:val="bottom"/>
          </w:tcPr>
          <w:p w14:paraId="2F5548EF" w14:textId="61EDB983" w:rsidR="00CB6D4E" w:rsidRPr="005E0D3F" w:rsidRDefault="00CB6D4E" w:rsidP="00CB6D4E">
            <w:pPr>
              <w:pStyle w:val="T2"/>
              <w:jc w:val="right"/>
            </w:pPr>
            <w:r w:rsidRPr="005E0D3F">
              <w:t>–</w:t>
            </w:r>
          </w:p>
        </w:tc>
        <w:tc>
          <w:tcPr>
            <w:tcW w:w="907" w:type="dxa"/>
            <w:tcBorders>
              <w:bottom w:val="single" w:sz="2" w:space="0" w:color="auto"/>
            </w:tcBorders>
            <w:vAlign w:val="bottom"/>
          </w:tcPr>
          <w:p w14:paraId="75DBB86F" w14:textId="383891AA" w:rsidR="00CB6D4E" w:rsidRPr="005E0D3F" w:rsidRDefault="00CB6D4E" w:rsidP="00CB6D4E">
            <w:pPr>
              <w:pStyle w:val="T2"/>
              <w:jc w:val="right"/>
            </w:pPr>
            <w:r w:rsidRPr="005E0D3F">
              <w:t>0.6</w:t>
            </w:r>
          </w:p>
        </w:tc>
      </w:tr>
      <w:tr w:rsidR="00CB6D4E" w:rsidRPr="00C75824" w14:paraId="26794A88" w14:textId="77777777" w:rsidTr="005B3BEE">
        <w:trPr>
          <w:jc w:val="center"/>
        </w:trPr>
        <w:tc>
          <w:tcPr>
            <w:tcW w:w="4394" w:type="dxa"/>
            <w:tcBorders>
              <w:top w:val="single" w:sz="2" w:space="0" w:color="auto"/>
              <w:bottom w:val="single" w:sz="2" w:space="0" w:color="auto"/>
            </w:tcBorders>
            <w:vAlign w:val="bottom"/>
          </w:tcPr>
          <w:p w14:paraId="6485B09E" w14:textId="77777777" w:rsidR="00CB6D4E" w:rsidRPr="00E02FFC" w:rsidRDefault="00CB6D4E" w:rsidP="00CB6D4E">
            <w:pPr>
              <w:pStyle w:val="T2"/>
              <w:jc w:val="left"/>
              <w:rPr>
                <w:b/>
              </w:rPr>
            </w:pPr>
            <w:r w:rsidRPr="00E02FFC">
              <w:rPr>
                <w:b/>
              </w:rPr>
              <w:t xml:space="preserve">Total </w:t>
            </w:r>
            <w:r>
              <w:rPr>
                <w:b/>
              </w:rPr>
              <w:t>comprehensive income for the financial period</w:t>
            </w:r>
          </w:p>
        </w:tc>
        <w:tc>
          <w:tcPr>
            <w:tcW w:w="907" w:type="dxa"/>
            <w:tcBorders>
              <w:top w:val="single" w:sz="2" w:space="0" w:color="auto"/>
              <w:bottom w:val="single" w:sz="2" w:space="0" w:color="auto"/>
            </w:tcBorders>
            <w:vAlign w:val="bottom"/>
          </w:tcPr>
          <w:p w14:paraId="77D581F3" w14:textId="3BCAE26E" w:rsidR="00CB6D4E" w:rsidRPr="005E0D3F" w:rsidRDefault="00CB6D4E" w:rsidP="00CB6D4E">
            <w:pPr>
              <w:pStyle w:val="T2"/>
              <w:jc w:val="right"/>
            </w:pPr>
            <w:r w:rsidRPr="005E0D3F">
              <w:t>–</w:t>
            </w:r>
          </w:p>
        </w:tc>
        <w:tc>
          <w:tcPr>
            <w:tcW w:w="907" w:type="dxa"/>
            <w:tcBorders>
              <w:top w:val="single" w:sz="2" w:space="0" w:color="auto"/>
              <w:bottom w:val="single" w:sz="2" w:space="0" w:color="auto"/>
            </w:tcBorders>
            <w:vAlign w:val="bottom"/>
          </w:tcPr>
          <w:p w14:paraId="54E73E56" w14:textId="29CD4F2E" w:rsidR="00CB6D4E" w:rsidRPr="005E0D3F" w:rsidRDefault="00CB6D4E" w:rsidP="00CB6D4E">
            <w:pPr>
              <w:pStyle w:val="T2"/>
              <w:jc w:val="right"/>
            </w:pPr>
            <w:r w:rsidRPr="005E0D3F">
              <w:t>–</w:t>
            </w:r>
          </w:p>
        </w:tc>
        <w:tc>
          <w:tcPr>
            <w:tcW w:w="1437" w:type="dxa"/>
            <w:tcBorders>
              <w:top w:val="single" w:sz="2" w:space="0" w:color="auto"/>
              <w:bottom w:val="single" w:sz="2" w:space="0" w:color="auto"/>
            </w:tcBorders>
            <w:vAlign w:val="bottom"/>
          </w:tcPr>
          <w:p w14:paraId="464F5B35" w14:textId="3287283F" w:rsidR="00CB6D4E" w:rsidRPr="005E0D3F" w:rsidRDefault="00CB6D4E" w:rsidP="00CB6D4E">
            <w:pPr>
              <w:pStyle w:val="T2"/>
              <w:jc w:val="right"/>
            </w:pPr>
            <w:r w:rsidRPr="005E0D3F">
              <w:t>–</w:t>
            </w:r>
          </w:p>
        </w:tc>
        <w:tc>
          <w:tcPr>
            <w:tcW w:w="904" w:type="dxa"/>
            <w:tcBorders>
              <w:top w:val="single" w:sz="2" w:space="0" w:color="auto"/>
              <w:bottom w:val="single" w:sz="2" w:space="0" w:color="auto"/>
            </w:tcBorders>
            <w:vAlign w:val="bottom"/>
          </w:tcPr>
          <w:p w14:paraId="6D6AE4A8" w14:textId="0B09DC18" w:rsidR="00CB6D4E" w:rsidRPr="005E0D3F" w:rsidRDefault="00CB6D4E" w:rsidP="00CB6D4E">
            <w:pPr>
              <w:pStyle w:val="T2"/>
              <w:jc w:val="right"/>
            </w:pPr>
            <w:r w:rsidRPr="005E0D3F">
              <w:t>(0.2)</w:t>
            </w:r>
          </w:p>
        </w:tc>
        <w:tc>
          <w:tcPr>
            <w:tcW w:w="1033" w:type="dxa"/>
            <w:tcBorders>
              <w:top w:val="single" w:sz="2" w:space="0" w:color="auto"/>
              <w:bottom w:val="single" w:sz="2" w:space="0" w:color="auto"/>
            </w:tcBorders>
            <w:vAlign w:val="bottom"/>
          </w:tcPr>
          <w:p w14:paraId="38D2EA28" w14:textId="730415BA" w:rsidR="00CB6D4E" w:rsidRPr="005E0D3F" w:rsidRDefault="00CB6D4E" w:rsidP="00CB6D4E">
            <w:pPr>
              <w:pStyle w:val="T2"/>
              <w:jc w:val="right"/>
            </w:pPr>
            <w:r w:rsidRPr="005E0D3F">
              <w:rPr>
                <w:rFonts w:ascii="Calibri" w:hAnsi="Calibri" w:cs="Calibri"/>
              </w:rPr>
              <w:t>(4.2)</w:t>
            </w:r>
          </w:p>
        </w:tc>
        <w:tc>
          <w:tcPr>
            <w:tcW w:w="907" w:type="dxa"/>
            <w:tcBorders>
              <w:top w:val="single" w:sz="2" w:space="0" w:color="auto"/>
              <w:bottom w:val="single" w:sz="2" w:space="0" w:color="auto"/>
            </w:tcBorders>
            <w:vAlign w:val="bottom"/>
          </w:tcPr>
          <w:p w14:paraId="0E6DD461" w14:textId="0688410B" w:rsidR="00CB6D4E" w:rsidRPr="005E0D3F" w:rsidRDefault="00CB6D4E" w:rsidP="00CB6D4E">
            <w:pPr>
              <w:pStyle w:val="T2"/>
              <w:jc w:val="right"/>
            </w:pPr>
            <w:r w:rsidRPr="005E0D3F">
              <w:t>(4.4)</w:t>
            </w:r>
          </w:p>
        </w:tc>
      </w:tr>
      <w:tr w:rsidR="00CB6D4E" w:rsidRPr="00C75824" w14:paraId="15A81770" w14:textId="77777777" w:rsidTr="005B3BEE">
        <w:trPr>
          <w:jc w:val="center"/>
        </w:trPr>
        <w:tc>
          <w:tcPr>
            <w:tcW w:w="4394" w:type="dxa"/>
            <w:tcBorders>
              <w:top w:val="single" w:sz="2" w:space="0" w:color="auto"/>
            </w:tcBorders>
            <w:vAlign w:val="bottom"/>
          </w:tcPr>
          <w:p w14:paraId="162D0D37" w14:textId="77777777" w:rsidR="00CB6D4E" w:rsidRPr="000606CD" w:rsidRDefault="00CB6D4E" w:rsidP="00CB6D4E">
            <w:pPr>
              <w:pStyle w:val="T2"/>
              <w:jc w:val="left"/>
              <w:rPr>
                <w:rFonts w:cs="Calibri"/>
              </w:rPr>
            </w:pPr>
            <w:r w:rsidRPr="000606CD">
              <w:rPr>
                <w:rFonts w:cs="Calibri"/>
              </w:rPr>
              <w:t>Employee share</w:t>
            </w:r>
            <w:r>
              <w:rPr>
                <w:rFonts w:cs="Calibri"/>
              </w:rPr>
              <w:t>–</w:t>
            </w:r>
            <w:r w:rsidRPr="000606CD">
              <w:rPr>
                <w:rFonts w:cs="Calibri"/>
              </w:rPr>
              <w:t>based payment expense</w:t>
            </w:r>
          </w:p>
        </w:tc>
        <w:tc>
          <w:tcPr>
            <w:tcW w:w="907" w:type="dxa"/>
            <w:tcBorders>
              <w:top w:val="single" w:sz="2" w:space="0" w:color="auto"/>
            </w:tcBorders>
            <w:vAlign w:val="bottom"/>
          </w:tcPr>
          <w:p w14:paraId="5960A73C" w14:textId="484F93F5" w:rsidR="00CB6D4E" w:rsidRPr="005E0D3F" w:rsidRDefault="00CB6D4E" w:rsidP="00CB6D4E">
            <w:pPr>
              <w:pStyle w:val="T2"/>
              <w:jc w:val="right"/>
              <w:rPr>
                <w:rFonts w:cs="Calibri"/>
              </w:rPr>
            </w:pPr>
            <w:r w:rsidRPr="005E0D3F">
              <w:t>1.0</w:t>
            </w:r>
          </w:p>
        </w:tc>
        <w:tc>
          <w:tcPr>
            <w:tcW w:w="907" w:type="dxa"/>
            <w:tcBorders>
              <w:top w:val="single" w:sz="2" w:space="0" w:color="auto"/>
            </w:tcBorders>
            <w:vAlign w:val="bottom"/>
          </w:tcPr>
          <w:p w14:paraId="6BFC81BC" w14:textId="0A1CF051" w:rsidR="00CB6D4E" w:rsidRPr="005E0D3F" w:rsidRDefault="00CB6D4E" w:rsidP="00CB6D4E">
            <w:pPr>
              <w:pStyle w:val="T2"/>
              <w:jc w:val="right"/>
              <w:rPr>
                <w:rFonts w:cs="Calibri"/>
              </w:rPr>
            </w:pPr>
            <w:r w:rsidRPr="005E0D3F">
              <w:t>–</w:t>
            </w:r>
          </w:p>
        </w:tc>
        <w:tc>
          <w:tcPr>
            <w:tcW w:w="1437" w:type="dxa"/>
            <w:tcBorders>
              <w:top w:val="single" w:sz="2" w:space="0" w:color="auto"/>
            </w:tcBorders>
            <w:vAlign w:val="bottom"/>
          </w:tcPr>
          <w:p w14:paraId="5109FA70" w14:textId="02854AB6" w:rsidR="00CB6D4E" w:rsidRPr="005E0D3F" w:rsidRDefault="00CB6D4E" w:rsidP="00CB6D4E">
            <w:pPr>
              <w:pStyle w:val="T2"/>
              <w:jc w:val="right"/>
              <w:rPr>
                <w:rFonts w:cs="Calibri"/>
              </w:rPr>
            </w:pPr>
            <w:r w:rsidRPr="005E0D3F">
              <w:t>–</w:t>
            </w:r>
          </w:p>
        </w:tc>
        <w:tc>
          <w:tcPr>
            <w:tcW w:w="904" w:type="dxa"/>
            <w:tcBorders>
              <w:top w:val="single" w:sz="2" w:space="0" w:color="auto"/>
            </w:tcBorders>
            <w:vAlign w:val="bottom"/>
          </w:tcPr>
          <w:p w14:paraId="06D97F52" w14:textId="01A893B9" w:rsidR="00CB6D4E" w:rsidRPr="005E0D3F" w:rsidRDefault="00CB6D4E" w:rsidP="00CB6D4E">
            <w:pPr>
              <w:pStyle w:val="T2"/>
              <w:jc w:val="right"/>
              <w:rPr>
                <w:rFonts w:cs="Calibri"/>
              </w:rPr>
            </w:pPr>
            <w:r w:rsidRPr="005E0D3F">
              <w:t>–</w:t>
            </w:r>
          </w:p>
        </w:tc>
        <w:tc>
          <w:tcPr>
            <w:tcW w:w="1033" w:type="dxa"/>
            <w:tcBorders>
              <w:top w:val="single" w:sz="2" w:space="0" w:color="auto"/>
            </w:tcBorders>
            <w:vAlign w:val="bottom"/>
          </w:tcPr>
          <w:p w14:paraId="60F61E17" w14:textId="66C69D7F" w:rsidR="00CB6D4E" w:rsidRPr="005E0D3F" w:rsidRDefault="00CB6D4E" w:rsidP="00CB6D4E">
            <w:pPr>
              <w:pStyle w:val="T2"/>
              <w:jc w:val="right"/>
              <w:rPr>
                <w:rFonts w:cs="Calibri"/>
              </w:rPr>
            </w:pPr>
            <w:r w:rsidRPr="005E0D3F">
              <w:t>–</w:t>
            </w:r>
          </w:p>
        </w:tc>
        <w:tc>
          <w:tcPr>
            <w:tcW w:w="907" w:type="dxa"/>
            <w:tcBorders>
              <w:top w:val="single" w:sz="2" w:space="0" w:color="auto"/>
            </w:tcBorders>
            <w:vAlign w:val="bottom"/>
          </w:tcPr>
          <w:p w14:paraId="5CED4620" w14:textId="2BAAA098" w:rsidR="00CB6D4E" w:rsidRPr="005E0D3F" w:rsidRDefault="00CB6D4E" w:rsidP="00CB6D4E">
            <w:pPr>
              <w:pStyle w:val="T2"/>
              <w:jc w:val="right"/>
              <w:rPr>
                <w:rFonts w:cs="Calibri"/>
              </w:rPr>
            </w:pPr>
            <w:r w:rsidRPr="005E0D3F">
              <w:t>1.0</w:t>
            </w:r>
          </w:p>
        </w:tc>
      </w:tr>
      <w:tr w:rsidR="00CB6D4E" w:rsidRPr="00C75824" w14:paraId="2692835D" w14:textId="77777777" w:rsidTr="005B3BEE">
        <w:trPr>
          <w:jc w:val="center"/>
        </w:trPr>
        <w:tc>
          <w:tcPr>
            <w:tcW w:w="4394" w:type="dxa"/>
            <w:vAlign w:val="bottom"/>
          </w:tcPr>
          <w:p w14:paraId="6C97E70C" w14:textId="77777777" w:rsidR="00CB6D4E" w:rsidRPr="000606CD" w:rsidRDefault="00CB6D4E" w:rsidP="00CB6D4E">
            <w:pPr>
              <w:pStyle w:val="T2"/>
              <w:jc w:val="left"/>
              <w:rPr>
                <w:rFonts w:cs="Calibri"/>
              </w:rPr>
            </w:pPr>
            <w:r w:rsidRPr="000606CD">
              <w:rPr>
                <w:rFonts w:cs="Calibri"/>
              </w:rPr>
              <w:t>Exercise, lapse or forfeit of share</w:t>
            </w:r>
            <w:r>
              <w:rPr>
                <w:rFonts w:cs="Calibri"/>
              </w:rPr>
              <w:t>–</w:t>
            </w:r>
            <w:r w:rsidRPr="000606CD">
              <w:rPr>
                <w:rFonts w:cs="Calibri"/>
              </w:rPr>
              <w:t>based payments</w:t>
            </w:r>
          </w:p>
        </w:tc>
        <w:tc>
          <w:tcPr>
            <w:tcW w:w="907" w:type="dxa"/>
            <w:vAlign w:val="bottom"/>
          </w:tcPr>
          <w:p w14:paraId="1A879C84" w14:textId="5D5263EB" w:rsidR="00CB6D4E" w:rsidRPr="005E0D3F" w:rsidRDefault="00CB6D4E" w:rsidP="00CB6D4E">
            <w:pPr>
              <w:pStyle w:val="T2"/>
              <w:jc w:val="right"/>
              <w:rPr>
                <w:rFonts w:cs="Calibri"/>
              </w:rPr>
            </w:pPr>
            <w:r w:rsidRPr="005E0D3F">
              <w:t>(2.1)</w:t>
            </w:r>
          </w:p>
        </w:tc>
        <w:tc>
          <w:tcPr>
            <w:tcW w:w="907" w:type="dxa"/>
            <w:vAlign w:val="bottom"/>
          </w:tcPr>
          <w:p w14:paraId="5F8C2FD2" w14:textId="17BA648C" w:rsidR="00CB6D4E" w:rsidRPr="005E0D3F" w:rsidRDefault="00CB6D4E" w:rsidP="00CB6D4E">
            <w:pPr>
              <w:pStyle w:val="T2"/>
              <w:jc w:val="right"/>
              <w:rPr>
                <w:rFonts w:cs="Calibri"/>
              </w:rPr>
            </w:pPr>
            <w:r w:rsidRPr="005E0D3F">
              <w:t>–</w:t>
            </w:r>
          </w:p>
        </w:tc>
        <w:tc>
          <w:tcPr>
            <w:tcW w:w="1437" w:type="dxa"/>
            <w:vAlign w:val="bottom"/>
          </w:tcPr>
          <w:p w14:paraId="20136A27" w14:textId="4E4DFAD0" w:rsidR="00CB6D4E" w:rsidRPr="005E0D3F" w:rsidRDefault="00CB6D4E" w:rsidP="00CB6D4E">
            <w:pPr>
              <w:pStyle w:val="T2"/>
              <w:jc w:val="right"/>
              <w:rPr>
                <w:rFonts w:cs="Calibri"/>
              </w:rPr>
            </w:pPr>
            <w:r w:rsidRPr="005E0D3F">
              <w:t>–</w:t>
            </w:r>
          </w:p>
        </w:tc>
        <w:tc>
          <w:tcPr>
            <w:tcW w:w="904" w:type="dxa"/>
            <w:vAlign w:val="bottom"/>
          </w:tcPr>
          <w:p w14:paraId="23DC0BFF" w14:textId="14E5A4A1" w:rsidR="00CB6D4E" w:rsidRPr="005E0D3F" w:rsidRDefault="00CB6D4E" w:rsidP="00CB6D4E">
            <w:pPr>
              <w:pStyle w:val="T2"/>
              <w:jc w:val="right"/>
              <w:rPr>
                <w:rFonts w:cs="Calibri"/>
              </w:rPr>
            </w:pPr>
            <w:r w:rsidRPr="005E0D3F">
              <w:t>–</w:t>
            </w:r>
          </w:p>
        </w:tc>
        <w:tc>
          <w:tcPr>
            <w:tcW w:w="1033" w:type="dxa"/>
            <w:vAlign w:val="bottom"/>
          </w:tcPr>
          <w:p w14:paraId="4BC50775" w14:textId="3DB93B3B" w:rsidR="00CB6D4E" w:rsidRPr="005E0D3F" w:rsidRDefault="00CB6D4E" w:rsidP="00CB6D4E">
            <w:pPr>
              <w:pStyle w:val="T2"/>
              <w:jc w:val="right"/>
              <w:rPr>
                <w:rFonts w:cs="Calibri"/>
              </w:rPr>
            </w:pPr>
            <w:r w:rsidRPr="005E0D3F">
              <w:t>–</w:t>
            </w:r>
          </w:p>
        </w:tc>
        <w:tc>
          <w:tcPr>
            <w:tcW w:w="907" w:type="dxa"/>
            <w:vAlign w:val="bottom"/>
          </w:tcPr>
          <w:p w14:paraId="60BBFAD4" w14:textId="6476C388" w:rsidR="00CB6D4E" w:rsidRPr="005E0D3F" w:rsidRDefault="00CB6D4E" w:rsidP="00CB6D4E">
            <w:pPr>
              <w:pStyle w:val="T2"/>
              <w:jc w:val="right"/>
              <w:rPr>
                <w:rFonts w:cs="Calibri"/>
              </w:rPr>
            </w:pPr>
            <w:r w:rsidRPr="005E0D3F">
              <w:t>(2.1)</w:t>
            </w:r>
          </w:p>
        </w:tc>
      </w:tr>
      <w:tr w:rsidR="00CB6D4E" w:rsidRPr="00C75824" w14:paraId="07175037" w14:textId="77777777" w:rsidTr="001F1616">
        <w:trPr>
          <w:jc w:val="center"/>
        </w:trPr>
        <w:tc>
          <w:tcPr>
            <w:tcW w:w="4394" w:type="dxa"/>
            <w:tcBorders>
              <w:bottom w:val="single" w:sz="2" w:space="0" w:color="auto"/>
            </w:tcBorders>
            <w:vAlign w:val="bottom"/>
          </w:tcPr>
          <w:p w14:paraId="60EAC00D" w14:textId="77777777" w:rsidR="00CB6D4E" w:rsidRPr="000606CD" w:rsidRDefault="00CB6D4E" w:rsidP="00CB6D4E">
            <w:pPr>
              <w:pStyle w:val="T2"/>
              <w:jc w:val="left"/>
              <w:rPr>
                <w:rFonts w:cs="Calibri"/>
              </w:rPr>
            </w:pPr>
            <w:r w:rsidRPr="000606CD">
              <w:rPr>
                <w:rFonts w:cs="Calibri"/>
              </w:rPr>
              <w:t xml:space="preserve">Transfer to Retained Earnings on </w:t>
            </w:r>
            <w:r>
              <w:rPr>
                <w:rFonts w:cs="Calibri"/>
              </w:rPr>
              <w:t xml:space="preserve">transfer </w:t>
            </w:r>
            <w:r w:rsidRPr="000606CD">
              <w:rPr>
                <w:rFonts w:cs="Calibri"/>
              </w:rPr>
              <w:t>of shares to beneficiaries of the Employee Benefit Trust</w:t>
            </w:r>
          </w:p>
        </w:tc>
        <w:tc>
          <w:tcPr>
            <w:tcW w:w="907" w:type="dxa"/>
            <w:tcBorders>
              <w:bottom w:val="single" w:sz="2" w:space="0" w:color="auto"/>
            </w:tcBorders>
            <w:vAlign w:val="bottom"/>
          </w:tcPr>
          <w:p w14:paraId="28D6934F" w14:textId="76A70CED" w:rsidR="00CB6D4E" w:rsidRPr="005E0D3F" w:rsidRDefault="00CB6D4E" w:rsidP="00CB6D4E">
            <w:pPr>
              <w:pStyle w:val="T2"/>
              <w:jc w:val="right"/>
              <w:rPr>
                <w:rFonts w:cs="Calibri"/>
              </w:rPr>
            </w:pPr>
            <w:r w:rsidRPr="005E0D3F">
              <w:t>–</w:t>
            </w:r>
          </w:p>
        </w:tc>
        <w:tc>
          <w:tcPr>
            <w:tcW w:w="907" w:type="dxa"/>
            <w:tcBorders>
              <w:bottom w:val="single" w:sz="2" w:space="0" w:color="auto"/>
            </w:tcBorders>
            <w:vAlign w:val="bottom"/>
          </w:tcPr>
          <w:p w14:paraId="4ADDF658" w14:textId="211DF2AB" w:rsidR="00CB6D4E" w:rsidRPr="005E0D3F" w:rsidRDefault="00CB6D4E" w:rsidP="00CB6D4E">
            <w:pPr>
              <w:pStyle w:val="T2"/>
              <w:jc w:val="right"/>
              <w:rPr>
                <w:rFonts w:cs="Calibri"/>
              </w:rPr>
            </w:pPr>
            <w:r w:rsidRPr="005E0D3F">
              <w:t>1.1</w:t>
            </w:r>
          </w:p>
        </w:tc>
        <w:tc>
          <w:tcPr>
            <w:tcW w:w="1437" w:type="dxa"/>
            <w:tcBorders>
              <w:bottom w:val="single" w:sz="2" w:space="0" w:color="auto"/>
            </w:tcBorders>
            <w:vAlign w:val="bottom"/>
          </w:tcPr>
          <w:p w14:paraId="40407419" w14:textId="564C28B0" w:rsidR="00CB6D4E" w:rsidRPr="005E0D3F" w:rsidRDefault="00CB6D4E" w:rsidP="00CB6D4E">
            <w:pPr>
              <w:pStyle w:val="T2"/>
              <w:jc w:val="right"/>
              <w:rPr>
                <w:rFonts w:cs="Calibri"/>
              </w:rPr>
            </w:pPr>
            <w:r w:rsidRPr="005E0D3F">
              <w:t>–</w:t>
            </w:r>
          </w:p>
        </w:tc>
        <w:tc>
          <w:tcPr>
            <w:tcW w:w="904" w:type="dxa"/>
            <w:tcBorders>
              <w:bottom w:val="single" w:sz="2" w:space="0" w:color="auto"/>
            </w:tcBorders>
            <w:vAlign w:val="bottom"/>
          </w:tcPr>
          <w:p w14:paraId="03B2ACAA" w14:textId="21A4C94B" w:rsidR="00CB6D4E" w:rsidRPr="005E0D3F" w:rsidRDefault="00CB6D4E" w:rsidP="00CB6D4E">
            <w:pPr>
              <w:pStyle w:val="T2"/>
              <w:jc w:val="right"/>
              <w:rPr>
                <w:rFonts w:cs="Calibri"/>
              </w:rPr>
            </w:pPr>
            <w:r w:rsidRPr="005E0D3F">
              <w:t>–</w:t>
            </w:r>
          </w:p>
        </w:tc>
        <w:tc>
          <w:tcPr>
            <w:tcW w:w="1033" w:type="dxa"/>
            <w:tcBorders>
              <w:bottom w:val="single" w:sz="2" w:space="0" w:color="auto"/>
            </w:tcBorders>
            <w:vAlign w:val="bottom"/>
          </w:tcPr>
          <w:p w14:paraId="7896B778" w14:textId="0A194DB1" w:rsidR="00CB6D4E" w:rsidRPr="005E0D3F" w:rsidRDefault="00CB6D4E" w:rsidP="00CB6D4E">
            <w:pPr>
              <w:pStyle w:val="T2"/>
              <w:jc w:val="right"/>
              <w:rPr>
                <w:rFonts w:cs="Calibri"/>
              </w:rPr>
            </w:pPr>
            <w:r w:rsidRPr="005E0D3F">
              <w:t>–</w:t>
            </w:r>
          </w:p>
        </w:tc>
        <w:tc>
          <w:tcPr>
            <w:tcW w:w="907" w:type="dxa"/>
            <w:tcBorders>
              <w:bottom w:val="single" w:sz="2" w:space="0" w:color="auto"/>
            </w:tcBorders>
            <w:vAlign w:val="bottom"/>
          </w:tcPr>
          <w:p w14:paraId="49095BE6" w14:textId="5C6B2D60" w:rsidR="00CB6D4E" w:rsidRPr="005E0D3F" w:rsidRDefault="00CB6D4E" w:rsidP="00CB6D4E">
            <w:pPr>
              <w:pStyle w:val="T2"/>
              <w:jc w:val="right"/>
              <w:rPr>
                <w:rFonts w:cs="Calibri"/>
              </w:rPr>
            </w:pPr>
            <w:r w:rsidRPr="005E0D3F">
              <w:t>1.1</w:t>
            </w:r>
          </w:p>
        </w:tc>
      </w:tr>
      <w:tr w:rsidR="00CB6D4E" w:rsidRPr="00C75824" w14:paraId="2F994FC1" w14:textId="77777777" w:rsidTr="001F1616">
        <w:trPr>
          <w:jc w:val="center"/>
        </w:trPr>
        <w:tc>
          <w:tcPr>
            <w:tcW w:w="4394" w:type="dxa"/>
            <w:tcBorders>
              <w:top w:val="single" w:sz="2" w:space="0" w:color="auto"/>
              <w:bottom w:val="single" w:sz="2" w:space="0" w:color="auto"/>
            </w:tcBorders>
            <w:vAlign w:val="bottom"/>
          </w:tcPr>
          <w:p w14:paraId="246CF04D" w14:textId="3A6DF677" w:rsidR="00CB6D4E" w:rsidRPr="00E02FFC" w:rsidRDefault="00CB6D4E" w:rsidP="00CB6D4E">
            <w:pPr>
              <w:pStyle w:val="T2"/>
              <w:jc w:val="left"/>
              <w:rPr>
                <w:b/>
              </w:rPr>
            </w:pPr>
            <w:r w:rsidRPr="00E02FFC">
              <w:rPr>
                <w:b/>
              </w:rPr>
              <w:t xml:space="preserve">At </w:t>
            </w:r>
            <w:r>
              <w:rPr>
                <w:b/>
              </w:rPr>
              <w:t>26 March 2021</w:t>
            </w:r>
          </w:p>
        </w:tc>
        <w:tc>
          <w:tcPr>
            <w:tcW w:w="907" w:type="dxa"/>
            <w:tcBorders>
              <w:top w:val="single" w:sz="2" w:space="0" w:color="auto"/>
              <w:bottom w:val="single" w:sz="2" w:space="0" w:color="auto"/>
            </w:tcBorders>
            <w:vAlign w:val="bottom"/>
          </w:tcPr>
          <w:p w14:paraId="024B74CC" w14:textId="41DBA496" w:rsidR="00CB6D4E" w:rsidRPr="005E0D3F" w:rsidRDefault="00CB6D4E" w:rsidP="00CB6D4E">
            <w:pPr>
              <w:pStyle w:val="T2"/>
              <w:jc w:val="right"/>
              <w:rPr>
                <w:rFonts w:cs="Calibri"/>
              </w:rPr>
            </w:pPr>
            <w:r w:rsidRPr="005E0D3F">
              <w:t>2.8</w:t>
            </w:r>
          </w:p>
        </w:tc>
        <w:tc>
          <w:tcPr>
            <w:tcW w:w="907" w:type="dxa"/>
            <w:tcBorders>
              <w:top w:val="single" w:sz="2" w:space="0" w:color="auto"/>
              <w:bottom w:val="single" w:sz="2" w:space="0" w:color="auto"/>
            </w:tcBorders>
            <w:vAlign w:val="bottom"/>
          </w:tcPr>
          <w:p w14:paraId="23CC59C7" w14:textId="6C0EF7A8" w:rsidR="00CB6D4E" w:rsidRPr="005E0D3F" w:rsidRDefault="00CB6D4E" w:rsidP="00CB6D4E">
            <w:pPr>
              <w:pStyle w:val="T2"/>
              <w:jc w:val="right"/>
              <w:rPr>
                <w:rFonts w:cs="Calibri"/>
              </w:rPr>
            </w:pPr>
            <w:r w:rsidRPr="005E0D3F">
              <w:t>(1.8)</w:t>
            </w:r>
          </w:p>
        </w:tc>
        <w:tc>
          <w:tcPr>
            <w:tcW w:w="1437" w:type="dxa"/>
            <w:tcBorders>
              <w:top w:val="single" w:sz="2" w:space="0" w:color="auto"/>
              <w:bottom w:val="single" w:sz="2" w:space="0" w:color="auto"/>
            </w:tcBorders>
            <w:vAlign w:val="bottom"/>
          </w:tcPr>
          <w:p w14:paraId="719CEC74" w14:textId="4CCBF96D" w:rsidR="00CB6D4E" w:rsidRPr="005E0D3F" w:rsidRDefault="00CB6D4E" w:rsidP="00CB6D4E">
            <w:pPr>
              <w:pStyle w:val="T2"/>
              <w:jc w:val="right"/>
              <w:rPr>
                <w:rFonts w:cs="Calibri"/>
              </w:rPr>
            </w:pPr>
            <w:r w:rsidRPr="005E0D3F">
              <w:t>120.4</w:t>
            </w:r>
          </w:p>
        </w:tc>
        <w:tc>
          <w:tcPr>
            <w:tcW w:w="904" w:type="dxa"/>
            <w:tcBorders>
              <w:top w:val="single" w:sz="2" w:space="0" w:color="auto"/>
              <w:bottom w:val="single" w:sz="2" w:space="0" w:color="auto"/>
            </w:tcBorders>
            <w:vAlign w:val="bottom"/>
          </w:tcPr>
          <w:p w14:paraId="2C2801B9" w14:textId="757BF989" w:rsidR="00CB6D4E" w:rsidRPr="005E0D3F" w:rsidRDefault="00CB6D4E" w:rsidP="00CB6D4E">
            <w:pPr>
              <w:pStyle w:val="T2"/>
              <w:jc w:val="right"/>
              <w:rPr>
                <w:rFonts w:cs="Calibri"/>
              </w:rPr>
            </w:pPr>
            <w:r w:rsidRPr="005E0D3F">
              <w:t>0.3</w:t>
            </w:r>
          </w:p>
        </w:tc>
        <w:tc>
          <w:tcPr>
            <w:tcW w:w="1033" w:type="dxa"/>
            <w:tcBorders>
              <w:top w:val="single" w:sz="2" w:space="0" w:color="auto"/>
              <w:bottom w:val="single" w:sz="2" w:space="0" w:color="auto"/>
            </w:tcBorders>
            <w:vAlign w:val="bottom"/>
          </w:tcPr>
          <w:p w14:paraId="15D6D91F" w14:textId="7AD26294" w:rsidR="00CB6D4E" w:rsidRPr="005E0D3F" w:rsidRDefault="00CB6D4E" w:rsidP="00CB6D4E">
            <w:pPr>
              <w:pStyle w:val="T2"/>
              <w:jc w:val="right"/>
              <w:rPr>
                <w:rFonts w:cs="Calibri"/>
              </w:rPr>
            </w:pPr>
            <w:r w:rsidRPr="005E0D3F">
              <w:t>(2.2)</w:t>
            </w:r>
          </w:p>
        </w:tc>
        <w:tc>
          <w:tcPr>
            <w:tcW w:w="907" w:type="dxa"/>
            <w:tcBorders>
              <w:top w:val="single" w:sz="2" w:space="0" w:color="auto"/>
              <w:bottom w:val="single" w:sz="2" w:space="0" w:color="auto"/>
            </w:tcBorders>
            <w:vAlign w:val="bottom"/>
          </w:tcPr>
          <w:p w14:paraId="6E54359A" w14:textId="106F5890" w:rsidR="00CB6D4E" w:rsidRPr="005E0D3F" w:rsidRDefault="00CB6D4E" w:rsidP="00CB6D4E">
            <w:pPr>
              <w:pStyle w:val="T2"/>
              <w:jc w:val="right"/>
              <w:rPr>
                <w:rFonts w:cs="Calibri"/>
              </w:rPr>
            </w:pPr>
            <w:r w:rsidRPr="005E0D3F">
              <w:t>119.5</w:t>
            </w:r>
          </w:p>
        </w:tc>
      </w:tr>
      <w:tr w:rsidR="00CB6D4E" w:rsidRPr="00C75824" w14:paraId="62766CCD" w14:textId="77777777" w:rsidTr="001F1616">
        <w:trPr>
          <w:jc w:val="center"/>
        </w:trPr>
        <w:tc>
          <w:tcPr>
            <w:tcW w:w="4394" w:type="dxa"/>
            <w:tcBorders>
              <w:top w:val="single" w:sz="2" w:space="0" w:color="auto"/>
            </w:tcBorders>
            <w:vAlign w:val="bottom"/>
          </w:tcPr>
          <w:p w14:paraId="27956DDD" w14:textId="77777777" w:rsidR="00CB6D4E" w:rsidRPr="00102F12" w:rsidRDefault="00CB6D4E" w:rsidP="00CB6D4E">
            <w:pPr>
              <w:pStyle w:val="T2"/>
              <w:jc w:val="left"/>
              <w:rPr>
                <w:b/>
              </w:rPr>
            </w:pPr>
          </w:p>
        </w:tc>
        <w:tc>
          <w:tcPr>
            <w:tcW w:w="907" w:type="dxa"/>
            <w:tcBorders>
              <w:top w:val="single" w:sz="2" w:space="0" w:color="auto"/>
            </w:tcBorders>
            <w:vAlign w:val="bottom"/>
          </w:tcPr>
          <w:p w14:paraId="2AA48D74" w14:textId="77777777" w:rsidR="00CB6D4E" w:rsidRPr="000606CD" w:rsidRDefault="00CB6D4E" w:rsidP="00CB6D4E">
            <w:pPr>
              <w:pStyle w:val="T2"/>
              <w:jc w:val="right"/>
              <w:rPr>
                <w:rFonts w:cs="Calibri"/>
              </w:rPr>
            </w:pPr>
          </w:p>
        </w:tc>
        <w:tc>
          <w:tcPr>
            <w:tcW w:w="907" w:type="dxa"/>
            <w:tcBorders>
              <w:top w:val="single" w:sz="2" w:space="0" w:color="auto"/>
            </w:tcBorders>
            <w:vAlign w:val="bottom"/>
          </w:tcPr>
          <w:p w14:paraId="05D370A3" w14:textId="77777777" w:rsidR="00CB6D4E" w:rsidRPr="000606CD" w:rsidRDefault="00CB6D4E" w:rsidP="00CB6D4E">
            <w:pPr>
              <w:pStyle w:val="T2"/>
              <w:jc w:val="right"/>
              <w:rPr>
                <w:rFonts w:cs="Calibri"/>
              </w:rPr>
            </w:pPr>
          </w:p>
        </w:tc>
        <w:tc>
          <w:tcPr>
            <w:tcW w:w="1437" w:type="dxa"/>
            <w:tcBorders>
              <w:top w:val="single" w:sz="2" w:space="0" w:color="auto"/>
            </w:tcBorders>
            <w:vAlign w:val="bottom"/>
          </w:tcPr>
          <w:p w14:paraId="1B94DA5C" w14:textId="77777777" w:rsidR="00CB6D4E" w:rsidRPr="000606CD" w:rsidRDefault="00CB6D4E" w:rsidP="00CB6D4E">
            <w:pPr>
              <w:pStyle w:val="T2"/>
              <w:jc w:val="right"/>
              <w:rPr>
                <w:rFonts w:cs="Calibri"/>
              </w:rPr>
            </w:pPr>
          </w:p>
        </w:tc>
        <w:tc>
          <w:tcPr>
            <w:tcW w:w="904" w:type="dxa"/>
            <w:tcBorders>
              <w:top w:val="single" w:sz="2" w:space="0" w:color="auto"/>
            </w:tcBorders>
            <w:vAlign w:val="bottom"/>
          </w:tcPr>
          <w:p w14:paraId="3889B74A" w14:textId="77777777" w:rsidR="00CB6D4E" w:rsidRPr="000606CD" w:rsidRDefault="00CB6D4E" w:rsidP="00CB6D4E">
            <w:pPr>
              <w:pStyle w:val="T2"/>
              <w:jc w:val="right"/>
              <w:rPr>
                <w:rFonts w:cs="Calibri"/>
              </w:rPr>
            </w:pPr>
          </w:p>
        </w:tc>
        <w:tc>
          <w:tcPr>
            <w:tcW w:w="1033" w:type="dxa"/>
            <w:tcBorders>
              <w:top w:val="single" w:sz="2" w:space="0" w:color="auto"/>
            </w:tcBorders>
            <w:vAlign w:val="bottom"/>
          </w:tcPr>
          <w:p w14:paraId="164970BF" w14:textId="77777777" w:rsidR="00CB6D4E" w:rsidRPr="000606CD" w:rsidRDefault="00CB6D4E" w:rsidP="00CB6D4E">
            <w:pPr>
              <w:pStyle w:val="T2"/>
              <w:jc w:val="right"/>
              <w:rPr>
                <w:rFonts w:cs="Calibri"/>
              </w:rPr>
            </w:pPr>
          </w:p>
        </w:tc>
        <w:tc>
          <w:tcPr>
            <w:tcW w:w="907" w:type="dxa"/>
            <w:tcBorders>
              <w:top w:val="single" w:sz="2" w:space="0" w:color="auto"/>
            </w:tcBorders>
            <w:vAlign w:val="bottom"/>
          </w:tcPr>
          <w:p w14:paraId="1A770137" w14:textId="77777777" w:rsidR="00CB6D4E" w:rsidRPr="000606CD" w:rsidRDefault="00CB6D4E" w:rsidP="00CB6D4E">
            <w:pPr>
              <w:pStyle w:val="T2"/>
              <w:jc w:val="right"/>
              <w:rPr>
                <w:rFonts w:cs="Calibri"/>
              </w:rPr>
            </w:pPr>
          </w:p>
        </w:tc>
      </w:tr>
    </w:tbl>
    <w:p w14:paraId="4ED8109B" w14:textId="77777777" w:rsidR="002F1ED7" w:rsidRDefault="002F1ED7" w:rsidP="005B3BEE">
      <w:pPr>
        <w:pStyle w:val="SectionH2"/>
        <w:rPr>
          <w:rFonts w:asciiTheme="minorHAnsi" w:eastAsiaTheme="minorHAnsi" w:hAnsiTheme="minorHAnsi" w:cstheme="minorBidi"/>
          <w:color w:val="002060"/>
          <w:szCs w:val="20"/>
          <w:lang w:eastAsia="en-US" w:bidi="ar-SA"/>
        </w:rPr>
      </w:pPr>
    </w:p>
    <w:p w14:paraId="6D5DD7A1" w14:textId="30D3F7D9" w:rsidR="00A85B80" w:rsidRPr="00A85B80" w:rsidRDefault="00A85B80" w:rsidP="005B3BEE">
      <w:pPr>
        <w:pStyle w:val="SectionH2"/>
        <w:rPr>
          <w:rFonts w:asciiTheme="minorHAnsi" w:eastAsiaTheme="minorHAnsi" w:hAnsiTheme="minorHAnsi" w:cstheme="minorBidi"/>
          <w:color w:val="002060"/>
          <w:szCs w:val="20"/>
          <w:lang w:eastAsia="en-US" w:bidi="ar-SA"/>
        </w:rPr>
      </w:pPr>
      <w:r w:rsidRPr="00A85B80">
        <w:rPr>
          <w:rFonts w:asciiTheme="minorHAnsi" w:eastAsiaTheme="minorHAnsi" w:hAnsiTheme="minorHAnsi" w:cstheme="minorBidi"/>
          <w:color w:val="002060"/>
          <w:szCs w:val="20"/>
          <w:lang w:eastAsia="en-US" w:bidi="ar-SA"/>
        </w:rPr>
        <w:t>NOTES TO THE CONDENSED GROUP FINANCIAL STATEMENTS</w:t>
      </w:r>
    </w:p>
    <w:p w14:paraId="44550D75" w14:textId="5DB1141F" w:rsidR="00773F7B" w:rsidRPr="00A85B80" w:rsidRDefault="00773F7B" w:rsidP="005B3BEE">
      <w:pPr>
        <w:pStyle w:val="SectionH2"/>
        <w:rPr>
          <w:sz w:val="18"/>
        </w:rPr>
      </w:pPr>
      <w:r w:rsidRPr="00A85B80">
        <w:rPr>
          <w:sz w:val="18"/>
        </w:rPr>
        <w:t>1.</w:t>
      </w:r>
      <w:r w:rsidR="000A27F7" w:rsidRPr="00A85B80">
        <w:rPr>
          <w:sz w:val="18"/>
        </w:rPr>
        <w:tab/>
      </w:r>
      <w:r w:rsidRPr="00A85B80">
        <w:rPr>
          <w:bCs/>
          <w:sz w:val="18"/>
          <w:lang w:val="en-US"/>
        </w:rPr>
        <w:t>Basis of preparation</w:t>
      </w:r>
    </w:p>
    <w:p w14:paraId="0DF20E29" w14:textId="63F85DAE" w:rsidR="00773F7B" w:rsidRDefault="00773F7B" w:rsidP="005B3BEE">
      <w:pPr>
        <w:pStyle w:val="Paragraph"/>
        <w:spacing w:before="0" w:after="120"/>
        <w:jc w:val="both"/>
      </w:pPr>
      <w:r>
        <w:t xml:space="preserve">The </w:t>
      </w:r>
      <w:r w:rsidRPr="005C6717">
        <w:t xml:space="preserve">Condensed </w:t>
      </w:r>
      <w:r>
        <w:t xml:space="preserve">Group </w:t>
      </w:r>
      <w:r w:rsidRPr="005C6717">
        <w:t>Financial Statements of Greencore Group Plc (the 'Group'), which are presented in sterling and expressed in millions</w:t>
      </w:r>
      <w:r>
        <w:t>, unless otherwise indicated</w:t>
      </w:r>
      <w:r w:rsidRPr="005C6717">
        <w:t xml:space="preserve">, have been prepared as at, and for the 26 week period ended </w:t>
      </w:r>
      <w:r w:rsidR="008A4891">
        <w:t>25 March 2022</w:t>
      </w:r>
      <w:r w:rsidRPr="005C6717">
        <w:t xml:space="preserve">, and have been prepared in accordance with </w:t>
      </w:r>
      <w:r w:rsidR="005726F7">
        <w:t xml:space="preserve">the </w:t>
      </w:r>
      <w:r w:rsidR="00316576">
        <w:t xml:space="preserve">Disclosure </w:t>
      </w:r>
      <w:r w:rsidR="00491A42">
        <w:t>G</w:t>
      </w:r>
      <w:r w:rsidR="00316576" w:rsidRPr="00F9496A">
        <w:t xml:space="preserve">uidance and </w:t>
      </w:r>
      <w:r w:rsidRPr="00F55D04">
        <w:t xml:space="preserve">Transparency Rules of the </w:t>
      </w:r>
      <w:r w:rsidR="00614D12" w:rsidRPr="00F55D04">
        <w:t xml:space="preserve">Financial Conduct Authority </w:t>
      </w:r>
      <w:r w:rsidR="00EA0555">
        <w:t>(‘FCA’)</w:t>
      </w:r>
      <w:r w:rsidR="00206E9E">
        <w:t xml:space="preserve"> </w:t>
      </w:r>
      <w:r w:rsidRPr="00F9496A">
        <w:t>and</w:t>
      </w:r>
      <w:r w:rsidRPr="005C6717">
        <w:t xml:space="preserve"> IAS 34 </w:t>
      </w:r>
      <w:r w:rsidRPr="008A2EFB">
        <w:rPr>
          <w:i/>
        </w:rPr>
        <w:t>Interim Financial Reporting</w:t>
      </w:r>
      <w:r w:rsidR="00F9496A">
        <w:t xml:space="preserve"> as adopted by the European Union</w:t>
      </w:r>
      <w:r w:rsidR="005726F7">
        <w:t>.</w:t>
      </w:r>
    </w:p>
    <w:p w14:paraId="1A15E768" w14:textId="0F9C2587" w:rsidR="00773F7B" w:rsidRDefault="00773F7B" w:rsidP="005B3BEE">
      <w:pPr>
        <w:pStyle w:val="Paragraph"/>
        <w:spacing w:before="0" w:after="120"/>
        <w:jc w:val="both"/>
      </w:pPr>
      <w:r w:rsidRPr="005C6717">
        <w:t xml:space="preserve">These Condensed </w:t>
      </w:r>
      <w:r w:rsidR="00665CB5">
        <w:t xml:space="preserve">Group </w:t>
      </w:r>
      <w:r w:rsidRPr="005C6717">
        <w:t>Financial Statements do not comprise statutory accounts within the meaning of Section 3</w:t>
      </w:r>
      <w:r>
        <w:t>40</w:t>
      </w:r>
      <w:r w:rsidRPr="005C6717">
        <w:t xml:space="preserve"> of the Companies Act 2014. The </w:t>
      </w:r>
      <w:r w:rsidR="00314D51">
        <w:t>C</w:t>
      </w:r>
      <w:r w:rsidRPr="005C6717">
        <w:t xml:space="preserve">ondensed </w:t>
      </w:r>
      <w:r>
        <w:t xml:space="preserve">Group </w:t>
      </w:r>
      <w:r w:rsidR="00314D51">
        <w:t>F</w:t>
      </w:r>
      <w:r w:rsidR="00314D51" w:rsidRPr="005C6717">
        <w:t>inancial</w:t>
      </w:r>
      <w:r w:rsidR="00314D51">
        <w:t xml:space="preserve"> Statement</w:t>
      </w:r>
      <w:r w:rsidRPr="005C6717">
        <w:t xml:space="preserve"> for the year ended </w:t>
      </w:r>
      <w:r w:rsidR="00CB6D4E">
        <w:t>24</w:t>
      </w:r>
      <w:r w:rsidRPr="005C6717">
        <w:t xml:space="preserve"> September 20</w:t>
      </w:r>
      <w:r w:rsidR="00614D12">
        <w:t>2</w:t>
      </w:r>
      <w:r w:rsidR="00CB6D4E">
        <w:t>1</w:t>
      </w:r>
      <w:r w:rsidRPr="005C6717">
        <w:t xml:space="preserve"> represents an abbreviated version of the Group Financial Statements for that year. Those financial statements, upon which the auditor issued an unqualified audit report</w:t>
      </w:r>
      <w:r w:rsidR="00831223">
        <w:t xml:space="preserve"> and did not include a reference to any matters to which the auditor drew attention by way of emphasis without qualifying the report</w:t>
      </w:r>
      <w:r w:rsidRPr="005C6717">
        <w:t xml:space="preserve">, have been filed with the Registrar of Companies. </w:t>
      </w:r>
    </w:p>
    <w:p w14:paraId="3A15E5F1" w14:textId="77777777" w:rsidR="00773F7B" w:rsidRPr="008A2EFB" w:rsidRDefault="00773F7B" w:rsidP="00F55D04">
      <w:pPr>
        <w:pStyle w:val="SectionH3"/>
        <w:spacing w:before="120" w:after="0"/>
      </w:pPr>
      <w:r w:rsidRPr="008A2EFB">
        <w:t>Going concern</w:t>
      </w:r>
    </w:p>
    <w:p w14:paraId="752318A7" w14:textId="6D29C85E" w:rsidR="00751644" w:rsidRPr="00702E1E" w:rsidRDefault="00751644" w:rsidP="00F55D04">
      <w:pPr>
        <w:pStyle w:val="Paragraph"/>
        <w:spacing w:before="120"/>
        <w:jc w:val="both"/>
      </w:pPr>
      <w:bookmarkStart w:id="18" w:name="_Hlk40354950"/>
      <w:r w:rsidRPr="00702E1E">
        <w:t>The Directors, after making enquiries, have a reasonable expectation that the Group has adequate resources to continue operating as a going concern for the foreseeable future.</w:t>
      </w:r>
    </w:p>
    <w:p w14:paraId="19FB4159" w14:textId="445C6EB9" w:rsidR="00A77FEC" w:rsidRPr="00A77FEC" w:rsidRDefault="00A77FEC" w:rsidP="00A77FEC">
      <w:pPr>
        <w:pStyle w:val="Paragraph"/>
        <w:spacing w:before="120"/>
        <w:jc w:val="both"/>
      </w:pPr>
      <w:r w:rsidRPr="00A77FEC">
        <w:t>In the current period, the Group’s performance continued to be impacted by COVID-19. This was particularly</w:t>
      </w:r>
      <w:r w:rsidR="00E75614">
        <w:t xml:space="preserve"> evident</w:t>
      </w:r>
      <w:r w:rsidRPr="00A77FEC">
        <w:t xml:space="preserve"> </w:t>
      </w:r>
      <w:r w:rsidR="00E75614">
        <w:t xml:space="preserve">during </w:t>
      </w:r>
      <w:r w:rsidR="00127F34">
        <w:t>the</w:t>
      </w:r>
      <w:r w:rsidRPr="00A77FEC">
        <w:t xml:space="preserve"> winter </w:t>
      </w:r>
      <w:r w:rsidR="00127F34">
        <w:t xml:space="preserve">with </w:t>
      </w:r>
      <w:r w:rsidRPr="00A77FEC">
        <w:t xml:space="preserve">restrictions in place </w:t>
      </w:r>
      <w:r w:rsidR="006D5669">
        <w:t xml:space="preserve">and additional absenteeism through colleagues contracting </w:t>
      </w:r>
      <w:r w:rsidR="00E75614">
        <w:t xml:space="preserve">the </w:t>
      </w:r>
      <w:r w:rsidR="009A4FC6">
        <w:t>O</w:t>
      </w:r>
      <w:r w:rsidR="00E75614">
        <w:t xml:space="preserve">micron </w:t>
      </w:r>
      <w:r w:rsidR="009A4FC6">
        <w:t xml:space="preserve">COVID-19 </w:t>
      </w:r>
      <w:r w:rsidR="00E75614">
        <w:t>variant</w:t>
      </w:r>
      <w:r w:rsidRPr="00A77FEC">
        <w:t xml:space="preserve">. As the UK began to ease restrictions </w:t>
      </w:r>
      <w:r w:rsidR="006D5669">
        <w:t>in Q2 FY22</w:t>
      </w:r>
      <w:r w:rsidRPr="00A77FEC">
        <w:t>, consumer demand has continued to respond positively versus FY21. Although we expect to see continued recovery, the Group continue</w:t>
      </w:r>
      <w:r w:rsidR="006D5669">
        <w:t>s</w:t>
      </w:r>
      <w:r w:rsidRPr="00A77FEC">
        <w:t xml:space="preserve"> to operate in a complex trading environment</w:t>
      </w:r>
      <w:r w:rsidR="006D5669">
        <w:t xml:space="preserve"> linked to ongoing challenges with inflation, disruption within the supply chain and economic factors linked to the ongoing conflict in Ukraine</w:t>
      </w:r>
      <w:r w:rsidRPr="00A77FEC">
        <w:t>. ​</w:t>
      </w:r>
    </w:p>
    <w:p w14:paraId="36ACF430" w14:textId="161BB6BE" w:rsidR="00A77FEC" w:rsidRPr="00A77FEC" w:rsidRDefault="00A77FEC" w:rsidP="00A77FEC">
      <w:pPr>
        <w:pStyle w:val="Paragraph"/>
        <w:spacing w:before="120"/>
        <w:jc w:val="both"/>
      </w:pPr>
      <w:r w:rsidRPr="00A77FEC">
        <w:t xml:space="preserve">Accordingly, the Directors have considered a number of scenarios for the next 18 months </w:t>
      </w:r>
      <w:r w:rsidR="00010482" w:rsidRPr="00785619">
        <w:t xml:space="preserve">from </w:t>
      </w:r>
      <w:r w:rsidR="00010482">
        <w:t>the half year end date</w:t>
      </w:r>
      <w:r w:rsidRPr="00A77FEC">
        <w:t>. These scenarios consider the potential impact of inflation on consumer spending, along with consideration of inflation</w:t>
      </w:r>
      <w:r w:rsidR="00E75614">
        <w:t xml:space="preserve"> under recovery</w:t>
      </w:r>
      <w:r w:rsidR="00785619">
        <w:t xml:space="preserve">, supply chain disruption </w:t>
      </w:r>
      <w:r w:rsidR="006D5669">
        <w:t xml:space="preserve">and </w:t>
      </w:r>
      <w:r w:rsidR="006D5669" w:rsidRPr="00A77FEC">
        <w:t>further restrictions arising from COVID-19</w:t>
      </w:r>
      <w:r w:rsidRPr="00A77FEC">
        <w:t xml:space="preserve">. The impact on revenue, profit and cashflow are modelled, including the consequential impact on working capital. </w:t>
      </w:r>
    </w:p>
    <w:p w14:paraId="15B19FCE" w14:textId="350F0EE0" w:rsidR="00A77FEC" w:rsidRPr="00A77FEC" w:rsidRDefault="00A77FEC" w:rsidP="00A77FEC">
      <w:pPr>
        <w:pStyle w:val="Paragraph"/>
        <w:spacing w:before="120"/>
        <w:jc w:val="both"/>
      </w:pPr>
      <w:r w:rsidRPr="00A77FEC">
        <w:t xml:space="preserve">The Group is satisfied that there is sufficient headroom in the financial covenants under current facilities under each scenario. </w:t>
      </w:r>
    </w:p>
    <w:p w14:paraId="2984F1AA" w14:textId="1DBA7B5F" w:rsidR="006B25B9" w:rsidRDefault="006B25B9" w:rsidP="006B25B9">
      <w:pPr>
        <w:pStyle w:val="Paragraph"/>
        <w:spacing w:before="120"/>
        <w:jc w:val="both"/>
      </w:pPr>
      <w:r>
        <w:t>The scenarios assumed by the Group are as follows:</w:t>
      </w:r>
    </w:p>
    <w:p w14:paraId="6C37CF96" w14:textId="403E5896" w:rsidR="006B25B9" w:rsidRDefault="006B25B9" w:rsidP="006B25B9">
      <w:pPr>
        <w:pStyle w:val="Paragraph"/>
        <w:numPr>
          <w:ilvl w:val="0"/>
          <w:numId w:val="25"/>
        </w:numPr>
        <w:spacing w:before="120"/>
        <w:jc w:val="both"/>
      </w:pPr>
      <w:r>
        <w:lastRenderedPageBreak/>
        <w:t>A base case assuming internally approved forecast and strategic plans</w:t>
      </w:r>
      <w:r w:rsidR="00E75614">
        <w:t>;</w:t>
      </w:r>
      <w:r>
        <w:t xml:space="preserve"> </w:t>
      </w:r>
    </w:p>
    <w:p w14:paraId="34239C9D" w14:textId="0BF79B11" w:rsidR="006B25B9" w:rsidRDefault="006B25B9" w:rsidP="006B25B9">
      <w:pPr>
        <w:pStyle w:val="Paragraph"/>
        <w:numPr>
          <w:ilvl w:val="0"/>
          <w:numId w:val="25"/>
        </w:numPr>
        <w:spacing w:before="120"/>
        <w:jc w:val="both"/>
      </w:pPr>
      <w:r>
        <w:t xml:space="preserve">A downside scenario which assesses the potential impact of inflation on consumer spending and corresponding impact on revenue with a 5% reduction in total sales, along with inflation </w:t>
      </w:r>
      <w:r w:rsidR="008232A1">
        <w:t xml:space="preserve">under recovery of </w:t>
      </w:r>
      <w:r>
        <w:t>15%, supply chain disruption and further restrictions arising from COVID-19; and</w:t>
      </w:r>
    </w:p>
    <w:p w14:paraId="381F4BF9" w14:textId="7AA2998C" w:rsidR="008232A1" w:rsidRDefault="006B25B9" w:rsidP="006B25B9">
      <w:pPr>
        <w:pStyle w:val="Paragraph"/>
        <w:numPr>
          <w:ilvl w:val="0"/>
          <w:numId w:val="25"/>
        </w:numPr>
        <w:spacing w:before="120"/>
        <w:jc w:val="both"/>
      </w:pPr>
      <w:r>
        <w:t xml:space="preserve">A severe downside scenario which </w:t>
      </w:r>
      <w:r w:rsidR="008232A1">
        <w:t xml:space="preserve">includes </w:t>
      </w:r>
      <w:r>
        <w:t xml:space="preserve">the further impact of inflation under recovery by </w:t>
      </w:r>
      <w:r w:rsidR="008232A1">
        <w:t>25%</w:t>
      </w:r>
      <w:r>
        <w:t xml:space="preserve">, along with a further reduction in sales by 12.5% to reflect the impact of supply chain </w:t>
      </w:r>
      <w:r w:rsidR="008232A1">
        <w:t xml:space="preserve">disruption </w:t>
      </w:r>
      <w:r>
        <w:t>and further labour challenges</w:t>
      </w:r>
      <w:r w:rsidR="00B8267F">
        <w:t>.</w:t>
      </w:r>
    </w:p>
    <w:p w14:paraId="553BF4E5" w14:textId="57049A44" w:rsidR="006B25B9" w:rsidRDefault="008232A1" w:rsidP="00CA1AE6">
      <w:pPr>
        <w:pStyle w:val="Paragraph"/>
        <w:spacing w:before="120"/>
        <w:jc w:val="both"/>
      </w:pPr>
      <w:r>
        <w:t xml:space="preserve">In each scenario, the Group would </w:t>
      </w:r>
      <w:r w:rsidR="006B25B9">
        <w:t xml:space="preserve">employ mitigants within </w:t>
      </w:r>
      <w:r>
        <w:t xml:space="preserve">its </w:t>
      </w:r>
      <w:r w:rsidR="006B25B9">
        <w:t>control</w:t>
      </w:r>
      <w:r>
        <w:t>,</w:t>
      </w:r>
      <w:r w:rsidR="006B25B9">
        <w:t xml:space="preserve"> which would include a reduction in non-business critical capital projects and other discretionary cash flow items</w:t>
      </w:r>
      <w:r w:rsidR="00B8267F">
        <w:t>.</w:t>
      </w:r>
    </w:p>
    <w:p w14:paraId="72AE87CD" w14:textId="669F0E60" w:rsidR="00785619" w:rsidRPr="00785619" w:rsidRDefault="00785619" w:rsidP="00785619">
      <w:pPr>
        <w:pStyle w:val="Paragraph"/>
        <w:spacing w:before="120"/>
        <w:jc w:val="both"/>
      </w:pPr>
      <w:r w:rsidRPr="00785619">
        <w:t>The Group retained financial strength and flexibility at H1 FY22, with cash and undrawn committed bank facilities of £349.5m at 25 March 2022 (March 2021: £3</w:t>
      </w:r>
      <w:r w:rsidR="009A4FC6">
        <w:t>02.0</w:t>
      </w:r>
      <w:r w:rsidRPr="00785619">
        <w:t xml:space="preserve">m). </w:t>
      </w:r>
    </w:p>
    <w:p w14:paraId="2B207706" w14:textId="7EF75363" w:rsidR="00785619" w:rsidRPr="00702E1E" w:rsidRDefault="00785619">
      <w:pPr>
        <w:pStyle w:val="Paragraph"/>
        <w:spacing w:before="120"/>
        <w:jc w:val="both"/>
      </w:pPr>
      <w:r w:rsidRPr="00785619">
        <w:t xml:space="preserve">Based on these scenarios and the resources available to the Group, the directors believe the Group has sufficient liquidity to manage through a range of different cashflow scenarios over the next 18 months from </w:t>
      </w:r>
      <w:r w:rsidR="00EB1DB6">
        <w:t>the half year end date</w:t>
      </w:r>
      <w:r w:rsidRPr="00785619">
        <w:t xml:space="preserve">. If the Group were not to achieve these scenarios, the Group </w:t>
      </w:r>
      <w:r w:rsidR="00B8267F">
        <w:t>w</w:t>
      </w:r>
      <w:r w:rsidR="00B8267F" w:rsidRPr="00785619">
        <w:t xml:space="preserve">ould </w:t>
      </w:r>
      <w:r w:rsidRPr="00785619">
        <w:t>consider further engagement with lenders. Accordingly, the directors adopt the going concern basis in preparing the</w:t>
      </w:r>
      <w:r>
        <w:t>se</w:t>
      </w:r>
      <w:r w:rsidRPr="00785619">
        <w:t xml:space="preserve"> </w:t>
      </w:r>
      <w:r>
        <w:t xml:space="preserve">Condensed Group </w:t>
      </w:r>
      <w:r w:rsidRPr="00785619">
        <w:t>Financial Statements.</w:t>
      </w:r>
    </w:p>
    <w:p w14:paraId="1132BEDA" w14:textId="391492FF" w:rsidR="00B64BF0" w:rsidRPr="00AC1A57" w:rsidRDefault="00B64BF0" w:rsidP="00F55D04">
      <w:pPr>
        <w:pStyle w:val="Paragraph"/>
        <w:spacing w:before="120"/>
        <w:jc w:val="both"/>
        <w:rPr>
          <w:b/>
        </w:rPr>
      </w:pPr>
      <w:bookmarkStart w:id="19" w:name="_Hlk6238540"/>
      <w:bookmarkEnd w:id="18"/>
      <w:r w:rsidRPr="00751644">
        <w:rPr>
          <w:b/>
        </w:rPr>
        <w:t>Accounting Policies</w:t>
      </w:r>
      <w:r w:rsidRPr="00AC1A57">
        <w:rPr>
          <w:b/>
        </w:rPr>
        <w:t xml:space="preserve"> </w:t>
      </w:r>
    </w:p>
    <w:p w14:paraId="62D066D8" w14:textId="477F35ED" w:rsidR="00B64BF0" w:rsidRDefault="00B64BF0" w:rsidP="00F55D04">
      <w:pPr>
        <w:pStyle w:val="Paragraph"/>
        <w:spacing w:before="120"/>
        <w:jc w:val="both"/>
      </w:pPr>
      <w:r w:rsidRPr="008A2EFB">
        <w:t>The accounting policies and methods of computation adopted in the preparation of the Condensed</w:t>
      </w:r>
      <w:r>
        <w:t xml:space="preserve"> Group</w:t>
      </w:r>
      <w:r w:rsidRPr="008A2EFB">
        <w:t xml:space="preserve"> Financial Statements are consistent with those applied in the Annual Report for the financial year ended 2</w:t>
      </w:r>
      <w:r w:rsidR="00CB6D4E">
        <w:t>4</w:t>
      </w:r>
      <w:r w:rsidRPr="008A2EFB">
        <w:t xml:space="preserve"> September 20</w:t>
      </w:r>
      <w:r>
        <w:t>2</w:t>
      </w:r>
      <w:r w:rsidR="00CB6D4E">
        <w:t>1</w:t>
      </w:r>
      <w:r w:rsidRPr="008A2EFB">
        <w:t xml:space="preserve"> and are as set out in those financial statements. </w:t>
      </w:r>
    </w:p>
    <w:p w14:paraId="76449D23" w14:textId="6CFD7048" w:rsidR="003758BE" w:rsidRDefault="003758BE" w:rsidP="00F55D04">
      <w:pPr>
        <w:pStyle w:val="Paragraph"/>
        <w:spacing w:before="120"/>
        <w:jc w:val="both"/>
      </w:pPr>
      <w:r>
        <w:t>The following amendments to IFRS became effective during the period but did not result in material changes to the Condensed Group Financial Statements</w:t>
      </w:r>
      <w:r w:rsidR="007364E9">
        <w:t>:</w:t>
      </w:r>
    </w:p>
    <w:p w14:paraId="41D2B09E" w14:textId="77777777" w:rsidR="00EF3985" w:rsidRDefault="00EF3985" w:rsidP="006B25B9">
      <w:pPr>
        <w:pStyle w:val="Paragraph"/>
        <w:numPr>
          <w:ilvl w:val="0"/>
          <w:numId w:val="23"/>
        </w:numPr>
        <w:spacing w:before="120"/>
        <w:jc w:val="both"/>
      </w:pPr>
      <w:r>
        <w:t>Interest Rate Benchmark Reform – Phase 2 (amendments to IFRS 9, IAS 39, IFRS 7, IFRS 4 and IAS 16)</w:t>
      </w:r>
    </w:p>
    <w:p w14:paraId="51C97A0F" w14:textId="640D7119" w:rsidR="00EF3985" w:rsidRDefault="00EF3985">
      <w:pPr>
        <w:pStyle w:val="Paragraph"/>
        <w:spacing w:before="120"/>
        <w:jc w:val="both"/>
      </w:pPr>
      <w:r>
        <w:t>The Group has not yet applied certain new standards, amendments and interpretations to existing standards that have been issued but are not yet effective. They are either not expected to have a material impact on the Condensed Group Financial Statements or they are currently not relevant for the Group.</w:t>
      </w:r>
    </w:p>
    <w:p w14:paraId="70064867" w14:textId="7B0CD7BE" w:rsidR="00773F7B" w:rsidRPr="00BE1908" w:rsidRDefault="00773F7B" w:rsidP="00F55D04">
      <w:pPr>
        <w:pStyle w:val="SectionH3"/>
        <w:spacing w:before="120" w:after="0"/>
      </w:pPr>
      <w:r w:rsidRPr="00BE1908">
        <w:t xml:space="preserve">Critical Accounting Estimates and Judgements </w:t>
      </w:r>
    </w:p>
    <w:p w14:paraId="3C1492C0" w14:textId="67CF4179" w:rsidR="00773F7B" w:rsidRDefault="00773F7B" w:rsidP="00F55D04">
      <w:pPr>
        <w:pStyle w:val="Paragraph"/>
        <w:spacing w:before="120"/>
        <w:jc w:val="both"/>
      </w:pPr>
      <w:r>
        <w:t xml:space="preserve">The preparation of the Condensed </w:t>
      </w:r>
      <w:r w:rsidR="00665CB5">
        <w:t xml:space="preserve">Group </w:t>
      </w:r>
      <w:r>
        <w:t xml:space="preserve">Financial Statements requires management to make certain estimates, assumptions and judgements that affect the application of accounting policies and the reported amount of assets, liabilities, income and expenses. Changes in accounting estimates may be necessary if there </w:t>
      </w:r>
      <w:r w:rsidRPr="001D0FD3">
        <w:t>are changes in circumstances on which the estimate was based or as a result of new information or more experience. Such changes are reflected in the period in which the estimate was revised.</w:t>
      </w:r>
      <w:r w:rsidR="003176F7">
        <w:t xml:space="preserve"> Estimates, underlying assumptions and judgements are reviewed on an ongoing basis. </w:t>
      </w:r>
    </w:p>
    <w:bookmarkEnd w:id="19"/>
    <w:p w14:paraId="0408CCFF" w14:textId="77777777" w:rsidR="00B64BF0" w:rsidRDefault="00B64BF0" w:rsidP="005B3BEE">
      <w:pPr>
        <w:pStyle w:val="Paragraph"/>
        <w:spacing w:before="0" w:after="120"/>
        <w:jc w:val="both"/>
      </w:pPr>
    </w:p>
    <w:p w14:paraId="60AD0570" w14:textId="2C80A427" w:rsidR="00773F7B" w:rsidRPr="005B3BEE" w:rsidRDefault="00561B0F" w:rsidP="005B3BEE">
      <w:pPr>
        <w:rPr>
          <w:rFonts w:ascii="Calibri" w:eastAsia="Calibri" w:hAnsi="Calibri" w:cs="Arial"/>
          <w:bCs/>
          <w:lang w:val="en-US" w:eastAsia="en-GB" w:bidi="en-GB"/>
        </w:rPr>
      </w:pPr>
      <w:bookmarkStart w:id="20" w:name="_Hlk6238593"/>
      <w:r>
        <w:rPr>
          <w:rFonts w:ascii="Calibri" w:eastAsia="Calibri" w:hAnsi="Calibri" w:cs="Arial"/>
          <w:b/>
          <w:bCs/>
          <w:sz w:val="18"/>
          <w:szCs w:val="18"/>
          <w:lang w:val="en-US" w:eastAsia="en-GB" w:bidi="en-GB"/>
        </w:rPr>
        <w:t>2</w:t>
      </w:r>
      <w:r w:rsidR="00773F7B" w:rsidRPr="005B3BEE">
        <w:rPr>
          <w:rFonts w:ascii="Calibri" w:eastAsia="Calibri" w:hAnsi="Calibri" w:cs="Arial"/>
          <w:b/>
          <w:bCs/>
          <w:sz w:val="18"/>
          <w:szCs w:val="18"/>
          <w:lang w:val="en-US" w:eastAsia="en-GB" w:bidi="en-GB"/>
        </w:rPr>
        <w:t>.</w:t>
      </w:r>
      <w:r w:rsidR="002F1ED7">
        <w:rPr>
          <w:rFonts w:ascii="Calibri" w:eastAsia="Calibri" w:hAnsi="Calibri" w:cs="Arial"/>
          <w:b/>
          <w:bCs/>
          <w:sz w:val="18"/>
          <w:szCs w:val="18"/>
          <w:lang w:val="en-US" w:eastAsia="en-GB" w:bidi="en-GB"/>
        </w:rPr>
        <w:tab/>
      </w:r>
      <w:r w:rsidR="00773F7B" w:rsidRPr="005B3BEE">
        <w:rPr>
          <w:rFonts w:ascii="Calibri" w:eastAsia="Calibri" w:hAnsi="Calibri" w:cs="Arial"/>
          <w:b/>
          <w:bCs/>
          <w:sz w:val="18"/>
          <w:szCs w:val="18"/>
          <w:lang w:val="en-US" w:eastAsia="en-GB" w:bidi="en-GB"/>
        </w:rPr>
        <w:t>Segment Information</w:t>
      </w:r>
    </w:p>
    <w:bookmarkEnd w:id="20"/>
    <w:p w14:paraId="2E8D3058" w14:textId="0AC496B9" w:rsidR="00986298" w:rsidRPr="005B3BEE" w:rsidRDefault="00773F7B" w:rsidP="008D3386">
      <w:pPr>
        <w:pStyle w:val="Paragraph"/>
        <w:spacing w:before="0" w:after="120"/>
        <w:jc w:val="both"/>
        <w:rPr>
          <w:rFonts w:ascii="Calibri" w:eastAsia="Calibri" w:hAnsi="Calibri" w:cs="Arial"/>
          <w:bCs/>
          <w:lang w:val="en-US" w:eastAsia="en-GB" w:bidi="en-GB"/>
        </w:rPr>
      </w:pPr>
      <w:r w:rsidRPr="00C93535">
        <w:t xml:space="preserve">Convenience Foods UK </w:t>
      </w:r>
      <w:r w:rsidR="007F03ED">
        <w:t>and</w:t>
      </w:r>
      <w:r w:rsidRPr="00C93535">
        <w:t xml:space="preserve"> Ireland is the Group’s operating segment, which represents its reporting segment.</w:t>
      </w:r>
      <w:r>
        <w:t xml:space="preserve"> This</w:t>
      </w:r>
      <w:r w:rsidRPr="00C93535">
        <w:t xml:space="preserve"> </w:t>
      </w:r>
      <w:r w:rsidRPr="00E81D2F">
        <w:t>reflect</w:t>
      </w:r>
      <w:r>
        <w:t>s</w:t>
      </w:r>
      <w:r w:rsidRPr="00E81D2F">
        <w:t xml:space="preserve"> the Group’s organisational structure and the nature of the financial information reported to and assessed by the Chief Operati</w:t>
      </w:r>
      <w:r>
        <w:t>ng</w:t>
      </w:r>
      <w:r w:rsidRPr="00E81D2F">
        <w:t xml:space="preserve"> Decision Maker (‘CODM’) as defined by IFRS 8 </w:t>
      </w:r>
      <w:r w:rsidRPr="005C7C70">
        <w:rPr>
          <w:i/>
        </w:rPr>
        <w:t>Operating Segments</w:t>
      </w:r>
      <w:r w:rsidRPr="00E81D2F">
        <w:t xml:space="preserve">. </w:t>
      </w:r>
      <w:r w:rsidRPr="0062389F">
        <w:t xml:space="preserve">The CODM has been identified as the Group’s </w:t>
      </w:r>
      <w:r w:rsidR="00E3237F">
        <w:t xml:space="preserve">Executive Chair, </w:t>
      </w:r>
      <w:r w:rsidR="00154C8A" w:rsidRPr="00E3237F">
        <w:t>Deputy</w:t>
      </w:r>
      <w:r w:rsidR="00E3237F">
        <w:t xml:space="preserve"> </w:t>
      </w:r>
      <w:r w:rsidRPr="0062389F">
        <w:t>Chief Executive Officer</w:t>
      </w:r>
      <w:r w:rsidR="008D3386">
        <w:t xml:space="preserve"> and Chief Financial Officer</w:t>
      </w:r>
      <w:r w:rsidRPr="0062389F">
        <w:t xml:space="preserve">. </w:t>
      </w:r>
      <w:r w:rsidRPr="00386903">
        <w:t xml:space="preserve">The segment incorporates many UK convenience food categories </w:t>
      </w:r>
      <w:r>
        <w:t>i</w:t>
      </w:r>
      <w:r w:rsidRPr="00386903">
        <w:t>ncluding sandwiches, salads, sushi, chilled snacking, chilled ready meals, chilled soups and sauces, chilled quiche, ambient sauces and pickles and frozen Yorkshire Puddings as well as the Iris</w:t>
      </w:r>
      <w:r w:rsidR="00911786">
        <w:t>h ingredients trading business</w:t>
      </w:r>
      <w:r w:rsidRPr="00386903">
        <w:t>.</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1841"/>
        <w:gridCol w:w="992"/>
      </w:tblGrid>
      <w:tr w:rsidR="00773F7B" w14:paraId="27066FC4" w14:textId="77777777" w:rsidTr="00880B4A">
        <w:trPr>
          <w:jc w:val="center"/>
        </w:trPr>
        <w:tc>
          <w:tcPr>
            <w:tcW w:w="6946" w:type="dxa"/>
          </w:tcPr>
          <w:p w14:paraId="7984650D" w14:textId="77777777" w:rsidR="00773F7B" w:rsidRDefault="00773F7B" w:rsidP="00773F7B">
            <w:pPr>
              <w:pStyle w:val="T2"/>
            </w:pPr>
          </w:p>
        </w:tc>
        <w:tc>
          <w:tcPr>
            <w:tcW w:w="2833" w:type="dxa"/>
            <w:gridSpan w:val="2"/>
            <w:vAlign w:val="bottom"/>
          </w:tcPr>
          <w:p w14:paraId="67258FB1" w14:textId="35F8CB49" w:rsidR="00773F7B" w:rsidRPr="00424769" w:rsidRDefault="00773F7B" w:rsidP="00773F7B">
            <w:pPr>
              <w:pStyle w:val="T2"/>
              <w:rPr>
                <w:b/>
              </w:rPr>
            </w:pPr>
            <w:r w:rsidRPr="00424769">
              <w:rPr>
                <w:b/>
              </w:rPr>
              <w:t>Convenience Foods</w:t>
            </w:r>
            <w:r w:rsidR="00880B4A">
              <w:rPr>
                <w:b/>
              </w:rPr>
              <w:t xml:space="preserve"> </w:t>
            </w:r>
            <w:r w:rsidRPr="00424769">
              <w:rPr>
                <w:b/>
              </w:rPr>
              <w:t xml:space="preserve">UK </w:t>
            </w:r>
            <w:r w:rsidR="007F03ED">
              <w:rPr>
                <w:b/>
              </w:rPr>
              <w:t>and</w:t>
            </w:r>
            <w:r w:rsidRPr="00424769">
              <w:rPr>
                <w:b/>
              </w:rPr>
              <w:t xml:space="preserve"> Ireland</w:t>
            </w:r>
          </w:p>
        </w:tc>
      </w:tr>
      <w:tr w:rsidR="00773F7B" w14:paraId="42730A32" w14:textId="77777777" w:rsidTr="00880B4A">
        <w:trPr>
          <w:jc w:val="center"/>
        </w:trPr>
        <w:tc>
          <w:tcPr>
            <w:tcW w:w="6946" w:type="dxa"/>
          </w:tcPr>
          <w:p w14:paraId="3CFA6C59" w14:textId="77777777" w:rsidR="00773F7B" w:rsidRDefault="00773F7B" w:rsidP="00773F7B">
            <w:pPr>
              <w:pStyle w:val="T2"/>
            </w:pPr>
          </w:p>
        </w:tc>
        <w:tc>
          <w:tcPr>
            <w:tcW w:w="1841" w:type="dxa"/>
            <w:vAlign w:val="bottom"/>
          </w:tcPr>
          <w:p w14:paraId="132F9161" w14:textId="77777777" w:rsidR="00880B4A" w:rsidRDefault="00773F7B" w:rsidP="004F400F">
            <w:pPr>
              <w:pStyle w:val="T2"/>
              <w:jc w:val="right"/>
              <w:rPr>
                <w:b/>
              </w:rPr>
            </w:pPr>
            <w:r w:rsidRPr="00424769">
              <w:rPr>
                <w:b/>
              </w:rPr>
              <w:t xml:space="preserve">Half year </w:t>
            </w:r>
          </w:p>
          <w:p w14:paraId="6E1B6A5F" w14:textId="0CCC42E9" w:rsidR="00773F7B" w:rsidRPr="00424769" w:rsidRDefault="008A4891" w:rsidP="004F400F">
            <w:pPr>
              <w:pStyle w:val="T2"/>
              <w:jc w:val="right"/>
              <w:rPr>
                <w:b/>
              </w:rPr>
            </w:pPr>
            <w:r>
              <w:rPr>
                <w:b/>
              </w:rPr>
              <w:t>2022</w:t>
            </w:r>
          </w:p>
        </w:tc>
        <w:tc>
          <w:tcPr>
            <w:tcW w:w="992" w:type="dxa"/>
            <w:vAlign w:val="bottom"/>
          </w:tcPr>
          <w:p w14:paraId="2CCCA8C3" w14:textId="4C1B6E8D" w:rsidR="00773F7B" w:rsidRDefault="008A4891" w:rsidP="004F400F">
            <w:pPr>
              <w:pStyle w:val="T2"/>
              <w:jc w:val="right"/>
            </w:pPr>
            <w:r>
              <w:t>Half year 2021</w:t>
            </w:r>
          </w:p>
        </w:tc>
      </w:tr>
      <w:tr w:rsidR="00773F7B" w14:paraId="7A900392" w14:textId="77777777" w:rsidTr="00880B4A">
        <w:trPr>
          <w:jc w:val="center"/>
        </w:trPr>
        <w:tc>
          <w:tcPr>
            <w:tcW w:w="6946" w:type="dxa"/>
            <w:tcBorders>
              <w:bottom w:val="single" w:sz="2" w:space="0" w:color="auto"/>
            </w:tcBorders>
          </w:tcPr>
          <w:p w14:paraId="525AF355" w14:textId="77777777" w:rsidR="00773F7B" w:rsidRDefault="00773F7B" w:rsidP="00773F7B">
            <w:pPr>
              <w:pStyle w:val="T2"/>
            </w:pPr>
          </w:p>
        </w:tc>
        <w:tc>
          <w:tcPr>
            <w:tcW w:w="1841" w:type="dxa"/>
            <w:tcBorders>
              <w:bottom w:val="single" w:sz="2" w:space="0" w:color="auto"/>
            </w:tcBorders>
            <w:vAlign w:val="bottom"/>
          </w:tcPr>
          <w:p w14:paraId="0635F58D" w14:textId="77777777" w:rsidR="00773F7B" w:rsidRPr="0073636E" w:rsidRDefault="00773F7B" w:rsidP="00773F7B">
            <w:pPr>
              <w:pStyle w:val="T2"/>
              <w:jc w:val="right"/>
              <w:rPr>
                <w:b/>
              </w:rPr>
            </w:pPr>
            <w:r w:rsidRPr="0073636E">
              <w:rPr>
                <w:b/>
              </w:rPr>
              <w:t>£m</w:t>
            </w:r>
          </w:p>
        </w:tc>
        <w:tc>
          <w:tcPr>
            <w:tcW w:w="992" w:type="dxa"/>
            <w:tcBorders>
              <w:bottom w:val="single" w:sz="2" w:space="0" w:color="auto"/>
            </w:tcBorders>
            <w:vAlign w:val="bottom"/>
          </w:tcPr>
          <w:p w14:paraId="5F19C463" w14:textId="77777777" w:rsidR="00773F7B" w:rsidRDefault="00773F7B" w:rsidP="00773F7B">
            <w:pPr>
              <w:pStyle w:val="T2"/>
              <w:jc w:val="right"/>
            </w:pPr>
            <w:r w:rsidRPr="0073636E">
              <w:t>£m</w:t>
            </w:r>
          </w:p>
        </w:tc>
      </w:tr>
      <w:tr w:rsidR="007F03ED" w14:paraId="1C26CB32" w14:textId="77777777" w:rsidTr="00880B4A">
        <w:trPr>
          <w:jc w:val="center"/>
        </w:trPr>
        <w:tc>
          <w:tcPr>
            <w:tcW w:w="6946" w:type="dxa"/>
            <w:tcBorders>
              <w:top w:val="single" w:sz="2" w:space="0" w:color="auto"/>
              <w:bottom w:val="single" w:sz="2" w:space="0" w:color="auto"/>
            </w:tcBorders>
            <w:vAlign w:val="bottom"/>
          </w:tcPr>
          <w:p w14:paraId="01E5F0AE" w14:textId="77777777" w:rsidR="007F03ED" w:rsidRPr="00484E13" w:rsidRDefault="007F03ED" w:rsidP="007F03ED">
            <w:pPr>
              <w:pStyle w:val="T2"/>
              <w:jc w:val="left"/>
              <w:rPr>
                <w:b/>
              </w:rPr>
            </w:pPr>
            <w:r w:rsidRPr="00484E13">
              <w:rPr>
                <w:b/>
              </w:rPr>
              <w:t>Revenue</w:t>
            </w:r>
          </w:p>
        </w:tc>
        <w:tc>
          <w:tcPr>
            <w:tcW w:w="1841" w:type="dxa"/>
            <w:tcBorders>
              <w:top w:val="single" w:sz="2" w:space="0" w:color="auto"/>
              <w:bottom w:val="single" w:sz="2" w:space="0" w:color="auto"/>
            </w:tcBorders>
          </w:tcPr>
          <w:p w14:paraId="6D4EE168" w14:textId="674D2CF8" w:rsidR="007F03ED" w:rsidRPr="00C025A7" w:rsidRDefault="004E2045" w:rsidP="007F03ED">
            <w:pPr>
              <w:pStyle w:val="T2"/>
              <w:jc w:val="right"/>
              <w:rPr>
                <w:rFonts w:cs="Calibri"/>
                <w:b/>
                <w:color w:val="000000"/>
              </w:rPr>
            </w:pPr>
            <w:r>
              <w:rPr>
                <w:b/>
              </w:rPr>
              <w:t>770.8</w:t>
            </w:r>
          </w:p>
        </w:tc>
        <w:tc>
          <w:tcPr>
            <w:tcW w:w="992" w:type="dxa"/>
            <w:tcBorders>
              <w:top w:val="single" w:sz="2" w:space="0" w:color="auto"/>
              <w:bottom w:val="single" w:sz="2" w:space="0" w:color="auto"/>
            </w:tcBorders>
          </w:tcPr>
          <w:p w14:paraId="062A3458" w14:textId="3434632C" w:rsidR="007F03ED" w:rsidRPr="007F03ED" w:rsidRDefault="007F03ED" w:rsidP="007F03ED">
            <w:pPr>
              <w:pStyle w:val="T2"/>
              <w:jc w:val="right"/>
              <w:rPr>
                <w:rFonts w:cstheme="minorHAnsi"/>
                <w:bCs/>
                <w:color w:val="000000"/>
              </w:rPr>
            </w:pPr>
            <w:r w:rsidRPr="007F03ED">
              <w:rPr>
                <w:rFonts w:cstheme="minorHAnsi"/>
                <w:bCs/>
                <w:color w:val="000000"/>
              </w:rPr>
              <w:t>577.1</w:t>
            </w:r>
          </w:p>
        </w:tc>
      </w:tr>
      <w:tr w:rsidR="007F03ED" w14:paraId="58E61137" w14:textId="77777777" w:rsidTr="00880B4A">
        <w:trPr>
          <w:trHeight w:val="52"/>
          <w:jc w:val="center"/>
        </w:trPr>
        <w:tc>
          <w:tcPr>
            <w:tcW w:w="6946" w:type="dxa"/>
            <w:tcBorders>
              <w:top w:val="single" w:sz="2" w:space="0" w:color="auto"/>
            </w:tcBorders>
            <w:vAlign w:val="bottom"/>
          </w:tcPr>
          <w:p w14:paraId="174DEB9F" w14:textId="77777777" w:rsidR="007F03ED" w:rsidRDefault="007F03ED" w:rsidP="007F03ED">
            <w:pPr>
              <w:pStyle w:val="T2"/>
              <w:jc w:val="left"/>
            </w:pPr>
            <w:r w:rsidRPr="00484E13">
              <w:rPr>
                <w:b/>
              </w:rPr>
              <w:t xml:space="preserve">Group operating profit before acquisition related </w:t>
            </w:r>
            <w:r>
              <w:rPr>
                <w:b/>
              </w:rPr>
              <w:t xml:space="preserve">amortisation and </w:t>
            </w:r>
            <w:r w:rsidRPr="00484E13">
              <w:rPr>
                <w:b/>
              </w:rPr>
              <w:t xml:space="preserve">exceptional items </w:t>
            </w:r>
          </w:p>
        </w:tc>
        <w:tc>
          <w:tcPr>
            <w:tcW w:w="1841" w:type="dxa"/>
            <w:tcBorders>
              <w:top w:val="single" w:sz="2" w:space="0" w:color="auto"/>
            </w:tcBorders>
          </w:tcPr>
          <w:p w14:paraId="2354FDEB" w14:textId="46EA6256" w:rsidR="007F03ED" w:rsidRPr="00C025A7" w:rsidRDefault="004E2045" w:rsidP="007F03ED">
            <w:pPr>
              <w:pStyle w:val="T2"/>
              <w:jc w:val="right"/>
              <w:rPr>
                <w:b/>
              </w:rPr>
            </w:pPr>
            <w:r>
              <w:rPr>
                <w:b/>
              </w:rPr>
              <w:t>17.2</w:t>
            </w:r>
          </w:p>
        </w:tc>
        <w:tc>
          <w:tcPr>
            <w:tcW w:w="992" w:type="dxa"/>
            <w:tcBorders>
              <w:top w:val="single" w:sz="2" w:space="0" w:color="auto"/>
            </w:tcBorders>
            <w:vAlign w:val="bottom"/>
          </w:tcPr>
          <w:p w14:paraId="0E9DDAF8" w14:textId="5B2FB8D7" w:rsidR="007F03ED" w:rsidRPr="007F03ED" w:rsidRDefault="007F03ED" w:rsidP="007F03ED">
            <w:pPr>
              <w:pStyle w:val="T2"/>
              <w:jc w:val="right"/>
              <w:rPr>
                <w:rFonts w:cstheme="minorHAnsi"/>
                <w:bCs/>
              </w:rPr>
            </w:pPr>
            <w:r w:rsidRPr="007F03ED">
              <w:rPr>
                <w:rFonts w:cstheme="minorHAnsi"/>
                <w:bCs/>
              </w:rPr>
              <w:t>0.2</w:t>
            </w:r>
          </w:p>
        </w:tc>
      </w:tr>
      <w:tr w:rsidR="007F03ED" w14:paraId="417D4529" w14:textId="77777777" w:rsidTr="00880B4A">
        <w:trPr>
          <w:jc w:val="center"/>
        </w:trPr>
        <w:tc>
          <w:tcPr>
            <w:tcW w:w="6946" w:type="dxa"/>
            <w:tcBorders>
              <w:bottom w:val="single" w:sz="2" w:space="0" w:color="auto"/>
            </w:tcBorders>
            <w:vAlign w:val="bottom"/>
          </w:tcPr>
          <w:p w14:paraId="0D2F62DF" w14:textId="77777777" w:rsidR="007F03ED" w:rsidRDefault="007F03ED" w:rsidP="007F03ED">
            <w:pPr>
              <w:pStyle w:val="T2"/>
              <w:jc w:val="left"/>
            </w:pPr>
            <w:r w:rsidRPr="0068425A">
              <w:t>Amortisation of acquisition related intangible assets</w:t>
            </w:r>
          </w:p>
        </w:tc>
        <w:tc>
          <w:tcPr>
            <w:tcW w:w="1841" w:type="dxa"/>
            <w:tcBorders>
              <w:bottom w:val="single" w:sz="2" w:space="0" w:color="auto"/>
            </w:tcBorders>
          </w:tcPr>
          <w:p w14:paraId="6DF0AA19" w14:textId="375B25DF" w:rsidR="007F03ED" w:rsidRPr="00C025A7" w:rsidRDefault="004E2045" w:rsidP="007F03ED">
            <w:pPr>
              <w:pStyle w:val="T2"/>
              <w:jc w:val="right"/>
              <w:rPr>
                <w:rFonts w:cs="Calibri"/>
                <w:b/>
                <w:color w:val="000000"/>
              </w:rPr>
            </w:pPr>
            <w:r>
              <w:rPr>
                <w:b/>
              </w:rPr>
              <w:t>(2.0)</w:t>
            </w:r>
          </w:p>
        </w:tc>
        <w:tc>
          <w:tcPr>
            <w:tcW w:w="992" w:type="dxa"/>
            <w:tcBorders>
              <w:bottom w:val="single" w:sz="2" w:space="0" w:color="auto"/>
            </w:tcBorders>
          </w:tcPr>
          <w:p w14:paraId="44BA7DEA" w14:textId="48CCDEE9" w:rsidR="007F03ED" w:rsidRPr="007F03ED" w:rsidRDefault="007F03ED" w:rsidP="007F03ED">
            <w:pPr>
              <w:jc w:val="right"/>
              <w:rPr>
                <w:rFonts w:cstheme="minorHAnsi"/>
                <w:bCs/>
                <w:color w:val="000000"/>
                <w:sz w:val="18"/>
                <w:szCs w:val="18"/>
              </w:rPr>
            </w:pPr>
            <w:r w:rsidRPr="007F03ED">
              <w:rPr>
                <w:rFonts w:cstheme="minorHAnsi"/>
                <w:bCs/>
                <w:color w:val="000000"/>
                <w:sz w:val="18"/>
                <w:szCs w:val="18"/>
              </w:rPr>
              <w:t>(2.0)</w:t>
            </w:r>
          </w:p>
        </w:tc>
      </w:tr>
      <w:tr w:rsidR="007F03ED" w14:paraId="30E00D68" w14:textId="77777777" w:rsidTr="00880B4A">
        <w:trPr>
          <w:jc w:val="center"/>
        </w:trPr>
        <w:tc>
          <w:tcPr>
            <w:tcW w:w="6946" w:type="dxa"/>
            <w:tcBorders>
              <w:top w:val="single" w:sz="2" w:space="0" w:color="auto"/>
            </w:tcBorders>
            <w:vAlign w:val="center"/>
          </w:tcPr>
          <w:p w14:paraId="7DD316D9" w14:textId="3FD827F3" w:rsidR="007F03ED" w:rsidRPr="002A2B15" w:rsidRDefault="007F03ED" w:rsidP="007F03ED">
            <w:pPr>
              <w:pStyle w:val="T2"/>
              <w:jc w:val="left"/>
              <w:rPr>
                <w:b/>
              </w:rPr>
            </w:pPr>
            <w:r w:rsidRPr="002A2B15">
              <w:rPr>
                <w:b/>
              </w:rPr>
              <w:t>Group operating profit</w:t>
            </w:r>
            <w:r>
              <w:rPr>
                <w:b/>
              </w:rPr>
              <w:t>/(loss)</w:t>
            </w:r>
            <w:r w:rsidRPr="002A2B15">
              <w:rPr>
                <w:b/>
              </w:rPr>
              <w:t xml:space="preserve"> (pre-exceptional)</w:t>
            </w:r>
          </w:p>
        </w:tc>
        <w:tc>
          <w:tcPr>
            <w:tcW w:w="1841" w:type="dxa"/>
            <w:tcBorders>
              <w:top w:val="single" w:sz="2" w:space="0" w:color="auto"/>
            </w:tcBorders>
          </w:tcPr>
          <w:p w14:paraId="262084AF" w14:textId="423C530B" w:rsidR="007F03ED" w:rsidRDefault="004E2045" w:rsidP="007F03ED">
            <w:pPr>
              <w:pStyle w:val="T2"/>
              <w:jc w:val="right"/>
              <w:rPr>
                <w:b/>
              </w:rPr>
            </w:pPr>
            <w:r>
              <w:rPr>
                <w:b/>
              </w:rPr>
              <w:t>15.2</w:t>
            </w:r>
          </w:p>
        </w:tc>
        <w:tc>
          <w:tcPr>
            <w:tcW w:w="992" w:type="dxa"/>
            <w:tcBorders>
              <w:top w:val="single" w:sz="2" w:space="0" w:color="auto"/>
            </w:tcBorders>
            <w:vAlign w:val="center"/>
          </w:tcPr>
          <w:p w14:paraId="488EFF2C" w14:textId="1D51E8B9" w:rsidR="007F03ED" w:rsidRPr="007F03ED" w:rsidRDefault="007F03ED" w:rsidP="007F03ED">
            <w:pPr>
              <w:pStyle w:val="T2"/>
              <w:jc w:val="right"/>
              <w:rPr>
                <w:rFonts w:cstheme="minorHAnsi"/>
                <w:bCs/>
              </w:rPr>
            </w:pPr>
            <w:r w:rsidRPr="007F03ED">
              <w:rPr>
                <w:rFonts w:cstheme="minorHAnsi"/>
                <w:bCs/>
              </w:rPr>
              <w:t>(1.8)</w:t>
            </w:r>
          </w:p>
        </w:tc>
      </w:tr>
      <w:tr w:rsidR="007F03ED" w14:paraId="6B52EA6D" w14:textId="77777777" w:rsidTr="00880B4A">
        <w:trPr>
          <w:jc w:val="center"/>
        </w:trPr>
        <w:tc>
          <w:tcPr>
            <w:tcW w:w="6946" w:type="dxa"/>
            <w:vAlign w:val="bottom"/>
          </w:tcPr>
          <w:p w14:paraId="1E6F2121" w14:textId="77777777" w:rsidR="007F03ED" w:rsidRDefault="007F03ED" w:rsidP="007F03ED">
            <w:pPr>
              <w:pStyle w:val="T2"/>
              <w:jc w:val="left"/>
            </w:pPr>
            <w:r w:rsidRPr="0068425A">
              <w:t>Finance income</w:t>
            </w:r>
          </w:p>
        </w:tc>
        <w:tc>
          <w:tcPr>
            <w:tcW w:w="1841" w:type="dxa"/>
          </w:tcPr>
          <w:p w14:paraId="2856BA5E" w14:textId="574407BC" w:rsidR="007F03ED" w:rsidRPr="00C025A7" w:rsidRDefault="007F03ED" w:rsidP="007F03ED">
            <w:pPr>
              <w:pStyle w:val="T2"/>
              <w:jc w:val="right"/>
              <w:rPr>
                <w:b/>
              </w:rPr>
            </w:pPr>
            <w:r w:rsidRPr="00890A5F">
              <w:rPr>
                <w:b/>
              </w:rPr>
              <w:t>–</w:t>
            </w:r>
          </w:p>
        </w:tc>
        <w:tc>
          <w:tcPr>
            <w:tcW w:w="992" w:type="dxa"/>
          </w:tcPr>
          <w:p w14:paraId="223877A6" w14:textId="0E69EFC4" w:rsidR="007F03ED" w:rsidRPr="007F03ED" w:rsidRDefault="007F03ED" w:rsidP="007F03ED">
            <w:pPr>
              <w:pStyle w:val="T2"/>
              <w:jc w:val="right"/>
              <w:rPr>
                <w:rFonts w:cstheme="minorHAnsi"/>
                <w:bCs/>
              </w:rPr>
            </w:pPr>
            <w:r w:rsidRPr="007F03ED">
              <w:rPr>
                <w:rFonts w:cstheme="minorHAnsi"/>
                <w:bCs/>
              </w:rPr>
              <w:t>0.4</w:t>
            </w:r>
          </w:p>
        </w:tc>
      </w:tr>
      <w:tr w:rsidR="007F03ED" w14:paraId="093E7108" w14:textId="77777777" w:rsidTr="00880B4A">
        <w:trPr>
          <w:jc w:val="center"/>
        </w:trPr>
        <w:tc>
          <w:tcPr>
            <w:tcW w:w="6946" w:type="dxa"/>
            <w:vAlign w:val="bottom"/>
          </w:tcPr>
          <w:p w14:paraId="66F8509B" w14:textId="77777777" w:rsidR="007F03ED" w:rsidRDefault="007F03ED" w:rsidP="007F03ED">
            <w:pPr>
              <w:pStyle w:val="T2"/>
              <w:jc w:val="left"/>
            </w:pPr>
            <w:r w:rsidRPr="0068425A">
              <w:t>Finance costs</w:t>
            </w:r>
          </w:p>
        </w:tc>
        <w:tc>
          <w:tcPr>
            <w:tcW w:w="1841" w:type="dxa"/>
          </w:tcPr>
          <w:p w14:paraId="5F3931A2" w14:textId="18372856" w:rsidR="007F03ED" w:rsidRPr="00C025A7" w:rsidRDefault="004E2045" w:rsidP="007F03ED">
            <w:pPr>
              <w:pStyle w:val="T2"/>
              <w:jc w:val="right"/>
              <w:rPr>
                <w:b/>
              </w:rPr>
            </w:pPr>
            <w:r>
              <w:rPr>
                <w:b/>
              </w:rPr>
              <w:t>(6.2)</w:t>
            </w:r>
          </w:p>
        </w:tc>
        <w:tc>
          <w:tcPr>
            <w:tcW w:w="992" w:type="dxa"/>
          </w:tcPr>
          <w:p w14:paraId="30320033" w14:textId="12223A36" w:rsidR="007F03ED" w:rsidRPr="007F03ED" w:rsidRDefault="007F03ED" w:rsidP="007F03ED">
            <w:pPr>
              <w:pStyle w:val="T2"/>
              <w:jc w:val="right"/>
              <w:rPr>
                <w:rFonts w:cstheme="minorHAnsi"/>
                <w:bCs/>
              </w:rPr>
            </w:pPr>
            <w:r w:rsidRPr="007F03ED">
              <w:rPr>
                <w:rFonts w:cstheme="minorHAnsi"/>
                <w:bCs/>
              </w:rPr>
              <w:t>(10.1)</w:t>
            </w:r>
          </w:p>
        </w:tc>
      </w:tr>
      <w:tr w:rsidR="007F03ED" w14:paraId="5B35ACB2" w14:textId="77777777" w:rsidTr="00880B4A">
        <w:trPr>
          <w:jc w:val="center"/>
        </w:trPr>
        <w:tc>
          <w:tcPr>
            <w:tcW w:w="6946" w:type="dxa"/>
            <w:vAlign w:val="bottom"/>
          </w:tcPr>
          <w:p w14:paraId="3BCD74AF" w14:textId="0BDD7A7F" w:rsidR="007F03ED" w:rsidRPr="0068425A" w:rsidRDefault="007F03ED" w:rsidP="007F03ED">
            <w:pPr>
              <w:pStyle w:val="T2"/>
              <w:jc w:val="left"/>
            </w:pPr>
            <w:r>
              <w:t>Exceptional items (pre-taxation)</w:t>
            </w:r>
          </w:p>
        </w:tc>
        <w:tc>
          <w:tcPr>
            <w:tcW w:w="1841" w:type="dxa"/>
          </w:tcPr>
          <w:p w14:paraId="540223EF" w14:textId="021E96CF" w:rsidR="007F03ED" w:rsidRDefault="004E2045" w:rsidP="007F03ED">
            <w:pPr>
              <w:pStyle w:val="T2"/>
              <w:jc w:val="right"/>
              <w:rPr>
                <w:b/>
              </w:rPr>
            </w:pPr>
            <w:r>
              <w:rPr>
                <w:b/>
              </w:rPr>
              <w:t>(8.0)</w:t>
            </w:r>
          </w:p>
        </w:tc>
        <w:tc>
          <w:tcPr>
            <w:tcW w:w="992" w:type="dxa"/>
          </w:tcPr>
          <w:p w14:paraId="71295F30" w14:textId="744F4D11" w:rsidR="007F03ED" w:rsidRPr="007F03ED" w:rsidRDefault="007F03ED" w:rsidP="007F03ED">
            <w:pPr>
              <w:pStyle w:val="T2"/>
              <w:jc w:val="right"/>
              <w:rPr>
                <w:rFonts w:cstheme="minorHAnsi"/>
                <w:bCs/>
              </w:rPr>
            </w:pPr>
            <w:r w:rsidRPr="007F03ED">
              <w:rPr>
                <w:rFonts w:cstheme="minorHAnsi"/>
                <w:bCs/>
              </w:rPr>
              <w:t>9.7</w:t>
            </w:r>
          </w:p>
        </w:tc>
      </w:tr>
      <w:tr w:rsidR="007F03ED" w14:paraId="3E0DE7AE" w14:textId="77777777" w:rsidTr="00880B4A">
        <w:trPr>
          <w:jc w:val="center"/>
        </w:trPr>
        <w:tc>
          <w:tcPr>
            <w:tcW w:w="6946" w:type="dxa"/>
            <w:tcBorders>
              <w:bottom w:val="single" w:sz="2" w:space="0" w:color="auto"/>
            </w:tcBorders>
            <w:vAlign w:val="bottom"/>
          </w:tcPr>
          <w:p w14:paraId="352F1709" w14:textId="77777777" w:rsidR="007F03ED" w:rsidRDefault="007F03ED" w:rsidP="007F03ED">
            <w:pPr>
              <w:pStyle w:val="T2"/>
              <w:jc w:val="left"/>
            </w:pPr>
            <w:r w:rsidRPr="0068425A">
              <w:t>Taxation</w:t>
            </w:r>
          </w:p>
        </w:tc>
        <w:tc>
          <w:tcPr>
            <w:tcW w:w="1841" w:type="dxa"/>
            <w:tcBorders>
              <w:bottom w:val="single" w:sz="2" w:space="0" w:color="auto"/>
            </w:tcBorders>
          </w:tcPr>
          <w:p w14:paraId="6A937D19" w14:textId="33B57692" w:rsidR="007F03ED" w:rsidRPr="00C025A7" w:rsidRDefault="004E2045" w:rsidP="007F03ED">
            <w:pPr>
              <w:pStyle w:val="T2"/>
              <w:jc w:val="right"/>
              <w:rPr>
                <w:b/>
              </w:rPr>
            </w:pPr>
            <w:r>
              <w:rPr>
                <w:b/>
              </w:rPr>
              <w:t>(0.2)</w:t>
            </w:r>
          </w:p>
        </w:tc>
        <w:tc>
          <w:tcPr>
            <w:tcW w:w="992" w:type="dxa"/>
            <w:tcBorders>
              <w:bottom w:val="single" w:sz="2" w:space="0" w:color="auto"/>
            </w:tcBorders>
          </w:tcPr>
          <w:p w14:paraId="37331734" w14:textId="0D89444D" w:rsidR="007F03ED" w:rsidRPr="007F03ED" w:rsidRDefault="007F03ED" w:rsidP="007F03ED">
            <w:pPr>
              <w:pStyle w:val="T2"/>
              <w:jc w:val="right"/>
              <w:rPr>
                <w:rFonts w:cstheme="minorHAnsi"/>
                <w:bCs/>
              </w:rPr>
            </w:pPr>
            <w:r w:rsidRPr="007F03ED">
              <w:rPr>
                <w:rFonts w:cstheme="minorHAnsi"/>
                <w:bCs/>
              </w:rPr>
              <w:t>2.2</w:t>
            </w:r>
          </w:p>
        </w:tc>
      </w:tr>
      <w:tr w:rsidR="007F03ED" w14:paraId="78D845EA" w14:textId="77777777" w:rsidTr="00880B4A">
        <w:trPr>
          <w:jc w:val="center"/>
        </w:trPr>
        <w:tc>
          <w:tcPr>
            <w:tcW w:w="6946" w:type="dxa"/>
            <w:tcBorders>
              <w:top w:val="single" w:sz="2" w:space="0" w:color="auto"/>
              <w:bottom w:val="single" w:sz="2" w:space="0" w:color="auto"/>
            </w:tcBorders>
            <w:vAlign w:val="bottom"/>
          </w:tcPr>
          <w:p w14:paraId="367DC41F" w14:textId="27222B82" w:rsidR="007F03ED" w:rsidRPr="00484E13" w:rsidRDefault="007F03ED" w:rsidP="007F03ED">
            <w:pPr>
              <w:pStyle w:val="T2"/>
              <w:jc w:val="left"/>
              <w:rPr>
                <w:b/>
              </w:rPr>
            </w:pPr>
            <w:r>
              <w:rPr>
                <w:b/>
              </w:rPr>
              <w:t xml:space="preserve">Profit </w:t>
            </w:r>
            <w:r w:rsidRPr="00484E13">
              <w:rPr>
                <w:b/>
              </w:rPr>
              <w:t>for the period</w:t>
            </w:r>
          </w:p>
        </w:tc>
        <w:tc>
          <w:tcPr>
            <w:tcW w:w="1841" w:type="dxa"/>
            <w:tcBorders>
              <w:top w:val="single" w:sz="2" w:space="0" w:color="auto"/>
              <w:bottom w:val="single" w:sz="2" w:space="0" w:color="auto"/>
            </w:tcBorders>
          </w:tcPr>
          <w:p w14:paraId="11D99ECC" w14:textId="2B3C09BB" w:rsidR="007F03ED" w:rsidRPr="00C025A7" w:rsidRDefault="004E2045" w:rsidP="007F03ED">
            <w:pPr>
              <w:pStyle w:val="T2"/>
              <w:jc w:val="right"/>
              <w:rPr>
                <w:b/>
              </w:rPr>
            </w:pPr>
            <w:r>
              <w:rPr>
                <w:b/>
              </w:rPr>
              <w:t>0.8</w:t>
            </w:r>
          </w:p>
        </w:tc>
        <w:tc>
          <w:tcPr>
            <w:tcW w:w="992" w:type="dxa"/>
            <w:tcBorders>
              <w:top w:val="single" w:sz="2" w:space="0" w:color="auto"/>
              <w:bottom w:val="single" w:sz="2" w:space="0" w:color="auto"/>
            </w:tcBorders>
          </w:tcPr>
          <w:p w14:paraId="64ADC12A" w14:textId="420E2244" w:rsidR="007F03ED" w:rsidRPr="007F03ED" w:rsidRDefault="007F03ED" w:rsidP="007F03ED">
            <w:pPr>
              <w:pStyle w:val="T2"/>
              <w:jc w:val="right"/>
              <w:rPr>
                <w:rFonts w:cstheme="minorHAnsi"/>
                <w:bCs/>
              </w:rPr>
            </w:pPr>
            <w:r w:rsidRPr="007F03ED">
              <w:rPr>
                <w:rFonts w:cstheme="minorHAnsi"/>
                <w:bCs/>
              </w:rPr>
              <w:t>0.4</w:t>
            </w:r>
          </w:p>
        </w:tc>
      </w:tr>
    </w:tbl>
    <w:p w14:paraId="54C87BF9" w14:textId="77777777" w:rsidR="00EE7A58" w:rsidRDefault="00EE7A58" w:rsidP="008D3386">
      <w:pPr>
        <w:pStyle w:val="Paragraph"/>
        <w:spacing w:before="0" w:after="120"/>
        <w:jc w:val="both"/>
      </w:pPr>
    </w:p>
    <w:p w14:paraId="261B0001" w14:textId="77777777" w:rsidR="00773F7B" w:rsidRDefault="00773F7B" w:rsidP="00E93E64">
      <w:pPr>
        <w:pStyle w:val="Paragraph"/>
        <w:spacing w:before="120" w:after="120"/>
        <w:jc w:val="both"/>
      </w:pPr>
      <w:r>
        <w:t>T</w:t>
      </w:r>
      <w:r w:rsidRPr="00DF6E36">
        <w:t xml:space="preserve">he following table disaggregates revenue by product categories in </w:t>
      </w:r>
      <w:r>
        <w:t xml:space="preserve">the </w:t>
      </w:r>
      <w:r w:rsidRPr="00DF6E36">
        <w:t>Convenience Foods UK and Ireland reporting segment.</w:t>
      </w:r>
    </w:p>
    <w:tbl>
      <w:tblPr>
        <w:tblStyle w:val="TableGrid"/>
        <w:tblW w:w="9779" w:type="dxa"/>
        <w:jc w:val="center"/>
        <w:tblLook w:val="04A0" w:firstRow="1" w:lastRow="0" w:firstColumn="1" w:lastColumn="0" w:noHBand="0" w:noVBand="1"/>
      </w:tblPr>
      <w:tblGrid>
        <w:gridCol w:w="7795"/>
        <w:gridCol w:w="992"/>
        <w:gridCol w:w="992"/>
      </w:tblGrid>
      <w:tr w:rsidR="00773F7B" w14:paraId="7D68CBCD" w14:textId="77777777" w:rsidTr="001F1616">
        <w:trPr>
          <w:jc w:val="center"/>
        </w:trPr>
        <w:tc>
          <w:tcPr>
            <w:tcW w:w="7795" w:type="dxa"/>
            <w:tcBorders>
              <w:top w:val="nil"/>
              <w:left w:val="nil"/>
              <w:bottom w:val="nil"/>
              <w:right w:val="nil"/>
            </w:tcBorders>
            <w:vAlign w:val="bottom"/>
          </w:tcPr>
          <w:p w14:paraId="74DBE84C" w14:textId="77777777" w:rsidR="00773F7B" w:rsidRPr="00EA414F" w:rsidRDefault="00773F7B" w:rsidP="00773F7B">
            <w:pPr>
              <w:pStyle w:val="T2"/>
              <w:jc w:val="left"/>
            </w:pPr>
            <w:bookmarkStart w:id="21" w:name="_Hlk103185267"/>
          </w:p>
        </w:tc>
        <w:tc>
          <w:tcPr>
            <w:tcW w:w="992" w:type="dxa"/>
            <w:tcBorders>
              <w:top w:val="nil"/>
              <w:left w:val="nil"/>
              <w:bottom w:val="nil"/>
              <w:right w:val="nil"/>
            </w:tcBorders>
            <w:vAlign w:val="bottom"/>
          </w:tcPr>
          <w:p w14:paraId="336BA5D2" w14:textId="5714A2C8" w:rsidR="00773F7B" w:rsidRPr="00EA414F" w:rsidRDefault="00773F7B" w:rsidP="00773F7B">
            <w:pPr>
              <w:pStyle w:val="T2"/>
              <w:jc w:val="right"/>
              <w:rPr>
                <w:b/>
              </w:rPr>
            </w:pPr>
            <w:r w:rsidRPr="00EA414F">
              <w:rPr>
                <w:b/>
              </w:rPr>
              <w:t xml:space="preserve">Half year </w:t>
            </w:r>
            <w:r w:rsidR="008A4891">
              <w:rPr>
                <w:b/>
              </w:rPr>
              <w:t>2022</w:t>
            </w:r>
          </w:p>
        </w:tc>
        <w:tc>
          <w:tcPr>
            <w:tcW w:w="992" w:type="dxa"/>
            <w:tcBorders>
              <w:top w:val="nil"/>
              <w:left w:val="nil"/>
              <w:bottom w:val="nil"/>
              <w:right w:val="nil"/>
            </w:tcBorders>
            <w:vAlign w:val="bottom"/>
          </w:tcPr>
          <w:p w14:paraId="43C526A8" w14:textId="169976C7" w:rsidR="00773F7B" w:rsidRPr="006E7430" w:rsidRDefault="008A4891" w:rsidP="004F400F">
            <w:pPr>
              <w:pStyle w:val="T2"/>
              <w:jc w:val="right"/>
            </w:pPr>
            <w:r>
              <w:t>Half year 2021</w:t>
            </w:r>
          </w:p>
        </w:tc>
      </w:tr>
      <w:tr w:rsidR="00773F7B" w14:paraId="70306FFF" w14:textId="77777777" w:rsidTr="005B3BEE">
        <w:trPr>
          <w:jc w:val="center"/>
        </w:trPr>
        <w:tc>
          <w:tcPr>
            <w:tcW w:w="7795" w:type="dxa"/>
            <w:tcBorders>
              <w:top w:val="nil"/>
              <w:left w:val="nil"/>
              <w:bottom w:val="single" w:sz="2" w:space="0" w:color="auto"/>
              <w:right w:val="nil"/>
            </w:tcBorders>
            <w:vAlign w:val="bottom"/>
          </w:tcPr>
          <w:p w14:paraId="385F7055" w14:textId="77777777" w:rsidR="00773F7B" w:rsidRPr="00EA414F" w:rsidRDefault="00773F7B" w:rsidP="00773F7B">
            <w:pPr>
              <w:pStyle w:val="T2"/>
              <w:jc w:val="left"/>
            </w:pPr>
          </w:p>
        </w:tc>
        <w:tc>
          <w:tcPr>
            <w:tcW w:w="992" w:type="dxa"/>
            <w:tcBorders>
              <w:top w:val="nil"/>
              <w:left w:val="nil"/>
              <w:bottom w:val="single" w:sz="2" w:space="0" w:color="auto"/>
              <w:right w:val="nil"/>
            </w:tcBorders>
            <w:vAlign w:val="bottom"/>
          </w:tcPr>
          <w:p w14:paraId="40654645" w14:textId="77777777" w:rsidR="00773F7B" w:rsidRPr="00EA414F" w:rsidRDefault="00773F7B" w:rsidP="00773F7B">
            <w:pPr>
              <w:pStyle w:val="T2"/>
              <w:jc w:val="right"/>
              <w:rPr>
                <w:b/>
              </w:rPr>
            </w:pPr>
            <w:r w:rsidRPr="00EA414F">
              <w:rPr>
                <w:b/>
              </w:rPr>
              <w:t>£m</w:t>
            </w:r>
          </w:p>
        </w:tc>
        <w:tc>
          <w:tcPr>
            <w:tcW w:w="992" w:type="dxa"/>
            <w:tcBorders>
              <w:top w:val="nil"/>
              <w:left w:val="nil"/>
              <w:bottom w:val="single" w:sz="2" w:space="0" w:color="auto"/>
              <w:right w:val="nil"/>
            </w:tcBorders>
            <w:vAlign w:val="bottom"/>
          </w:tcPr>
          <w:p w14:paraId="0845934C" w14:textId="77777777" w:rsidR="00773F7B" w:rsidRPr="006E7430" w:rsidRDefault="00773F7B" w:rsidP="00773F7B">
            <w:pPr>
              <w:pStyle w:val="T2"/>
              <w:jc w:val="right"/>
            </w:pPr>
            <w:r w:rsidRPr="006E7430">
              <w:t>£m</w:t>
            </w:r>
          </w:p>
        </w:tc>
      </w:tr>
      <w:tr w:rsidR="00773F7B" w14:paraId="16D4C312" w14:textId="77777777" w:rsidTr="005B3BEE">
        <w:trPr>
          <w:jc w:val="center"/>
        </w:trPr>
        <w:tc>
          <w:tcPr>
            <w:tcW w:w="7795" w:type="dxa"/>
            <w:tcBorders>
              <w:top w:val="single" w:sz="2" w:space="0" w:color="auto"/>
              <w:left w:val="nil"/>
              <w:bottom w:val="nil"/>
              <w:right w:val="nil"/>
            </w:tcBorders>
            <w:vAlign w:val="bottom"/>
          </w:tcPr>
          <w:p w14:paraId="0D457BFB" w14:textId="77777777" w:rsidR="00773F7B" w:rsidRPr="00EA414F" w:rsidRDefault="00773F7B" w:rsidP="00773F7B">
            <w:pPr>
              <w:pStyle w:val="T2"/>
              <w:jc w:val="left"/>
              <w:rPr>
                <w:b/>
              </w:rPr>
            </w:pPr>
            <w:r w:rsidRPr="00EA414F">
              <w:rPr>
                <w:b/>
              </w:rPr>
              <w:lastRenderedPageBreak/>
              <w:t xml:space="preserve">Revenue </w:t>
            </w:r>
          </w:p>
        </w:tc>
        <w:tc>
          <w:tcPr>
            <w:tcW w:w="992" w:type="dxa"/>
            <w:tcBorders>
              <w:top w:val="single" w:sz="2" w:space="0" w:color="auto"/>
              <w:left w:val="nil"/>
              <w:bottom w:val="nil"/>
              <w:right w:val="nil"/>
            </w:tcBorders>
            <w:vAlign w:val="bottom"/>
          </w:tcPr>
          <w:p w14:paraId="3DB206DA" w14:textId="77777777" w:rsidR="00773F7B" w:rsidRPr="00EA414F" w:rsidRDefault="00773F7B" w:rsidP="00773F7B">
            <w:pPr>
              <w:pStyle w:val="T2"/>
              <w:jc w:val="right"/>
            </w:pPr>
          </w:p>
        </w:tc>
        <w:tc>
          <w:tcPr>
            <w:tcW w:w="992" w:type="dxa"/>
            <w:tcBorders>
              <w:top w:val="single" w:sz="2" w:space="0" w:color="auto"/>
              <w:left w:val="nil"/>
              <w:bottom w:val="nil"/>
              <w:right w:val="nil"/>
            </w:tcBorders>
            <w:vAlign w:val="bottom"/>
          </w:tcPr>
          <w:p w14:paraId="71BDBBA6" w14:textId="77777777" w:rsidR="00773F7B" w:rsidRPr="00EA414F" w:rsidRDefault="00773F7B" w:rsidP="00773F7B">
            <w:pPr>
              <w:pStyle w:val="T2"/>
              <w:jc w:val="right"/>
            </w:pPr>
          </w:p>
        </w:tc>
      </w:tr>
      <w:tr w:rsidR="007F03ED" w14:paraId="7BCFAEC7" w14:textId="77777777" w:rsidTr="00C329CD">
        <w:trPr>
          <w:jc w:val="center"/>
        </w:trPr>
        <w:tc>
          <w:tcPr>
            <w:tcW w:w="7795" w:type="dxa"/>
            <w:tcBorders>
              <w:top w:val="nil"/>
              <w:left w:val="nil"/>
              <w:bottom w:val="nil"/>
              <w:right w:val="nil"/>
            </w:tcBorders>
            <w:vAlign w:val="bottom"/>
          </w:tcPr>
          <w:p w14:paraId="7B4C5570" w14:textId="77777777" w:rsidR="007F03ED" w:rsidRPr="00EA414F" w:rsidRDefault="007F03ED" w:rsidP="007F03ED">
            <w:pPr>
              <w:pStyle w:val="T2"/>
              <w:jc w:val="left"/>
            </w:pPr>
            <w:r w:rsidRPr="00EA414F">
              <w:t>Food to go</w:t>
            </w:r>
            <w:r>
              <w:t xml:space="preserve"> categories</w:t>
            </w:r>
          </w:p>
        </w:tc>
        <w:tc>
          <w:tcPr>
            <w:tcW w:w="992" w:type="dxa"/>
            <w:tcBorders>
              <w:top w:val="nil"/>
              <w:left w:val="nil"/>
              <w:bottom w:val="nil"/>
              <w:right w:val="nil"/>
            </w:tcBorders>
          </w:tcPr>
          <w:p w14:paraId="3A76A9F7" w14:textId="15D1B593" w:rsidR="007F03ED" w:rsidRPr="00C025A7" w:rsidRDefault="004E2045" w:rsidP="007F03ED">
            <w:pPr>
              <w:pStyle w:val="T2"/>
              <w:jc w:val="right"/>
              <w:rPr>
                <w:b/>
                <w:bCs/>
              </w:rPr>
            </w:pPr>
            <w:r>
              <w:rPr>
                <w:b/>
              </w:rPr>
              <w:t>502.1</w:t>
            </w:r>
          </w:p>
        </w:tc>
        <w:tc>
          <w:tcPr>
            <w:tcW w:w="992" w:type="dxa"/>
            <w:tcBorders>
              <w:top w:val="nil"/>
              <w:left w:val="nil"/>
              <w:bottom w:val="nil"/>
              <w:right w:val="nil"/>
            </w:tcBorders>
          </w:tcPr>
          <w:p w14:paraId="7563415E" w14:textId="278E99FD" w:rsidR="007F03ED" w:rsidRPr="007F03ED" w:rsidRDefault="007F03ED" w:rsidP="007F03ED">
            <w:pPr>
              <w:pStyle w:val="T2"/>
              <w:jc w:val="right"/>
            </w:pPr>
            <w:r w:rsidRPr="007F03ED">
              <w:t>339.2</w:t>
            </w:r>
          </w:p>
        </w:tc>
      </w:tr>
      <w:tr w:rsidR="007F03ED" w14:paraId="2EDAA9F7" w14:textId="77777777" w:rsidTr="00C329CD">
        <w:trPr>
          <w:jc w:val="center"/>
        </w:trPr>
        <w:tc>
          <w:tcPr>
            <w:tcW w:w="7795" w:type="dxa"/>
            <w:tcBorders>
              <w:top w:val="nil"/>
              <w:left w:val="nil"/>
              <w:bottom w:val="single" w:sz="2" w:space="0" w:color="auto"/>
              <w:right w:val="nil"/>
            </w:tcBorders>
            <w:vAlign w:val="bottom"/>
          </w:tcPr>
          <w:p w14:paraId="6970FD67" w14:textId="77777777" w:rsidR="007F03ED" w:rsidRPr="00EA414F" w:rsidRDefault="007F03ED" w:rsidP="007F03ED">
            <w:pPr>
              <w:pStyle w:val="T2"/>
              <w:jc w:val="left"/>
            </w:pPr>
            <w:r>
              <w:t>Other convenience categories</w:t>
            </w:r>
          </w:p>
        </w:tc>
        <w:tc>
          <w:tcPr>
            <w:tcW w:w="992" w:type="dxa"/>
            <w:tcBorders>
              <w:top w:val="nil"/>
              <w:left w:val="nil"/>
              <w:bottom w:val="single" w:sz="2" w:space="0" w:color="auto"/>
              <w:right w:val="nil"/>
            </w:tcBorders>
          </w:tcPr>
          <w:p w14:paraId="2EB65506" w14:textId="5D84E56F" w:rsidR="007F03ED" w:rsidRPr="00C025A7" w:rsidRDefault="004E2045" w:rsidP="007F03ED">
            <w:pPr>
              <w:pStyle w:val="T2"/>
              <w:jc w:val="right"/>
              <w:rPr>
                <w:b/>
                <w:bCs/>
              </w:rPr>
            </w:pPr>
            <w:r>
              <w:rPr>
                <w:b/>
              </w:rPr>
              <w:t>268.7</w:t>
            </w:r>
          </w:p>
        </w:tc>
        <w:tc>
          <w:tcPr>
            <w:tcW w:w="992" w:type="dxa"/>
            <w:tcBorders>
              <w:top w:val="nil"/>
              <w:left w:val="nil"/>
              <w:bottom w:val="single" w:sz="2" w:space="0" w:color="auto"/>
              <w:right w:val="nil"/>
            </w:tcBorders>
          </w:tcPr>
          <w:p w14:paraId="23E8A3A5" w14:textId="0118DF34" w:rsidR="007F03ED" w:rsidRPr="007F03ED" w:rsidRDefault="007F03ED" w:rsidP="007F03ED">
            <w:pPr>
              <w:pStyle w:val="T2"/>
              <w:jc w:val="right"/>
            </w:pPr>
            <w:r w:rsidRPr="007F03ED">
              <w:t>237.9</w:t>
            </w:r>
          </w:p>
        </w:tc>
      </w:tr>
      <w:tr w:rsidR="007F03ED" w14:paraId="0E59D85D" w14:textId="77777777" w:rsidTr="00C329CD">
        <w:trPr>
          <w:jc w:val="center"/>
        </w:trPr>
        <w:tc>
          <w:tcPr>
            <w:tcW w:w="7795" w:type="dxa"/>
            <w:tcBorders>
              <w:top w:val="single" w:sz="2" w:space="0" w:color="auto"/>
              <w:left w:val="nil"/>
              <w:bottom w:val="single" w:sz="2" w:space="0" w:color="auto"/>
              <w:right w:val="nil"/>
            </w:tcBorders>
            <w:vAlign w:val="bottom"/>
          </w:tcPr>
          <w:p w14:paraId="15B724FA" w14:textId="29319EEF" w:rsidR="007F03ED" w:rsidRPr="00EA414F" w:rsidRDefault="007F03ED" w:rsidP="007F03ED">
            <w:pPr>
              <w:pStyle w:val="T2"/>
              <w:jc w:val="left"/>
              <w:rPr>
                <w:b/>
              </w:rPr>
            </w:pPr>
            <w:r w:rsidRPr="00EA414F">
              <w:rPr>
                <w:b/>
              </w:rPr>
              <w:t xml:space="preserve">Total revenue for Convenience Foods UK </w:t>
            </w:r>
            <w:r>
              <w:rPr>
                <w:b/>
              </w:rPr>
              <w:t>and</w:t>
            </w:r>
            <w:r w:rsidRPr="00EA414F">
              <w:rPr>
                <w:b/>
              </w:rPr>
              <w:t xml:space="preserve"> Ireland</w:t>
            </w:r>
          </w:p>
        </w:tc>
        <w:tc>
          <w:tcPr>
            <w:tcW w:w="992" w:type="dxa"/>
            <w:tcBorders>
              <w:top w:val="single" w:sz="2" w:space="0" w:color="auto"/>
              <w:left w:val="nil"/>
              <w:bottom w:val="single" w:sz="2" w:space="0" w:color="auto"/>
              <w:right w:val="nil"/>
            </w:tcBorders>
          </w:tcPr>
          <w:p w14:paraId="2E123FCC" w14:textId="1FEBD0BD" w:rsidR="007F03ED" w:rsidRPr="00C025A7" w:rsidRDefault="004E2045" w:rsidP="007F03ED">
            <w:pPr>
              <w:pStyle w:val="T2"/>
              <w:jc w:val="right"/>
              <w:rPr>
                <w:b/>
                <w:bCs/>
              </w:rPr>
            </w:pPr>
            <w:r>
              <w:rPr>
                <w:b/>
              </w:rPr>
              <w:t>770.8</w:t>
            </w:r>
          </w:p>
        </w:tc>
        <w:tc>
          <w:tcPr>
            <w:tcW w:w="992" w:type="dxa"/>
            <w:tcBorders>
              <w:top w:val="single" w:sz="2" w:space="0" w:color="auto"/>
              <w:left w:val="nil"/>
              <w:bottom w:val="single" w:sz="2" w:space="0" w:color="auto"/>
              <w:right w:val="nil"/>
            </w:tcBorders>
          </w:tcPr>
          <w:p w14:paraId="0D2638B3" w14:textId="16F4BE9E" w:rsidR="007F03ED" w:rsidRPr="007F03ED" w:rsidRDefault="007F03ED" w:rsidP="007F03ED">
            <w:pPr>
              <w:pStyle w:val="T2"/>
              <w:jc w:val="right"/>
            </w:pPr>
            <w:r w:rsidRPr="007F03ED">
              <w:t>577.1</w:t>
            </w:r>
          </w:p>
        </w:tc>
      </w:tr>
    </w:tbl>
    <w:bookmarkEnd w:id="21"/>
    <w:p w14:paraId="27CE1724" w14:textId="657D2BD4" w:rsidR="00773F7B" w:rsidRDefault="00773F7B" w:rsidP="005B3BEE">
      <w:pPr>
        <w:pStyle w:val="Paragraph"/>
        <w:spacing w:before="120" w:after="120"/>
        <w:jc w:val="both"/>
      </w:pPr>
      <w:r w:rsidRPr="00386903">
        <w:t xml:space="preserve">Food to go categories include sandwiches, salads, sushi and chilled snacking while the other convenience categories include chilled ready meals, chilled soups and sauces, chilled quiche, ambient sauces and pickles, and frozen Yorkshire Puddings as well as </w:t>
      </w:r>
      <w:r w:rsidR="007905AF">
        <w:t xml:space="preserve">the </w:t>
      </w:r>
      <w:r w:rsidRPr="00386903">
        <w:t>Irish ingredients trading business.</w:t>
      </w:r>
    </w:p>
    <w:p w14:paraId="50C6E801" w14:textId="77777777" w:rsidR="003176F7" w:rsidRDefault="003176F7" w:rsidP="005B3BEE">
      <w:pPr>
        <w:pStyle w:val="SectionH3"/>
      </w:pPr>
    </w:p>
    <w:p w14:paraId="35A4AB7E" w14:textId="67660B28" w:rsidR="00773F7B" w:rsidRDefault="00E126B5" w:rsidP="005B3BEE">
      <w:pPr>
        <w:pStyle w:val="SectionH3"/>
      </w:pPr>
      <w:r>
        <w:t>3</w:t>
      </w:r>
      <w:r w:rsidR="00773F7B">
        <w:t>.</w:t>
      </w:r>
      <w:r w:rsidR="00052704">
        <w:tab/>
      </w:r>
      <w:r w:rsidR="00773F7B" w:rsidRPr="003D355E">
        <w:t>Seasonality</w:t>
      </w:r>
    </w:p>
    <w:p w14:paraId="49BCD57C" w14:textId="32D6F001" w:rsidR="004359FD" w:rsidRDefault="004359FD" w:rsidP="004359FD">
      <w:pPr>
        <w:pStyle w:val="SectionH3"/>
        <w:rPr>
          <w:b w:val="0"/>
          <w:bCs w:val="0"/>
        </w:rPr>
      </w:pPr>
      <w:r w:rsidRPr="004359FD">
        <w:rPr>
          <w:b w:val="0"/>
          <w:bCs w:val="0"/>
        </w:rPr>
        <w:t xml:space="preserve">The Group’s convenience foods portfolio is seasonal in nature with the Group’s business being weighted towards the second half of the year and this is in line with the Group’s expectation for FY22. This weighting is primarily driven by weather and seasonal buying patterns. In the prior year, the weighting of revenue towards the second half of the year was </w:t>
      </w:r>
      <w:r w:rsidR="00E3237F">
        <w:rPr>
          <w:b w:val="0"/>
          <w:bCs w:val="0"/>
        </w:rPr>
        <w:t xml:space="preserve">accentuated by </w:t>
      </w:r>
      <w:r w:rsidRPr="004359FD">
        <w:rPr>
          <w:b w:val="0"/>
          <w:bCs w:val="0"/>
        </w:rPr>
        <w:t xml:space="preserve">the easing of lockdown restrictions relating to </w:t>
      </w:r>
      <w:r w:rsidR="00336C7A" w:rsidRPr="004359FD">
        <w:rPr>
          <w:b w:val="0"/>
          <w:bCs w:val="0"/>
        </w:rPr>
        <w:t>C</w:t>
      </w:r>
      <w:r w:rsidR="00336C7A">
        <w:rPr>
          <w:b w:val="0"/>
          <w:bCs w:val="0"/>
        </w:rPr>
        <w:t>OVID</w:t>
      </w:r>
      <w:r w:rsidRPr="004359FD">
        <w:rPr>
          <w:b w:val="0"/>
          <w:bCs w:val="0"/>
        </w:rPr>
        <w:t>-19.</w:t>
      </w:r>
    </w:p>
    <w:p w14:paraId="1B16322F" w14:textId="77777777" w:rsidR="00090033" w:rsidRDefault="00090033" w:rsidP="004359FD">
      <w:pPr>
        <w:pStyle w:val="SectionH3"/>
        <w:rPr>
          <w:b w:val="0"/>
          <w:bCs w:val="0"/>
        </w:rPr>
      </w:pPr>
    </w:p>
    <w:p w14:paraId="37725AAB" w14:textId="49555716" w:rsidR="00090033" w:rsidRPr="004B6C20" w:rsidRDefault="00090033" w:rsidP="004359FD">
      <w:pPr>
        <w:pStyle w:val="SectionH3"/>
      </w:pPr>
      <w:r w:rsidRPr="004B6C20">
        <w:t xml:space="preserve">4. </w:t>
      </w:r>
      <w:r w:rsidRPr="004B6C20">
        <w:tab/>
        <w:t>Operating costs, net</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3"/>
        <w:gridCol w:w="992"/>
        <w:gridCol w:w="992"/>
        <w:gridCol w:w="992"/>
      </w:tblGrid>
      <w:tr w:rsidR="00090033" w14:paraId="7C1593B2" w14:textId="77777777" w:rsidTr="008F58F1">
        <w:trPr>
          <w:jc w:val="center"/>
        </w:trPr>
        <w:tc>
          <w:tcPr>
            <w:tcW w:w="6803" w:type="dxa"/>
            <w:vAlign w:val="bottom"/>
          </w:tcPr>
          <w:p w14:paraId="6DDC2C18" w14:textId="77777777" w:rsidR="00090033" w:rsidRPr="003D355E" w:rsidRDefault="00090033" w:rsidP="008F58F1">
            <w:pPr>
              <w:pStyle w:val="T2"/>
              <w:jc w:val="left"/>
            </w:pPr>
          </w:p>
        </w:tc>
        <w:tc>
          <w:tcPr>
            <w:tcW w:w="992" w:type="dxa"/>
            <w:vAlign w:val="bottom"/>
          </w:tcPr>
          <w:p w14:paraId="32948AF5" w14:textId="77777777" w:rsidR="00090033" w:rsidRPr="003D355E" w:rsidRDefault="00090033" w:rsidP="008F58F1">
            <w:pPr>
              <w:pStyle w:val="T2"/>
              <w:jc w:val="right"/>
            </w:pPr>
          </w:p>
        </w:tc>
        <w:tc>
          <w:tcPr>
            <w:tcW w:w="992" w:type="dxa"/>
            <w:vAlign w:val="bottom"/>
          </w:tcPr>
          <w:p w14:paraId="07A3A4C3" w14:textId="77777777" w:rsidR="00090033" w:rsidRPr="003D355E" w:rsidRDefault="00090033" w:rsidP="008F58F1">
            <w:pPr>
              <w:pStyle w:val="T2"/>
              <w:jc w:val="right"/>
              <w:rPr>
                <w:b/>
              </w:rPr>
            </w:pPr>
            <w:r>
              <w:rPr>
                <w:b/>
              </w:rPr>
              <w:t>Half Year 2022</w:t>
            </w:r>
          </w:p>
        </w:tc>
        <w:tc>
          <w:tcPr>
            <w:tcW w:w="992" w:type="dxa"/>
          </w:tcPr>
          <w:p w14:paraId="2BF47275" w14:textId="77777777" w:rsidR="00090033" w:rsidRPr="005D0EFF" w:rsidRDefault="00090033" w:rsidP="008F58F1">
            <w:pPr>
              <w:pStyle w:val="T2"/>
              <w:jc w:val="right"/>
            </w:pPr>
            <w:r w:rsidRPr="005D0EFF">
              <w:t xml:space="preserve">Half Year </w:t>
            </w:r>
          </w:p>
          <w:p w14:paraId="5BD7AD06" w14:textId="77777777" w:rsidR="00090033" w:rsidRDefault="00090033" w:rsidP="008F58F1">
            <w:pPr>
              <w:pStyle w:val="T2"/>
              <w:jc w:val="right"/>
              <w:rPr>
                <w:b/>
              </w:rPr>
            </w:pPr>
            <w:r w:rsidRPr="005D0EFF">
              <w:t>20</w:t>
            </w:r>
            <w:r>
              <w:t>21</w:t>
            </w:r>
          </w:p>
        </w:tc>
      </w:tr>
      <w:tr w:rsidR="00090033" w14:paraId="4F100C7A" w14:textId="77777777" w:rsidTr="008F58F1">
        <w:trPr>
          <w:jc w:val="center"/>
        </w:trPr>
        <w:tc>
          <w:tcPr>
            <w:tcW w:w="6803" w:type="dxa"/>
            <w:tcBorders>
              <w:bottom w:val="single" w:sz="2" w:space="0" w:color="auto"/>
            </w:tcBorders>
            <w:vAlign w:val="bottom"/>
          </w:tcPr>
          <w:p w14:paraId="62D00FAB" w14:textId="77777777" w:rsidR="00090033" w:rsidRPr="003D355E" w:rsidRDefault="00090033" w:rsidP="008F58F1">
            <w:pPr>
              <w:pStyle w:val="T2"/>
              <w:jc w:val="left"/>
            </w:pPr>
          </w:p>
        </w:tc>
        <w:tc>
          <w:tcPr>
            <w:tcW w:w="992" w:type="dxa"/>
            <w:tcBorders>
              <w:bottom w:val="single" w:sz="2" w:space="0" w:color="auto"/>
            </w:tcBorders>
            <w:vAlign w:val="bottom"/>
          </w:tcPr>
          <w:p w14:paraId="62F604A3" w14:textId="77777777" w:rsidR="00090033" w:rsidRPr="003D355E" w:rsidRDefault="00090033" w:rsidP="008F58F1">
            <w:pPr>
              <w:pStyle w:val="T2"/>
              <w:jc w:val="right"/>
            </w:pPr>
          </w:p>
        </w:tc>
        <w:tc>
          <w:tcPr>
            <w:tcW w:w="992" w:type="dxa"/>
            <w:tcBorders>
              <w:bottom w:val="single" w:sz="2" w:space="0" w:color="auto"/>
            </w:tcBorders>
            <w:vAlign w:val="bottom"/>
          </w:tcPr>
          <w:p w14:paraId="131CC22D" w14:textId="77777777" w:rsidR="00090033" w:rsidRPr="003D355E" w:rsidRDefault="00090033" w:rsidP="008F58F1">
            <w:pPr>
              <w:pStyle w:val="T2"/>
              <w:jc w:val="right"/>
              <w:rPr>
                <w:b/>
              </w:rPr>
            </w:pPr>
            <w:r w:rsidRPr="003D355E">
              <w:rPr>
                <w:b/>
              </w:rPr>
              <w:t>£m</w:t>
            </w:r>
          </w:p>
        </w:tc>
        <w:tc>
          <w:tcPr>
            <w:tcW w:w="992" w:type="dxa"/>
            <w:tcBorders>
              <w:bottom w:val="single" w:sz="2" w:space="0" w:color="auto"/>
            </w:tcBorders>
          </w:tcPr>
          <w:p w14:paraId="5151ED79" w14:textId="77777777" w:rsidR="00090033" w:rsidRPr="005D0EFF" w:rsidRDefault="00090033" w:rsidP="008F58F1">
            <w:pPr>
              <w:pStyle w:val="T2"/>
              <w:jc w:val="right"/>
            </w:pPr>
            <w:r w:rsidRPr="005D0EFF">
              <w:t>£m</w:t>
            </w:r>
          </w:p>
        </w:tc>
      </w:tr>
      <w:tr w:rsidR="00090033" w14:paraId="68D8E31E" w14:textId="77777777" w:rsidTr="008F58F1">
        <w:trPr>
          <w:jc w:val="center"/>
        </w:trPr>
        <w:tc>
          <w:tcPr>
            <w:tcW w:w="6803" w:type="dxa"/>
            <w:tcBorders>
              <w:top w:val="single" w:sz="2" w:space="0" w:color="auto"/>
            </w:tcBorders>
            <w:vAlign w:val="bottom"/>
          </w:tcPr>
          <w:p w14:paraId="35BB9623" w14:textId="61E479F7" w:rsidR="00090033" w:rsidRDefault="00090033" w:rsidP="008F58F1">
            <w:pPr>
              <w:pStyle w:val="T2"/>
              <w:jc w:val="left"/>
            </w:pPr>
            <w:r>
              <w:t>Administrative expenses</w:t>
            </w:r>
          </w:p>
        </w:tc>
        <w:tc>
          <w:tcPr>
            <w:tcW w:w="992" w:type="dxa"/>
            <w:tcBorders>
              <w:top w:val="single" w:sz="2" w:space="0" w:color="auto"/>
            </w:tcBorders>
            <w:vAlign w:val="bottom"/>
          </w:tcPr>
          <w:p w14:paraId="787B932E" w14:textId="103B460A" w:rsidR="00090033" w:rsidRPr="003D355E" w:rsidRDefault="00090033" w:rsidP="008F58F1">
            <w:pPr>
              <w:pStyle w:val="T2"/>
              <w:jc w:val="right"/>
            </w:pPr>
          </w:p>
        </w:tc>
        <w:tc>
          <w:tcPr>
            <w:tcW w:w="992" w:type="dxa"/>
            <w:tcBorders>
              <w:top w:val="single" w:sz="2" w:space="0" w:color="auto"/>
            </w:tcBorders>
          </w:tcPr>
          <w:p w14:paraId="37CA3D14" w14:textId="4F5E3B4E" w:rsidR="00090033" w:rsidRPr="0097159F" w:rsidRDefault="00090033" w:rsidP="008F58F1">
            <w:pPr>
              <w:pStyle w:val="T2"/>
              <w:jc w:val="right"/>
              <w:rPr>
                <w:b/>
              </w:rPr>
            </w:pPr>
            <w:r>
              <w:rPr>
                <w:b/>
              </w:rPr>
              <w:t>(179.8)</w:t>
            </w:r>
          </w:p>
        </w:tc>
        <w:tc>
          <w:tcPr>
            <w:tcW w:w="992" w:type="dxa"/>
            <w:tcBorders>
              <w:top w:val="single" w:sz="2" w:space="0" w:color="auto"/>
            </w:tcBorders>
            <w:vAlign w:val="bottom"/>
          </w:tcPr>
          <w:p w14:paraId="6495FB5C" w14:textId="6B65FC35" w:rsidR="00090033" w:rsidRPr="004E2045" w:rsidRDefault="00CE5012" w:rsidP="008F58F1">
            <w:pPr>
              <w:pStyle w:val="T2"/>
              <w:jc w:val="right"/>
              <w:rPr>
                <w:bCs/>
              </w:rPr>
            </w:pPr>
            <w:r>
              <w:rPr>
                <w:bCs/>
              </w:rPr>
              <w:t>(155.1)</w:t>
            </w:r>
          </w:p>
        </w:tc>
      </w:tr>
      <w:tr w:rsidR="00090033" w14:paraId="36EA9EFB" w14:textId="77777777" w:rsidTr="008F58F1">
        <w:trPr>
          <w:jc w:val="center"/>
        </w:trPr>
        <w:tc>
          <w:tcPr>
            <w:tcW w:w="6803" w:type="dxa"/>
            <w:vAlign w:val="bottom"/>
          </w:tcPr>
          <w:p w14:paraId="638DE8E9" w14:textId="1155607A" w:rsidR="00090033" w:rsidRDefault="00090033" w:rsidP="008F58F1">
            <w:pPr>
              <w:pStyle w:val="T2"/>
              <w:jc w:val="left"/>
            </w:pPr>
            <w:r>
              <w:t>Distribution costs</w:t>
            </w:r>
          </w:p>
        </w:tc>
        <w:tc>
          <w:tcPr>
            <w:tcW w:w="992" w:type="dxa"/>
            <w:vAlign w:val="bottom"/>
          </w:tcPr>
          <w:p w14:paraId="562D2BE1" w14:textId="4CFAB4D0" w:rsidR="00090033" w:rsidRPr="003D355E" w:rsidRDefault="00090033" w:rsidP="008F58F1">
            <w:pPr>
              <w:pStyle w:val="T2"/>
              <w:jc w:val="right"/>
            </w:pPr>
          </w:p>
        </w:tc>
        <w:tc>
          <w:tcPr>
            <w:tcW w:w="992" w:type="dxa"/>
          </w:tcPr>
          <w:p w14:paraId="1DF92C89" w14:textId="50268729" w:rsidR="00090033" w:rsidRDefault="00090033" w:rsidP="008F58F1">
            <w:pPr>
              <w:pStyle w:val="T2"/>
              <w:jc w:val="right"/>
              <w:rPr>
                <w:b/>
              </w:rPr>
            </w:pPr>
            <w:r>
              <w:rPr>
                <w:b/>
              </w:rPr>
              <w:t>(31.2)</w:t>
            </w:r>
          </w:p>
        </w:tc>
        <w:tc>
          <w:tcPr>
            <w:tcW w:w="992" w:type="dxa"/>
            <w:vAlign w:val="bottom"/>
          </w:tcPr>
          <w:p w14:paraId="7B2E366B" w14:textId="3079CA55" w:rsidR="00090033" w:rsidRPr="007F03ED" w:rsidRDefault="00CE5012" w:rsidP="008F58F1">
            <w:pPr>
              <w:pStyle w:val="T2"/>
              <w:jc w:val="right"/>
              <w:rPr>
                <w:bCs/>
              </w:rPr>
            </w:pPr>
            <w:r>
              <w:rPr>
                <w:bCs/>
              </w:rPr>
              <w:t>(23.7)</w:t>
            </w:r>
          </w:p>
        </w:tc>
      </w:tr>
      <w:tr w:rsidR="00090033" w14:paraId="64B13311" w14:textId="77777777" w:rsidTr="008F58F1">
        <w:trPr>
          <w:jc w:val="center"/>
        </w:trPr>
        <w:tc>
          <w:tcPr>
            <w:tcW w:w="6803" w:type="dxa"/>
            <w:vAlign w:val="bottom"/>
          </w:tcPr>
          <w:p w14:paraId="61E1E39D" w14:textId="76E8A167" w:rsidR="00090033" w:rsidRDefault="00090033" w:rsidP="008F58F1">
            <w:pPr>
              <w:pStyle w:val="T2"/>
              <w:jc w:val="left"/>
            </w:pPr>
            <w:r>
              <w:t>Other operating costs</w:t>
            </w:r>
          </w:p>
        </w:tc>
        <w:tc>
          <w:tcPr>
            <w:tcW w:w="992" w:type="dxa"/>
            <w:vAlign w:val="bottom"/>
          </w:tcPr>
          <w:p w14:paraId="31E5F579" w14:textId="48F77ED5" w:rsidR="00090033" w:rsidRPr="003D355E" w:rsidRDefault="00090033" w:rsidP="008F58F1">
            <w:pPr>
              <w:pStyle w:val="T2"/>
              <w:jc w:val="right"/>
            </w:pPr>
          </w:p>
        </w:tc>
        <w:tc>
          <w:tcPr>
            <w:tcW w:w="992" w:type="dxa"/>
          </w:tcPr>
          <w:p w14:paraId="5E06EAF6" w14:textId="29381973" w:rsidR="00090033" w:rsidRDefault="00090033" w:rsidP="008F58F1">
            <w:pPr>
              <w:pStyle w:val="T2"/>
              <w:jc w:val="right"/>
              <w:rPr>
                <w:b/>
              </w:rPr>
            </w:pPr>
            <w:r>
              <w:rPr>
                <w:b/>
              </w:rPr>
              <w:t>(1.4)</w:t>
            </w:r>
          </w:p>
        </w:tc>
        <w:tc>
          <w:tcPr>
            <w:tcW w:w="992" w:type="dxa"/>
            <w:vAlign w:val="bottom"/>
          </w:tcPr>
          <w:p w14:paraId="4A70CE8F" w14:textId="262DE284" w:rsidR="00090033" w:rsidRPr="007F03ED" w:rsidRDefault="00090033" w:rsidP="008F58F1">
            <w:pPr>
              <w:pStyle w:val="T2"/>
              <w:jc w:val="right"/>
              <w:rPr>
                <w:bCs/>
              </w:rPr>
            </w:pPr>
            <w:r w:rsidRPr="007F03ED">
              <w:rPr>
                <w:bCs/>
              </w:rPr>
              <w:t>(</w:t>
            </w:r>
            <w:r w:rsidR="00CE5012">
              <w:rPr>
                <w:bCs/>
              </w:rPr>
              <w:t>5.1</w:t>
            </w:r>
            <w:r w:rsidRPr="007F03ED">
              <w:rPr>
                <w:bCs/>
              </w:rPr>
              <w:t>)</w:t>
            </w:r>
          </w:p>
        </w:tc>
      </w:tr>
      <w:tr w:rsidR="00090033" w14:paraId="226DEA95" w14:textId="77777777" w:rsidTr="008F58F1">
        <w:trPr>
          <w:jc w:val="center"/>
        </w:trPr>
        <w:tc>
          <w:tcPr>
            <w:tcW w:w="6803" w:type="dxa"/>
            <w:tcBorders>
              <w:top w:val="single" w:sz="2" w:space="0" w:color="auto"/>
            </w:tcBorders>
            <w:vAlign w:val="bottom"/>
          </w:tcPr>
          <w:p w14:paraId="69968D0A" w14:textId="519EEFF2" w:rsidR="00090033" w:rsidRPr="004B6C20" w:rsidRDefault="00090033" w:rsidP="008F58F1">
            <w:pPr>
              <w:pStyle w:val="T2"/>
              <w:jc w:val="left"/>
              <w:rPr>
                <w:b/>
                <w:bCs/>
              </w:rPr>
            </w:pPr>
            <w:r w:rsidRPr="004B6C20">
              <w:rPr>
                <w:b/>
                <w:bCs/>
              </w:rPr>
              <w:t>Total operating costs pre-exceptional, net</w:t>
            </w:r>
          </w:p>
        </w:tc>
        <w:tc>
          <w:tcPr>
            <w:tcW w:w="992" w:type="dxa"/>
            <w:tcBorders>
              <w:top w:val="single" w:sz="2" w:space="0" w:color="auto"/>
            </w:tcBorders>
            <w:vAlign w:val="bottom"/>
          </w:tcPr>
          <w:p w14:paraId="4FADAE0B" w14:textId="77777777" w:rsidR="00090033" w:rsidRPr="003D355E" w:rsidRDefault="00090033" w:rsidP="008F58F1">
            <w:pPr>
              <w:pStyle w:val="T2"/>
              <w:jc w:val="right"/>
            </w:pPr>
          </w:p>
        </w:tc>
        <w:tc>
          <w:tcPr>
            <w:tcW w:w="992" w:type="dxa"/>
            <w:tcBorders>
              <w:top w:val="single" w:sz="2" w:space="0" w:color="auto"/>
            </w:tcBorders>
          </w:tcPr>
          <w:p w14:paraId="54FACE09" w14:textId="3CBD9351" w:rsidR="00090033" w:rsidRPr="00DF6E36" w:rsidRDefault="00090033" w:rsidP="008F58F1">
            <w:pPr>
              <w:pStyle w:val="T2"/>
              <w:jc w:val="right"/>
              <w:rPr>
                <w:b/>
              </w:rPr>
            </w:pPr>
            <w:r>
              <w:rPr>
                <w:b/>
              </w:rPr>
              <w:t>(212.4)</w:t>
            </w:r>
          </w:p>
        </w:tc>
        <w:tc>
          <w:tcPr>
            <w:tcW w:w="992" w:type="dxa"/>
            <w:tcBorders>
              <w:top w:val="single" w:sz="2" w:space="0" w:color="auto"/>
            </w:tcBorders>
            <w:vAlign w:val="bottom"/>
          </w:tcPr>
          <w:p w14:paraId="34BF1AA5" w14:textId="150D8D21" w:rsidR="00090033" w:rsidRPr="007F03ED" w:rsidDel="00AA34C5" w:rsidRDefault="00CE5012" w:rsidP="008F58F1">
            <w:pPr>
              <w:pStyle w:val="T2"/>
              <w:jc w:val="right"/>
              <w:rPr>
                <w:bCs/>
              </w:rPr>
            </w:pPr>
            <w:r>
              <w:rPr>
                <w:bCs/>
              </w:rPr>
              <w:t>(183.9)</w:t>
            </w:r>
          </w:p>
        </w:tc>
      </w:tr>
      <w:tr w:rsidR="00090033" w14:paraId="72F503D9" w14:textId="77777777" w:rsidTr="008F58F1">
        <w:trPr>
          <w:jc w:val="center"/>
        </w:trPr>
        <w:tc>
          <w:tcPr>
            <w:tcW w:w="6803" w:type="dxa"/>
            <w:tcBorders>
              <w:bottom w:val="single" w:sz="2" w:space="0" w:color="auto"/>
            </w:tcBorders>
            <w:vAlign w:val="bottom"/>
          </w:tcPr>
          <w:p w14:paraId="6DCD2A45" w14:textId="020AE8F7" w:rsidR="00090033" w:rsidRPr="003D355E" w:rsidRDefault="00090033" w:rsidP="008F58F1">
            <w:pPr>
              <w:pStyle w:val="T2"/>
              <w:jc w:val="left"/>
            </w:pPr>
            <w:r>
              <w:t>E</w:t>
            </w:r>
            <w:r w:rsidRPr="003D355E">
              <w:t>xceptional items</w:t>
            </w:r>
            <w:r>
              <w:t xml:space="preserve"> (</w:t>
            </w:r>
            <w:r w:rsidR="002675EF">
              <w:t>N</w:t>
            </w:r>
            <w:r>
              <w:t>ote 5)</w:t>
            </w:r>
          </w:p>
        </w:tc>
        <w:tc>
          <w:tcPr>
            <w:tcW w:w="992" w:type="dxa"/>
            <w:tcBorders>
              <w:bottom w:val="single" w:sz="2" w:space="0" w:color="auto"/>
            </w:tcBorders>
            <w:vAlign w:val="bottom"/>
          </w:tcPr>
          <w:p w14:paraId="72DB9897" w14:textId="77777777" w:rsidR="00090033" w:rsidRPr="003D355E" w:rsidRDefault="00090033" w:rsidP="008F58F1">
            <w:pPr>
              <w:pStyle w:val="T2"/>
              <w:jc w:val="right"/>
            </w:pPr>
          </w:p>
        </w:tc>
        <w:tc>
          <w:tcPr>
            <w:tcW w:w="992" w:type="dxa"/>
            <w:tcBorders>
              <w:bottom w:val="single" w:sz="2" w:space="0" w:color="auto"/>
            </w:tcBorders>
          </w:tcPr>
          <w:p w14:paraId="6D79DF0D" w14:textId="62365D91" w:rsidR="00090033" w:rsidRPr="00DF6E36" w:rsidRDefault="00090033" w:rsidP="008F58F1">
            <w:pPr>
              <w:pStyle w:val="T2"/>
              <w:jc w:val="right"/>
              <w:rPr>
                <w:b/>
              </w:rPr>
            </w:pPr>
            <w:r>
              <w:rPr>
                <w:b/>
              </w:rPr>
              <w:t>(8.0)</w:t>
            </w:r>
          </w:p>
        </w:tc>
        <w:tc>
          <w:tcPr>
            <w:tcW w:w="992" w:type="dxa"/>
            <w:tcBorders>
              <w:bottom w:val="single" w:sz="2" w:space="0" w:color="auto"/>
            </w:tcBorders>
            <w:vAlign w:val="bottom"/>
          </w:tcPr>
          <w:p w14:paraId="776EDBD9" w14:textId="53E4F397" w:rsidR="00090033" w:rsidRPr="007F03ED" w:rsidDel="00AA34C5" w:rsidRDefault="00CE5012" w:rsidP="008F58F1">
            <w:pPr>
              <w:pStyle w:val="T2"/>
              <w:jc w:val="right"/>
              <w:rPr>
                <w:bCs/>
              </w:rPr>
            </w:pPr>
            <w:r>
              <w:rPr>
                <w:bCs/>
              </w:rPr>
              <w:t>5.7</w:t>
            </w:r>
          </w:p>
        </w:tc>
      </w:tr>
      <w:tr w:rsidR="00090033" w14:paraId="1FB8D11F" w14:textId="77777777" w:rsidTr="008F58F1">
        <w:trPr>
          <w:jc w:val="center"/>
        </w:trPr>
        <w:tc>
          <w:tcPr>
            <w:tcW w:w="6803" w:type="dxa"/>
            <w:tcBorders>
              <w:top w:val="single" w:sz="2" w:space="0" w:color="auto"/>
              <w:bottom w:val="single" w:sz="2" w:space="0" w:color="auto"/>
            </w:tcBorders>
            <w:vAlign w:val="bottom"/>
          </w:tcPr>
          <w:p w14:paraId="3CA18AF4" w14:textId="6B89998A" w:rsidR="00090033" w:rsidRPr="003D355E" w:rsidRDefault="00090033" w:rsidP="008F58F1">
            <w:pPr>
              <w:pStyle w:val="T2"/>
              <w:jc w:val="left"/>
              <w:rPr>
                <w:b/>
              </w:rPr>
            </w:pPr>
            <w:r w:rsidRPr="003D355E">
              <w:rPr>
                <w:b/>
              </w:rPr>
              <w:t xml:space="preserve">Total </w:t>
            </w:r>
            <w:r>
              <w:rPr>
                <w:b/>
              </w:rPr>
              <w:t>operating costs, net</w:t>
            </w:r>
          </w:p>
        </w:tc>
        <w:tc>
          <w:tcPr>
            <w:tcW w:w="992" w:type="dxa"/>
            <w:tcBorders>
              <w:top w:val="single" w:sz="2" w:space="0" w:color="auto"/>
              <w:bottom w:val="single" w:sz="2" w:space="0" w:color="auto"/>
            </w:tcBorders>
            <w:vAlign w:val="bottom"/>
          </w:tcPr>
          <w:p w14:paraId="1C5C7481" w14:textId="77777777" w:rsidR="00090033" w:rsidRPr="003D355E" w:rsidRDefault="00090033" w:rsidP="008F58F1">
            <w:pPr>
              <w:pStyle w:val="T2"/>
              <w:jc w:val="right"/>
            </w:pPr>
          </w:p>
        </w:tc>
        <w:tc>
          <w:tcPr>
            <w:tcW w:w="992" w:type="dxa"/>
            <w:tcBorders>
              <w:top w:val="single" w:sz="2" w:space="0" w:color="auto"/>
              <w:bottom w:val="single" w:sz="2" w:space="0" w:color="auto"/>
            </w:tcBorders>
          </w:tcPr>
          <w:p w14:paraId="21EE45BE" w14:textId="5B6AF53E" w:rsidR="00090033" w:rsidRPr="00DF6E36" w:rsidRDefault="00090033" w:rsidP="008F58F1">
            <w:pPr>
              <w:pStyle w:val="T2"/>
              <w:jc w:val="right"/>
              <w:rPr>
                <w:b/>
              </w:rPr>
            </w:pPr>
            <w:r>
              <w:rPr>
                <w:b/>
              </w:rPr>
              <w:t>(220.4)</w:t>
            </w:r>
          </w:p>
        </w:tc>
        <w:tc>
          <w:tcPr>
            <w:tcW w:w="992" w:type="dxa"/>
            <w:tcBorders>
              <w:top w:val="single" w:sz="2" w:space="0" w:color="auto"/>
              <w:bottom w:val="single" w:sz="2" w:space="0" w:color="auto"/>
            </w:tcBorders>
            <w:vAlign w:val="bottom"/>
          </w:tcPr>
          <w:p w14:paraId="4CF64B6F" w14:textId="2BB2F8CB" w:rsidR="00090033" w:rsidRPr="007F03ED" w:rsidDel="00AA34C5" w:rsidRDefault="00CE5012" w:rsidP="008F58F1">
            <w:pPr>
              <w:pStyle w:val="T2"/>
              <w:jc w:val="right"/>
              <w:rPr>
                <w:bCs/>
              </w:rPr>
            </w:pPr>
            <w:r>
              <w:rPr>
                <w:bCs/>
              </w:rPr>
              <w:t>(178.2)</w:t>
            </w:r>
          </w:p>
        </w:tc>
      </w:tr>
    </w:tbl>
    <w:p w14:paraId="69FACCD1" w14:textId="18D444FC" w:rsidR="00090033" w:rsidRDefault="00090033" w:rsidP="004359FD">
      <w:pPr>
        <w:pStyle w:val="SectionH3"/>
        <w:rPr>
          <w:b w:val="0"/>
          <w:bCs w:val="0"/>
        </w:rPr>
      </w:pPr>
    </w:p>
    <w:p w14:paraId="0C50C0F7" w14:textId="15239639" w:rsidR="006B25B9" w:rsidRPr="006132F2" w:rsidRDefault="006B25B9" w:rsidP="00CA1AE6">
      <w:pPr>
        <w:jc w:val="both"/>
        <w:rPr>
          <w:rFonts w:ascii="Calibri" w:eastAsia="Calibri" w:hAnsi="Calibri" w:cs="Arial"/>
          <w:sz w:val="18"/>
          <w:szCs w:val="18"/>
          <w:lang w:val="en-US" w:eastAsia="en-GB" w:bidi="en-GB"/>
        </w:rPr>
      </w:pPr>
      <w:r w:rsidRPr="006132F2">
        <w:rPr>
          <w:rFonts w:ascii="Calibri" w:eastAsia="Calibri" w:hAnsi="Calibri" w:cs="Arial"/>
          <w:sz w:val="18"/>
          <w:szCs w:val="18"/>
          <w:lang w:val="en-US" w:eastAsia="en-GB" w:bidi="en-GB"/>
        </w:rPr>
        <w:t xml:space="preserve">During H1 22, the Group experienced a cyber security incident which resulted in business disruption. </w:t>
      </w:r>
      <w:bookmarkStart w:id="22" w:name="_Hlk103962661"/>
      <w:r w:rsidRPr="006132F2">
        <w:rPr>
          <w:rFonts w:ascii="Calibri" w:eastAsia="Calibri" w:hAnsi="Calibri" w:cs="Arial"/>
          <w:sz w:val="18"/>
          <w:szCs w:val="18"/>
          <w:lang w:val="en-US" w:eastAsia="en-GB" w:bidi="en-GB"/>
        </w:rPr>
        <w:t>The Group responded proactively</w:t>
      </w:r>
      <w:r w:rsidR="009A4FC6" w:rsidRPr="006132F2">
        <w:rPr>
          <w:rFonts w:ascii="Calibri" w:eastAsia="Calibri" w:hAnsi="Calibri" w:cs="Arial"/>
          <w:sz w:val="18"/>
          <w:szCs w:val="18"/>
          <w:lang w:val="en-US" w:eastAsia="en-GB" w:bidi="en-GB"/>
        </w:rPr>
        <w:t>,</w:t>
      </w:r>
      <w:r w:rsidRPr="006132F2">
        <w:rPr>
          <w:rFonts w:ascii="Calibri" w:eastAsia="Calibri" w:hAnsi="Calibri" w:cs="Arial"/>
          <w:sz w:val="18"/>
          <w:szCs w:val="18"/>
          <w:lang w:val="en-US" w:eastAsia="en-GB" w:bidi="en-GB"/>
        </w:rPr>
        <w:t xml:space="preserve"> following a robust governance process for restoring </w:t>
      </w:r>
      <w:r w:rsidR="009A4FC6" w:rsidRPr="006132F2">
        <w:rPr>
          <w:rFonts w:ascii="Calibri" w:eastAsia="Calibri" w:hAnsi="Calibri" w:cs="Arial"/>
          <w:sz w:val="18"/>
          <w:szCs w:val="18"/>
          <w:lang w:val="en-US" w:eastAsia="en-GB" w:bidi="en-GB"/>
        </w:rPr>
        <w:t xml:space="preserve">the </w:t>
      </w:r>
      <w:r w:rsidRPr="006132F2">
        <w:rPr>
          <w:rFonts w:ascii="Calibri" w:eastAsia="Calibri" w:hAnsi="Calibri" w:cs="Arial"/>
          <w:sz w:val="18"/>
          <w:szCs w:val="18"/>
          <w:lang w:val="en-US" w:eastAsia="en-GB" w:bidi="en-GB"/>
        </w:rPr>
        <w:t>IT systems and applications used by the business in a secure manner</w:t>
      </w:r>
      <w:r w:rsidR="009A4FC6" w:rsidRPr="006132F2">
        <w:rPr>
          <w:rFonts w:ascii="Calibri" w:eastAsia="Calibri" w:hAnsi="Calibri" w:cs="Arial"/>
          <w:sz w:val="18"/>
          <w:szCs w:val="18"/>
          <w:lang w:val="en-US" w:eastAsia="en-GB" w:bidi="en-GB"/>
        </w:rPr>
        <w:t>.</w:t>
      </w:r>
      <w:r w:rsidRPr="006132F2">
        <w:rPr>
          <w:rFonts w:ascii="Calibri" w:eastAsia="Calibri" w:hAnsi="Calibri" w:cs="Arial"/>
          <w:sz w:val="18"/>
          <w:szCs w:val="18"/>
          <w:lang w:val="en-US" w:eastAsia="en-GB" w:bidi="en-GB"/>
        </w:rPr>
        <w:t xml:space="preserve"> </w:t>
      </w:r>
      <w:r w:rsidR="00B8267F" w:rsidRPr="006132F2">
        <w:rPr>
          <w:rFonts w:ascii="Calibri" w:eastAsia="Calibri" w:hAnsi="Calibri" w:cs="Arial"/>
          <w:sz w:val="18"/>
          <w:szCs w:val="18"/>
          <w:lang w:val="en-US" w:eastAsia="en-GB" w:bidi="en-GB"/>
        </w:rPr>
        <w:t xml:space="preserve">All systems were fully </w:t>
      </w:r>
      <w:r w:rsidR="009A4FC6" w:rsidRPr="006132F2">
        <w:rPr>
          <w:rFonts w:ascii="Calibri" w:eastAsia="Calibri" w:hAnsi="Calibri" w:cs="Arial"/>
          <w:sz w:val="18"/>
          <w:szCs w:val="18"/>
          <w:lang w:val="en-US" w:eastAsia="en-GB" w:bidi="en-GB"/>
        </w:rPr>
        <w:t xml:space="preserve">and securely </w:t>
      </w:r>
      <w:r w:rsidR="00B8267F" w:rsidRPr="006132F2">
        <w:rPr>
          <w:rFonts w:ascii="Calibri" w:eastAsia="Calibri" w:hAnsi="Calibri" w:cs="Arial"/>
          <w:sz w:val="18"/>
          <w:szCs w:val="18"/>
          <w:lang w:val="en-US" w:eastAsia="en-GB" w:bidi="en-GB"/>
        </w:rPr>
        <w:t>restored and all</w:t>
      </w:r>
      <w:r w:rsidRPr="006132F2">
        <w:rPr>
          <w:rFonts w:ascii="Calibri" w:eastAsia="Calibri" w:hAnsi="Calibri" w:cs="Arial"/>
          <w:sz w:val="18"/>
          <w:szCs w:val="18"/>
          <w:lang w:val="en-US" w:eastAsia="en-GB" w:bidi="en-GB"/>
        </w:rPr>
        <w:t xml:space="preserve"> relevant authorities in</w:t>
      </w:r>
      <w:r w:rsidR="00B8267F" w:rsidRPr="006132F2">
        <w:rPr>
          <w:rFonts w:ascii="Calibri" w:eastAsia="Calibri" w:hAnsi="Calibri" w:cs="Arial"/>
          <w:sz w:val="18"/>
          <w:szCs w:val="18"/>
          <w:lang w:val="en-US" w:eastAsia="en-GB" w:bidi="en-GB"/>
        </w:rPr>
        <w:t xml:space="preserve"> each principal jurisdiction, being the UK and Ireland, were notified in</w:t>
      </w:r>
      <w:r w:rsidRPr="006132F2">
        <w:rPr>
          <w:rFonts w:ascii="Calibri" w:eastAsia="Calibri" w:hAnsi="Calibri" w:cs="Arial"/>
          <w:sz w:val="18"/>
          <w:szCs w:val="18"/>
          <w:lang w:val="en-US" w:eastAsia="en-GB" w:bidi="en-GB"/>
        </w:rPr>
        <w:t xml:space="preserve"> relation</w:t>
      </w:r>
      <w:r w:rsidR="009A4FC6" w:rsidRPr="006132F2">
        <w:rPr>
          <w:rFonts w:ascii="Calibri" w:eastAsia="Calibri" w:hAnsi="Calibri" w:cs="Arial"/>
          <w:sz w:val="18"/>
          <w:szCs w:val="18"/>
          <w:lang w:val="en-US" w:eastAsia="en-GB" w:bidi="en-GB"/>
        </w:rPr>
        <w:t xml:space="preserve"> to</w:t>
      </w:r>
      <w:r w:rsidRPr="006132F2">
        <w:rPr>
          <w:rFonts w:ascii="Calibri" w:eastAsia="Calibri" w:hAnsi="Calibri" w:cs="Arial"/>
          <w:sz w:val="18"/>
          <w:szCs w:val="18"/>
          <w:lang w:val="en-US" w:eastAsia="en-GB" w:bidi="en-GB"/>
        </w:rPr>
        <w:t xml:space="preserve"> </w:t>
      </w:r>
      <w:r w:rsidR="00B8267F" w:rsidRPr="006132F2">
        <w:rPr>
          <w:rFonts w:ascii="Calibri" w:eastAsia="Calibri" w:hAnsi="Calibri" w:cs="Arial"/>
          <w:sz w:val="18"/>
          <w:szCs w:val="18"/>
          <w:lang w:val="en-US" w:eastAsia="en-GB" w:bidi="en-GB"/>
        </w:rPr>
        <w:t>the incident</w:t>
      </w:r>
      <w:r w:rsidRPr="006132F2">
        <w:rPr>
          <w:rFonts w:ascii="Calibri" w:eastAsia="Calibri" w:hAnsi="Calibri" w:cs="Arial"/>
          <w:sz w:val="18"/>
          <w:szCs w:val="18"/>
          <w:lang w:val="en-US" w:eastAsia="en-GB" w:bidi="en-GB"/>
        </w:rPr>
        <w:t xml:space="preserve">. </w:t>
      </w:r>
      <w:bookmarkEnd w:id="22"/>
      <w:r w:rsidRPr="006132F2">
        <w:rPr>
          <w:rFonts w:ascii="Calibri" w:eastAsia="Calibri" w:hAnsi="Calibri" w:cs="Arial"/>
          <w:sz w:val="18"/>
          <w:szCs w:val="18"/>
          <w:lang w:val="en-US" w:eastAsia="en-GB" w:bidi="en-GB"/>
        </w:rPr>
        <w:t>The Group has recognised net costs of £2.6m in connection with the incident at H1 FY22 (H1 FY21: £nil).</w:t>
      </w:r>
    </w:p>
    <w:p w14:paraId="22674925" w14:textId="1146CA92" w:rsidR="00090033" w:rsidRDefault="00090033">
      <w:pPr>
        <w:pStyle w:val="SectionH3"/>
        <w:rPr>
          <w:b w:val="0"/>
          <w:bCs w:val="0"/>
        </w:rPr>
      </w:pPr>
      <w:r>
        <w:rPr>
          <w:b w:val="0"/>
          <w:bCs w:val="0"/>
        </w:rPr>
        <w:t>In the current period, the Group has recognised costs relating to research and development of £3.4m (H1 21: £3.6m).</w:t>
      </w:r>
    </w:p>
    <w:p w14:paraId="3DE613FB" w14:textId="63D60FEA" w:rsidR="003176F7" w:rsidRDefault="00090033">
      <w:pPr>
        <w:pStyle w:val="SectionH3"/>
        <w:rPr>
          <w:b w:val="0"/>
          <w:bCs w:val="0"/>
        </w:rPr>
      </w:pPr>
      <w:r>
        <w:rPr>
          <w:b w:val="0"/>
          <w:bCs w:val="0"/>
        </w:rPr>
        <w:t>In the prior period, the Group furloughed a number of employees across the its sites for varying periods of time, availing of the Coronavirus Job Retention Scheme and received amounts of £8.7m, part of which had been recognised within operating costs above. There was no similar claim made or recognised in the current period.</w:t>
      </w:r>
    </w:p>
    <w:p w14:paraId="5AFA0346" w14:textId="77777777" w:rsidR="002675EF" w:rsidRPr="004359FD" w:rsidRDefault="002675EF" w:rsidP="004359FD">
      <w:pPr>
        <w:pStyle w:val="SectionH3"/>
        <w:rPr>
          <w:b w:val="0"/>
          <w:bCs w:val="0"/>
        </w:rPr>
      </w:pPr>
    </w:p>
    <w:p w14:paraId="0FC2062E" w14:textId="04EE6184" w:rsidR="00773F7B" w:rsidRDefault="002675EF" w:rsidP="005B3BEE">
      <w:pPr>
        <w:pStyle w:val="SectionH3"/>
      </w:pPr>
      <w:r>
        <w:t>5</w:t>
      </w:r>
      <w:r w:rsidR="00773F7B">
        <w:t>.</w:t>
      </w:r>
      <w:r w:rsidR="00371831">
        <w:tab/>
      </w:r>
      <w:r w:rsidR="00773F7B" w:rsidRPr="003D355E">
        <w:t>Exceptional Items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3"/>
        <w:gridCol w:w="992"/>
        <w:gridCol w:w="992"/>
        <w:gridCol w:w="992"/>
      </w:tblGrid>
      <w:tr w:rsidR="00773F7B" w14:paraId="143F0162" w14:textId="77777777" w:rsidTr="001F1616">
        <w:trPr>
          <w:jc w:val="center"/>
        </w:trPr>
        <w:tc>
          <w:tcPr>
            <w:tcW w:w="6803" w:type="dxa"/>
            <w:vAlign w:val="bottom"/>
          </w:tcPr>
          <w:p w14:paraId="2173D95F" w14:textId="7F54E310" w:rsidR="00773F7B" w:rsidRPr="003D355E" w:rsidRDefault="00773F7B" w:rsidP="00773F7B">
            <w:pPr>
              <w:pStyle w:val="T2"/>
              <w:jc w:val="left"/>
            </w:pPr>
          </w:p>
        </w:tc>
        <w:tc>
          <w:tcPr>
            <w:tcW w:w="992" w:type="dxa"/>
            <w:vAlign w:val="bottom"/>
          </w:tcPr>
          <w:p w14:paraId="7466D000" w14:textId="77777777" w:rsidR="00773F7B" w:rsidRPr="003D355E" w:rsidRDefault="00773F7B" w:rsidP="00773F7B">
            <w:pPr>
              <w:pStyle w:val="T2"/>
              <w:jc w:val="right"/>
            </w:pPr>
          </w:p>
        </w:tc>
        <w:tc>
          <w:tcPr>
            <w:tcW w:w="992" w:type="dxa"/>
            <w:vAlign w:val="bottom"/>
          </w:tcPr>
          <w:p w14:paraId="27467C93" w14:textId="5105AF03" w:rsidR="00773F7B" w:rsidRPr="003D355E" w:rsidRDefault="004F400F" w:rsidP="00773F7B">
            <w:pPr>
              <w:pStyle w:val="T2"/>
              <w:jc w:val="right"/>
              <w:rPr>
                <w:b/>
              </w:rPr>
            </w:pPr>
            <w:r>
              <w:rPr>
                <w:b/>
              </w:rPr>
              <w:t xml:space="preserve">Half Year </w:t>
            </w:r>
            <w:r w:rsidR="008A4891">
              <w:rPr>
                <w:b/>
              </w:rPr>
              <w:t>2022</w:t>
            </w:r>
          </w:p>
        </w:tc>
        <w:tc>
          <w:tcPr>
            <w:tcW w:w="992" w:type="dxa"/>
          </w:tcPr>
          <w:p w14:paraId="5625CE85" w14:textId="77777777" w:rsidR="00773F7B" w:rsidRPr="005D0EFF" w:rsidRDefault="00773F7B" w:rsidP="00773F7B">
            <w:pPr>
              <w:pStyle w:val="T2"/>
              <w:jc w:val="right"/>
            </w:pPr>
            <w:r w:rsidRPr="005D0EFF">
              <w:t xml:space="preserve">Half Year </w:t>
            </w:r>
          </w:p>
          <w:p w14:paraId="0370AA39" w14:textId="141B61B3" w:rsidR="00773F7B" w:rsidRDefault="00773F7B" w:rsidP="004F400F">
            <w:pPr>
              <w:pStyle w:val="T2"/>
              <w:jc w:val="right"/>
              <w:rPr>
                <w:b/>
              </w:rPr>
            </w:pPr>
            <w:r w:rsidRPr="005D0EFF">
              <w:t>20</w:t>
            </w:r>
            <w:r w:rsidR="004F400F">
              <w:t>2</w:t>
            </w:r>
            <w:r w:rsidR="001E60FF">
              <w:t>1</w:t>
            </w:r>
          </w:p>
        </w:tc>
      </w:tr>
      <w:tr w:rsidR="00773F7B" w14:paraId="7527D305" w14:textId="77777777" w:rsidTr="004E2045">
        <w:trPr>
          <w:jc w:val="center"/>
        </w:trPr>
        <w:tc>
          <w:tcPr>
            <w:tcW w:w="6803" w:type="dxa"/>
            <w:tcBorders>
              <w:bottom w:val="single" w:sz="2" w:space="0" w:color="auto"/>
            </w:tcBorders>
            <w:vAlign w:val="bottom"/>
          </w:tcPr>
          <w:p w14:paraId="5024DAAD" w14:textId="15DBF839" w:rsidR="00773F7B" w:rsidRPr="003D355E" w:rsidRDefault="00773F7B" w:rsidP="00773F7B">
            <w:pPr>
              <w:pStyle w:val="T2"/>
              <w:jc w:val="left"/>
            </w:pPr>
          </w:p>
        </w:tc>
        <w:tc>
          <w:tcPr>
            <w:tcW w:w="992" w:type="dxa"/>
            <w:tcBorders>
              <w:bottom w:val="single" w:sz="2" w:space="0" w:color="auto"/>
            </w:tcBorders>
            <w:vAlign w:val="bottom"/>
          </w:tcPr>
          <w:p w14:paraId="30E60307" w14:textId="77777777" w:rsidR="00773F7B" w:rsidRPr="003D355E" w:rsidRDefault="00773F7B" w:rsidP="00773F7B">
            <w:pPr>
              <w:pStyle w:val="T2"/>
              <w:jc w:val="right"/>
            </w:pPr>
          </w:p>
        </w:tc>
        <w:tc>
          <w:tcPr>
            <w:tcW w:w="992" w:type="dxa"/>
            <w:tcBorders>
              <w:bottom w:val="single" w:sz="2" w:space="0" w:color="auto"/>
            </w:tcBorders>
            <w:vAlign w:val="bottom"/>
          </w:tcPr>
          <w:p w14:paraId="030EF7C4" w14:textId="77777777" w:rsidR="00773F7B" w:rsidRPr="003D355E" w:rsidRDefault="00773F7B" w:rsidP="00773F7B">
            <w:pPr>
              <w:pStyle w:val="T2"/>
              <w:jc w:val="right"/>
              <w:rPr>
                <w:b/>
              </w:rPr>
            </w:pPr>
            <w:r w:rsidRPr="003D355E">
              <w:rPr>
                <w:b/>
              </w:rPr>
              <w:t>£m</w:t>
            </w:r>
          </w:p>
        </w:tc>
        <w:tc>
          <w:tcPr>
            <w:tcW w:w="992" w:type="dxa"/>
            <w:tcBorders>
              <w:bottom w:val="single" w:sz="2" w:space="0" w:color="auto"/>
            </w:tcBorders>
          </w:tcPr>
          <w:p w14:paraId="7043D3F8" w14:textId="77777777" w:rsidR="00773F7B" w:rsidRPr="005D0EFF" w:rsidRDefault="00773F7B" w:rsidP="00773F7B">
            <w:pPr>
              <w:pStyle w:val="T2"/>
              <w:jc w:val="right"/>
            </w:pPr>
            <w:r w:rsidRPr="005D0EFF">
              <w:t>£m</w:t>
            </w:r>
          </w:p>
        </w:tc>
      </w:tr>
      <w:tr w:rsidR="004E2045" w14:paraId="7DD88A18" w14:textId="77777777" w:rsidTr="0098421D">
        <w:trPr>
          <w:jc w:val="center"/>
        </w:trPr>
        <w:tc>
          <w:tcPr>
            <w:tcW w:w="6803" w:type="dxa"/>
            <w:tcBorders>
              <w:top w:val="single" w:sz="2" w:space="0" w:color="auto"/>
            </w:tcBorders>
            <w:vAlign w:val="bottom"/>
          </w:tcPr>
          <w:p w14:paraId="7D6691D6" w14:textId="08BD3D43" w:rsidR="004E2045" w:rsidRDefault="00385EA9" w:rsidP="004E2045">
            <w:pPr>
              <w:pStyle w:val="T2"/>
              <w:jc w:val="left"/>
            </w:pPr>
            <w:r>
              <w:t>Reorganisation</w:t>
            </w:r>
            <w:r w:rsidR="004E2045">
              <w:t xml:space="preserve"> costs</w:t>
            </w:r>
          </w:p>
        </w:tc>
        <w:tc>
          <w:tcPr>
            <w:tcW w:w="992" w:type="dxa"/>
            <w:tcBorders>
              <w:top w:val="single" w:sz="2" w:space="0" w:color="auto"/>
            </w:tcBorders>
            <w:vAlign w:val="bottom"/>
          </w:tcPr>
          <w:p w14:paraId="62F5B0DB" w14:textId="4D39E7EC" w:rsidR="004E2045" w:rsidRPr="003D355E" w:rsidRDefault="004E2045" w:rsidP="004E2045">
            <w:pPr>
              <w:pStyle w:val="T2"/>
              <w:jc w:val="right"/>
            </w:pPr>
            <w:r w:rsidRPr="003D355E">
              <w:t>(a)</w:t>
            </w:r>
          </w:p>
        </w:tc>
        <w:tc>
          <w:tcPr>
            <w:tcW w:w="992" w:type="dxa"/>
            <w:tcBorders>
              <w:top w:val="single" w:sz="2" w:space="0" w:color="auto"/>
            </w:tcBorders>
          </w:tcPr>
          <w:p w14:paraId="068EB3FA" w14:textId="0653A2F0" w:rsidR="004E2045" w:rsidRPr="0097159F" w:rsidRDefault="004E2045" w:rsidP="004E2045">
            <w:pPr>
              <w:pStyle w:val="T2"/>
              <w:jc w:val="right"/>
              <w:rPr>
                <w:b/>
              </w:rPr>
            </w:pPr>
            <w:r>
              <w:rPr>
                <w:b/>
              </w:rPr>
              <w:t>(8.0)</w:t>
            </w:r>
          </w:p>
        </w:tc>
        <w:tc>
          <w:tcPr>
            <w:tcW w:w="992" w:type="dxa"/>
            <w:tcBorders>
              <w:top w:val="single" w:sz="2" w:space="0" w:color="auto"/>
            </w:tcBorders>
            <w:vAlign w:val="bottom"/>
          </w:tcPr>
          <w:p w14:paraId="2B9B3F4F" w14:textId="495CDF0B" w:rsidR="004E2045" w:rsidRPr="004E2045" w:rsidRDefault="004E2045" w:rsidP="004E2045">
            <w:pPr>
              <w:pStyle w:val="T2"/>
              <w:jc w:val="right"/>
              <w:rPr>
                <w:bCs/>
              </w:rPr>
            </w:pPr>
            <w:r w:rsidRPr="004E2045">
              <w:rPr>
                <w:bCs/>
              </w:rPr>
              <w:t>–</w:t>
            </w:r>
          </w:p>
        </w:tc>
      </w:tr>
      <w:tr w:rsidR="004E2045" w14:paraId="1C93F911" w14:textId="77777777" w:rsidTr="004E2045">
        <w:trPr>
          <w:jc w:val="center"/>
        </w:trPr>
        <w:tc>
          <w:tcPr>
            <w:tcW w:w="6803" w:type="dxa"/>
            <w:vAlign w:val="bottom"/>
          </w:tcPr>
          <w:p w14:paraId="13D75663" w14:textId="74BC0B74" w:rsidR="004E2045" w:rsidRDefault="004E2045" w:rsidP="004E2045">
            <w:pPr>
              <w:pStyle w:val="T2"/>
              <w:jc w:val="left"/>
            </w:pPr>
            <w:r>
              <w:t>Profit on disposal of Molasses trading businesses</w:t>
            </w:r>
          </w:p>
        </w:tc>
        <w:tc>
          <w:tcPr>
            <w:tcW w:w="992" w:type="dxa"/>
            <w:vAlign w:val="bottom"/>
          </w:tcPr>
          <w:p w14:paraId="4719D946" w14:textId="605EE13A" w:rsidR="004E2045" w:rsidRPr="003D355E" w:rsidRDefault="004E2045" w:rsidP="004E2045">
            <w:pPr>
              <w:pStyle w:val="T2"/>
              <w:jc w:val="right"/>
            </w:pPr>
            <w:r>
              <w:t>(b)</w:t>
            </w:r>
          </w:p>
        </w:tc>
        <w:tc>
          <w:tcPr>
            <w:tcW w:w="992" w:type="dxa"/>
          </w:tcPr>
          <w:p w14:paraId="45B12CF1" w14:textId="5FA04051" w:rsidR="004E2045" w:rsidRDefault="004E2045" w:rsidP="004E2045">
            <w:pPr>
              <w:pStyle w:val="T2"/>
              <w:jc w:val="right"/>
              <w:rPr>
                <w:b/>
              </w:rPr>
            </w:pPr>
            <w:r w:rsidRPr="0097159F">
              <w:rPr>
                <w:b/>
              </w:rPr>
              <w:t>–</w:t>
            </w:r>
          </w:p>
        </w:tc>
        <w:tc>
          <w:tcPr>
            <w:tcW w:w="992" w:type="dxa"/>
            <w:vAlign w:val="bottom"/>
          </w:tcPr>
          <w:p w14:paraId="39160393" w14:textId="731BEE67" w:rsidR="004E2045" w:rsidRPr="007F03ED" w:rsidRDefault="004E2045" w:rsidP="004E2045">
            <w:pPr>
              <w:pStyle w:val="T2"/>
              <w:jc w:val="right"/>
              <w:rPr>
                <w:bCs/>
              </w:rPr>
            </w:pPr>
            <w:r w:rsidRPr="007F03ED">
              <w:rPr>
                <w:bCs/>
              </w:rPr>
              <w:t>11.3</w:t>
            </w:r>
          </w:p>
        </w:tc>
      </w:tr>
      <w:tr w:rsidR="004E2045" w14:paraId="112F2E61" w14:textId="77777777" w:rsidTr="0098421D">
        <w:trPr>
          <w:jc w:val="center"/>
        </w:trPr>
        <w:tc>
          <w:tcPr>
            <w:tcW w:w="6803" w:type="dxa"/>
            <w:vAlign w:val="bottom"/>
          </w:tcPr>
          <w:p w14:paraId="73C6D2C5" w14:textId="2D6C2FDB" w:rsidR="004E2045" w:rsidRDefault="004E2045" w:rsidP="004E2045">
            <w:pPr>
              <w:pStyle w:val="T2"/>
              <w:jc w:val="left"/>
            </w:pPr>
            <w:r>
              <w:t>Defined benefit pension schemes restructuring</w:t>
            </w:r>
          </w:p>
        </w:tc>
        <w:tc>
          <w:tcPr>
            <w:tcW w:w="992" w:type="dxa"/>
            <w:vAlign w:val="bottom"/>
          </w:tcPr>
          <w:p w14:paraId="2D90C85A" w14:textId="3B0BFC74" w:rsidR="004E2045" w:rsidRPr="003D355E" w:rsidRDefault="004E2045" w:rsidP="004E2045">
            <w:pPr>
              <w:pStyle w:val="T2"/>
              <w:jc w:val="right"/>
            </w:pPr>
            <w:r>
              <w:t>(c)</w:t>
            </w:r>
          </w:p>
        </w:tc>
        <w:tc>
          <w:tcPr>
            <w:tcW w:w="992" w:type="dxa"/>
          </w:tcPr>
          <w:p w14:paraId="2662F70B" w14:textId="5090FFEC" w:rsidR="004E2045" w:rsidRDefault="004E2045" w:rsidP="004E2045">
            <w:pPr>
              <w:pStyle w:val="T2"/>
              <w:jc w:val="right"/>
              <w:rPr>
                <w:b/>
              </w:rPr>
            </w:pPr>
            <w:r w:rsidRPr="0097159F">
              <w:rPr>
                <w:b/>
              </w:rPr>
              <w:t>–</w:t>
            </w:r>
          </w:p>
        </w:tc>
        <w:tc>
          <w:tcPr>
            <w:tcW w:w="992" w:type="dxa"/>
            <w:vAlign w:val="bottom"/>
          </w:tcPr>
          <w:p w14:paraId="3DAC2C60" w14:textId="3DEA5E45" w:rsidR="004E2045" w:rsidRPr="007F03ED" w:rsidRDefault="004E2045" w:rsidP="004E2045">
            <w:pPr>
              <w:pStyle w:val="T2"/>
              <w:jc w:val="right"/>
              <w:rPr>
                <w:bCs/>
              </w:rPr>
            </w:pPr>
            <w:r w:rsidRPr="007F03ED">
              <w:rPr>
                <w:bCs/>
              </w:rPr>
              <w:t>(2.6)</w:t>
            </w:r>
          </w:p>
        </w:tc>
      </w:tr>
      <w:tr w:rsidR="007F03ED" w14:paraId="6FFBC955" w14:textId="77777777" w:rsidTr="00E14D65">
        <w:trPr>
          <w:jc w:val="center"/>
        </w:trPr>
        <w:tc>
          <w:tcPr>
            <w:tcW w:w="6803" w:type="dxa"/>
            <w:vAlign w:val="bottom"/>
          </w:tcPr>
          <w:p w14:paraId="5A12E7FF" w14:textId="118B363A" w:rsidR="007F03ED" w:rsidRDefault="007F03ED" w:rsidP="007F03ED">
            <w:pPr>
              <w:pStyle w:val="T2"/>
              <w:jc w:val="left"/>
            </w:pPr>
            <w:r>
              <w:t>Legacy businesses provisions</w:t>
            </w:r>
          </w:p>
        </w:tc>
        <w:tc>
          <w:tcPr>
            <w:tcW w:w="992" w:type="dxa"/>
            <w:vAlign w:val="bottom"/>
          </w:tcPr>
          <w:p w14:paraId="225B1AA6" w14:textId="2B30FC2F" w:rsidR="007F03ED" w:rsidRDefault="007F03ED" w:rsidP="007F03ED">
            <w:pPr>
              <w:pStyle w:val="T2"/>
              <w:jc w:val="right"/>
            </w:pPr>
            <w:r>
              <w:t>(</w:t>
            </w:r>
            <w:r w:rsidR="004E2045">
              <w:t>d</w:t>
            </w:r>
            <w:r>
              <w:t>)</w:t>
            </w:r>
          </w:p>
        </w:tc>
        <w:tc>
          <w:tcPr>
            <w:tcW w:w="992" w:type="dxa"/>
          </w:tcPr>
          <w:p w14:paraId="1C1A1332" w14:textId="3250D20F" w:rsidR="007F03ED" w:rsidRPr="00E42E88" w:rsidRDefault="007F03ED" w:rsidP="007F03ED">
            <w:pPr>
              <w:pStyle w:val="T2"/>
              <w:jc w:val="right"/>
              <w:rPr>
                <w:b/>
              </w:rPr>
            </w:pPr>
            <w:r w:rsidRPr="0097159F">
              <w:rPr>
                <w:b/>
              </w:rPr>
              <w:t>–</w:t>
            </w:r>
          </w:p>
        </w:tc>
        <w:tc>
          <w:tcPr>
            <w:tcW w:w="992" w:type="dxa"/>
          </w:tcPr>
          <w:p w14:paraId="2F5F242E" w14:textId="27EF8D6F" w:rsidR="007F03ED" w:rsidRPr="007F03ED" w:rsidRDefault="007F03ED" w:rsidP="007F03ED">
            <w:pPr>
              <w:pStyle w:val="T2"/>
              <w:jc w:val="right"/>
              <w:rPr>
                <w:bCs/>
              </w:rPr>
            </w:pPr>
            <w:r w:rsidRPr="007F03ED">
              <w:rPr>
                <w:bCs/>
              </w:rPr>
              <w:t>1.0</w:t>
            </w:r>
          </w:p>
        </w:tc>
      </w:tr>
      <w:tr w:rsidR="007F03ED" w14:paraId="27A8B1E7" w14:textId="77777777" w:rsidTr="0098421D">
        <w:trPr>
          <w:jc w:val="center"/>
        </w:trPr>
        <w:tc>
          <w:tcPr>
            <w:tcW w:w="6803" w:type="dxa"/>
            <w:tcBorders>
              <w:top w:val="single" w:sz="2" w:space="0" w:color="auto"/>
            </w:tcBorders>
            <w:vAlign w:val="bottom"/>
          </w:tcPr>
          <w:p w14:paraId="3BC8E32E" w14:textId="431C5122" w:rsidR="007F03ED" w:rsidRPr="003D355E" w:rsidRDefault="007F03ED" w:rsidP="007F03ED">
            <w:pPr>
              <w:pStyle w:val="T2"/>
              <w:jc w:val="left"/>
            </w:pPr>
          </w:p>
        </w:tc>
        <w:tc>
          <w:tcPr>
            <w:tcW w:w="992" w:type="dxa"/>
            <w:tcBorders>
              <w:top w:val="single" w:sz="2" w:space="0" w:color="auto"/>
            </w:tcBorders>
            <w:vAlign w:val="bottom"/>
          </w:tcPr>
          <w:p w14:paraId="24C0424A" w14:textId="77777777" w:rsidR="007F03ED" w:rsidRPr="003D355E" w:rsidRDefault="007F03ED" w:rsidP="007F03ED">
            <w:pPr>
              <w:pStyle w:val="T2"/>
              <w:jc w:val="right"/>
            </w:pPr>
          </w:p>
        </w:tc>
        <w:tc>
          <w:tcPr>
            <w:tcW w:w="992" w:type="dxa"/>
            <w:tcBorders>
              <w:top w:val="single" w:sz="2" w:space="0" w:color="auto"/>
            </w:tcBorders>
          </w:tcPr>
          <w:p w14:paraId="7EBBDDE8" w14:textId="076AB709" w:rsidR="007F03ED" w:rsidRPr="00DF6E36" w:rsidRDefault="001E60FF" w:rsidP="007F03ED">
            <w:pPr>
              <w:pStyle w:val="T2"/>
              <w:jc w:val="right"/>
              <w:rPr>
                <w:b/>
              </w:rPr>
            </w:pPr>
            <w:r>
              <w:rPr>
                <w:b/>
              </w:rPr>
              <w:t>(8.0)</w:t>
            </w:r>
          </w:p>
        </w:tc>
        <w:tc>
          <w:tcPr>
            <w:tcW w:w="992" w:type="dxa"/>
            <w:tcBorders>
              <w:top w:val="single" w:sz="2" w:space="0" w:color="auto"/>
            </w:tcBorders>
            <w:vAlign w:val="bottom"/>
          </w:tcPr>
          <w:p w14:paraId="083D02FF" w14:textId="7193D495" w:rsidR="007F03ED" w:rsidRPr="007F03ED" w:rsidDel="00AA34C5" w:rsidRDefault="007F03ED" w:rsidP="007F03ED">
            <w:pPr>
              <w:pStyle w:val="T2"/>
              <w:jc w:val="right"/>
              <w:rPr>
                <w:bCs/>
              </w:rPr>
            </w:pPr>
            <w:r w:rsidRPr="007F03ED">
              <w:rPr>
                <w:bCs/>
              </w:rPr>
              <w:t>9.7</w:t>
            </w:r>
          </w:p>
        </w:tc>
      </w:tr>
      <w:tr w:rsidR="007F03ED" w14:paraId="5F3746A3" w14:textId="77777777" w:rsidTr="0098421D">
        <w:trPr>
          <w:jc w:val="center"/>
        </w:trPr>
        <w:tc>
          <w:tcPr>
            <w:tcW w:w="6803" w:type="dxa"/>
            <w:tcBorders>
              <w:bottom w:val="single" w:sz="2" w:space="0" w:color="auto"/>
            </w:tcBorders>
            <w:vAlign w:val="bottom"/>
          </w:tcPr>
          <w:p w14:paraId="0DBDA66A" w14:textId="6C5979EF" w:rsidR="007F03ED" w:rsidRPr="003D355E" w:rsidRDefault="007F03ED" w:rsidP="007F03ED">
            <w:pPr>
              <w:pStyle w:val="T2"/>
              <w:jc w:val="left"/>
            </w:pPr>
            <w:r w:rsidRPr="003D355E">
              <w:t>Tax credit on exceptional items</w:t>
            </w:r>
          </w:p>
        </w:tc>
        <w:tc>
          <w:tcPr>
            <w:tcW w:w="992" w:type="dxa"/>
            <w:tcBorders>
              <w:bottom w:val="single" w:sz="2" w:space="0" w:color="auto"/>
            </w:tcBorders>
            <w:vAlign w:val="bottom"/>
          </w:tcPr>
          <w:p w14:paraId="3FA5EC87" w14:textId="77777777" w:rsidR="007F03ED" w:rsidRPr="003D355E" w:rsidRDefault="007F03ED" w:rsidP="007F03ED">
            <w:pPr>
              <w:pStyle w:val="T2"/>
              <w:jc w:val="right"/>
            </w:pPr>
          </w:p>
        </w:tc>
        <w:tc>
          <w:tcPr>
            <w:tcW w:w="992" w:type="dxa"/>
            <w:tcBorders>
              <w:bottom w:val="single" w:sz="2" w:space="0" w:color="auto"/>
            </w:tcBorders>
          </w:tcPr>
          <w:p w14:paraId="5B6FBD79" w14:textId="33AD0126" w:rsidR="007F03ED" w:rsidRPr="00DF6E36" w:rsidRDefault="001E60FF" w:rsidP="007F03ED">
            <w:pPr>
              <w:pStyle w:val="T2"/>
              <w:jc w:val="right"/>
              <w:rPr>
                <w:b/>
              </w:rPr>
            </w:pPr>
            <w:r>
              <w:rPr>
                <w:b/>
              </w:rPr>
              <w:t>1.5</w:t>
            </w:r>
          </w:p>
        </w:tc>
        <w:tc>
          <w:tcPr>
            <w:tcW w:w="992" w:type="dxa"/>
            <w:tcBorders>
              <w:bottom w:val="single" w:sz="2" w:space="0" w:color="auto"/>
            </w:tcBorders>
            <w:vAlign w:val="bottom"/>
          </w:tcPr>
          <w:p w14:paraId="68C4C144" w14:textId="31A92A74" w:rsidR="007F03ED" w:rsidRPr="007F03ED" w:rsidDel="00AA34C5" w:rsidRDefault="007F03ED" w:rsidP="007F03ED">
            <w:pPr>
              <w:pStyle w:val="T2"/>
              <w:jc w:val="right"/>
              <w:rPr>
                <w:bCs/>
              </w:rPr>
            </w:pPr>
            <w:r w:rsidRPr="007F03ED">
              <w:rPr>
                <w:bCs/>
              </w:rPr>
              <w:t>0.2</w:t>
            </w:r>
          </w:p>
        </w:tc>
      </w:tr>
      <w:tr w:rsidR="007F03ED" w14:paraId="0DB61ADD" w14:textId="77777777" w:rsidTr="0098421D">
        <w:trPr>
          <w:jc w:val="center"/>
        </w:trPr>
        <w:tc>
          <w:tcPr>
            <w:tcW w:w="6803" w:type="dxa"/>
            <w:tcBorders>
              <w:top w:val="single" w:sz="2" w:space="0" w:color="auto"/>
              <w:bottom w:val="single" w:sz="2" w:space="0" w:color="auto"/>
            </w:tcBorders>
            <w:vAlign w:val="bottom"/>
          </w:tcPr>
          <w:p w14:paraId="669DBB7F" w14:textId="3A691598" w:rsidR="007F03ED" w:rsidRPr="003D355E" w:rsidRDefault="007F03ED" w:rsidP="007F03ED">
            <w:pPr>
              <w:pStyle w:val="T2"/>
              <w:jc w:val="left"/>
              <w:rPr>
                <w:b/>
              </w:rPr>
            </w:pPr>
            <w:r w:rsidRPr="003D355E">
              <w:rPr>
                <w:b/>
              </w:rPr>
              <w:t>Total exceptional</w:t>
            </w:r>
            <w:r>
              <w:rPr>
                <w:b/>
              </w:rPr>
              <w:t xml:space="preserve"> items</w:t>
            </w:r>
          </w:p>
        </w:tc>
        <w:tc>
          <w:tcPr>
            <w:tcW w:w="992" w:type="dxa"/>
            <w:tcBorders>
              <w:top w:val="single" w:sz="2" w:space="0" w:color="auto"/>
              <w:bottom w:val="single" w:sz="2" w:space="0" w:color="auto"/>
            </w:tcBorders>
            <w:vAlign w:val="bottom"/>
          </w:tcPr>
          <w:p w14:paraId="4C2EE0A3" w14:textId="77777777" w:rsidR="007F03ED" w:rsidRPr="003D355E" w:rsidRDefault="007F03ED" w:rsidP="007F03ED">
            <w:pPr>
              <w:pStyle w:val="T2"/>
              <w:jc w:val="right"/>
            </w:pPr>
          </w:p>
        </w:tc>
        <w:tc>
          <w:tcPr>
            <w:tcW w:w="992" w:type="dxa"/>
            <w:tcBorders>
              <w:top w:val="single" w:sz="2" w:space="0" w:color="auto"/>
              <w:bottom w:val="single" w:sz="2" w:space="0" w:color="auto"/>
            </w:tcBorders>
          </w:tcPr>
          <w:p w14:paraId="3D6C9D77" w14:textId="23E916FB" w:rsidR="007F03ED" w:rsidRPr="00DF6E36" w:rsidRDefault="001E60FF" w:rsidP="007F03ED">
            <w:pPr>
              <w:pStyle w:val="T2"/>
              <w:jc w:val="right"/>
              <w:rPr>
                <w:b/>
              </w:rPr>
            </w:pPr>
            <w:r>
              <w:rPr>
                <w:b/>
              </w:rPr>
              <w:t>(6.5)</w:t>
            </w:r>
          </w:p>
        </w:tc>
        <w:tc>
          <w:tcPr>
            <w:tcW w:w="992" w:type="dxa"/>
            <w:tcBorders>
              <w:top w:val="single" w:sz="2" w:space="0" w:color="auto"/>
              <w:bottom w:val="single" w:sz="2" w:space="0" w:color="auto"/>
            </w:tcBorders>
            <w:vAlign w:val="bottom"/>
          </w:tcPr>
          <w:p w14:paraId="0AE1A651" w14:textId="26B31B2A" w:rsidR="007F03ED" w:rsidRPr="007F03ED" w:rsidDel="00AA34C5" w:rsidRDefault="007F03ED" w:rsidP="007F03ED">
            <w:pPr>
              <w:pStyle w:val="T2"/>
              <w:jc w:val="right"/>
              <w:rPr>
                <w:bCs/>
              </w:rPr>
            </w:pPr>
            <w:r w:rsidRPr="007F03ED">
              <w:rPr>
                <w:bCs/>
              </w:rPr>
              <w:t>9.9</w:t>
            </w:r>
          </w:p>
        </w:tc>
      </w:tr>
    </w:tbl>
    <w:p w14:paraId="1E3154EC" w14:textId="77777777" w:rsidR="007645C9" w:rsidRDefault="007645C9" w:rsidP="005B3BEE">
      <w:pPr>
        <w:pStyle w:val="SectionH3"/>
      </w:pPr>
    </w:p>
    <w:p w14:paraId="27EBFFC8" w14:textId="2CB11AE2" w:rsidR="001E60FF" w:rsidRDefault="00385EA9" w:rsidP="006B25B9">
      <w:pPr>
        <w:pStyle w:val="SectionH3"/>
        <w:numPr>
          <w:ilvl w:val="0"/>
          <w:numId w:val="7"/>
        </w:numPr>
        <w:ind w:left="426"/>
      </w:pPr>
      <w:r>
        <w:t>Reo</w:t>
      </w:r>
      <w:r w:rsidR="004359FD">
        <w:t xml:space="preserve">rganisation </w:t>
      </w:r>
      <w:r w:rsidR="001E60FF">
        <w:t>costs</w:t>
      </w:r>
    </w:p>
    <w:p w14:paraId="57FCCBD8" w14:textId="48FA4B60" w:rsidR="001E60FF" w:rsidRPr="001E60FF" w:rsidRDefault="001E60FF" w:rsidP="00B679C2">
      <w:pPr>
        <w:pStyle w:val="SectionH3"/>
        <w:ind w:left="426"/>
        <w:rPr>
          <w:b w:val="0"/>
          <w:bCs w:val="0"/>
        </w:rPr>
      </w:pPr>
      <w:r w:rsidRPr="001E60FF">
        <w:rPr>
          <w:b w:val="0"/>
          <w:bCs w:val="0"/>
        </w:rPr>
        <w:t>In the c</w:t>
      </w:r>
      <w:r>
        <w:rPr>
          <w:b w:val="0"/>
          <w:bCs w:val="0"/>
        </w:rPr>
        <w:t xml:space="preserve">urrent period, </w:t>
      </w:r>
      <w:r w:rsidR="00E17477">
        <w:rPr>
          <w:b w:val="0"/>
          <w:bCs w:val="0"/>
        </w:rPr>
        <w:t>the Group commenced a</w:t>
      </w:r>
      <w:r w:rsidR="00DD3E37">
        <w:rPr>
          <w:b w:val="0"/>
          <w:bCs w:val="0"/>
        </w:rPr>
        <w:t xml:space="preserve"> Better Greencore</w:t>
      </w:r>
      <w:r w:rsidR="00E3237F">
        <w:rPr>
          <w:b w:val="0"/>
          <w:bCs w:val="0"/>
        </w:rPr>
        <w:t xml:space="preserve"> programme </w:t>
      </w:r>
      <w:r w:rsidR="00DD3E37">
        <w:rPr>
          <w:b w:val="0"/>
          <w:bCs w:val="0"/>
        </w:rPr>
        <w:t>which is to</w:t>
      </w:r>
      <w:r w:rsidR="00E3237F">
        <w:rPr>
          <w:b w:val="0"/>
          <w:bCs w:val="0"/>
        </w:rPr>
        <w:t xml:space="preserve"> support revitali</w:t>
      </w:r>
      <w:r w:rsidR="00DD3E37">
        <w:rPr>
          <w:b w:val="0"/>
          <w:bCs w:val="0"/>
        </w:rPr>
        <w:t>s</w:t>
      </w:r>
      <w:r w:rsidR="00E3237F">
        <w:rPr>
          <w:b w:val="0"/>
          <w:bCs w:val="0"/>
        </w:rPr>
        <w:t xml:space="preserve">ation of its Excellence cost efficiency programmes and </w:t>
      </w:r>
      <w:r w:rsidR="00DD3E37">
        <w:rPr>
          <w:b w:val="0"/>
          <w:bCs w:val="0"/>
        </w:rPr>
        <w:t>unlock further cost efficiencies by reducing organisational complexity</w:t>
      </w:r>
      <w:r w:rsidR="00E17477">
        <w:rPr>
          <w:b w:val="0"/>
          <w:bCs w:val="0"/>
        </w:rPr>
        <w:t>.</w:t>
      </w:r>
      <w:r w:rsidR="00DD3E37">
        <w:rPr>
          <w:b w:val="0"/>
          <w:bCs w:val="0"/>
        </w:rPr>
        <w:t xml:space="preserve"> The Group recognised a charge of £8.0m in respect of work carried out to H1 22.</w:t>
      </w:r>
      <w:r w:rsidR="00E17477">
        <w:rPr>
          <w:b w:val="0"/>
          <w:bCs w:val="0"/>
        </w:rPr>
        <w:t xml:space="preserve"> </w:t>
      </w:r>
    </w:p>
    <w:p w14:paraId="6593A3E5" w14:textId="40235E78" w:rsidR="004F400F" w:rsidRDefault="004F400F" w:rsidP="006B25B9">
      <w:pPr>
        <w:pStyle w:val="SectionH3"/>
        <w:numPr>
          <w:ilvl w:val="0"/>
          <w:numId w:val="7"/>
        </w:numPr>
        <w:ind w:left="426"/>
      </w:pPr>
      <w:r>
        <w:t xml:space="preserve">Profit on disposal of Molasses </w:t>
      </w:r>
      <w:r w:rsidR="006B4300">
        <w:t xml:space="preserve">trading </w:t>
      </w:r>
      <w:r>
        <w:t>business</w:t>
      </w:r>
      <w:r w:rsidR="006B4300">
        <w:t>es</w:t>
      </w:r>
    </w:p>
    <w:p w14:paraId="6C0370F0" w14:textId="5F56661A" w:rsidR="004F400F" w:rsidRPr="009D092A" w:rsidRDefault="00DB5391" w:rsidP="00B679C2">
      <w:pPr>
        <w:pStyle w:val="SectionH3"/>
        <w:ind w:left="426"/>
        <w:rPr>
          <w:b w:val="0"/>
        </w:rPr>
      </w:pPr>
      <w:r>
        <w:rPr>
          <w:b w:val="0"/>
        </w:rPr>
        <w:t xml:space="preserve">In the prior period, </w:t>
      </w:r>
      <w:r w:rsidR="009D092A">
        <w:rPr>
          <w:b w:val="0"/>
        </w:rPr>
        <w:t xml:space="preserve">the Group </w:t>
      </w:r>
      <w:r w:rsidR="00005E77">
        <w:rPr>
          <w:b w:val="0"/>
        </w:rPr>
        <w:t>complet</w:t>
      </w:r>
      <w:r w:rsidR="002A2B15">
        <w:rPr>
          <w:b w:val="0"/>
        </w:rPr>
        <w:t>ed</w:t>
      </w:r>
      <w:r w:rsidR="00005E77">
        <w:rPr>
          <w:b w:val="0"/>
        </w:rPr>
        <w:t xml:space="preserve"> the </w:t>
      </w:r>
      <w:r w:rsidR="009D092A">
        <w:rPr>
          <w:b w:val="0"/>
        </w:rPr>
        <w:t xml:space="preserve">disposal of </w:t>
      </w:r>
      <w:r w:rsidR="00005E77">
        <w:rPr>
          <w:b w:val="0"/>
        </w:rPr>
        <w:t>its interest</w:t>
      </w:r>
      <w:r w:rsidR="002A2B15">
        <w:rPr>
          <w:b w:val="0"/>
        </w:rPr>
        <w:t xml:space="preserve"> in</w:t>
      </w:r>
      <w:r w:rsidR="00005E77">
        <w:rPr>
          <w:b w:val="0"/>
        </w:rPr>
        <w:t xml:space="preserve"> </w:t>
      </w:r>
      <w:r w:rsidR="00EE311E">
        <w:rPr>
          <w:b w:val="0"/>
        </w:rPr>
        <w:t xml:space="preserve">the </w:t>
      </w:r>
      <w:r w:rsidR="009D092A">
        <w:rPr>
          <w:b w:val="0"/>
        </w:rPr>
        <w:t>Molasses</w:t>
      </w:r>
      <w:r w:rsidR="00005E77">
        <w:rPr>
          <w:b w:val="0"/>
        </w:rPr>
        <w:t xml:space="preserve"> trading businesses recognis</w:t>
      </w:r>
      <w:r w:rsidR="00D477E0">
        <w:rPr>
          <w:b w:val="0"/>
        </w:rPr>
        <w:t>ing a profit on disposal of £7.</w:t>
      </w:r>
      <w:r w:rsidR="00E25584">
        <w:rPr>
          <w:b w:val="0"/>
        </w:rPr>
        <w:t>3</w:t>
      </w:r>
      <w:r w:rsidR="009D092A">
        <w:rPr>
          <w:b w:val="0"/>
        </w:rPr>
        <w:t xml:space="preserve">m </w:t>
      </w:r>
      <w:r w:rsidR="002A2B15">
        <w:rPr>
          <w:b w:val="0"/>
        </w:rPr>
        <w:t>for</w:t>
      </w:r>
      <w:r w:rsidR="008079C7">
        <w:rPr>
          <w:b w:val="0"/>
        </w:rPr>
        <w:t xml:space="preserve"> Premier Molasses Company Limited</w:t>
      </w:r>
      <w:r w:rsidR="000F1E1E">
        <w:rPr>
          <w:b w:val="0"/>
        </w:rPr>
        <w:t xml:space="preserve"> within operating profit,</w:t>
      </w:r>
      <w:r w:rsidR="008079C7">
        <w:rPr>
          <w:b w:val="0"/>
        </w:rPr>
        <w:t xml:space="preserve"> and £4.0m </w:t>
      </w:r>
      <w:r w:rsidR="002A2B15">
        <w:rPr>
          <w:b w:val="0"/>
        </w:rPr>
        <w:t>for</w:t>
      </w:r>
      <w:r w:rsidR="008079C7">
        <w:rPr>
          <w:b w:val="0"/>
        </w:rPr>
        <w:t xml:space="preserve"> United Molasses (Ireland) Limited</w:t>
      </w:r>
      <w:r w:rsidR="000F1E1E">
        <w:rPr>
          <w:b w:val="0"/>
        </w:rPr>
        <w:t>, which has been recognised within profit on disposal of associates</w:t>
      </w:r>
      <w:r w:rsidR="009D092A">
        <w:rPr>
          <w:b w:val="0"/>
        </w:rPr>
        <w:t>.</w:t>
      </w:r>
      <w:r w:rsidR="008079C7">
        <w:rPr>
          <w:b w:val="0"/>
        </w:rPr>
        <w:t xml:space="preserve"> </w:t>
      </w:r>
    </w:p>
    <w:p w14:paraId="2890BD79" w14:textId="77777777" w:rsidR="004F400F" w:rsidRDefault="001B56E6" w:rsidP="006B25B9">
      <w:pPr>
        <w:pStyle w:val="SectionH3"/>
        <w:numPr>
          <w:ilvl w:val="0"/>
          <w:numId w:val="7"/>
        </w:numPr>
        <w:ind w:left="426"/>
      </w:pPr>
      <w:r>
        <w:lastRenderedPageBreak/>
        <w:t>D</w:t>
      </w:r>
      <w:r w:rsidR="004F400F">
        <w:t>efined benefit pension schemes</w:t>
      </w:r>
      <w:r>
        <w:t xml:space="preserve"> restructuring</w:t>
      </w:r>
    </w:p>
    <w:p w14:paraId="09A7C16E" w14:textId="5B8769DE" w:rsidR="000D164F" w:rsidRDefault="00B679C2" w:rsidP="00B679C2">
      <w:pPr>
        <w:pStyle w:val="SectionH3"/>
        <w:ind w:left="426"/>
        <w:rPr>
          <w:b w:val="0"/>
        </w:rPr>
      </w:pPr>
      <w:r>
        <w:rPr>
          <w:b w:val="0"/>
        </w:rPr>
        <w:t xml:space="preserve">During the prior period, the Group reached an agreement with the Trustees of its three Irish legacy defined benefit pension schemes to wind up the two smaller schemes and transfer deferred beneficiaries to the larger scheme. The Group recognised a charge of £2.6m for the settlement charge and costs associated with the restructure. </w:t>
      </w:r>
    </w:p>
    <w:p w14:paraId="45D6638D" w14:textId="77777777" w:rsidR="00D206EE" w:rsidRPr="00C52111" w:rsidRDefault="000F294E" w:rsidP="00B679C2">
      <w:pPr>
        <w:pStyle w:val="Style1"/>
        <w:jc w:val="both"/>
      </w:pPr>
      <w:r>
        <w:t xml:space="preserve">Legacy </w:t>
      </w:r>
      <w:r w:rsidR="007A0915">
        <w:t xml:space="preserve">businesses </w:t>
      </w:r>
      <w:r w:rsidR="00250F8D">
        <w:t>provisions</w:t>
      </w:r>
    </w:p>
    <w:p w14:paraId="4CB5E8FF" w14:textId="0BB47517" w:rsidR="00D206EE" w:rsidRDefault="00D206EE" w:rsidP="002608C0">
      <w:pPr>
        <w:pStyle w:val="Style1"/>
        <w:numPr>
          <w:ilvl w:val="0"/>
          <w:numId w:val="0"/>
        </w:numPr>
        <w:spacing w:after="120" w:line="240" w:lineRule="auto"/>
        <w:ind w:left="426"/>
        <w:contextualSpacing w:val="0"/>
        <w:jc w:val="both"/>
        <w:rPr>
          <w:b w:val="0"/>
        </w:rPr>
      </w:pPr>
      <w:r>
        <w:rPr>
          <w:b w:val="0"/>
        </w:rPr>
        <w:t xml:space="preserve">In the </w:t>
      </w:r>
      <w:r w:rsidR="004D3439">
        <w:rPr>
          <w:b w:val="0"/>
        </w:rPr>
        <w:t xml:space="preserve">prior </w:t>
      </w:r>
      <w:r>
        <w:rPr>
          <w:b w:val="0"/>
        </w:rPr>
        <w:t xml:space="preserve">period, the Group recognised a </w:t>
      </w:r>
      <w:r w:rsidR="000F294E">
        <w:rPr>
          <w:b w:val="0"/>
        </w:rPr>
        <w:t xml:space="preserve">net </w:t>
      </w:r>
      <w:r>
        <w:rPr>
          <w:b w:val="0"/>
        </w:rPr>
        <w:t>credit of £</w:t>
      </w:r>
      <w:r w:rsidR="000F294E">
        <w:rPr>
          <w:b w:val="0"/>
        </w:rPr>
        <w:t>1.0</w:t>
      </w:r>
      <w:r>
        <w:rPr>
          <w:b w:val="0"/>
        </w:rPr>
        <w:t xml:space="preserve">m </w:t>
      </w:r>
      <w:r w:rsidR="000F294E">
        <w:rPr>
          <w:b w:val="0"/>
        </w:rPr>
        <w:t xml:space="preserve">relating to </w:t>
      </w:r>
      <w:r w:rsidR="007A0915">
        <w:rPr>
          <w:b w:val="0"/>
        </w:rPr>
        <w:t>legacy provisions on discontinued operations</w:t>
      </w:r>
      <w:r w:rsidR="000F294E">
        <w:rPr>
          <w:b w:val="0"/>
        </w:rPr>
        <w:t xml:space="preserve">. </w:t>
      </w:r>
    </w:p>
    <w:p w14:paraId="37237A0C" w14:textId="77777777" w:rsidR="00C46DE8" w:rsidRDefault="00C46DE8" w:rsidP="005B3BEE">
      <w:pPr>
        <w:pStyle w:val="SectionH3"/>
      </w:pPr>
    </w:p>
    <w:p w14:paraId="68273D05" w14:textId="2B27F660" w:rsidR="00773F7B" w:rsidRPr="00FB1D28" w:rsidRDefault="00773F7B" w:rsidP="005B3BEE">
      <w:pPr>
        <w:pStyle w:val="SectionH3"/>
      </w:pPr>
      <w:r w:rsidRPr="00FB1D28">
        <w:t>Cash Flow on Exceptional Items</w:t>
      </w:r>
    </w:p>
    <w:p w14:paraId="445CE2F3" w14:textId="262D6BC9" w:rsidR="00773F7B" w:rsidRDefault="00773F7B" w:rsidP="005B3BEE">
      <w:pPr>
        <w:pStyle w:val="Paragraph"/>
        <w:spacing w:before="0" w:after="120"/>
        <w:jc w:val="both"/>
      </w:pPr>
      <w:r>
        <w:t>The total net cash outflow during the period</w:t>
      </w:r>
      <w:r w:rsidR="006316BB">
        <w:t xml:space="preserve"> </w:t>
      </w:r>
      <w:r>
        <w:t xml:space="preserve">in respect of </w:t>
      </w:r>
      <w:r w:rsidR="006316BB">
        <w:t xml:space="preserve">operating activities </w:t>
      </w:r>
      <w:r>
        <w:t xml:space="preserve">exceptional </w:t>
      </w:r>
      <w:r w:rsidRPr="00E25584">
        <w:t xml:space="preserve">items </w:t>
      </w:r>
      <w:r w:rsidRPr="001E60FF">
        <w:t>was £</w:t>
      </w:r>
      <w:r w:rsidR="001E60FF" w:rsidRPr="001E60FF">
        <w:t>0.3</w:t>
      </w:r>
      <w:r w:rsidRPr="001E60FF">
        <w:t>m (</w:t>
      </w:r>
      <w:r w:rsidRPr="00E25584">
        <w:t>H1 FY</w:t>
      </w:r>
      <w:r w:rsidR="009D092A" w:rsidRPr="00E25584">
        <w:t>2</w:t>
      </w:r>
      <w:r w:rsidR="000A330A">
        <w:t>1</w:t>
      </w:r>
      <w:r w:rsidRPr="00E25584">
        <w:t>: £</w:t>
      </w:r>
      <w:r w:rsidR="009D092A" w:rsidRPr="00E25584">
        <w:t>2.</w:t>
      </w:r>
      <w:r w:rsidR="000A330A">
        <w:t>4</w:t>
      </w:r>
      <w:r w:rsidRPr="00E25584">
        <w:t xml:space="preserve">m), </w:t>
      </w:r>
      <w:r w:rsidR="001E60FF">
        <w:t xml:space="preserve">all </w:t>
      </w:r>
      <w:r w:rsidRPr="00E25584">
        <w:t>of which was in respect of prior year exceptional charges.</w:t>
      </w:r>
    </w:p>
    <w:p w14:paraId="2ECC60EB" w14:textId="77777777" w:rsidR="00DC5401" w:rsidRDefault="00DC5401" w:rsidP="005B3BEE">
      <w:pPr>
        <w:pStyle w:val="Paragraph"/>
        <w:spacing w:before="0" w:after="120"/>
        <w:jc w:val="both"/>
      </w:pPr>
    </w:p>
    <w:p w14:paraId="2A43B1A8" w14:textId="452A6E4D" w:rsidR="00773F7B" w:rsidRDefault="002675EF" w:rsidP="005B3BEE">
      <w:pPr>
        <w:pStyle w:val="SectionH3"/>
      </w:pPr>
      <w:r>
        <w:t>6</w:t>
      </w:r>
      <w:r w:rsidR="00773F7B" w:rsidRPr="00083EA3">
        <w:t>.</w:t>
      </w:r>
      <w:r w:rsidR="00413B31" w:rsidRPr="00083EA3">
        <w:tab/>
      </w:r>
      <w:r w:rsidR="007905AF" w:rsidRPr="006D1798">
        <w:t>Finance income and finance</w:t>
      </w:r>
      <w:r w:rsidR="007905AF" w:rsidRPr="005B3BEE" w:rsidDel="007905AF">
        <w:rPr>
          <w:rStyle w:val="ParagraphChar"/>
        </w:rPr>
        <w:t xml:space="preserve"> </w:t>
      </w:r>
      <w:r w:rsidR="00773F7B" w:rsidRPr="005B3BEE">
        <w:rPr>
          <w:rStyle w:val="ParagraphChar"/>
        </w:rPr>
        <w:t>costs</w:t>
      </w:r>
    </w:p>
    <w:tbl>
      <w:tblPr>
        <w:tblStyle w:val="TableGrid"/>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5"/>
        <w:gridCol w:w="992"/>
        <w:gridCol w:w="992"/>
      </w:tblGrid>
      <w:tr w:rsidR="00773F7B" w14:paraId="70422439" w14:textId="77777777" w:rsidTr="001F1616">
        <w:tc>
          <w:tcPr>
            <w:tcW w:w="7795" w:type="dxa"/>
            <w:vAlign w:val="bottom"/>
          </w:tcPr>
          <w:p w14:paraId="02035047" w14:textId="77777777" w:rsidR="00773F7B" w:rsidRPr="006D1798" w:rsidRDefault="00773F7B" w:rsidP="00773F7B">
            <w:pPr>
              <w:pStyle w:val="T2"/>
              <w:jc w:val="left"/>
            </w:pPr>
          </w:p>
        </w:tc>
        <w:tc>
          <w:tcPr>
            <w:tcW w:w="992" w:type="dxa"/>
            <w:vAlign w:val="bottom"/>
          </w:tcPr>
          <w:p w14:paraId="542B69E4" w14:textId="4797CEE9" w:rsidR="00773F7B" w:rsidRPr="006D1798" w:rsidRDefault="00773F7B" w:rsidP="009D092A">
            <w:pPr>
              <w:pStyle w:val="T2"/>
              <w:jc w:val="right"/>
              <w:rPr>
                <w:b/>
              </w:rPr>
            </w:pPr>
            <w:r w:rsidRPr="006D1798">
              <w:rPr>
                <w:b/>
              </w:rPr>
              <w:t>Half year</w:t>
            </w:r>
            <w:r w:rsidRPr="006D1798">
              <w:rPr>
                <w:b/>
              </w:rPr>
              <w:br/>
            </w:r>
            <w:r w:rsidR="008A4891">
              <w:rPr>
                <w:b/>
              </w:rPr>
              <w:t>2022</w:t>
            </w:r>
          </w:p>
        </w:tc>
        <w:tc>
          <w:tcPr>
            <w:tcW w:w="992" w:type="dxa"/>
            <w:vAlign w:val="bottom"/>
          </w:tcPr>
          <w:p w14:paraId="208A2F37" w14:textId="2B002CB8" w:rsidR="00773F7B" w:rsidRPr="006D1798" w:rsidRDefault="00773F7B" w:rsidP="009D092A">
            <w:pPr>
              <w:pStyle w:val="T2"/>
              <w:jc w:val="right"/>
            </w:pPr>
            <w:r w:rsidRPr="006D1798">
              <w:t>Half year</w:t>
            </w:r>
            <w:r w:rsidRPr="006D1798">
              <w:br/>
              <w:t>20</w:t>
            </w:r>
            <w:r w:rsidR="009D092A">
              <w:t>2</w:t>
            </w:r>
            <w:r w:rsidR="00AB4E31">
              <w:t>1</w:t>
            </w:r>
          </w:p>
        </w:tc>
      </w:tr>
      <w:tr w:rsidR="00773F7B" w14:paraId="6E168D9A" w14:textId="77777777" w:rsidTr="001F1616">
        <w:tc>
          <w:tcPr>
            <w:tcW w:w="7795" w:type="dxa"/>
            <w:tcBorders>
              <w:bottom w:val="single" w:sz="2" w:space="0" w:color="auto"/>
            </w:tcBorders>
            <w:vAlign w:val="bottom"/>
          </w:tcPr>
          <w:p w14:paraId="34749758" w14:textId="77777777" w:rsidR="00773F7B" w:rsidRPr="006D1798" w:rsidRDefault="00773F7B" w:rsidP="00773F7B">
            <w:pPr>
              <w:pStyle w:val="T2"/>
              <w:jc w:val="left"/>
            </w:pPr>
          </w:p>
        </w:tc>
        <w:tc>
          <w:tcPr>
            <w:tcW w:w="992" w:type="dxa"/>
            <w:tcBorders>
              <w:bottom w:val="single" w:sz="2" w:space="0" w:color="auto"/>
            </w:tcBorders>
            <w:vAlign w:val="bottom"/>
          </w:tcPr>
          <w:p w14:paraId="77DECF86" w14:textId="77777777" w:rsidR="00773F7B" w:rsidRPr="006D1798" w:rsidRDefault="00773F7B" w:rsidP="00773F7B">
            <w:pPr>
              <w:pStyle w:val="T2"/>
              <w:jc w:val="right"/>
              <w:rPr>
                <w:b/>
              </w:rPr>
            </w:pPr>
            <w:r w:rsidRPr="006D1798">
              <w:rPr>
                <w:b/>
              </w:rPr>
              <w:t>£m</w:t>
            </w:r>
          </w:p>
        </w:tc>
        <w:tc>
          <w:tcPr>
            <w:tcW w:w="992" w:type="dxa"/>
            <w:tcBorders>
              <w:bottom w:val="single" w:sz="2" w:space="0" w:color="auto"/>
            </w:tcBorders>
            <w:vAlign w:val="bottom"/>
          </w:tcPr>
          <w:p w14:paraId="39CC4F9A" w14:textId="77777777" w:rsidR="00773F7B" w:rsidRPr="006D1798" w:rsidRDefault="00773F7B" w:rsidP="00773F7B">
            <w:pPr>
              <w:pStyle w:val="T2"/>
              <w:jc w:val="right"/>
            </w:pPr>
            <w:r w:rsidRPr="006D1798">
              <w:t>£m</w:t>
            </w:r>
          </w:p>
        </w:tc>
      </w:tr>
      <w:tr w:rsidR="00773F7B" w14:paraId="2CD6C6FC" w14:textId="77777777" w:rsidTr="001F1616">
        <w:tc>
          <w:tcPr>
            <w:tcW w:w="7795" w:type="dxa"/>
            <w:tcBorders>
              <w:top w:val="single" w:sz="2" w:space="0" w:color="auto"/>
            </w:tcBorders>
            <w:vAlign w:val="bottom"/>
          </w:tcPr>
          <w:p w14:paraId="724331CC" w14:textId="77777777" w:rsidR="00773F7B" w:rsidRPr="006D1798" w:rsidRDefault="00773F7B" w:rsidP="00773F7B">
            <w:pPr>
              <w:pStyle w:val="T2"/>
              <w:jc w:val="left"/>
              <w:rPr>
                <w:rFonts w:ascii="Calibri" w:hAnsi="Calibri" w:cs="Arial"/>
                <w:b/>
                <w:bCs/>
              </w:rPr>
            </w:pPr>
            <w:r w:rsidRPr="006D1798">
              <w:rPr>
                <w:rFonts w:ascii="Calibri" w:hAnsi="Calibri" w:cs="Arial"/>
                <w:b/>
                <w:bCs/>
              </w:rPr>
              <w:t>Finance income</w:t>
            </w:r>
            <w:r>
              <w:rPr>
                <w:rFonts w:ascii="Calibri" w:hAnsi="Calibri" w:cs="Arial"/>
                <w:b/>
                <w:bCs/>
              </w:rPr>
              <w:t xml:space="preserve"> </w:t>
            </w:r>
          </w:p>
        </w:tc>
        <w:tc>
          <w:tcPr>
            <w:tcW w:w="992" w:type="dxa"/>
            <w:tcBorders>
              <w:top w:val="single" w:sz="2" w:space="0" w:color="auto"/>
            </w:tcBorders>
            <w:vAlign w:val="bottom"/>
          </w:tcPr>
          <w:p w14:paraId="16DA4BD5" w14:textId="77777777" w:rsidR="00773F7B" w:rsidRPr="00FE3B9D" w:rsidRDefault="00773F7B" w:rsidP="00773F7B">
            <w:pPr>
              <w:pStyle w:val="T2"/>
              <w:jc w:val="right"/>
              <w:rPr>
                <w:b/>
              </w:rPr>
            </w:pPr>
          </w:p>
        </w:tc>
        <w:tc>
          <w:tcPr>
            <w:tcW w:w="992" w:type="dxa"/>
            <w:tcBorders>
              <w:top w:val="single" w:sz="2" w:space="0" w:color="auto"/>
            </w:tcBorders>
            <w:vAlign w:val="bottom"/>
          </w:tcPr>
          <w:p w14:paraId="4F9BF36F" w14:textId="77777777" w:rsidR="00773F7B" w:rsidRPr="00B074E8" w:rsidRDefault="00773F7B" w:rsidP="00773F7B">
            <w:pPr>
              <w:pStyle w:val="T2"/>
              <w:jc w:val="right"/>
            </w:pPr>
          </w:p>
        </w:tc>
      </w:tr>
      <w:tr w:rsidR="00853E81" w14:paraId="76F1730F" w14:textId="77777777" w:rsidTr="001F1616">
        <w:tc>
          <w:tcPr>
            <w:tcW w:w="7795" w:type="dxa"/>
            <w:tcBorders>
              <w:bottom w:val="single" w:sz="2" w:space="0" w:color="auto"/>
            </w:tcBorders>
            <w:vAlign w:val="bottom"/>
          </w:tcPr>
          <w:p w14:paraId="26FB66B6" w14:textId="77777777" w:rsidR="00853E81" w:rsidRPr="00DE2BFE" w:rsidRDefault="00853E81" w:rsidP="00853E81">
            <w:pPr>
              <w:pStyle w:val="T2"/>
              <w:jc w:val="left"/>
              <w:rPr>
                <w:rFonts w:ascii="Calibri" w:hAnsi="Calibri" w:cs="Arial"/>
                <w:b/>
              </w:rPr>
            </w:pPr>
            <w:r w:rsidRPr="006D1798">
              <w:rPr>
                <w:rFonts w:ascii="Calibri" w:hAnsi="Calibri" w:cs="Arial"/>
              </w:rPr>
              <w:t>Foreign exchange on inter</w:t>
            </w:r>
            <w:r>
              <w:rPr>
                <w:rFonts w:ascii="Calibri" w:hAnsi="Calibri" w:cs="Arial"/>
              </w:rPr>
              <w:t>–</w:t>
            </w:r>
            <w:r w:rsidRPr="006D1798">
              <w:rPr>
                <w:rFonts w:ascii="Calibri" w:hAnsi="Calibri" w:cs="Arial"/>
              </w:rPr>
              <w:t>company and external balances where hedge accounting is not applied</w:t>
            </w:r>
          </w:p>
        </w:tc>
        <w:tc>
          <w:tcPr>
            <w:tcW w:w="992" w:type="dxa"/>
            <w:tcBorders>
              <w:bottom w:val="single" w:sz="2" w:space="0" w:color="auto"/>
            </w:tcBorders>
          </w:tcPr>
          <w:p w14:paraId="15A00A71" w14:textId="679BF9BB" w:rsidR="00853E81" w:rsidRPr="0078672D" w:rsidRDefault="00853E81" w:rsidP="00853E81">
            <w:pPr>
              <w:pStyle w:val="T2"/>
              <w:jc w:val="right"/>
              <w:rPr>
                <w:b/>
              </w:rPr>
            </w:pPr>
            <w:r w:rsidRPr="00C40D20">
              <w:rPr>
                <w:b/>
              </w:rPr>
              <w:t>–</w:t>
            </w:r>
          </w:p>
        </w:tc>
        <w:tc>
          <w:tcPr>
            <w:tcW w:w="992" w:type="dxa"/>
            <w:tcBorders>
              <w:bottom w:val="single" w:sz="2" w:space="0" w:color="auto"/>
            </w:tcBorders>
            <w:vAlign w:val="bottom"/>
          </w:tcPr>
          <w:p w14:paraId="37BD5EFA" w14:textId="369E4078" w:rsidR="00853E81" w:rsidRDefault="00853E81" w:rsidP="00853E81">
            <w:pPr>
              <w:pStyle w:val="T2"/>
              <w:jc w:val="right"/>
              <w:rPr>
                <w:rFonts w:ascii="Calibri" w:hAnsi="Calibri" w:cs="Arial"/>
              </w:rPr>
            </w:pPr>
            <w:r>
              <w:t>0.4</w:t>
            </w:r>
          </w:p>
        </w:tc>
      </w:tr>
      <w:tr w:rsidR="00853E81" w14:paraId="02389FBE" w14:textId="77777777" w:rsidTr="001F1616">
        <w:tc>
          <w:tcPr>
            <w:tcW w:w="7795" w:type="dxa"/>
            <w:tcBorders>
              <w:top w:val="single" w:sz="2" w:space="0" w:color="auto"/>
              <w:bottom w:val="single" w:sz="2" w:space="0" w:color="auto"/>
            </w:tcBorders>
            <w:vAlign w:val="bottom"/>
          </w:tcPr>
          <w:p w14:paraId="27D80947" w14:textId="0150084A" w:rsidR="00853E81" w:rsidRPr="00DE2BFE" w:rsidRDefault="00853E81" w:rsidP="00853E81">
            <w:pPr>
              <w:pStyle w:val="T2"/>
              <w:jc w:val="left"/>
              <w:rPr>
                <w:rFonts w:ascii="Calibri" w:hAnsi="Calibri" w:cs="Arial"/>
                <w:b/>
              </w:rPr>
            </w:pPr>
            <w:r w:rsidRPr="00DE2BFE">
              <w:rPr>
                <w:rFonts w:ascii="Calibri" w:hAnsi="Calibri" w:cs="Arial"/>
                <w:b/>
              </w:rPr>
              <w:t xml:space="preserve">Total finance income </w:t>
            </w:r>
          </w:p>
        </w:tc>
        <w:tc>
          <w:tcPr>
            <w:tcW w:w="992" w:type="dxa"/>
            <w:tcBorders>
              <w:top w:val="single" w:sz="2" w:space="0" w:color="auto"/>
              <w:bottom w:val="single" w:sz="2" w:space="0" w:color="auto"/>
            </w:tcBorders>
          </w:tcPr>
          <w:p w14:paraId="25E8A1F7" w14:textId="54659F33" w:rsidR="00853E81" w:rsidRPr="00FE3B9D" w:rsidRDefault="00853E81" w:rsidP="00853E81">
            <w:pPr>
              <w:pStyle w:val="T2"/>
              <w:jc w:val="right"/>
              <w:rPr>
                <w:rFonts w:ascii="Calibri" w:hAnsi="Calibri" w:cs="Arial"/>
                <w:b/>
                <w:bCs/>
              </w:rPr>
            </w:pPr>
            <w:r w:rsidRPr="00C40D20">
              <w:rPr>
                <w:b/>
              </w:rPr>
              <w:t>–</w:t>
            </w:r>
          </w:p>
        </w:tc>
        <w:tc>
          <w:tcPr>
            <w:tcW w:w="992" w:type="dxa"/>
            <w:tcBorders>
              <w:top w:val="single" w:sz="2" w:space="0" w:color="auto"/>
              <w:bottom w:val="single" w:sz="2" w:space="0" w:color="auto"/>
            </w:tcBorders>
            <w:vAlign w:val="bottom"/>
          </w:tcPr>
          <w:p w14:paraId="689A4AE8" w14:textId="3253E430" w:rsidR="00853E81" w:rsidRPr="00B074E8" w:rsidRDefault="00853E81" w:rsidP="00853E81">
            <w:pPr>
              <w:pStyle w:val="T2"/>
              <w:jc w:val="right"/>
              <w:rPr>
                <w:rFonts w:ascii="Calibri" w:hAnsi="Calibri" w:cs="Arial"/>
              </w:rPr>
            </w:pPr>
            <w:r>
              <w:rPr>
                <w:rFonts w:ascii="Calibri" w:hAnsi="Calibri" w:cs="Arial"/>
              </w:rPr>
              <w:t>0.4</w:t>
            </w:r>
          </w:p>
        </w:tc>
      </w:tr>
      <w:tr w:rsidR="005726F7" w14:paraId="17F6DF06" w14:textId="77777777" w:rsidTr="001F1616">
        <w:tc>
          <w:tcPr>
            <w:tcW w:w="7795" w:type="dxa"/>
            <w:tcBorders>
              <w:top w:val="single" w:sz="2" w:space="0" w:color="auto"/>
            </w:tcBorders>
            <w:vAlign w:val="bottom"/>
          </w:tcPr>
          <w:p w14:paraId="5155005B" w14:textId="77777777" w:rsidR="005726F7" w:rsidRPr="006D1798" w:rsidRDefault="005726F7" w:rsidP="005726F7">
            <w:pPr>
              <w:pStyle w:val="T2"/>
              <w:jc w:val="left"/>
              <w:rPr>
                <w:rFonts w:ascii="Calibri" w:hAnsi="Calibri" w:cs="Arial"/>
                <w:b/>
                <w:bCs/>
              </w:rPr>
            </w:pPr>
          </w:p>
        </w:tc>
        <w:tc>
          <w:tcPr>
            <w:tcW w:w="992" w:type="dxa"/>
            <w:tcBorders>
              <w:top w:val="single" w:sz="2" w:space="0" w:color="auto"/>
            </w:tcBorders>
            <w:vAlign w:val="bottom"/>
          </w:tcPr>
          <w:p w14:paraId="44FB9613" w14:textId="77777777" w:rsidR="005726F7" w:rsidRPr="00FE3B9D" w:rsidRDefault="005726F7" w:rsidP="005726F7">
            <w:pPr>
              <w:pStyle w:val="T2"/>
              <w:jc w:val="right"/>
              <w:rPr>
                <w:rFonts w:ascii="Calibri" w:hAnsi="Calibri" w:cs="Arial"/>
                <w:b/>
              </w:rPr>
            </w:pPr>
          </w:p>
        </w:tc>
        <w:tc>
          <w:tcPr>
            <w:tcW w:w="992" w:type="dxa"/>
            <w:tcBorders>
              <w:top w:val="single" w:sz="2" w:space="0" w:color="auto"/>
            </w:tcBorders>
            <w:vAlign w:val="bottom"/>
          </w:tcPr>
          <w:p w14:paraId="02B940C8" w14:textId="77777777" w:rsidR="005726F7" w:rsidRPr="006D1798" w:rsidRDefault="005726F7" w:rsidP="005726F7">
            <w:pPr>
              <w:pStyle w:val="T2"/>
              <w:jc w:val="right"/>
            </w:pPr>
          </w:p>
        </w:tc>
      </w:tr>
      <w:tr w:rsidR="005726F7" w14:paraId="05AD6731" w14:textId="77777777" w:rsidTr="005B3BEE">
        <w:tc>
          <w:tcPr>
            <w:tcW w:w="7795" w:type="dxa"/>
            <w:vAlign w:val="bottom"/>
          </w:tcPr>
          <w:p w14:paraId="74D69CA8" w14:textId="77777777" w:rsidR="005726F7" w:rsidRPr="006D1798" w:rsidRDefault="005726F7" w:rsidP="005726F7">
            <w:pPr>
              <w:pStyle w:val="T2"/>
              <w:jc w:val="left"/>
              <w:rPr>
                <w:rFonts w:ascii="Calibri" w:hAnsi="Calibri" w:cs="Arial"/>
                <w:b/>
                <w:bCs/>
              </w:rPr>
            </w:pPr>
            <w:r w:rsidRPr="006D1798">
              <w:rPr>
                <w:rFonts w:ascii="Calibri" w:hAnsi="Calibri" w:cs="Arial"/>
                <w:b/>
                <w:bCs/>
              </w:rPr>
              <w:t>Finance costs</w:t>
            </w:r>
          </w:p>
        </w:tc>
        <w:tc>
          <w:tcPr>
            <w:tcW w:w="992" w:type="dxa"/>
            <w:vAlign w:val="bottom"/>
          </w:tcPr>
          <w:p w14:paraId="6844C1B4" w14:textId="77777777" w:rsidR="005726F7" w:rsidRPr="00FE3B9D" w:rsidRDefault="005726F7" w:rsidP="005726F7">
            <w:pPr>
              <w:pStyle w:val="T2"/>
              <w:jc w:val="right"/>
              <w:rPr>
                <w:b/>
              </w:rPr>
            </w:pPr>
          </w:p>
        </w:tc>
        <w:tc>
          <w:tcPr>
            <w:tcW w:w="992" w:type="dxa"/>
            <w:vAlign w:val="bottom"/>
          </w:tcPr>
          <w:p w14:paraId="30C80D27" w14:textId="77777777" w:rsidR="005726F7" w:rsidRPr="006D1798" w:rsidRDefault="005726F7" w:rsidP="005726F7">
            <w:pPr>
              <w:pStyle w:val="T2"/>
              <w:jc w:val="right"/>
            </w:pPr>
          </w:p>
        </w:tc>
      </w:tr>
      <w:tr w:rsidR="00853E81" w14:paraId="482B9183" w14:textId="77777777" w:rsidTr="00E14D65">
        <w:tc>
          <w:tcPr>
            <w:tcW w:w="7795" w:type="dxa"/>
            <w:vAlign w:val="bottom"/>
          </w:tcPr>
          <w:p w14:paraId="685C63FE" w14:textId="77777777" w:rsidR="00853E81" w:rsidRPr="006D1798" w:rsidRDefault="00853E81" w:rsidP="00853E81">
            <w:pPr>
              <w:pStyle w:val="T2"/>
              <w:jc w:val="left"/>
              <w:rPr>
                <w:rFonts w:ascii="Calibri" w:hAnsi="Calibri" w:cs="Arial"/>
              </w:rPr>
            </w:pPr>
            <w:r w:rsidRPr="006D1798">
              <w:rPr>
                <w:rFonts w:ascii="Calibri" w:hAnsi="Calibri" w:cs="Arial"/>
              </w:rPr>
              <w:t>Net finance costs on interest bearing cash and cash equivalents, borrowings and other financing costs</w:t>
            </w:r>
          </w:p>
        </w:tc>
        <w:tc>
          <w:tcPr>
            <w:tcW w:w="992" w:type="dxa"/>
          </w:tcPr>
          <w:p w14:paraId="3B74F305" w14:textId="14209D56" w:rsidR="00853E81" w:rsidRPr="00197130" w:rsidRDefault="001E60FF" w:rsidP="00853E81">
            <w:pPr>
              <w:pStyle w:val="T2"/>
              <w:jc w:val="right"/>
              <w:rPr>
                <w:rFonts w:ascii="Calibri" w:hAnsi="Calibri" w:cs="Arial"/>
                <w:b/>
              </w:rPr>
            </w:pPr>
            <w:r>
              <w:rPr>
                <w:b/>
              </w:rPr>
              <w:t>(4.9)</w:t>
            </w:r>
          </w:p>
        </w:tc>
        <w:tc>
          <w:tcPr>
            <w:tcW w:w="992" w:type="dxa"/>
            <w:vAlign w:val="bottom"/>
          </w:tcPr>
          <w:p w14:paraId="109BE84D" w14:textId="7B0B0EC3" w:rsidR="00853E81" w:rsidRPr="006D1798" w:rsidRDefault="00853E81" w:rsidP="00853E81">
            <w:pPr>
              <w:pStyle w:val="T2"/>
              <w:jc w:val="right"/>
              <w:rPr>
                <w:rFonts w:ascii="Calibri" w:hAnsi="Calibri" w:cs="Arial"/>
              </w:rPr>
            </w:pPr>
            <w:r w:rsidRPr="0096767F">
              <w:rPr>
                <w:rFonts w:ascii="Calibri" w:hAnsi="Calibri" w:cs="Arial"/>
              </w:rPr>
              <w:t>(</w:t>
            </w:r>
            <w:r>
              <w:rPr>
                <w:rFonts w:ascii="Calibri" w:hAnsi="Calibri" w:cs="Arial"/>
              </w:rPr>
              <w:t>7.4</w:t>
            </w:r>
            <w:r w:rsidRPr="0096767F">
              <w:rPr>
                <w:rFonts w:ascii="Calibri" w:hAnsi="Calibri" w:cs="Arial"/>
              </w:rPr>
              <w:t>)</w:t>
            </w:r>
          </w:p>
        </w:tc>
      </w:tr>
      <w:tr w:rsidR="00BA73B5" w14:paraId="5BD25F72" w14:textId="77777777" w:rsidTr="00E14D65">
        <w:tc>
          <w:tcPr>
            <w:tcW w:w="7795" w:type="dxa"/>
            <w:vAlign w:val="bottom"/>
          </w:tcPr>
          <w:p w14:paraId="54DE87A8" w14:textId="07267E91" w:rsidR="00BA73B5" w:rsidRPr="006D1798" w:rsidRDefault="00BA73B5" w:rsidP="00BA73B5">
            <w:pPr>
              <w:pStyle w:val="T2"/>
              <w:jc w:val="left"/>
              <w:rPr>
                <w:rFonts w:ascii="Calibri" w:hAnsi="Calibri" w:cs="Arial"/>
              </w:rPr>
            </w:pPr>
            <w:r>
              <w:rPr>
                <w:rFonts w:ascii="Calibri" w:hAnsi="Calibri" w:cs="Arial"/>
              </w:rPr>
              <w:t>Interest on lease obligations</w:t>
            </w:r>
          </w:p>
        </w:tc>
        <w:tc>
          <w:tcPr>
            <w:tcW w:w="992" w:type="dxa"/>
          </w:tcPr>
          <w:p w14:paraId="78072AE5" w14:textId="6AD22311" w:rsidR="00BA73B5" w:rsidRDefault="00BA73B5" w:rsidP="00BA73B5">
            <w:pPr>
              <w:pStyle w:val="T2"/>
              <w:jc w:val="right"/>
              <w:rPr>
                <w:b/>
              </w:rPr>
            </w:pPr>
            <w:r>
              <w:rPr>
                <w:b/>
              </w:rPr>
              <w:t>(0.6)</w:t>
            </w:r>
          </w:p>
        </w:tc>
        <w:tc>
          <w:tcPr>
            <w:tcW w:w="992" w:type="dxa"/>
            <w:vAlign w:val="bottom"/>
          </w:tcPr>
          <w:p w14:paraId="46057E7D" w14:textId="1A9836D5" w:rsidR="00BA73B5" w:rsidRPr="0096767F" w:rsidRDefault="00BA73B5" w:rsidP="00BA73B5">
            <w:pPr>
              <w:pStyle w:val="T2"/>
              <w:jc w:val="right"/>
              <w:rPr>
                <w:rFonts w:ascii="Calibri" w:hAnsi="Calibri" w:cs="Arial"/>
              </w:rPr>
            </w:pPr>
            <w:r>
              <w:rPr>
                <w:rFonts w:ascii="Calibri" w:hAnsi="Calibri" w:cs="Arial"/>
              </w:rPr>
              <w:t>(0.7)</w:t>
            </w:r>
          </w:p>
        </w:tc>
      </w:tr>
      <w:tr w:rsidR="00BA73B5" w14:paraId="6994F8FE" w14:textId="77777777" w:rsidTr="00E14D65">
        <w:tc>
          <w:tcPr>
            <w:tcW w:w="7795" w:type="dxa"/>
            <w:vAlign w:val="bottom"/>
          </w:tcPr>
          <w:p w14:paraId="4A7A29A1" w14:textId="77777777" w:rsidR="00BA73B5" w:rsidRPr="006D1798" w:rsidRDefault="00BA73B5" w:rsidP="00BA73B5">
            <w:pPr>
              <w:pStyle w:val="T2"/>
              <w:jc w:val="left"/>
              <w:rPr>
                <w:rFonts w:ascii="Calibri" w:hAnsi="Calibri" w:cs="Arial"/>
              </w:rPr>
            </w:pPr>
            <w:r w:rsidRPr="006D1798">
              <w:rPr>
                <w:rFonts w:ascii="Calibri" w:hAnsi="Calibri" w:cs="Arial"/>
              </w:rPr>
              <w:t>Net pension financing charge</w:t>
            </w:r>
          </w:p>
        </w:tc>
        <w:tc>
          <w:tcPr>
            <w:tcW w:w="992" w:type="dxa"/>
          </w:tcPr>
          <w:p w14:paraId="4B9BD390" w14:textId="6A56C6D7" w:rsidR="00BA73B5" w:rsidRPr="00197130" w:rsidRDefault="00BA73B5" w:rsidP="00BA73B5">
            <w:pPr>
              <w:pStyle w:val="T2"/>
              <w:jc w:val="right"/>
              <w:rPr>
                <w:rFonts w:ascii="Calibri" w:hAnsi="Calibri" w:cs="Arial"/>
                <w:b/>
              </w:rPr>
            </w:pPr>
            <w:r>
              <w:rPr>
                <w:b/>
              </w:rPr>
              <w:t>(0.6)</w:t>
            </w:r>
          </w:p>
        </w:tc>
        <w:tc>
          <w:tcPr>
            <w:tcW w:w="992" w:type="dxa"/>
            <w:vAlign w:val="bottom"/>
          </w:tcPr>
          <w:p w14:paraId="34101F7E" w14:textId="15DE47AB" w:rsidR="00BA73B5" w:rsidRPr="006D1798" w:rsidRDefault="00BA73B5" w:rsidP="00BA73B5">
            <w:pPr>
              <w:pStyle w:val="T2"/>
              <w:jc w:val="right"/>
              <w:rPr>
                <w:rFonts w:ascii="Calibri" w:hAnsi="Calibri" w:cs="Arial"/>
              </w:rPr>
            </w:pPr>
            <w:r w:rsidRPr="0096767F">
              <w:rPr>
                <w:rFonts w:ascii="Calibri" w:hAnsi="Calibri" w:cs="Arial"/>
              </w:rPr>
              <w:t>(</w:t>
            </w:r>
            <w:r>
              <w:rPr>
                <w:rFonts w:ascii="Calibri" w:hAnsi="Calibri" w:cs="Arial"/>
              </w:rPr>
              <w:t>0.9</w:t>
            </w:r>
            <w:r w:rsidRPr="0096767F">
              <w:rPr>
                <w:rFonts w:ascii="Calibri" w:hAnsi="Calibri" w:cs="Arial"/>
              </w:rPr>
              <w:t>)</w:t>
            </w:r>
          </w:p>
        </w:tc>
      </w:tr>
      <w:tr w:rsidR="00BA73B5" w14:paraId="2E6A3F46" w14:textId="77777777" w:rsidTr="00E14D65">
        <w:tc>
          <w:tcPr>
            <w:tcW w:w="7795" w:type="dxa"/>
            <w:vAlign w:val="bottom"/>
          </w:tcPr>
          <w:p w14:paraId="13210869" w14:textId="77777777" w:rsidR="00BA73B5" w:rsidRPr="006D1798" w:rsidRDefault="00BA73B5" w:rsidP="00BA73B5">
            <w:pPr>
              <w:pStyle w:val="T2"/>
              <w:jc w:val="left"/>
              <w:rPr>
                <w:rFonts w:ascii="Calibri" w:hAnsi="Calibri" w:cs="Arial"/>
              </w:rPr>
            </w:pPr>
            <w:r w:rsidRPr="006D1798">
              <w:rPr>
                <w:rFonts w:ascii="Calibri" w:hAnsi="Calibri" w:cs="Arial"/>
              </w:rPr>
              <w:t>Change in fair value of derivatives and related debt adjustments</w:t>
            </w:r>
          </w:p>
        </w:tc>
        <w:tc>
          <w:tcPr>
            <w:tcW w:w="992" w:type="dxa"/>
          </w:tcPr>
          <w:p w14:paraId="754C5957" w14:textId="15B443B6" w:rsidR="00BA73B5" w:rsidRPr="00197130" w:rsidRDefault="00BA73B5" w:rsidP="00BA73B5">
            <w:pPr>
              <w:pStyle w:val="T2"/>
              <w:jc w:val="right"/>
              <w:rPr>
                <w:rFonts w:ascii="Calibri" w:hAnsi="Calibri" w:cs="Arial"/>
                <w:b/>
              </w:rPr>
            </w:pPr>
            <w:r>
              <w:rPr>
                <w:b/>
              </w:rPr>
              <w:t>0.4</w:t>
            </w:r>
          </w:p>
        </w:tc>
        <w:tc>
          <w:tcPr>
            <w:tcW w:w="992" w:type="dxa"/>
            <w:vAlign w:val="bottom"/>
          </w:tcPr>
          <w:p w14:paraId="0D0C5D76" w14:textId="573DED7C" w:rsidR="00BA73B5" w:rsidRPr="006D1798" w:rsidRDefault="00BA73B5" w:rsidP="00BA73B5">
            <w:pPr>
              <w:pStyle w:val="T2"/>
              <w:jc w:val="right"/>
              <w:rPr>
                <w:rFonts w:ascii="Calibri" w:hAnsi="Calibri" w:cs="Arial"/>
              </w:rPr>
            </w:pPr>
            <w:r>
              <w:t>(1.1)</w:t>
            </w:r>
          </w:p>
        </w:tc>
      </w:tr>
      <w:tr w:rsidR="00BA73B5" w14:paraId="7691E1B1" w14:textId="77777777" w:rsidTr="004B6C20">
        <w:tc>
          <w:tcPr>
            <w:tcW w:w="7795" w:type="dxa"/>
            <w:tcBorders>
              <w:bottom w:val="single" w:sz="2" w:space="0" w:color="auto"/>
            </w:tcBorders>
            <w:vAlign w:val="bottom"/>
          </w:tcPr>
          <w:p w14:paraId="3D0A3E3E" w14:textId="77777777" w:rsidR="00BA73B5" w:rsidRPr="006D1798" w:rsidRDefault="00BA73B5" w:rsidP="00BA73B5">
            <w:pPr>
              <w:pStyle w:val="T2"/>
              <w:jc w:val="left"/>
              <w:rPr>
                <w:rFonts w:ascii="Calibri" w:hAnsi="Calibri" w:cs="Arial"/>
              </w:rPr>
            </w:pPr>
            <w:r w:rsidRPr="006D1798">
              <w:rPr>
                <w:rFonts w:ascii="Calibri" w:hAnsi="Calibri" w:cs="Arial"/>
              </w:rPr>
              <w:t>Foreign exchange on inter</w:t>
            </w:r>
            <w:r>
              <w:rPr>
                <w:rFonts w:ascii="Calibri" w:hAnsi="Calibri" w:cs="Arial"/>
              </w:rPr>
              <w:t>–</w:t>
            </w:r>
            <w:r w:rsidRPr="006D1798">
              <w:rPr>
                <w:rFonts w:ascii="Calibri" w:hAnsi="Calibri" w:cs="Arial"/>
              </w:rPr>
              <w:t>company and external balances where hedge accounting is not applied</w:t>
            </w:r>
          </w:p>
        </w:tc>
        <w:tc>
          <w:tcPr>
            <w:tcW w:w="992" w:type="dxa"/>
            <w:tcBorders>
              <w:bottom w:val="single" w:sz="2" w:space="0" w:color="auto"/>
            </w:tcBorders>
          </w:tcPr>
          <w:p w14:paraId="4D0293E2" w14:textId="00ABF9C0" w:rsidR="00BA73B5" w:rsidRPr="00197130" w:rsidRDefault="00BA73B5" w:rsidP="00BA73B5">
            <w:pPr>
              <w:pStyle w:val="T2"/>
              <w:jc w:val="right"/>
              <w:rPr>
                <w:rFonts w:ascii="Calibri" w:hAnsi="Calibri" w:cs="Arial"/>
                <w:b/>
              </w:rPr>
            </w:pPr>
            <w:r>
              <w:rPr>
                <w:b/>
              </w:rPr>
              <w:t>(0.5)</w:t>
            </w:r>
          </w:p>
        </w:tc>
        <w:tc>
          <w:tcPr>
            <w:tcW w:w="992" w:type="dxa"/>
            <w:tcBorders>
              <w:bottom w:val="single" w:sz="2" w:space="0" w:color="auto"/>
            </w:tcBorders>
            <w:vAlign w:val="bottom"/>
          </w:tcPr>
          <w:p w14:paraId="76F02A40" w14:textId="6F73AE17" w:rsidR="00BA73B5" w:rsidRPr="006D1798" w:rsidRDefault="00BA73B5" w:rsidP="00BA73B5">
            <w:pPr>
              <w:pStyle w:val="T2"/>
              <w:jc w:val="right"/>
              <w:rPr>
                <w:rFonts w:ascii="Calibri" w:hAnsi="Calibri" w:cs="Arial"/>
              </w:rPr>
            </w:pPr>
            <w:r w:rsidRPr="00254525">
              <w:t>–</w:t>
            </w:r>
          </w:p>
        </w:tc>
      </w:tr>
      <w:tr w:rsidR="00BA73B5" w14:paraId="72A19137" w14:textId="77777777" w:rsidTr="004B6C20">
        <w:tc>
          <w:tcPr>
            <w:tcW w:w="7795" w:type="dxa"/>
            <w:tcBorders>
              <w:top w:val="single" w:sz="2" w:space="0" w:color="auto"/>
              <w:bottom w:val="single" w:sz="2" w:space="0" w:color="auto"/>
            </w:tcBorders>
            <w:vAlign w:val="bottom"/>
          </w:tcPr>
          <w:p w14:paraId="24C95CAD" w14:textId="765AB50E" w:rsidR="00BA73B5" w:rsidRPr="004921F9" w:rsidRDefault="00BA73B5" w:rsidP="00BA73B5">
            <w:pPr>
              <w:pStyle w:val="T2"/>
              <w:jc w:val="left"/>
              <w:rPr>
                <w:rFonts w:ascii="Calibri" w:hAnsi="Calibri" w:cs="Arial"/>
                <w:b/>
              </w:rPr>
            </w:pPr>
            <w:r w:rsidRPr="004921F9">
              <w:rPr>
                <w:rFonts w:ascii="Calibri" w:hAnsi="Calibri" w:cs="Arial"/>
                <w:b/>
              </w:rPr>
              <w:t xml:space="preserve">Total finance expense </w:t>
            </w:r>
          </w:p>
        </w:tc>
        <w:tc>
          <w:tcPr>
            <w:tcW w:w="992" w:type="dxa"/>
            <w:tcBorders>
              <w:top w:val="single" w:sz="2" w:space="0" w:color="auto"/>
              <w:bottom w:val="single" w:sz="2" w:space="0" w:color="auto"/>
            </w:tcBorders>
          </w:tcPr>
          <w:p w14:paraId="5BF52FD7" w14:textId="3111C79E" w:rsidR="00BA73B5" w:rsidRPr="004921F9" w:rsidRDefault="00BA73B5" w:rsidP="00BA73B5">
            <w:pPr>
              <w:pStyle w:val="T2"/>
              <w:tabs>
                <w:tab w:val="center" w:pos="388"/>
                <w:tab w:val="right" w:pos="776"/>
              </w:tabs>
              <w:jc w:val="right"/>
              <w:rPr>
                <w:rFonts w:ascii="Calibri" w:hAnsi="Calibri" w:cs="Arial"/>
                <w:b/>
              </w:rPr>
            </w:pPr>
            <w:r>
              <w:rPr>
                <w:rFonts w:ascii="Calibri" w:hAnsi="Calibri" w:cs="Arial"/>
                <w:b/>
              </w:rPr>
              <w:t>(6.2)</w:t>
            </w:r>
          </w:p>
        </w:tc>
        <w:tc>
          <w:tcPr>
            <w:tcW w:w="992" w:type="dxa"/>
            <w:tcBorders>
              <w:top w:val="single" w:sz="2" w:space="0" w:color="auto"/>
              <w:bottom w:val="single" w:sz="2" w:space="0" w:color="auto"/>
            </w:tcBorders>
            <w:vAlign w:val="bottom"/>
          </w:tcPr>
          <w:p w14:paraId="68392086" w14:textId="3A11B279" w:rsidR="00BA73B5" w:rsidRPr="004921F9" w:rsidRDefault="00BA73B5" w:rsidP="00BA73B5">
            <w:pPr>
              <w:pStyle w:val="T2"/>
              <w:jc w:val="right"/>
              <w:rPr>
                <w:rFonts w:ascii="Calibri" w:hAnsi="Calibri" w:cs="Arial"/>
              </w:rPr>
            </w:pPr>
            <w:r w:rsidRPr="004921F9">
              <w:rPr>
                <w:rFonts w:ascii="Calibri" w:hAnsi="Calibri" w:cs="Arial"/>
              </w:rPr>
              <w:t>(</w:t>
            </w:r>
            <w:r>
              <w:rPr>
                <w:rFonts w:ascii="Calibri" w:hAnsi="Calibri" w:cs="Arial"/>
              </w:rPr>
              <w:t>10.1</w:t>
            </w:r>
            <w:r w:rsidRPr="004921F9">
              <w:rPr>
                <w:rFonts w:ascii="Calibri" w:hAnsi="Calibri" w:cs="Arial"/>
              </w:rPr>
              <w:t>)</w:t>
            </w:r>
          </w:p>
        </w:tc>
      </w:tr>
      <w:tr w:rsidR="00BA73B5" w14:paraId="0CDC4959" w14:textId="77777777" w:rsidTr="004B6C20">
        <w:tc>
          <w:tcPr>
            <w:tcW w:w="7795" w:type="dxa"/>
            <w:tcBorders>
              <w:top w:val="single" w:sz="2" w:space="0" w:color="auto"/>
            </w:tcBorders>
            <w:vAlign w:val="bottom"/>
          </w:tcPr>
          <w:p w14:paraId="3B4CD155" w14:textId="77777777" w:rsidR="00BA73B5" w:rsidRPr="006D1798" w:rsidRDefault="00BA73B5" w:rsidP="00BA73B5">
            <w:pPr>
              <w:pStyle w:val="T2"/>
              <w:jc w:val="left"/>
              <w:rPr>
                <w:rFonts w:ascii="Calibri" w:hAnsi="Calibri" w:cs="Arial"/>
                <w:b/>
                <w:bCs/>
              </w:rPr>
            </w:pPr>
          </w:p>
        </w:tc>
        <w:tc>
          <w:tcPr>
            <w:tcW w:w="992" w:type="dxa"/>
            <w:tcBorders>
              <w:top w:val="single" w:sz="2" w:space="0" w:color="auto"/>
            </w:tcBorders>
            <w:vAlign w:val="bottom"/>
          </w:tcPr>
          <w:p w14:paraId="0D078884" w14:textId="77777777" w:rsidR="00BA73B5" w:rsidRPr="005D0EFF" w:rsidRDefault="00BA73B5" w:rsidP="00BA73B5">
            <w:pPr>
              <w:pStyle w:val="T2"/>
              <w:jc w:val="right"/>
              <w:rPr>
                <w:rFonts w:ascii="Calibri" w:hAnsi="Calibri" w:cs="Arial"/>
              </w:rPr>
            </w:pPr>
          </w:p>
        </w:tc>
        <w:tc>
          <w:tcPr>
            <w:tcW w:w="992" w:type="dxa"/>
            <w:tcBorders>
              <w:top w:val="single" w:sz="2" w:space="0" w:color="auto"/>
            </w:tcBorders>
            <w:vAlign w:val="bottom"/>
          </w:tcPr>
          <w:p w14:paraId="750CF33C" w14:textId="77777777" w:rsidR="00BA73B5" w:rsidRPr="006D1798" w:rsidRDefault="00BA73B5" w:rsidP="00BA73B5">
            <w:pPr>
              <w:pStyle w:val="T2"/>
              <w:jc w:val="right"/>
              <w:rPr>
                <w:rFonts w:ascii="Calibri" w:hAnsi="Calibri" w:cs="Arial"/>
              </w:rPr>
            </w:pPr>
          </w:p>
        </w:tc>
      </w:tr>
    </w:tbl>
    <w:p w14:paraId="79F69B3E" w14:textId="2951A130" w:rsidR="008D2B54" w:rsidRDefault="008D2B54" w:rsidP="00773F7B">
      <w:pPr>
        <w:spacing w:after="0" w:line="240" w:lineRule="auto"/>
        <w:rPr>
          <w:b/>
          <w:sz w:val="18"/>
          <w:szCs w:val="18"/>
        </w:rPr>
      </w:pPr>
    </w:p>
    <w:p w14:paraId="2DCD3F0D" w14:textId="46D2C021" w:rsidR="00773F7B" w:rsidRPr="003232EE" w:rsidRDefault="002675EF" w:rsidP="005B3BEE">
      <w:pPr>
        <w:pStyle w:val="SectionH3"/>
      </w:pPr>
      <w:r>
        <w:t>7</w:t>
      </w:r>
      <w:r w:rsidR="00773F7B" w:rsidRPr="003232EE">
        <w:t>.</w:t>
      </w:r>
      <w:r w:rsidR="00773F7B" w:rsidRPr="003232EE">
        <w:tab/>
      </w:r>
      <w:r w:rsidR="00773F7B" w:rsidRPr="00480A32">
        <w:t>Taxation</w:t>
      </w:r>
    </w:p>
    <w:p w14:paraId="35F88EAB" w14:textId="223129D8" w:rsidR="00AE01B3" w:rsidRPr="002608C0" w:rsidRDefault="00AE01B3" w:rsidP="005B3BEE">
      <w:pPr>
        <w:spacing w:after="120" w:line="240" w:lineRule="auto"/>
        <w:jc w:val="both"/>
        <w:rPr>
          <w:rFonts w:ascii="Calibri" w:eastAsia="Calibri" w:hAnsi="Calibri" w:cs="Arial"/>
          <w:sz w:val="18"/>
          <w:szCs w:val="18"/>
          <w:lang w:val="en-US" w:eastAsia="en-GB" w:bidi="en-GB"/>
        </w:rPr>
      </w:pPr>
      <w:r w:rsidRPr="002608C0">
        <w:rPr>
          <w:rFonts w:ascii="Calibri" w:eastAsia="Calibri" w:hAnsi="Calibri" w:cs="Arial"/>
          <w:sz w:val="18"/>
          <w:szCs w:val="18"/>
          <w:lang w:val="en-US" w:eastAsia="en-GB" w:bidi="en-GB"/>
        </w:rPr>
        <w:t xml:space="preserve">Interim period tax is accrued using the tax rate that is estimated to be applicable to expected total annual earnings in the financial year based on tax rates that were enacted or substantively enacted for the period ended </w:t>
      </w:r>
      <w:r w:rsidR="008A4891" w:rsidRPr="002608C0">
        <w:rPr>
          <w:rFonts w:ascii="Calibri" w:eastAsia="Calibri" w:hAnsi="Calibri" w:cs="Arial"/>
          <w:sz w:val="18"/>
          <w:szCs w:val="18"/>
          <w:lang w:val="en-US" w:eastAsia="en-GB" w:bidi="en-GB"/>
        </w:rPr>
        <w:t>25 March 2022</w:t>
      </w:r>
      <w:r w:rsidRPr="002608C0">
        <w:rPr>
          <w:rFonts w:ascii="Calibri" w:eastAsia="Calibri" w:hAnsi="Calibri" w:cs="Arial"/>
          <w:sz w:val="18"/>
          <w:szCs w:val="18"/>
          <w:lang w:val="en-US" w:eastAsia="en-GB" w:bidi="en-GB"/>
        </w:rPr>
        <w:t>.</w:t>
      </w:r>
    </w:p>
    <w:p w14:paraId="1B8611C3" w14:textId="71AEDE8D" w:rsidR="00F75453" w:rsidRPr="002608C0" w:rsidRDefault="0009243D" w:rsidP="005B3BEE">
      <w:pPr>
        <w:spacing w:after="120" w:line="240" w:lineRule="auto"/>
        <w:jc w:val="both"/>
        <w:rPr>
          <w:rFonts w:ascii="Calibri" w:eastAsia="Calibri" w:hAnsi="Calibri" w:cs="Arial"/>
          <w:sz w:val="18"/>
          <w:szCs w:val="18"/>
          <w:lang w:val="en-US" w:eastAsia="en-GB" w:bidi="en-GB"/>
        </w:rPr>
      </w:pPr>
      <w:r w:rsidRPr="002608C0">
        <w:rPr>
          <w:rFonts w:ascii="Calibri" w:eastAsia="Calibri" w:hAnsi="Calibri" w:cs="Arial"/>
          <w:sz w:val="18"/>
          <w:szCs w:val="18"/>
          <w:lang w:val="en-US" w:eastAsia="en-GB" w:bidi="en-GB"/>
        </w:rPr>
        <w:t>The</w:t>
      </w:r>
      <w:r w:rsidR="000D7A33" w:rsidRPr="002608C0">
        <w:rPr>
          <w:rFonts w:ascii="Calibri" w:eastAsia="Calibri" w:hAnsi="Calibri" w:cs="Arial"/>
          <w:sz w:val="18"/>
          <w:szCs w:val="18"/>
          <w:lang w:val="en-US" w:eastAsia="en-GB" w:bidi="en-GB"/>
        </w:rPr>
        <w:t xml:space="preserve"> effective</w:t>
      </w:r>
      <w:r w:rsidRPr="002608C0">
        <w:rPr>
          <w:rFonts w:ascii="Calibri" w:eastAsia="Calibri" w:hAnsi="Calibri" w:cs="Arial"/>
          <w:sz w:val="18"/>
          <w:szCs w:val="18"/>
          <w:lang w:val="en-US" w:eastAsia="en-GB" w:bidi="en-GB"/>
        </w:rPr>
        <w:t xml:space="preserve"> tax rate applicable for the period ended </w:t>
      </w:r>
      <w:r w:rsidR="008A4891" w:rsidRPr="002608C0">
        <w:rPr>
          <w:rFonts w:ascii="Calibri" w:eastAsia="Calibri" w:hAnsi="Calibri" w:cs="Arial"/>
          <w:sz w:val="18"/>
          <w:szCs w:val="18"/>
          <w:lang w:val="en-US" w:eastAsia="en-GB" w:bidi="en-GB"/>
        </w:rPr>
        <w:t>25 March 2022</w:t>
      </w:r>
      <w:r w:rsidRPr="002608C0">
        <w:rPr>
          <w:rFonts w:ascii="Calibri" w:eastAsia="Calibri" w:hAnsi="Calibri" w:cs="Arial"/>
          <w:sz w:val="18"/>
          <w:szCs w:val="18"/>
          <w:lang w:val="en-US" w:eastAsia="en-GB" w:bidi="en-GB"/>
        </w:rPr>
        <w:t xml:space="preserve"> is 1</w:t>
      </w:r>
      <w:r w:rsidR="002047CD" w:rsidRPr="002608C0">
        <w:rPr>
          <w:rFonts w:ascii="Calibri" w:eastAsia="Calibri" w:hAnsi="Calibri" w:cs="Arial"/>
          <w:sz w:val="18"/>
          <w:szCs w:val="18"/>
          <w:lang w:val="en-US" w:eastAsia="en-GB" w:bidi="en-GB"/>
        </w:rPr>
        <w:t>9</w:t>
      </w:r>
      <w:r w:rsidRPr="002608C0">
        <w:rPr>
          <w:rFonts w:ascii="Calibri" w:eastAsia="Calibri" w:hAnsi="Calibri" w:cs="Arial"/>
          <w:sz w:val="18"/>
          <w:szCs w:val="18"/>
          <w:lang w:val="en-US" w:eastAsia="en-GB" w:bidi="en-GB"/>
        </w:rPr>
        <w:t>%</w:t>
      </w:r>
      <w:r w:rsidR="009570FF" w:rsidRPr="002608C0">
        <w:rPr>
          <w:rFonts w:ascii="Calibri" w:eastAsia="Calibri" w:hAnsi="Calibri" w:cs="Arial"/>
          <w:sz w:val="18"/>
          <w:szCs w:val="18"/>
          <w:lang w:val="en-US" w:eastAsia="en-GB" w:bidi="en-GB"/>
        </w:rPr>
        <w:t xml:space="preserve">, which reflects </w:t>
      </w:r>
      <w:r w:rsidR="00C96B00" w:rsidRPr="002608C0">
        <w:rPr>
          <w:rFonts w:ascii="Calibri" w:eastAsia="Calibri" w:hAnsi="Calibri" w:cs="Arial"/>
          <w:sz w:val="18"/>
          <w:szCs w:val="18"/>
          <w:lang w:val="en-US" w:eastAsia="en-GB" w:bidi="en-GB"/>
        </w:rPr>
        <w:t>the impact of the increasing corporation tax rates in the UK.</w:t>
      </w:r>
    </w:p>
    <w:p w14:paraId="7903A065" w14:textId="1E2189E2" w:rsidR="00773F7B" w:rsidRPr="00480A32" w:rsidRDefault="002675EF" w:rsidP="005B3BEE">
      <w:pPr>
        <w:pStyle w:val="SectionH3"/>
      </w:pPr>
      <w:r>
        <w:t>8</w:t>
      </w:r>
      <w:r w:rsidR="00773F7B" w:rsidRPr="003232EE">
        <w:t>.</w:t>
      </w:r>
      <w:r w:rsidR="00773F7B" w:rsidRPr="003232EE">
        <w:tab/>
      </w:r>
      <w:r w:rsidR="00773F7B" w:rsidRPr="00480A32">
        <w:t>Dividends Paid and Proposed</w:t>
      </w:r>
    </w:p>
    <w:p w14:paraId="1B2D4046" w14:textId="76A459E0" w:rsidR="00773F7B" w:rsidRDefault="00853E81" w:rsidP="005B3BEE">
      <w:pPr>
        <w:spacing w:after="120" w:line="240" w:lineRule="auto"/>
        <w:jc w:val="both"/>
        <w:rPr>
          <w:sz w:val="18"/>
          <w:szCs w:val="18"/>
        </w:rPr>
      </w:pPr>
      <w:r w:rsidRPr="002608C0">
        <w:rPr>
          <w:rFonts w:ascii="Calibri" w:eastAsia="Calibri" w:hAnsi="Calibri" w:cs="Arial"/>
          <w:sz w:val="18"/>
          <w:szCs w:val="18"/>
          <w:lang w:val="en-US" w:eastAsia="en-GB" w:bidi="en-GB"/>
        </w:rPr>
        <w:t xml:space="preserve">There were no dividends paid in the current or prior period. </w:t>
      </w:r>
    </w:p>
    <w:p w14:paraId="1BF5728B" w14:textId="3290E4BD" w:rsidR="009E247A" w:rsidRPr="009E247A" w:rsidRDefault="002665FC" w:rsidP="005B3BEE">
      <w:pPr>
        <w:pStyle w:val="SectionH3"/>
        <w:rPr>
          <w:b w:val="0"/>
          <w:bCs w:val="0"/>
        </w:rPr>
      </w:pPr>
      <w:r w:rsidRPr="00CA1AE6">
        <w:rPr>
          <w:b w:val="0"/>
          <w:bCs w:val="0"/>
        </w:rPr>
        <w:t>The Group intends to recommence value return to shareholders of up to £50m over the next two years, initially in the form of a share buyback programme and consistent with the Group’s capital management policy</w:t>
      </w:r>
      <w:r w:rsidR="00C46DE8" w:rsidRPr="00B8267F">
        <w:rPr>
          <w:b w:val="0"/>
          <w:bCs w:val="0"/>
        </w:rPr>
        <w:t>.</w:t>
      </w:r>
      <w:r w:rsidR="00C46DE8">
        <w:rPr>
          <w:b w:val="0"/>
          <w:bCs w:val="0"/>
        </w:rPr>
        <w:t xml:space="preserve"> </w:t>
      </w:r>
    </w:p>
    <w:p w14:paraId="66D9F6ED" w14:textId="77777777" w:rsidR="00853E81" w:rsidRPr="00853E81" w:rsidRDefault="00853E81" w:rsidP="005B3BEE">
      <w:pPr>
        <w:pStyle w:val="SectionH3"/>
        <w:rPr>
          <w:b w:val="0"/>
          <w:bCs w:val="0"/>
        </w:rPr>
      </w:pPr>
    </w:p>
    <w:p w14:paraId="66B65595" w14:textId="07B3590E" w:rsidR="00773F7B" w:rsidRDefault="002675EF" w:rsidP="005B3BEE">
      <w:pPr>
        <w:pStyle w:val="SectionH3"/>
      </w:pPr>
      <w:r>
        <w:t>9</w:t>
      </w:r>
      <w:r w:rsidR="00773F7B" w:rsidRPr="003232EE">
        <w:t>.</w:t>
      </w:r>
      <w:r w:rsidR="00815E85">
        <w:tab/>
      </w:r>
      <w:r w:rsidR="00773F7B" w:rsidRPr="00FE22BA">
        <w:t>Earnings per Ordinary Share</w:t>
      </w:r>
    </w:p>
    <w:p w14:paraId="254E6202" w14:textId="5F9DC0A0" w:rsidR="00C96B00" w:rsidRPr="00702E1E" w:rsidRDefault="00C96B00" w:rsidP="005B3BEE">
      <w:pPr>
        <w:pStyle w:val="SectionH3"/>
        <w:rPr>
          <w:b w:val="0"/>
          <w:bCs w:val="0"/>
        </w:rPr>
      </w:pPr>
      <w:r w:rsidRPr="00702E1E">
        <w:rPr>
          <w:b w:val="0"/>
          <w:bCs w:val="0"/>
        </w:rPr>
        <w:t>During the period</w:t>
      </w:r>
      <w:r>
        <w:rPr>
          <w:b w:val="0"/>
          <w:bCs w:val="0"/>
        </w:rPr>
        <w:t>, the Group introduced a new share ownership scheme for all colleagues</w:t>
      </w:r>
      <w:r w:rsidR="00220248">
        <w:rPr>
          <w:b w:val="0"/>
          <w:bCs w:val="0"/>
        </w:rPr>
        <w:t xml:space="preserve"> which resulted in a </w:t>
      </w:r>
      <w:r w:rsidR="00E30508">
        <w:rPr>
          <w:b w:val="0"/>
          <w:bCs w:val="0"/>
        </w:rPr>
        <w:t>purchase of own shares from the market</w:t>
      </w:r>
      <w:r w:rsidR="00220248">
        <w:rPr>
          <w:b w:val="0"/>
          <w:bCs w:val="0"/>
        </w:rPr>
        <w:t xml:space="preserve"> of 2,180,216 </w:t>
      </w:r>
      <w:r w:rsidR="00E30508">
        <w:rPr>
          <w:b w:val="0"/>
          <w:bCs w:val="0"/>
        </w:rPr>
        <w:t>O</w:t>
      </w:r>
      <w:r w:rsidR="00220248">
        <w:rPr>
          <w:b w:val="0"/>
          <w:bCs w:val="0"/>
        </w:rPr>
        <w:t xml:space="preserve">rdinary </w:t>
      </w:r>
      <w:r w:rsidR="00E30508">
        <w:rPr>
          <w:b w:val="0"/>
          <w:bCs w:val="0"/>
        </w:rPr>
        <w:t>S</w:t>
      </w:r>
      <w:r w:rsidR="00220248">
        <w:rPr>
          <w:b w:val="0"/>
          <w:bCs w:val="0"/>
        </w:rPr>
        <w:t xml:space="preserve">hares at a </w:t>
      </w:r>
      <w:r w:rsidR="00E30508">
        <w:rPr>
          <w:b w:val="0"/>
          <w:bCs w:val="0"/>
        </w:rPr>
        <w:t xml:space="preserve">total </w:t>
      </w:r>
      <w:r w:rsidR="00220248">
        <w:rPr>
          <w:b w:val="0"/>
          <w:bCs w:val="0"/>
        </w:rPr>
        <w:t>cost of £3.0m</w:t>
      </w:r>
      <w:r w:rsidR="00E30508">
        <w:rPr>
          <w:b w:val="0"/>
          <w:bCs w:val="0"/>
        </w:rPr>
        <w:t>,</w:t>
      </w:r>
      <w:r w:rsidR="00220248">
        <w:rPr>
          <w:b w:val="0"/>
          <w:bCs w:val="0"/>
        </w:rPr>
        <w:t xml:space="preserve"> which have been put into an Employee Benefit Trust. Th</w:t>
      </w:r>
      <w:r w:rsidR="00E30508">
        <w:rPr>
          <w:b w:val="0"/>
          <w:bCs w:val="0"/>
        </w:rPr>
        <w:t>e effect of the purchase of own shares on the</w:t>
      </w:r>
      <w:r w:rsidR="00220248">
        <w:rPr>
          <w:b w:val="0"/>
          <w:bCs w:val="0"/>
        </w:rPr>
        <w:t xml:space="preserve"> weighted</w:t>
      </w:r>
      <w:r w:rsidR="00E30508">
        <w:rPr>
          <w:b w:val="0"/>
          <w:bCs w:val="0"/>
        </w:rPr>
        <w:t xml:space="preserve"> average number of Ordinary Shares was a reduction of 893,531 shares, which forms part of the 1.8m shares included within the denominator calculation below.</w:t>
      </w:r>
      <w:r w:rsidR="00220248">
        <w:rPr>
          <w:b w:val="0"/>
          <w:bCs w:val="0"/>
        </w:rPr>
        <w:t xml:space="preserve"> </w:t>
      </w:r>
    </w:p>
    <w:p w14:paraId="613CDBF7" w14:textId="0EFD450B" w:rsidR="00773F7B" w:rsidRDefault="00773F7B" w:rsidP="005B3BEE">
      <w:pPr>
        <w:pStyle w:val="SectionH3"/>
      </w:pPr>
      <w:r w:rsidRPr="005C4A6C">
        <w:t>Numerator</w:t>
      </w:r>
      <w:r>
        <w:t xml:space="preserve"> </w:t>
      </w:r>
      <w:r w:rsidRPr="00CC7F8E">
        <w:t>for earnings per share calculation</w:t>
      </w:r>
      <w:r>
        <w:t>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992"/>
        <w:gridCol w:w="992"/>
      </w:tblGrid>
      <w:tr w:rsidR="007140AC" w14:paraId="0BE909D4" w14:textId="77777777" w:rsidTr="00E14D65">
        <w:trPr>
          <w:jc w:val="center"/>
        </w:trPr>
        <w:tc>
          <w:tcPr>
            <w:tcW w:w="7795" w:type="dxa"/>
            <w:vAlign w:val="bottom"/>
          </w:tcPr>
          <w:p w14:paraId="76CF7841" w14:textId="77777777" w:rsidR="007140AC" w:rsidRPr="00CC7F8E" w:rsidRDefault="007140AC" w:rsidP="00E14D65">
            <w:pPr>
              <w:pStyle w:val="T2"/>
              <w:jc w:val="left"/>
            </w:pPr>
          </w:p>
        </w:tc>
        <w:tc>
          <w:tcPr>
            <w:tcW w:w="992" w:type="dxa"/>
            <w:vAlign w:val="bottom"/>
          </w:tcPr>
          <w:p w14:paraId="10455A8A" w14:textId="4F0CBD73" w:rsidR="007140AC" w:rsidRPr="00CC7F8E" w:rsidRDefault="007140AC" w:rsidP="007140AC">
            <w:pPr>
              <w:pStyle w:val="T2"/>
              <w:jc w:val="right"/>
              <w:rPr>
                <w:b/>
              </w:rPr>
            </w:pPr>
            <w:r w:rsidRPr="00CC7F8E">
              <w:rPr>
                <w:b/>
              </w:rPr>
              <w:t>Half year</w:t>
            </w:r>
            <w:r w:rsidRPr="00CC7F8E">
              <w:rPr>
                <w:b/>
              </w:rPr>
              <w:br/>
              <w:t>20</w:t>
            </w:r>
            <w:r>
              <w:rPr>
                <w:b/>
              </w:rPr>
              <w:t>2</w:t>
            </w:r>
            <w:r w:rsidR="00853E81">
              <w:rPr>
                <w:b/>
              </w:rPr>
              <w:t>2</w:t>
            </w:r>
          </w:p>
        </w:tc>
        <w:tc>
          <w:tcPr>
            <w:tcW w:w="992" w:type="dxa"/>
            <w:vAlign w:val="bottom"/>
          </w:tcPr>
          <w:p w14:paraId="4FAF1C99" w14:textId="2694F8F2" w:rsidR="007140AC" w:rsidRPr="00CC7F8E" w:rsidRDefault="007140AC" w:rsidP="007140AC">
            <w:pPr>
              <w:pStyle w:val="T2"/>
              <w:jc w:val="right"/>
            </w:pPr>
            <w:r w:rsidRPr="00CC7F8E">
              <w:t>Half year</w:t>
            </w:r>
            <w:r w:rsidRPr="00CC7F8E">
              <w:br/>
              <w:t>20</w:t>
            </w:r>
            <w:r>
              <w:t>2</w:t>
            </w:r>
            <w:r w:rsidR="00853E81">
              <w:t>1</w:t>
            </w:r>
          </w:p>
        </w:tc>
      </w:tr>
      <w:tr w:rsidR="007140AC" w14:paraId="14CF0934" w14:textId="77777777" w:rsidTr="001F1616">
        <w:trPr>
          <w:jc w:val="center"/>
        </w:trPr>
        <w:tc>
          <w:tcPr>
            <w:tcW w:w="7795" w:type="dxa"/>
            <w:tcBorders>
              <w:bottom w:val="single" w:sz="2" w:space="0" w:color="auto"/>
            </w:tcBorders>
            <w:vAlign w:val="bottom"/>
          </w:tcPr>
          <w:p w14:paraId="062AC13E" w14:textId="77777777" w:rsidR="007140AC" w:rsidRPr="00CC7F8E" w:rsidRDefault="007140AC" w:rsidP="00E14D65">
            <w:pPr>
              <w:pStyle w:val="T2"/>
              <w:jc w:val="left"/>
            </w:pPr>
          </w:p>
        </w:tc>
        <w:tc>
          <w:tcPr>
            <w:tcW w:w="992" w:type="dxa"/>
            <w:tcBorders>
              <w:bottom w:val="single" w:sz="2" w:space="0" w:color="auto"/>
            </w:tcBorders>
            <w:vAlign w:val="bottom"/>
          </w:tcPr>
          <w:p w14:paraId="314415FB" w14:textId="77777777" w:rsidR="007140AC" w:rsidRPr="00CC7F8E" w:rsidRDefault="007140AC" w:rsidP="00E14D65">
            <w:pPr>
              <w:pStyle w:val="T2"/>
              <w:jc w:val="right"/>
              <w:rPr>
                <w:b/>
              </w:rPr>
            </w:pPr>
            <w:r>
              <w:rPr>
                <w:b/>
              </w:rPr>
              <w:t>£m</w:t>
            </w:r>
          </w:p>
        </w:tc>
        <w:tc>
          <w:tcPr>
            <w:tcW w:w="992" w:type="dxa"/>
            <w:tcBorders>
              <w:bottom w:val="single" w:sz="2" w:space="0" w:color="auto"/>
            </w:tcBorders>
            <w:vAlign w:val="bottom"/>
          </w:tcPr>
          <w:p w14:paraId="1C0C0957" w14:textId="77777777" w:rsidR="007140AC" w:rsidRPr="00CC7F8E" w:rsidRDefault="007140AC" w:rsidP="00E14D65">
            <w:pPr>
              <w:pStyle w:val="T2"/>
              <w:jc w:val="right"/>
            </w:pPr>
            <w:r>
              <w:t>£m</w:t>
            </w:r>
          </w:p>
        </w:tc>
      </w:tr>
      <w:tr w:rsidR="007140AC" w14:paraId="21FB60E6" w14:textId="77777777" w:rsidTr="00F00317">
        <w:trPr>
          <w:jc w:val="center"/>
        </w:trPr>
        <w:tc>
          <w:tcPr>
            <w:tcW w:w="7795" w:type="dxa"/>
            <w:tcBorders>
              <w:top w:val="single" w:sz="2" w:space="0" w:color="auto"/>
              <w:bottom w:val="single" w:sz="2" w:space="0" w:color="auto"/>
            </w:tcBorders>
            <w:vAlign w:val="bottom"/>
          </w:tcPr>
          <w:p w14:paraId="65A0C503" w14:textId="77777777" w:rsidR="007140AC" w:rsidRPr="00CC7F8E" w:rsidRDefault="000123F9">
            <w:pPr>
              <w:pStyle w:val="T2"/>
              <w:jc w:val="left"/>
            </w:pPr>
            <w:r>
              <w:rPr>
                <w:rFonts w:cs="Arial"/>
                <w:b/>
                <w:bCs/>
              </w:rPr>
              <w:t>P</w:t>
            </w:r>
            <w:r w:rsidR="005D3EAC">
              <w:rPr>
                <w:rFonts w:cs="Arial"/>
                <w:b/>
                <w:bCs/>
              </w:rPr>
              <w:t>rofit</w:t>
            </w:r>
            <w:r w:rsidR="007140AC" w:rsidRPr="005C4A6C">
              <w:rPr>
                <w:rFonts w:cs="Arial"/>
                <w:b/>
                <w:bCs/>
              </w:rPr>
              <w:t xml:space="preserve"> attributable to equity holders</w:t>
            </w:r>
            <w:r w:rsidR="005D3EAC">
              <w:rPr>
                <w:rFonts w:cs="Arial"/>
                <w:b/>
                <w:bCs/>
              </w:rPr>
              <w:t xml:space="preserve"> </w:t>
            </w:r>
            <w:r w:rsidR="007140AC" w:rsidRPr="005C4A6C">
              <w:rPr>
                <w:rFonts w:cs="Arial"/>
                <w:b/>
                <w:bCs/>
              </w:rPr>
              <w:t>of the Company</w:t>
            </w:r>
          </w:p>
        </w:tc>
        <w:tc>
          <w:tcPr>
            <w:tcW w:w="992" w:type="dxa"/>
            <w:tcBorders>
              <w:top w:val="single" w:sz="2" w:space="0" w:color="auto"/>
              <w:bottom w:val="single" w:sz="2" w:space="0" w:color="auto"/>
            </w:tcBorders>
            <w:vAlign w:val="bottom"/>
          </w:tcPr>
          <w:p w14:paraId="63B2FBF9" w14:textId="11E3FDBD" w:rsidR="007140AC" w:rsidRPr="00D62949" w:rsidRDefault="002047CD">
            <w:pPr>
              <w:pStyle w:val="T2"/>
              <w:jc w:val="right"/>
              <w:rPr>
                <w:b/>
                <w:bCs/>
              </w:rPr>
            </w:pPr>
            <w:r>
              <w:rPr>
                <w:b/>
              </w:rPr>
              <w:t>0.8</w:t>
            </w:r>
          </w:p>
        </w:tc>
        <w:tc>
          <w:tcPr>
            <w:tcW w:w="992" w:type="dxa"/>
            <w:tcBorders>
              <w:top w:val="single" w:sz="2" w:space="0" w:color="auto"/>
              <w:bottom w:val="single" w:sz="2" w:space="0" w:color="auto"/>
            </w:tcBorders>
            <w:vAlign w:val="bottom"/>
          </w:tcPr>
          <w:p w14:paraId="64797145" w14:textId="4CD7C1C0" w:rsidR="007140AC" w:rsidRPr="00CC7F8E" w:rsidRDefault="00853E81" w:rsidP="00E14D65">
            <w:pPr>
              <w:pStyle w:val="T2"/>
              <w:jc w:val="right"/>
            </w:pPr>
            <w:r>
              <w:rPr>
                <w:bCs/>
              </w:rPr>
              <w:t>0.1</w:t>
            </w:r>
          </w:p>
        </w:tc>
      </w:tr>
    </w:tbl>
    <w:p w14:paraId="63579AF8" w14:textId="77777777" w:rsidR="00773F7B" w:rsidRDefault="00773F7B" w:rsidP="005B3BEE">
      <w:pPr>
        <w:pStyle w:val="Paragraph"/>
        <w:spacing w:after="120"/>
        <w:rPr>
          <w:b/>
        </w:rPr>
      </w:pPr>
      <w:r w:rsidRPr="00CC7F8E">
        <w:rPr>
          <w:b/>
        </w:rPr>
        <w:t xml:space="preserve">Denominator for </w:t>
      </w:r>
      <w:r>
        <w:rPr>
          <w:b/>
        </w:rPr>
        <w:t xml:space="preserve">earnings </w:t>
      </w:r>
      <w:r w:rsidRPr="00CC7F8E">
        <w:rPr>
          <w:b/>
        </w:rPr>
        <w:t>per share calculation</w:t>
      </w:r>
      <w:r>
        <w:rPr>
          <w:b/>
        </w:rPr>
        <w:t>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992"/>
        <w:gridCol w:w="992"/>
      </w:tblGrid>
      <w:tr w:rsidR="00773F7B" w14:paraId="300B1C1C" w14:textId="77777777" w:rsidTr="005B3BEE">
        <w:trPr>
          <w:jc w:val="center"/>
        </w:trPr>
        <w:tc>
          <w:tcPr>
            <w:tcW w:w="7795" w:type="dxa"/>
            <w:vAlign w:val="bottom"/>
          </w:tcPr>
          <w:p w14:paraId="32E0FFD3" w14:textId="77777777" w:rsidR="00773F7B" w:rsidRPr="00CC7F8E" w:rsidRDefault="00773F7B" w:rsidP="00773F7B">
            <w:pPr>
              <w:pStyle w:val="T2"/>
              <w:jc w:val="left"/>
            </w:pPr>
          </w:p>
        </w:tc>
        <w:tc>
          <w:tcPr>
            <w:tcW w:w="992" w:type="dxa"/>
            <w:vAlign w:val="bottom"/>
          </w:tcPr>
          <w:p w14:paraId="7CC3126C" w14:textId="13AC08A4" w:rsidR="00773F7B" w:rsidRPr="00CC7F8E" w:rsidRDefault="00773F7B" w:rsidP="00F00317">
            <w:pPr>
              <w:pStyle w:val="T2"/>
              <w:jc w:val="right"/>
              <w:rPr>
                <w:b/>
              </w:rPr>
            </w:pPr>
            <w:r w:rsidRPr="00CC7F8E">
              <w:rPr>
                <w:b/>
              </w:rPr>
              <w:t>Half year</w:t>
            </w:r>
            <w:r w:rsidRPr="00CC7F8E">
              <w:rPr>
                <w:b/>
              </w:rPr>
              <w:br/>
              <w:t>20</w:t>
            </w:r>
            <w:r w:rsidR="00F00317">
              <w:rPr>
                <w:b/>
              </w:rPr>
              <w:t>2</w:t>
            </w:r>
            <w:r w:rsidR="00436C22">
              <w:rPr>
                <w:b/>
              </w:rPr>
              <w:t>2</w:t>
            </w:r>
          </w:p>
        </w:tc>
        <w:tc>
          <w:tcPr>
            <w:tcW w:w="992" w:type="dxa"/>
            <w:vAlign w:val="bottom"/>
          </w:tcPr>
          <w:p w14:paraId="62A6B218" w14:textId="6C715A01" w:rsidR="00773F7B" w:rsidRPr="00CB212C" w:rsidRDefault="00773F7B" w:rsidP="00F00317">
            <w:pPr>
              <w:pStyle w:val="T2"/>
              <w:jc w:val="right"/>
            </w:pPr>
            <w:r w:rsidRPr="00CB212C">
              <w:t>Half year</w:t>
            </w:r>
            <w:r w:rsidRPr="00CB212C">
              <w:br/>
              <w:t>20</w:t>
            </w:r>
            <w:r w:rsidR="00F00317" w:rsidRPr="00CB212C">
              <w:t>2</w:t>
            </w:r>
            <w:r w:rsidR="00436C22">
              <w:t>1</w:t>
            </w:r>
          </w:p>
        </w:tc>
      </w:tr>
      <w:tr w:rsidR="00773F7B" w14:paraId="6B7F1C3A" w14:textId="77777777" w:rsidTr="005B3BEE">
        <w:trPr>
          <w:jc w:val="center"/>
        </w:trPr>
        <w:tc>
          <w:tcPr>
            <w:tcW w:w="7795" w:type="dxa"/>
            <w:tcBorders>
              <w:bottom w:val="single" w:sz="2" w:space="0" w:color="auto"/>
            </w:tcBorders>
            <w:vAlign w:val="bottom"/>
          </w:tcPr>
          <w:p w14:paraId="35422C66" w14:textId="77777777" w:rsidR="00773F7B" w:rsidRPr="00CC7F8E" w:rsidRDefault="00773F7B" w:rsidP="00773F7B">
            <w:pPr>
              <w:pStyle w:val="T2"/>
              <w:jc w:val="left"/>
            </w:pPr>
          </w:p>
        </w:tc>
        <w:tc>
          <w:tcPr>
            <w:tcW w:w="992" w:type="dxa"/>
            <w:tcBorders>
              <w:bottom w:val="single" w:sz="2" w:space="0" w:color="auto"/>
            </w:tcBorders>
            <w:vAlign w:val="bottom"/>
          </w:tcPr>
          <w:p w14:paraId="46AE10CF" w14:textId="77777777" w:rsidR="00773F7B" w:rsidRPr="00CC7F8E" w:rsidRDefault="00773F7B" w:rsidP="00773F7B">
            <w:pPr>
              <w:pStyle w:val="T2"/>
              <w:jc w:val="right"/>
              <w:rPr>
                <w:b/>
              </w:rPr>
            </w:pPr>
            <w:r w:rsidRPr="00CC7F8E">
              <w:rPr>
                <w:b/>
              </w:rPr>
              <w:t>‘000</w:t>
            </w:r>
          </w:p>
        </w:tc>
        <w:tc>
          <w:tcPr>
            <w:tcW w:w="992" w:type="dxa"/>
            <w:tcBorders>
              <w:bottom w:val="single" w:sz="2" w:space="0" w:color="auto"/>
            </w:tcBorders>
            <w:vAlign w:val="bottom"/>
          </w:tcPr>
          <w:p w14:paraId="1EC7A12E" w14:textId="77777777" w:rsidR="00773F7B" w:rsidRPr="00CB212C" w:rsidRDefault="00773F7B" w:rsidP="00773F7B">
            <w:pPr>
              <w:pStyle w:val="T2"/>
              <w:jc w:val="right"/>
            </w:pPr>
            <w:r w:rsidRPr="00CB212C">
              <w:t>‘000</w:t>
            </w:r>
          </w:p>
        </w:tc>
      </w:tr>
      <w:tr w:rsidR="00436C22" w14:paraId="31A9FF92" w14:textId="77777777" w:rsidTr="005B6094">
        <w:trPr>
          <w:jc w:val="center"/>
        </w:trPr>
        <w:tc>
          <w:tcPr>
            <w:tcW w:w="7795" w:type="dxa"/>
            <w:tcBorders>
              <w:top w:val="single" w:sz="2" w:space="0" w:color="auto"/>
            </w:tcBorders>
            <w:vAlign w:val="bottom"/>
          </w:tcPr>
          <w:p w14:paraId="066AD7F5" w14:textId="77777777" w:rsidR="00436C22" w:rsidRPr="00CC7F8E" w:rsidRDefault="00436C22" w:rsidP="00436C22">
            <w:pPr>
              <w:pStyle w:val="T2"/>
              <w:jc w:val="left"/>
            </w:pPr>
            <w:r w:rsidRPr="00CC7F8E">
              <w:t xml:space="preserve">Shares in issue at the beginning of the period </w:t>
            </w:r>
          </w:p>
        </w:tc>
        <w:tc>
          <w:tcPr>
            <w:tcW w:w="992" w:type="dxa"/>
            <w:tcBorders>
              <w:top w:val="single" w:sz="2" w:space="0" w:color="auto"/>
            </w:tcBorders>
          </w:tcPr>
          <w:p w14:paraId="4BEB8149" w14:textId="219C06B6" w:rsidR="00436C22" w:rsidRPr="00D62949" w:rsidRDefault="00EE54A0" w:rsidP="00436C22">
            <w:pPr>
              <w:pStyle w:val="T2"/>
              <w:jc w:val="right"/>
              <w:rPr>
                <w:b/>
                <w:bCs/>
              </w:rPr>
            </w:pPr>
            <w:r>
              <w:rPr>
                <w:b/>
                <w:bCs/>
              </w:rPr>
              <w:t>526,547</w:t>
            </w:r>
          </w:p>
        </w:tc>
        <w:tc>
          <w:tcPr>
            <w:tcW w:w="992" w:type="dxa"/>
            <w:tcBorders>
              <w:top w:val="single" w:sz="2" w:space="0" w:color="auto"/>
            </w:tcBorders>
          </w:tcPr>
          <w:p w14:paraId="24CB989A" w14:textId="26EE86E0" w:rsidR="00436C22" w:rsidRPr="00436C22" w:rsidRDefault="00436C22" w:rsidP="00436C22">
            <w:pPr>
              <w:pStyle w:val="T2"/>
              <w:jc w:val="right"/>
            </w:pPr>
            <w:r w:rsidRPr="00436C22">
              <w:t>446,157</w:t>
            </w:r>
          </w:p>
        </w:tc>
      </w:tr>
      <w:tr w:rsidR="00436C22" w14:paraId="62A3F89B" w14:textId="77777777" w:rsidTr="005B6094">
        <w:trPr>
          <w:jc w:val="center"/>
        </w:trPr>
        <w:tc>
          <w:tcPr>
            <w:tcW w:w="7795" w:type="dxa"/>
            <w:vAlign w:val="bottom"/>
          </w:tcPr>
          <w:p w14:paraId="61BE63A5" w14:textId="77777777" w:rsidR="00436C22" w:rsidRPr="00CC7F8E" w:rsidRDefault="00436C22" w:rsidP="00436C22">
            <w:pPr>
              <w:pStyle w:val="T2"/>
              <w:jc w:val="left"/>
            </w:pPr>
            <w:r w:rsidRPr="00CC7F8E">
              <w:t xml:space="preserve">Effect of shares held by Employee Benefit Trust </w:t>
            </w:r>
          </w:p>
        </w:tc>
        <w:tc>
          <w:tcPr>
            <w:tcW w:w="992" w:type="dxa"/>
          </w:tcPr>
          <w:p w14:paraId="6001A873" w14:textId="246E3849" w:rsidR="00436C22" w:rsidRPr="00E30508" w:rsidRDefault="002047CD" w:rsidP="00436C22">
            <w:pPr>
              <w:pStyle w:val="T2"/>
              <w:jc w:val="right"/>
              <w:rPr>
                <w:b/>
                <w:bCs/>
              </w:rPr>
            </w:pPr>
            <w:r w:rsidRPr="00E30508">
              <w:rPr>
                <w:b/>
              </w:rPr>
              <w:t>(1</w:t>
            </w:r>
            <w:r w:rsidR="00BA73B5" w:rsidRPr="00E30508">
              <w:rPr>
                <w:b/>
              </w:rPr>
              <w:t>,</w:t>
            </w:r>
            <w:r w:rsidRPr="00E30508">
              <w:rPr>
                <w:b/>
              </w:rPr>
              <w:t>797)</w:t>
            </w:r>
          </w:p>
        </w:tc>
        <w:tc>
          <w:tcPr>
            <w:tcW w:w="992" w:type="dxa"/>
          </w:tcPr>
          <w:p w14:paraId="3AA8391E" w14:textId="7E6E99AC" w:rsidR="00436C22" w:rsidRPr="00E30508" w:rsidRDefault="00436C22" w:rsidP="00436C22">
            <w:pPr>
              <w:pStyle w:val="T2"/>
              <w:jc w:val="right"/>
            </w:pPr>
            <w:r w:rsidRPr="00E30508">
              <w:rPr>
                <w:rFonts w:cs="Arial"/>
              </w:rPr>
              <w:t>(1,243)</w:t>
            </w:r>
          </w:p>
        </w:tc>
      </w:tr>
      <w:tr w:rsidR="00436C22" w14:paraId="2ABD52F2" w14:textId="77777777" w:rsidTr="005B6094">
        <w:trPr>
          <w:jc w:val="center"/>
        </w:trPr>
        <w:tc>
          <w:tcPr>
            <w:tcW w:w="7795" w:type="dxa"/>
            <w:vAlign w:val="bottom"/>
          </w:tcPr>
          <w:p w14:paraId="478541CD" w14:textId="77777777" w:rsidR="00436C22" w:rsidRPr="00CC7F8E" w:rsidRDefault="00436C22" w:rsidP="00436C22">
            <w:pPr>
              <w:pStyle w:val="T2"/>
              <w:jc w:val="left"/>
            </w:pPr>
            <w:r>
              <w:lastRenderedPageBreak/>
              <w:t>Effect of shares issued in equity raising in the period</w:t>
            </w:r>
          </w:p>
        </w:tc>
        <w:tc>
          <w:tcPr>
            <w:tcW w:w="992" w:type="dxa"/>
          </w:tcPr>
          <w:p w14:paraId="5E3A3A1A" w14:textId="0FA92393" w:rsidR="00436C22" w:rsidRPr="007940F8" w:rsidRDefault="00436C22" w:rsidP="00436C22">
            <w:pPr>
              <w:pStyle w:val="T2"/>
              <w:jc w:val="right"/>
              <w:rPr>
                <w:rFonts w:cs="Arial"/>
                <w:b/>
              </w:rPr>
            </w:pPr>
            <w:r w:rsidRPr="0078672D">
              <w:rPr>
                <w:b/>
              </w:rPr>
              <w:t>–</w:t>
            </w:r>
          </w:p>
        </w:tc>
        <w:tc>
          <w:tcPr>
            <w:tcW w:w="992" w:type="dxa"/>
          </w:tcPr>
          <w:p w14:paraId="7AD3CF1C" w14:textId="4C9A3E9D" w:rsidR="00436C22" w:rsidRPr="00436C22" w:rsidRDefault="00436C22" w:rsidP="00436C22">
            <w:pPr>
              <w:pStyle w:val="T2"/>
              <w:jc w:val="right"/>
            </w:pPr>
            <w:r w:rsidRPr="00436C22">
              <w:rPr>
                <w:rFonts w:cs="Arial"/>
              </w:rPr>
              <w:t>53,132</w:t>
            </w:r>
          </w:p>
        </w:tc>
      </w:tr>
      <w:tr w:rsidR="00436C22" w14:paraId="397B0D81" w14:textId="77777777" w:rsidTr="005B6094">
        <w:trPr>
          <w:jc w:val="center"/>
        </w:trPr>
        <w:tc>
          <w:tcPr>
            <w:tcW w:w="7795" w:type="dxa"/>
            <w:tcBorders>
              <w:bottom w:val="single" w:sz="2" w:space="0" w:color="auto"/>
            </w:tcBorders>
            <w:vAlign w:val="bottom"/>
          </w:tcPr>
          <w:p w14:paraId="3C23C570" w14:textId="77777777" w:rsidR="00436C22" w:rsidRPr="00CC7F8E" w:rsidRDefault="00436C22" w:rsidP="00436C22">
            <w:pPr>
              <w:pStyle w:val="T2"/>
              <w:jc w:val="left"/>
            </w:pPr>
            <w:r w:rsidRPr="00CC7F8E">
              <w:t xml:space="preserve">Effect of shares issued in the period </w:t>
            </w:r>
          </w:p>
        </w:tc>
        <w:tc>
          <w:tcPr>
            <w:tcW w:w="992" w:type="dxa"/>
            <w:tcBorders>
              <w:bottom w:val="single" w:sz="2" w:space="0" w:color="auto"/>
            </w:tcBorders>
          </w:tcPr>
          <w:p w14:paraId="435A2404" w14:textId="1469C14B" w:rsidR="00436C22" w:rsidRPr="00D62949" w:rsidRDefault="002047CD" w:rsidP="00436C22">
            <w:pPr>
              <w:pStyle w:val="T2"/>
              <w:jc w:val="right"/>
              <w:rPr>
                <w:b/>
                <w:bCs/>
              </w:rPr>
            </w:pPr>
            <w:r>
              <w:rPr>
                <w:b/>
              </w:rPr>
              <w:t>6</w:t>
            </w:r>
          </w:p>
        </w:tc>
        <w:tc>
          <w:tcPr>
            <w:tcW w:w="992" w:type="dxa"/>
            <w:tcBorders>
              <w:bottom w:val="single" w:sz="2" w:space="0" w:color="auto"/>
            </w:tcBorders>
          </w:tcPr>
          <w:p w14:paraId="74248E7B" w14:textId="2720D30C" w:rsidR="00436C22" w:rsidRPr="00436C22" w:rsidRDefault="00436C22" w:rsidP="00436C22">
            <w:pPr>
              <w:pStyle w:val="T2"/>
              <w:jc w:val="right"/>
            </w:pPr>
            <w:r w:rsidRPr="00436C22">
              <w:rPr>
                <w:rFonts w:cs="Arial"/>
              </w:rPr>
              <w:t>2</w:t>
            </w:r>
          </w:p>
        </w:tc>
      </w:tr>
      <w:tr w:rsidR="00436C22" w14:paraId="637400DC" w14:textId="77777777" w:rsidTr="005B6094">
        <w:trPr>
          <w:jc w:val="center"/>
        </w:trPr>
        <w:tc>
          <w:tcPr>
            <w:tcW w:w="7795" w:type="dxa"/>
            <w:tcBorders>
              <w:top w:val="single" w:sz="2" w:space="0" w:color="auto"/>
              <w:bottom w:val="single" w:sz="2" w:space="0" w:color="auto"/>
            </w:tcBorders>
            <w:vAlign w:val="bottom"/>
          </w:tcPr>
          <w:p w14:paraId="40C1DB6A" w14:textId="77777777" w:rsidR="00436C22" w:rsidRPr="00D63898" w:rsidRDefault="00436C22" w:rsidP="00436C22">
            <w:pPr>
              <w:pStyle w:val="T2"/>
              <w:jc w:val="left"/>
              <w:rPr>
                <w:b/>
              </w:rPr>
            </w:pPr>
            <w:r w:rsidRPr="00D63898">
              <w:rPr>
                <w:b/>
              </w:rPr>
              <w:t xml:space="preserve">Weighted average number of </w:t>
            </w:r>
            <w:r>
              <w:rPr>
                <w:b/>
              </w:rPr>
              <w:t>O</w:t>
            </w:r>
            <w:r w:rsidRPr="00D63898">
              <w:rPr>
                <w:b/>
              </w:rPr>
              <w:t xml:space="preserve">rdinary </w:t>
            </w:r>
            <w:r>
              <w:rPr>
                <w:b/>
              </w:rPr>
              <w:t>S</w:t>
            </w:r>
            <w:r w:rsidRPr="00D63898">
              <w:rPr>
                <w:b/>
              </w:rPr>
              <w:t xml:space="preserve">hares in issue during the period </w:t>
            </w:r>
          </w:p>
        </w:tc>
        <w:tc>
          <w:tcPr>
            <w:tcW w:w="992" w:type="dxa"/>
            <w:tcBorders>
              <w:top w:val="single" w:sz="2" w:space="0" w:color="auto"/>
              <w:bottom w:val="single" w:sz="2" w:space="0" w:color="auto"/>
            </w:tcBorders>
          </w:tcPr>
          <w:p w14:paraId="680B4B45" w14:textId="39C895AF" w:rsidR="00436C22" w:rsidRPr="00D62949" w:rsidRDefault="002047CD" w:rsidP="00436C22">
            <w:pPr>
              <w:pStyle w:val="T2"/>
              <w:jc w:val="right"/>
              <w:rPr>
                <w:b/>
                <w:bCs/>
              </w:rPr>
            </w:pPr>
            <w:r>
              <w:rPr>
                <w:b/>
              </w:rPr>
              <w:t>524</w:t>
            </w:r>
            <w:r w:rsidR="00BA73B5">
              <w:rPr>
                <w:b/>
              </w:rPr>
              <w:t>,</w:t>
            </w:r>
            <w:r>
              <w:rPr>
                <w:b/>
              </w:rPr>
              <w:t>756</w:t>
            </w:r>
          </w:p>
        </w:tc>
        <w:tc>
          <w:tcPr>
            <w:tcW w:w="992" w:type="dxa"/>
            <w:tcBorders>
              <w:top w:val="single" w:sz="2" w:space="0" w:color="auto"/>
              <w:bottom w:val="single" w:sz="2" w:space="0" w:color="auto"/>
            </w:tcBorders>
          </w:tcPr>
          <w:p w14:paraId="14538723" w14:textId="78396D04" w:rsidR="00436C22" w:rsidRPr="00436C22" w:rsidRDefault="00436C22" w:rsidP="00436C22">
            <w:pPr>
              <w:pStyle w:val="T2"/>
              <w:jc w:val="right"/>
            </w:pPr>
            <w:r w:rsidRPr="00436C22">
              <w:rPr>
                <w:rFonts w:cs="Arial"/>
              </w:rPr>
              <w:t>498,048</w:t>
            </w:r>
          </w:p>
        </w:tc>
      </w:tr>
      <w:tr w:rsidR="00F00317" w14:paraId="1853B387" w14:textId="77777777" w:rsidTr="001F1616">
        <w:trPr>
          <w:jc w:val="center"/>
        </w:trPr>
        <w:tc>
          <w:tcPr>
            <w:tcW w:w="7795" w:type="dxa"/>
            <w:tcBorders>
              <w:top w:val="single" w:sz="2" w:space="0" w:color="auto"/>
              <w:bottom w:val="single" w:sz="2" w:space="0" w:color="auto"/>
            </w:tcBorders>
            <w:vAlign w:val="bottom"/>
          </w:tcPr>
          <w:p w14:paraId="7451EC22" w14:textId="77777777" w:rsidR="00F00317" w:rsidRPr="00D63898" w:rsidRDefault="00F00317" w:rsidP="00F00317">
            <w:pPr>
              <w:pStyle w:val="T2"/>
              <w:jc w:val="left"/>
              <w:rPr>
                <w:b/>
              </w:rPr>
            </w:pPr>
            <w:r w:rsidRPr="00AA249A">
              <w:t>Dilutive effect of share schemes</w:t>
            </w:r>
          </w:p>
        </w:tc>
        <w:tc>
          <w:tcPr>
            <w:tcW w:w="992" w:type="dxa"/>
            <w:tcBorders>
              <w:top w:val="single" w:sz="2" w:space="0" w:color="auto"/>
              <w:bottom w:val="single" w:sz="2" w:space="0" w:color="auto"/>
            </w:tcBorders>
          </w:tcPr>
          <w:p w14:paraId="05DCC9FE" w14:textId="0CEEE8D3" w:rsidR="00F00317" w:rsidRPr="00D62949" w:rsidRDefault="002047CD" w:rsidP="002608C0">
            <w:pPr>
              <w:pStyle w:val="T2"/>
              <w:tabs>
                <w:tab w:val="center" w:pos="388"/>
                <w:tab w:val="right" w:pos="776"/>
              </w:tabs>
              <w:jc w:val="right"/>
              <w:rPr>
                <w:b/>
                <w:bCs/>
              </w:rPr>
            </w:pPr>
            <w:r>
              <w:rPr>
                <w:b/>
              </w:rPr>
              <w:t>782</w:t>
            </w:r>
          </w:p>
        </w:tc>
        <w:tc>
          <w:tcPr>
            <w:tcW w:w="992" w:type="dxa"/>
            <w:tcBorders>
              <w:top w:val="single" w:sz="2" w:space="0" w:color="auto"/>
              <w:bottom w:val="single" w:sz="2" w:space="0" w:color="auto"/>
            </w:tcBorders>
            <w:vAlign w:val="bottom"/>
          </w:tcPr>
          <w:p w14:paraId="023DCFA6" w14:textId="719D5DD4" w:rsidR="00F00317" w:rsidRPr="00CB212C" w:rsidRDefault="00436C22" w:rsidP="00F00317">
            <w:pPr>
              <w:pStyle w:val="T2"/>
              <w:jc w:val="right"/>
              <w:rPr>
                <w:bCs/>
              </w:rPr>
            </w:pPr>
            <w:r>
              <w:rPr>
                <w:bCs/>
              </w:rPr>
              <w:t>152</w:t>
            </w:r>
          </w:p>
        </w:tc>
      </w:tr>
      <w:tr w:rsidR="00F00317" w14:paraId="45ACD695" w14:textId="77777777" w:rsidTr="005D3EAC">
        <w:trPr>
          <w:jc w:val="center"/>
        </w:trPr>
        <w:tc>
          <w:tcPr>
            <w:tcW w:w="7795" w:type="dxa"/>
            <w:tcBorders>
              <w:top w:val="single" w:sz="2" w:space="0" w:color="auto"/>
              <w:bottom w:val="single" w:sz="2" w:space="0" w:color="auto"/>
            </w:tcBorders>
            <w:vAlign w:val="bottom"/>
          </w:tcPr>
          <w:p w14:paraId="5E1AF991" w14:textId="77777777" w:rsidR="00F00317" w:rsidRPr="00D63898" w:rsidRDefault="00F00317" w:rsidP="00F00317">
            <w:pPr>
              <w:pStyle w:val="T2"/>
              <w:jc w:val="left"/>
              <w:rPr>
                <w:b/>
              </w:rPr>
            </w:pPr>
            <w:r w:rsidRPr="00377178">
              <w:rPr>
                <w:b/>
              </w:rPr>
              <w:t xml:space="preserve">Weighted average number of </w:t>
            </w:r>
            <w:r>
              <w:rPr>
                <w:b/>
              </w:rPr>
              <w:t>O</w:t>
            </w:r>
            <w:r w:rsidRPr="00377178">
              <w:rPr>
                <w:b/>
              </w:rPr>
              <w:t xml:space="preserve">rdinary </w:t>
            </w:r>
            <w:r>
              <w:rPr>
                <w:b/>
              </w:rPr>
              <w:t>S</w:t>
            </w:r>
            <w:r w:rsidRPr="00377178">
              <w:rPr>
                <w:b/>
              </w:rPr>
              <w:t>hares for diluted earnings per share</w:t>
            </w:r>
          </w:p>
        </w:tc>
        <w:tc>
          <w:tcPr>
            <w:tcW w:w="992" w:type="dxa"/>
            <w:tcBorders>
              <w:top w:val="single" w:sz="2" w:space="0" w:color="auto"/>
              <w:bottom w:val="single" w:sz="2" w:space="0" w:color="auto"/>
            </w:tcBorders>
          </w:tcPr>
          <w:p w14:paraId="4BE51102" w14:textId="1A3D2C61" w:rsidR="00F00317" w:rsidRPr="00D62949" w:rsidRDefault="002047CD" w:rsidP="001674BC">
            <w:pPr>
              <w:pStyle w:val="T2"/>
              <w:jc w:val="right"/>
              <w:rPr>
                <w:b/>
                <w:bCs/>
              </w:rPr>
            </w:pPr>
            <w:r>
              <w:rPr>
                <w:b/>
              </w:rPr>
              <w:t>525,538</w:t>
            </w:r>
          </w:p>
        </w:tc>
        <w:tc>
          <w:tcPr>
            <w:tcW w:w="992" w:type="dxa"/>
            <w:tcBorders>
              <w:top w:val="single" w:sz="2" w:space="0" w:color="auto"/>
              <w:bottom w:val="single" w:sz="2" w:space="0" w:color="auto"/>
            </w:tcBorders>
            <w:vAlign w:val="bottom"/>
          </w:tcPr>
          <w:p w14:paraId="2DCA51B2" w14:textId="0A558A06" w:rsidR="00F00317" w:rsidRPr="00CB212C" w:rsidRDefault="00F00317" w:rsidP="00F00317">
            <w:pPr>
              <w:pStyle w:val="T2"/>
              <w:jc w:val="right"/>
              <w:rPr>
                <w:bCs/>
              </w:rPr>
            </w:pPr>
            <w:r w:rsidRPr="00CB212C">
              <w:rPr>
                <w:bCs/>
              </w:rPr>
              <w:t>4</w:t>
            </w:r>
            <w:r w:rsidR="00436C22">
              <w:rPr>
                <w:bCs/>
              </w:rPr>
              <w:t>98</w:t>
            </w:r>
            <w:r w:rsidRPr="00CB212C">
              <w:rPr>
                <w:bCs/>
              </w:rPr>
              <w:t>,</w:t>
            </w:r>
            <w:r w:rsidR="00436C22">
              <w:rPr>
                <w:bCs/>
              </w:rPr>
              <w:t>200</w:t>
            </w:r>
          </w:p>
        </w:tc>
      </w:tr>
      <w:tr w:rsidR="00E25584" w14:paraId="629B4595" w14:textId="77777777" w:rsidTr="005D3EAC">
        <w:trPr>
          <w:jc w:val="center"/>
        </w:trPr>
        <w:tc>
          <w:tcPr>
            <w:tcW w:w="7795" w:type="dxa"/>
            <w:tcBorders>
              <w:top w:val="single" w:sz="2" w:space="0" w:color="auto"/>
            </w:tcBorders>
            <w:vAlign w:val="bottom"/>
          </w:tcPr>
          <w:p w14:paraId="12B0DF75" w14:textId="77777777" w:rsidR="00E25584" w:rsidRPr="00377178" w:rsidRDefault="00E25584" w:rsidP="00F00317">
            <w:pPr>
              <w:pStyle w:val="T2"/>
              <w:jc w:val="left"/>
              <w:rPr>
                <w:b/>
              </w:rPr>
            </w:pPr>
          </w:p>
        </w:tc>
        <w:tc>
          <w:tcPr>
            <w:tcW w:w="992" w:type="dxa"/>
            <w:tcBorders>
              <w:top w:val="single" w:sz="2" w:space="0" w:color="auto"/>
            </w:tcBorders>
          </w:tcPr>
          <w:p w14:paraId="2679505D" w14:textId="77777777" w:rsidR="00E25584" w:rsidRDefault="00E25584" w:rsidP="00F00317">
            <w:pPr>
              <w:pStyle w:val="T2"/>
              <w:jc w:val="right"/>
              <w:rPr>
                <w:rFonts w:cs="Arial"/>
                <w:b/>
              </w:rPr>
            </w:pPr>
          </w:p>
        </w:tc>
        <w:tc>
          <w:tcPr>
            <w:tcW w:w="992" w:type="dxa"/>
            <w:tcBorders>
              <w:top w:val="single" w:sz="2" w:space="0" w:color="auto"/>
            </w:tcBorders>
            <w:vAlign w:val="bottom"/>
          </w:tcPr>
          <w:p w14:paraId="170CD6DB" w14:textId="77777777" w:rsidR="00E25584" w:rsidRDefault="00E25584" w:rsidP="00F00317">
            <w:pPr>
              <w:pStyle w:val="T2"/>
              <w:jc w:val="right"/>
              <w:rPr>
                <w:bCs/>
              </w:rPr>
            </w:pPr>
          </w:p>
        </w:tc>
      </w:tr>
    </w:tbl>
    <w:p w14:paraId="79C93D8B" w14:textId="7E398794" w:rsidR="0030031A" w:rsidRPr="00F55D04" w:rsidRDefault="0030031A" w:rsidP="00450D1E">
      <w:pPr>
        <w:pStyle w:val="SectionH3"/>
        <w:rPr>
          <w:b w:val="0"/>
        </w:rPr>
      </w:pPr>
      <w:r>
        <w:rPr>
          <w:b w:val="0"/>
        </w:rPr>
        <w:t xml:space="preserve">A total of </w:t>
      </w:r>
      <w:r w:rsidR="002047CD">
        <w:rPr>
          <w:b w:val="0"/>
        </w:rPr>
        <w:t>14,414,349</w:t>
      </w:r>
      <w:r>
        <w:rPr>
          <w:b w:val="0"/>
        </w:rPr>
        <w:t xml:space="preserve"> (202</w:t>
      </w:r>
      <w:r w:rsidR="00CF5708">
        <w:rPr>
          <w:b w:val="0"/>
        </w:rPr>
        <w:t>1</w:t>
      </w:r>
      <w:r>
        <w:rPr>
          <w:b w:val="0"/>
        </w:rPr>
        <w:t xml:space="preserve">: </w:t>
      </w:r>
      <w:r w:rsidR="00CF5708">
        <w:rPr>
          <w:b w:val="0"/>
        </w:rPr>
        <w:t>19,394,264</w:t>
      </w:r>
      <w:r>
        <w:rPr>
          <w:b w:val="0"/>
        </w:rPr>
        <w:t xml:space="preserve">) unvested shares were excluded from the diluted earnings per share calculation as they were either antidilutive or contingently issuable Ordinary Shares which had not satisfied the performance conditions attaching at </w:t>
      </w:r>
      <w:r w:rsidR="008A4891">
        <w:rPr>
          <w:b w:val="0"/>
        </w:rPr>
        <w:t>25 March 2022</w:t>
      </w:r>
      <w:r>
        <w:rPr>
          <w:b w:val="0"/>
        </w:rPr>
        <w:t>.</w:t>
      </w:r>
    </w:p>
    <w:p w14:paraId="2C2239BF" w14:textId="2D9D1F50" w:rsidR="00773F7B" w:rsidRDefault="00773F7B" w:rsidP="005B3BEE">
      <w:pPr>
        <w:pStyle w:val="SectionH3"/>
      </w:pPr>
      <w:r>
        <w:t>Earnings per Share Calculations</w:t>
      </w:r>
    </w:p>
    <w:tbl>
      <w:tblPr>
        <w:tblStyle w:val="TableGrid"/>
        <w:tblW w:w="97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5"/>
        <w:gridCol w:w="992"/>
        <w:gridCol w:w="992"/>
      </w:tblGrid>
      <w:tr w:rsidR="00F00317" w14:paraId="4E9242E6" w14:textId="77777777" w:rsidTr="00E14D65">
        <w:trPr>
          <w:jc w:val="center"/>
        </w:trPr>
        <w:tc>
          <w:tcPr>
            <w:tcW w:w="7795" w:type="dxa"/>
            <w:vAlign w:val="bottom"/>
          </w:tcPr>
          <w:p w14:paraId="380E2276" w14:textId="77777777" w:rsidR="00F00317" w:rsidRPr="00CC7F8E" w:rsidRDefault="00F00317" w:rsidP="00E14D65">
            <w:pPr>
              <w:pStyle w:val="T2"/>
              <w:jc w:val="left"/>
            </w:pPr>
          </w:p>
        </w:tc>
        <w:tc>
          <w:tcPr>
            <w:tcW w:w="992" w:type="dxa"/>
            <w:vAlign w:val="bottom"/>
          </w:tcPr>
          <w:p w14:paraId="114CED0D" w14:textId="2C7AA16B" w:rsidR="00F00317" w:rsidRPr="00CC7F8E" w:rsidRDefault="00F00317" w:rsidP="00E14D65">
            <w:pPr>
              <w:pStyle w:val="T2"/>
              <w:jc w:val="right"/>
              <w:rPr>
                <w:b/>
              </w:rPr>
            </w:pPr>
            <w:r w:rsidRPr="00CC7F8E">
              <w:rPr>
                <w:b/>
              </w:rPr>
              <w:t>Half year</w:t>
            </w:r>
            <w:r w:rsidRPr="00CC7F8E">
              <w:rPr>
                <w:b/>
              </w:rPr>
              <w:br/>
              <w:t>20</w:t>
            </w:r>
            <w:r>
              <w:rPr>
                <w:b/>
              </w:rPr>
              <w:t>2</w:t>
            </w:r>
            <w:r w:rsidR="00AB4E31">
              <w:rPr>
                <w:b/>
              </w:rPr>
              <w:t>2</w:t>
            </w:r>
          </w:p>
        </w:tc>
        <w:tc>
          <w:tcPr>
            <w:tcW w:w="992" w:type="dxa"/>
            <w:vAlign w:val="bottom"/>
          </w:tcPr>
          <w:p w14:paraId="4F2EB994" w14:textId="4E8926A1" w:rsidR="00F00317" w:rsidRPr="00CC7F8E" w:rsidRDefault="00F00317" w:rsidP="00E14D65">
            <w:pPr>
              <w:pStyle w:val="T2"/>
              <w:jc w:val="right"/>
            </w:pPr>
            <w:r w:rsidRPr="00CC7F8E">
              <w:t>Half year</w:t>
            </w:r>
            <w:r w:rsidRPr="00CC7F8E">
              <w:br/>
              <w:t>20</w:t>
            </w:r>
            <w:r>
              <w:t>2</w:t>
            </w:r>
            <w:r w:rsidR="00AB4E31">
              <w:t>1</w:t>
            </w:r>
          </w:p>
        </w:tc>
      </w:tr>
      <w:tr w:rsidR="00F00317" w14:paraId="31C0D13D" w14:textId="77777777" w:rsidTr="001F1616">
        <w:trPr>
          <w:jc w:val="center"/>
        </w:trPr>
        <w:tc>
          <w:tcPr>
            <w:tcW w:w="7795" w:type="dxa"/>
            <w:tcBorders>
              <w:bottom w:val="single" w:sz="2" w:space="0" w:color="auto"/>
            </w:tcBorders>
            <w:vAlign w:val="bottom"/>
          </w:tcPr>
          <w:p w14:paraId="5C1D4D1E" w14:textId="77777777" w:rsidR="00F00317" w:rsidRPr="00CC7F8E" w:rsidRDefault="00F00317" w:rsidP="00E14D65">
            <w:pPr>
              <w:pStyle w:val="T2"/>
              <w:jc w:val="left"/>
            </w:pPr>
          </w:p>
        </w:tc>
        <w:tc>
          <w:tcPr>
            <w:tcW w:w="992" w:type="dxa"/>
            <w:tcBorders>
              <w:bottom w:val="single" w:sz="2" w:space="0" w:color="auto"/>
            </w:tcBorders>
            <w:vAlign w:val="bottom"/>
          </w:tcPr>
          <w:p w14:paraId="6B245063" w14:textId="1387751B" w:rsidR="00F00317" w:rsidRPr="00CC7F8E" w:rsidRDefault="00EE54A0" w:rsidP="00E14D65">
            <w:pPr>
              <w:pStyle w:val="T2"/>
              <w:jc w:val="right"/>
              <w:rPr>
                <w:b/>
              </w:rPr>
            </w:pPr>
            <w:r>
              <w:rPr>
                <w:b/>
              </w:rPr>
              <w:t>p</w:t>
            </w:r>
            <w:r w:rsidR="007A0915">
              <w:rPr>
                <w:b/>
              </w:rPr>
              <w:t>ence</w:t>
            </w:r>
          </w:p>
        </w:tc>
        <w:tc>
          <w:tcPr>
            <w:tcW w:w="992" w:type="dxa"/>
            <w:tcBorders>
              <w:bottom w:val="single" w:sz="2" w:space="0" w:color="auto"/>
            </w:tcBorders>
            <w:vAlign w:val="bottom"/>
          </w:tcPr>
          <w:p w14:paraId="6B2CD3A8" w14:textId="77777777" w:rsidR="00F00317" w:rsidRPr="00CC7F8E" w:rsidRDefault="007A0915" w:rsidP="00E14D65">
            <w:pPr>
              <w:pStyle w:val="T2"/>
              <w:jc w:val="right"/>
            </w:pPr>
            <w:r>
              <w:t>pence</w:t>
            </w:r>
          </w:p>
        </w:tc>
      </w:tr>
      <w:tr w:rsidR="00F00317" w14:paraId="13D06121" w14:textId="77777777" w:rsidTr="001F1616">
        <w:trPr>
          <w:jc w:val="center"/>
        </w:trPr>
        <w:tc>
          <w:tcPr>
            <w:tcW w:w="7795" w:type="dxa"/>
            <w:tcBorders>
              <w:top w:val="single" w:sz="2" w:space="0" w:color="auto"/>
              <w:bottom w:val="single" w:sz="2" w:space="0" w:color="auto"/>
            </w:tcBorders>
            <w:vAlign w:val="bottom"/>
          </w:tcPr>
          <w:p w14:paraId="4D27D8B7" w14:textId="77777777" w:rsidR="00F00317" w:rsidRPr="00CC7F8E" w:rsidRDefault="00F00317" w:rsidP="00E14D65">
            <w:pPr>
              <w:pStyle w:val="T2"/>
              <w:jc w:val="left"/>
            </w:pPr>
            <w:r>
              <w:rPr>
                <w:rFonts w:cs="Arial"/>
                <w:b/>
                <w:bCs/>
              </w:rPr>
              <w:t>Basic earnings per Ordinary Share</w:t>
            </w:r>
          </w:p>
        </w:tc>
        <w:tc>
          <w:tcPr>
            <w:tcW w:w="992" w:type="dxa"/>
            <w:tcBorders>
              <w:top w:val="single" w:sz="2" w:space="0" w:color="auto"/>
              <w:bottom w:val="single" w:sz="2" w:space="0" w:color="auto"/>
            </w:tcBorders>
            <w:vAlign w:val="bottom"/>
          </w:tcPr>
          <w:p w14:paraId="0CB1D03B" w14:textId="225FEC79" w:rsidR="00F00317" w:rsidRPr="00D62949" w:rsidRDefault="002047CD">
            <w:pPr>
              <w:pStyle w:val="T2"/>
              <w:jc w:val="right"/>
              <w:rPr>
                <w:b/>
                <w:bCs/>
              </w:rPr>
            </w:pPr>
            <w:r>
              <w:rPr>
                <w:b/>
                <w:bCs/>
              </w:rPr>
              <w:t>0.2</w:t>
            </w:r>
          </w:p>
        </w:tc>
        <w:tc>
          <w:tcPr>
            <w:tcW w:w="992" w:type="dxa"/>
            <w:tcBorders>
              <w:top w:val="single" w:sz="2" w:space="0" w:color="auto"/>
              <w:bottom w:val="single" w:sz="2" w:space="0" w:color="auto"/>
            </w:tcBorders>
            <w:vAlign w:val="bottom"/>
          </w:tcPr>
          <w:p w14:paraId="1C8E228E" w14:textId="6244C097" w:rsidR="00F00317" w:rsidRPr="00CC7F8E" w:rsidRDefault="00EE54A0" w:rsidP="00E14D65">
            <w:pPr>
              <w:pStyle w:val="T2"/>
              <w:jc w:val="right"/>
            </w:pPr>
            <w:r>
              <w:rPr>
                <w:bCs/>
              </w:rPr>
              <w:t>0.0</w:t>
            </w:r>
          </w:p>
        </w:tc>
      </w:tr>
      <w:tr w:rsidR="00F00317" w14:paraId="74CAA32A" w14:textId="77777777" w:rsidTr="00F00317">
        <w:trPr>
          <w:jc w:val="center"/>
        </w:trPr>
        <w:tc>
          <w:tcPr>
            <w:tcW w:w="7795" w:type="dxa"/>
            <w:tcBorders>
              <w:bottom w:val="single" w:sz="2" w:space="0" w:color="auto"/>
            </w:tcBorders>
            <w:vAlign w:val="bottom"/>
          </w:tcPr>
          <w:p w14:paraId="3C2AE3AA" w14:textId="77777777" w:rsidR="00F00317" w:rsidRPr="005C4A6C" w:rsidRDefault="00F00317" w:rsidP="00E14D65">
            <w:pPr>
              <w:pStyle w:val="T2"/>
              <w:jc w:val="left"/>
              <w:rPr>
                <w:rFonts w:cs="Arial"/>
                <w:b/>
                <w:bCs/>
              </w:rPr>
            </w:pPr>
            <w:r>
              <w:rPr>
                <w:rFonts w:cs="Arial"/>
                <w:b/>
                <w:bCs/>
              </w:rPr>
              <w:t>Diluted earnings per Ordinary Share</w:t>
            </w:r>
          </w:p>
        </w:tc>
        <w:tc>
          <w:tcPr>
            <w:tcW w:w="992" w:type="dxa"/>
            <w:tcBorders>
              <w:bottom w:val="single" w:sz="2" w:space="0" w:color="auto"/>
            </w:tcBorders>
            <w:vAlign w:val="bottom"/>
          </w:tcPr>
          <w:p w14:paraId="546CBED5" w14:textId="75ADC52E" w:rsidR="00F00317" w:rsidRPr="005C4A6C" w:rsidRDefault="002047CD">
            <w:pPr>
              <w:pStyle w:val="T2"/>
              <w:jc w:val="right"/>
              <w:rPr>
                <w:rFonts w:cs="Arial"/>
                <w:b/>
              </w:rPr>
            </w:pPr>
            <w:r>
              <w:rPr>
                <w:b/>
              </w:rPr>
              <w:t>0.2</w:t>
            </w:r>
          </w:p>
        </w:tc>
        <w:tc>
          <w:tcPr>
            <w:tcW w:w="992" w:type="dxa"/>
            <w:tcBorders>
              <w:bottom w:val="single" w:sz="2" w:space="0" w:color="auto"/>
            </w:tcBorders>
            <w:vAlign w:val="bottom"/>
          </w:tcPr>
          <w:p w14:paraId="6AE1D58E" w14:textId="10695866" w:rsidR="00F00317" w:rsidRDefault="00EE54A0" w:rsidP="00E14D65">
            <w:pPr>
              <w:pStyle w:val="T2"/>
              <w:jc w:val="right"/>
              <w:rPr>
                <w:bCs/>
              </w:rPr>
            </w:pPr>
            <w:r>
              <w:rPr>
                <w:bCs/>
              </w:rPr>
              <w:t>0.0</w:t>
            </w:r>
          </w:p>
        </w:tc>
      </w:tr>
    </w:tbl>
    <w:p w14:paraId="5D402FC1" w14:textId="2FC5DB72" w:rsidR="000B5EC4" w:rsidRDefault="000B5EC4" w:rsidP="005B3BEE">
      <w:pPr>
        <w:pStyle w:val="SectionH3"/>
      </w:pPr>
    </w:p>
    <w:p w14:paraId="0274F5A7" w14:textId="7C0E7177" w:rsidR="00773F7B" w:rsidRPr="003232EE" w:rsidRDefault="002675EF" w:rsidP="00AA12F9">
      <w:pPr>
        <w:pStyle w:val="SectionH3"/>
        <w:ind w:left="709" w:hanging="709"/>
      </w:pPr>
      <w:r>
        <w:t>10</w:t>
      </w:r>
      <w:r w:rsidR="00773F7B" w:rsidRPr="003232EE">
        <w:t>.</w:t>
      </w:r>
      <w:r w:rsidR="00C233E1">
        <w:tab/>
      </w:r>
      <w:r w:rsidR="00BA73B5">
        <w:t>Goodwill and I</w:t>
      </w:r>
      <w:r w:rsidR="00773F7B" w:rsidRPr="00664FA2">
        <w:t xml:space="preserve">ntangible Assets, Property, Plant and </w:t>
      </w:r>
      <w:r w:rsidR="00773F7B" w:rsidRPr="00E25584">
        <w:t xml:space="preserve">Equipment, </w:t>
      </w:r>
      <w:r w:rsidR="002515EC" w:rsidRPr="00E25584">
        <w:t>Right-of-use assets</w:t>
      </w:r>
      <w:r w:rsidR="00BA73B5">
        <w:t xml:space="preserve">, </w:t>
      </w:r>
      <w:r w:rsidR="00773F7B">
        <w:t>Investment Property</w:t>
      </w:r>
      <w:r w:rsidR="00BA73B5">
        <w:t xml:space="preserve"> and</w:t>
      </w:r>
      <w:r w:rsidR="00773F7B">
        <w:t xml:space="preserve"> Capital </w:t>
      </w:r>
      <w:r w:rsidR="00773F7B" w:rsidRPr="00664FA2">
        <w:t>Expenditure Commitments</w:t>
      </w:r>
    </w:p>
    <w:p w14:paraId="5C00C8C7" w14:textId="62A01387" w:rsidR="00773F7B" w:rsidRPr="002608C0" w:rsidRDefault="00773F7B" w:rsidP="00BE7FD5">
      <w:pPr>
        <w:spacing w:after="120" w:line="240" w:lineRule="auto"/>
        <w:jc w:val="both"/>
        <w:rPr>
          <w:rFonts w:ascii="Calibri" w:eastAsia="Calibri" w:hAnsi="Calibri" w:cs="Arial"/>
          <w:bCs/>
          <w:sz w:val="18"/>
          <w:szCs w:val="18"/>
          <w:lang w:val="en-US" w:eastAsia="en-GB" w:bidi="en-GB"/>
        </w:rPr>
      </w:pPr>
      <w:r w:rsidRPr="002608C0">
        <w:rPr>
          <w:rFonts w:ascii="Calibri" w:eastAsia="Calibri" w:hAnsi="Calibri" w:cs="Arial"/>
          <w:bCs/>
          <w:sz w:val="18"/>
          <w:szCs w:val="18"/>
          <w:lang w:val="en-US" w:eastAsia="en-GB" w:bidi="en-GB"/>
        </w:rPr>
        <w:t xml:space="preserve">During the </w:t>
      </w:r>
      <w:r w:rsidR="00A91DFC" w:rsidRPr="002608C0">
        <w:rPr>
          <w:rFonts w:ascii="Calibri" w:eastAsia="Calibri" w:hAnsi="Calibri" w:cs="Arial"/>
          <w:bCs/>
          <w:sz w:val="18"/>
          <w:szCs w:val="18"/>
          <w:lang w:val="en-US" w:eastAsia="en-GB" w:bidi="en-GB"/>
        </w:rPr>
        <w:t>six-month</w:t>
      </w:r>
      <w:r w:rsidRPr="002608C0">
        <w:rPr>
          <w:rFonts w:ascii="Calibri" w:eastAsia="Calibri" w:hAnsi="Calibri" w:cs="Arial"/>
          <w:bCs/>
          <w:sz w:val="18"/>
          <w:szCs w:val="18"/>
          <w:lang w:val="en-US" w:eastAsia="en-GB" w:bidi="en-GB"/>
        </w:rPr>
        <w:t xml:space="preserve"> period to </w:t>
      </w:r>
      <w:r w:rsidR="008A4891" w:rsidRPr="002608C0">
        <w:rPr>
          <w:rFonts w:ascii="Calibri" w:eastAsia="Calibri" w:hAnsi="Calibri" w:cs="Arial"/>
          <w:bCs/>
          <w:sz w:val="18"/>
          <w:szCs w:val="18"/>
          <w:lang w:val="en-US" w:eastAsia="en-GB" w:bidi="en-GB"/>
        </w:rPr>
        <w:t>25 March 2022</w:t>
      </w:r>
      <w:r w:rsidRPr="002608C0">
        <w:rPr>
          <w:rFonts w:ascii="Calibri" w:eastAsia="Calibri" w:hAnsi="Calibri" w:cs="Arial"/>
          <w:bCs/>
          <w:sz w:val="18"/>
          <w:szCs w:val="18"/>
          <w:lang w:val="en-US" w:eastAsia="en-GB" w:bidi="en-GB"/>
        </w:rPr>
        <w:t>, the Group made £</w:t>
      </w:r>
      <w:r w:rsidR="00AC4439" w:rsidRPr="002608C0">
        <w:rPr>
          <w:rFonts w:ascii="Calibri" w:eastAsia="Calibri" w:hAnsi="Calibri" w:cs="Arial"/>
          <w:bCs/>
          <w:sz w:val="18"/>
          <w:szCs w:val="18"/>
          <w:lang w:val="en-US" w:eastAsia="en-GB" w:bidi="en-GB"/>
        </w:rPr>
        <w:t>21.0</w:t>
      </w:r>
      <w:r w:rsidRPr="002608C0">
        <w:rPr>
          <w:rFonts w:ascii="Calibri" w:eastAsia="Calibri" w:hAnsi="Calibri" w:cs="Arial"/>
          <w:bCs/>
          <w:sz w:val="18"/>
          <w:szCs w:val="18"/>
          <w:lang w:val="en-US" w:eastAsia="en-GB" w:bidi="en-GB"/>
        </w:rPr>
        <w:t>m of additions to property, plant and equipment and intangible assets through ongoing capital expenditure. A total depreciation and amortisation charge of £</w:t>
      </w:r>
      <w:r w:rsidR="00AC4439" w:rsidRPr="002608C0">
        <w:rPr>
          <w:rFonts w:ascii="Calibri" w:eastAsia="Calibri" w:hAnsi="Calibri" w:cs="Arial"/>
          <w:bCs/>
          <w:sz w:val="18"/>
          <w:szCs w:val="18"/>
          <w:lang w:val="en-US" w:eastAsia="en-GB" w:bidi="en-GB"/>
        </w:rPr>
        <w:t>20.9</w:t>
      </w:r>
      <w:r w:rsidRPr="002608C0">
        <w:rPr>
          <w:rFonts w:ascii="Calibri" w:eastAsia="Calibri" w:hAnsi="Calibri" w:cs="Arial"/>
          <w:bCs/>
          <w:sz w:val="18"/>
          <w:szCs w:val="18"/>
          <w:lang w:val="en-US" w:eastAsia="en-GB" w:bidi="en-GB"/>
        </w:rPr>
        <w:t xml:space="preserve">m was recognised, </w:t>
      </w:r>
      <w:r w:rsidR="00F250D9" w:rsidRPr="002608C0">
        <w:rPr>
          <w:rFonts w:ascii="Calibri" w:eastAsia="Calibri" w:hAnsi="Calibri" w:cs="Arial"/>
          <w:bCs/>
          <w:sz w:val="18"/>
          <w:szCs w:val="18"/>
          <w:lang w:val="en-US" w:eastAsia="en-GB" w:bidi="en-GB"/>
        </w:rPr>
        <w:t>£</w:t>
      </w:r>
      <w:r w:rsidR="00AC4439" w:rsidRPr="002608C0">
        <w:rPr>
          <w:rFonts w:ascii="Calibri" w:eastAsia="Calibri" w:hAnsi="Calibri" w:cs="Arial"/>
          <w:bCs/>
          <w:sz w:val="18"/>
          <w:szCs w:val="18"/>
          <w:lang w:val="en-US" w:eastAsia="en-GB" w:bidi="en-GB"/>
        </w:rPr>
        <w:t>0.4</w:t>
      </w:r>
      <w:r w:rsidR="00F250D9" w:rsidRPr="002608C0">
        <w:rPr>
          <w:rFonts w:ascii="Calibri" w:eastAsia="Calibri" w:hAnsi="Calibri" w:cs="Arial"/>
          <w:bCs/>
          <w:sz w:val="18"/>
          <w:szCs w:val="18"/>
          <w:lang w:val="en-US" w:eastAsia="en-GB" w:bidi="en-GB"/>
        </w:rPr>
        <w:t>m of assets were impaired</w:t>
      </w:r>
      <w:r w:rsidRPr="002608C0">
        <w:rPr>
          <w:rFonts w:ascii="Calibri" w:eastAsia="Calibri" w:hAnsi="Calibri" w:cs="Arial"/>
          <w:bCs/>
          <w:sz w:val="18"/>
          <w:szCs w:val="18"/>
          <w:lang w:val="en-US" w:eastAsia="en-GB" w:bidi="en-GB"/>
        </w:rPr>
        <w:t xml:space="preserve"> and an FX </w:t>
      </w:r>
      <w:r w:rsidR="00F250D9" w:rsidRPr="002608C0">
        <w:rPr>
          <w:rFonts w:ascii="Calibri" w:eastAsia="Calibri" w:hAnsi="Calibri" w:cs="Arial"/>
          <w:bCs/>
          <w:sz w:val="18"/>
          <w:szCs w:val="18"/>
          <w:lang w:val="en-US" w:eastAsia="en-GB" w:bidi="en-GB"/>
        </w:rPr>
        <w:t>loss</w:t>
      </w:r>
      <w:r w:rsidRPr="002608C0">
        <w:rPr>
          <w:rFonts w:ascii="Calibri" w:eastAsia="Calibri" w:hAnsi="Calibri" w:cs="Arial"/>
          <w:bCs/>
          <w:sz w:val="18"/>
          <w:szCs w:val="18"/>
          <w:lang w:val="en-US" w:eastAsia="en-GB" w:bidi="en-GB"/>
        </w:rPr>
        <w:t xml:space="preserve"> of £</w:t>
      </w:r>
      <w:r w:rsidR="00AC4439" w:rsidRPr="002608C0">
        <w:rPr>
          <w:rFonts w:ascii="Calibri" w:eastAsia="Calibri" w:hAnsi="Calibri" w:cs="Arial"/>
          <w:bCs/>
          <w:sz w:val="18"/>
          <w:szCs w:val="18"/>
          <w:lang w:val="en-US" w:eastAsia="en-GB" w:bidi="en-GB"/>
        </w:rPr>
        <w:t>0.1</w:t>
      </w:r>
      <w:r w:rsidRPr="002608C0">
        <w:rPr>
          <w:rFonts w:ascii="Calibri" w:eastAsia="Calibri" w:hAnsi="Calibri" w:cs="Arial"/>
          <w:bCs/>
          <w:sz w:val="18"/>
          <w:szCs w:val="18"/>
          <w:lang w:val="en-US" w:eastAsia="en-GB" w:bidi="en-GB"/>
        </w:rPr>
        <w:t xml:space="preserve">m was incurred. </w:t>
      </w:r>
      <w:r w:rsidR="006D6777" w:rsidRPr="002608C0">
        <w:rPr>
          <w:rFonts w:ascii="Calibri" w:eastAsia="Calibri" w:hAnsi="Calibri" w:cs="Arial"/>
          <w:bCs/>
          <w:sz w:val="18"/>
          <w:szCs w:val="18"/>
          <w:lang w:val="en-US" w:eastAsia="en-GB" w:bidi="en-GB"/>
        </w:rPr>
        <w:t>In addition, the Group made £</w:t>
      </w:r>
      <w:r w:rsidR="00AC4439" w:rsidRPr="002608C0">
        <w:rPr>
          <w:rFonts w:ascii="Calibri" w:eastAsia="Calibri" w:hAnsi="Calibri" w:cs="Arial"/>
          <w:bCs/>
          <w:sz w:val="18"/>
          <w:szCs w:val="18"/>
          <w:lang w:val="en-US" w:eastAsia="en-GB" w:bidi="en-GB"/>
        </w:rPr>
        <w:t>2.7</w:t>
      </w:r>
      <w:r w:rsidR="006D6777" w:rsidRPr="002608C0">
        <w:rPr>
          <w:rFonts w:ascii="Calibri" w:eastAsia="Calibri" w:hAnsi="Calibri" w:cs="Arial"/>
          <w:bCs/>
          <w:sz w:val="18"/>
          <w:szCs w:val="18"/>
          <w:lang w:val="en-US" w:eastAsia="en-GB" w:bidi="en-GB"/>
        </w:rPr>
        <w:t xml:space="preserve">m of additions to right-of-use assets </w:t>
      </w:r>
      <w:r w:rsidR="008B31C0" w:rsidRPr="002608C0">
        <w:rPr>
          <w:rFonts w:ascii="Calibri" w:eastAsia="Calibri" w:hAnsi="Calibri" w:cs="Arial"/>
          <w:bCs/>
          <w:sz w:val="18"/>
          <w:szCs w:val="18"/>
          <w:lang w:val="en-US" w:eastAsia="en-GB" w:bidi="en-GB"/>
        </w:rPr>
        <w:t>while</w:t>
      </w:r>
      <w:r w:rsidR="006D6777" w:rsidRPr="002608C0">
        <w:rPr>
          <w:rFonts w:ascii="Calibri" w:eastAsia="Calibri" w:hAnsi="Calibri" w:cs="Arial"/>
          <w:bCs/>
          <w:sz w:val="18"/>
          <w:szCs w:val="18"/>
          <w:lang w:val="en-US" w:eastAsia="en-GB" w:bidi="en-GB"/>
        </w:rPr>
        <w:t xml:space="preserve"> £</w:t>
      </w:r>
      <w:r w:rsidR="00AC4439" w:rsidRPr="002608C0">
        <w:rPr>
          <w:rFonts w:ascii="Calibri" w:eastAsia="Calibri" w:hAnsi="Calibri" w:cs="Arial"/>
          <w:bCs/>
          <w:sz w:val="18"/>
          <w:szCs w:val="18"/>
          <w:lang w:val="en-US" w:eastAsia="en-GB" w:bidi="en-GB"/>
        </w:rPr>
        <w:t>0.6</w:t>
      </w:r>
      <w:r w:rsidR="006D6777" w:rsidRPr="002608C0">
        <w:rPr>
          <w:rFonts w:ascii="Calibri" w:eastAsia="Calibri" w:hAnsi="Calibri" w:cs="Arial"/>
          <w:bCs/>
          <w:sz w:val="18"/>
          <w:szCs w:val="18"/>
          <w:lang w:val="en-US" w:eastAsia="en-GB" w:bidi="en-GB"/>
        </w:rPr>
        <w:t>m were disposed of. A depreciation charge of £</w:t>
      </w:r>
      <w:r w:rsidR="00AC4439" w:rsidRPr="002608C0">
        <w:rPr>
          <w:rFonts w:ascii="Calibri" w:eastAsia="Calibri" w:hAnsi="Calibri" w:cs="Arial"/>
          <w:bCs/>
          <w:sz w:val="18"/>
          <w:szCs w:val="18"/>
          <w:lang w:val="en-US" w:eastAsia="en-GB" w:bidi="en-GB"/>
        </w:rPr>
        <w:t>7.7</w:t>
      </w:r>
      <w:r w:rsidR="006D6777" w:rsidRPr="002608C0">
        <w:rPr>
          <w:rFonts w:ascii="Calibri" w:eastAsia="Calibri" w:hAnsi="Calibri" w:cs="Arial"/>
          <w:bCs/>
          <w:sz w:val="18"/>
          <w:szCs w:val="18"/>
          <w:lang w:val="en-US" w:eastAsia="en-GB" w:bidi="en-GB"/>
        </w:rPr>
        <w:t xml:space="preserve">m was recognised on right-of-use assets in the period. </w:t>
      </w:r>
    </w:p>
    <w:p w14:paraId="08CA2443" w14:textId="2C1FC4E9" w:rsidR="008B31C0" w:rsidRPr="002608C0" w:rsidRDefault="008B31C0" w:rsidP="008B31C0">
      <w:pPr>
        <w:spacing w:after="120" w:line="240" w:lineRule="auto"/>
        <w:jc w:val="both"/>
        <w:rPr>
          <w:rFonts w:ascii="Calibri" w:eastAsia="Calibri" w:hAnsi="Calibri" w:cs="Arial"/>
          <w:bCs/>
          <w:sz w:val="18"/>
          <w:szCs w:val="18"/>
          <w:lang w:val="en-US" w:eastAsia="en-GB" w:bidi="en-GB"/>
        </w:rPr>
      </w:pPr>
      <w:r w:rsidRPr="002608C0">
        <w:rPr>
          <w:rFonts w:ascii="Calibri" w:eastAsia="Calibri" w:hAnsi="Calibri" w:cs="Arial"/>
          <w:bCs/>
          <w:sz w:val="18"/>
          <w:szCs w:val="18"/>
          <w:lang w:val="en-US" w:eastAsia="en-GB" w:bidi="en-GB"/>
        </w:rPr>
        <w:t xml:space="preserve">During the prior six-month period to 26 March 2021, the Group made £15.8m of additions to property, plant and equipment and intangible assets through ongoing capital expenditure. A total depreciation and amortisation charge of £21.1m was recognised, £0.1m of assets were disposed of, £0.4m of assets were impaired and an FX loss of £0.4m was incurred, including £0.2m FX loss on investment property. In addition, the Group made £8.8m of additions to right-of-use assets and £0.6m of assets were disposed of. A depreciation charge of £7.2m was recognised on right-of-use assets in the period. </w:t>
      </w:r>
    </w:p>
    <w:p w14:paraId="5C3C2D07" w14:textId="72A06617" w:rsidR="00EA2BB4" w:rsidRPr="002608C0" w:rsidRDefault="00EA2BB4" w:rsidP="00EA2BB4">
      <w:pPr>
        <w:spacing w:after="120" w:line="240" w:lineRule="auto"/>
        <w:jc w:val="both"/>
        <w:rPr>
          <w:rFonts w:ascii="Calibri" w:eastAsia="Calibri" w:hAnsi="Calibri" w:cs="Arial"/>
          <w:bCs/>
          <w:sz w:val="18"/>
          <w:szCs w:val="18"/>
          <w:lang w:val="en-US" w:eastAsia="en-GB" w:bidi="en-GB"/>
        </w:rPr>
      </w:pPr>
      <w:r w:rsidRPr="002608C0">
        <w:rPr>
          <w:rFonts w:ascii="Calibri" w:eastAsia="Calibri" w:hAnsi="Calibri" w:cs="Arial"/>
          <w:bCs/>
          <w:sz w:val="18"/>
          <w:szCs w:val="18"/>
          <w:lang w:val="en-US" w:eastAsia="en-GB" w:bidi="en-GB"/>
        </w:rPr>
        <w:t xml:space="preserve">At </w:t>
      </w:r>
      <w:r w:rsidR="008A4891" w:rsidRPr="002608C0">
        <w:rPr>
          <w:rFonts w:ascii="Calibri" w:eastAsia="Calibri" w:hAnsi="Calibri" w:cs="Arial"/>
          <w:bCs/>
          <w:sz w:val="18"/>
          <w:szCs w:val="18"/>
          <w:lang w:val="en-US" w:eastAsia="en-GB" w:bidi="en-GB"/>
        </w:rPr>
        <w:t>25 March 2022</w:t>
      </w:r>
      <w:r w:rsidRPr="002608C0">
        <w:rPr>
          <w:rFonts w:ascii="Calibri" w:eastAsia="Calibri" w:hAnsi="Calibri" w:cs="Arial"/>
          <w:bCs/>
          <w:sz w:val="18"/>
          <w:szCs w:val="18"/>
          <w:lang w:val="en-US" w:eastAsia="en-GB" w:bidi="en-GB"/>
        </w:rPr>
        <w:t>, the Group had capital expenditure commitments that had been contracted but not yet provided for amounting to £</w:t>
      </w:r>
      <w:r w:rsidR="00AC4439" w:rsidRPr="002608C0">
        <w:rPr>
          <w:rFonts w:ascii="Calibri" w:eastAsia="Calibri" w:hAnsi="Calibri" w:cs="Arial"/>
          <w:bCs/>
          <w:sz w:val="18"/>
          <w:szCs w:val="18"/>
          <w:lang w:val="en-US" w:eastAsia="en-GB" w:bidi="en-GB"/>
        </w:rPr>
        <w:t>20.0</w:t>
      </w:r>
      <w:r w:rsidRPr="002608C0">
        <w:rPr>
          <w:rFonts w:ascii="Calibri" w:eastAsia="Calibri" w:hAnsi="Calibri" w:cs="Arial"/>
          <w:bCs/>
          <w:sz w:val="18"/>
          <w:szCs w:val="18"/>
          <w:lang w:val="en-US" w:eastAsia="en-GB" w:bidi="en-GB"/>
        </w:rPr>
        <w:t>m (H1 2</w:t>
      </w:r>
      <w:r w:rsidR="008B31C0" w:rsidRPr="002608C0">
        <w:rPr>
          <w:rFonts w:ascii="Calibri" w:eastAsia="Calibri" w:hAnsi="Calibri" w:cs="Arial"/>
          <w:bCs/>
          <w:sz w:val="18"/>
          <w:szCs w:val="18"/>
          <w:lang w:val="en-US" w:eastAsia="en-GB" w:bidi="en-GB"/>
        </w:rPr>
        <w:t>1</w:t>
      </w:r>
      <w:r w:rsidRPr="002608C0">
        <w:rPr>
          <w:rFonts w:ascii="Calibri" w:eastAsia="Calibri" w:hAnsi="Calibri" w:cs="Arial"/>
          <w:bCs/>
          <w:sz w:val="18"/>
          <w:szCs w:val="18"/>
          <w:lang w:val="en-US" w:eastAsia="en-GB" w:bidi="en-GB"/>
        </w:rPr>
        <w:t>: £</w:t>
      </w:r>
      <w:r w:rsidR="008B31C0" w:rsidRPr="002608C0">
        <w:rPr>
          <w:rFonts w:ascii="Calibri" w:eastAsia="Calibri" w:hAnsi="Calibri" w:cs="Arial"/>
          <w:bCs/>
          <w:sz w:val="18"/>
          <w:szCs w:val="18"/>
          <w:lang w:val="en-US" w:eastAsia="en-GB" w:bidi="en-GB"/>
        </w:rPr>
        <w:t>13.8</w:t>
      </w:r>
      <w:r w:rsidRPr="002608C0">
        <w:rPr>
          <w:rFonts w:ascii="Calibri" w:eastAsia="Calibri" w:hAnsi="Calibri" w:cs="Arial"/>
          <w:bCs/>
          <w:sz w:val="18"/>
          <w:szCs w:val="18"/>
          <w:lang w:val="en-US" w:eastAsia="en-GB" w:bidi="en-GB"/>
        </w:rPr>
        <w:t>m).</w:t>
      </w:r>
    </w:p>
    <w:p w14:paraId="0947F1C8" w14:textId="77777777" w:rsidR="006A31F2" w:rsidRPr="002608C0" w:rsidRDefault="006A31F2" w:rsidP="00773F7B">
      <w:pPr>
        <w:spacing w:after="0" w:line="240" w:lineRule="auto"/>
        <w:rPr>
          <w:rStyle w:val="ParagraphChar"/>
          <w:rFonts w:cstheme="minorHAnsi"/>
          <w:b/>
        </w:rPr>
      </w:pPr>
    </w:p>
    <w:p w14:paraId="6C23147E" w14:textId="5123E32E" w:rsidR="00B10F27" w:rsidRDefault="00E126B5" w:rsidP="00773F7B">
      <w:pPr>
        <w:spacing w:after="0" w:line="240" w:lineRule="auto"/>
        <w:rPr>
          <w:rStyle w:val="ParagraphChar"/>
          <w:b/>
        </w:rPr>
      </w:pPr>
      <w:r>
        <w:rPr>
          <w:rStyle w:val="ParagraphChar"/>
          <w:b/>
        </w:rPr>
        <w:t>1</w:t>
      </w:r>
      <w:r w:rsidR="002675EF">
        <w:rPr>
          <w:rStyle w:val="ParagraphChar"/>
          <w:b/>
        </w:rPr>
        <w:t>1</w:t>
      </w:r>
      <w:r w:rsidR="00072DB2">
        <w:rPr>
          <w:rStyle w:val="ParagraphChar"/>
          <w:b/>
        </w:rPr>
        <w:t xml:space="preserve">. </w:t>
      </w:r>
      <w:r w:rsidR="00072DB2">
        <w:rPr>
          <w:rStyle w:val="ParagraphChar"/>
          <w:b/>
        </w:rPr>
        <w:tab/>
        <w:t>Cash and cash equivalents and bank overdrafts</w:t>
      </w:r>
    </w:p>
    <w:p w14:paraId="55FE3F7F" w14:textId="77777777" w:rsidR="00EA16F9" w:rsidRDefault="00EA16F9" w:rsidP="00773F7B">
      <w:pPr>
        <w:spacing w:after="0" w:line="240" w:lineRule="auto"/>
        <w:rPr>
          <w:rStyle w:val="ParagraphChar"/>
        </w:rPr>
      </w:pPr>
    </w:p>
    <w:p w14:paraId="62829714" w14:textId="20C8E4CD" w:rsidR="00072DB2" w:rsidRDefault="00072DB2" w:rsidP="00773F7B">
      <w:pPr>
        <w:spacing w:after="0" w:line="240" w:lineRule="auto"/>
        <w:rPr>
          <w:rStyle w:val="ParagraphChar"/>
        </w:rPr>
      </w:pPr>
      <w:r>
        <w:rPr>
          <w:rStyle w:val="ParagraphChar"/>
        </w:rPr>
        <w:t xml:space="preserve">For the purposes of the </w:t>
      </w:r>
      <w:r w:rsidR="00F15D5E">
        <w:rPr>
          <w:rStyle w:val="ParagraphChar"/>
        </w:rPr>
        <w:t xml:space="preserve">Condensed </w:t>
      </w:r>
      <w:r>
        <w:rPr>
          <w:rStyle w:val="ParagraphChar"/>
        </w:rPr>
        <w:t>Group Cash Flow Statement, cash and cash equivalents and bank overdrafts are presented net as follows:</w:t>
      </w:r>
    </w:p>
    <w:p w14:paraId="280BEF48" w14:textId="77777777" w:rsidR="00422A4B" w:rsidRDefault="00422A4B" w:rsidP="00773F7B">
      <w:pPr>
        <w:spacing w:after="0" w:line="240" w:lineRule="auto"/>
        <w:rPr>
          <w:rStyle w:val="ParagraphChar"/>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992"/>
        <w:gridCol w:w="1134"/>
        <w:gridCol w:w="1134"/>
      </w:tblGrid>
      <w:tr w:rsidR="00EA2BB4" w14:paraId="5C7FE24E" w14:textId="77777777" w:rsidTr="00AE207A">
        <w:trPr>
          <w:jc w:val="center"/>
        </w:trPr>
        <w:tc>
          <w:tcPr>
            <w:tcW w:w="6521" w:type="dxa"/>
            <w:vAlign w:val="bottom"/>
          </w:tcPr>
          <w:p w14:paraId="46EACA49" w14:textId="77777777" w:rsidR="00EA2BB4" w:rsidRPr="00CC7F8E" w:rsidRDefault="00EA2BB4" w:rsidP="0088383C">
            <w:pPr>
              <w:pStyle w:val="T2"/>
              <w:jc w:val="left"/>
            </w:pPr>
          </w:p>
        </w:tc>
        <w:tc>
          <w:tcPr>
            <w:tcW w:w="992" w:type="dxa"/>
            <w:vAlign w:val="bottom"/>
          </w:tcPr>
          <w:p w14:paraId="385F1B33" w14:textId="1A8AD128" w:rsidR="00EA2BB4" w:rsidRDefault="00EA2BB4" w:rsidP="0088383C">
            <w:pPr>
              <w:pStyle w:val="T2"/>
              <w:jc w:val="right"/>
              <w:rPr>
                <w:b/>
              </w:rPr>
            </w:pPr>
            <w:r>
              <w:rPr>
                <w:b/>
              </w:rPr>
              <w:t>March</w:t>
            </w:r>
            <w:r w:rsidRPr="00CC7F8E">
              <w:rPr>
                <w:b/>
              </w:rPr>
              <w:br/>
              <w:t>20</w:t>
            </w:r>
            <w:r>
              <w:rPr>
                <w:b/>
              </w:rPr>
              <w:t>2</w:t>
            </w:r>
            <w:r w:rsidR="00422A4B">
              <w:rPr>
                <w:b/>
              </w:rPr>
              <w:t>2</w:t>
            </w:r>
          </w:p>
        </w:tc>
        <w:tc>
          <w:tcPr>
            <w:tcW w:w="1134" w:type="dxa"/>
            <w:vAlign w:val="bottom"/>
          </w:tcPr>
          <w:p w14:paraId="33A354B6" w14:textId="798C0186" w:rsidR="00EA2BB4" w:rsidRDefault="00EA2BB4" w:rsidP="00A774AF">
            <w:pPr>
              <w:pStyle w:val="T2"/>
              <w:jc w:val="right"/>
            </w:pPr>
            <w:r>
              <w:t>September 202</w:t>
            </w:r>
            <w:r w:rsidR="00422A4B">
              <w:t>1</w:t>
            </w:r>
          </w:p>
        </w:tc>
        <w:tc>
          <w:tcPr>
            <w:tcW w:w="1134" w:type="dxa"/>
            <w:vAlign w:val="bottom"/>
          </w:tcPr>
          <w:p w14:paraId="37413AF7" w14:textId="55B85EF3" w:rsidR="00EA2BB4" w:rsidRPr="00CC7F8E" w:rsidRDefault="00EA2BB4" w:rsidP="00422A4B">
            <w:pPr>
              <w:pStyle w:val="T2"/>
              <w:jc w:val="right"/>
            </w:pPr>
            <w:r>
              <w:t>March</w:t>
            </w:r>
            <w:r w:rsidRPr="00CC7F8E">
              <w:br/>
              <w:t>20</w:t>
            </w:r>
            <w:r>
              <w:t>2</w:t>
            </w:r>
            <w:r w:rsidR="00422A4B">
              <w:t>1</w:t>
            </w:r>
          </w:p>
        </w:tc>
      </w:tr>
      <w:tr w:rsidR="00EA2BB4" w14:paraId="4C43B4BA" w14:textId="77777777" w:rsidTr="00AE207A">
        <w:trPr>
          <w:jc w:val="center"/>
        </w:trPr>
        <w:tc>
          <w:tcPr>
            <w:tcW w:w="6521" w:type="dxa"/>
            <w:tcBorders>
              <w:bottom w:val="single" w:sz="2" w:space="0" w:color="auto"/>
            </w:tcBorders>
            <w:vAlign w:val="bottom"/>
          </w:tcPr>
          <w:p w14:paraId="3119BC9A" w14:textId="77777777" w:rsidR="00EA2BB4" w:rsidRPr="00CC7F8E" w:rsidRDefault="00EA2BB4" w:rsidP="0088383C">
            <w:pPr>
              <w:pStyle w:val="T2"/>
              <w:jc w:val="left"/>
            </w:pPr>
          </w:p>
        </w:tc>
        <w:tc>
          <w:tcPr>
            <w:tcW w:w="992" w:type="dxa"/>
            <w:tcBorders>
              <w:bottom w:val="single" w:sz="2" w:space="0" w:color="auto"/>
            </w:tcBorders>
            <w:vAlign w:val="bottom"/>
          </w:tcPr>
          <w:p w14:paraId="436539DC" w14:textId="77777777" w:rsidR="00EA2BB4" w:rsidRDefault="00EA2BB4" w:rsidP="0088383C">
            <w:pPr>
              <w:pStyle w:val="T2"/>
              <w:jc w:val="right"/>
              <w:rPr>
                <w:b/>
              </w:rPr>
            </w:pPr>
            <w:r>
              <w:rPr>
                <w:b/>
              </w:rPr>
              <w:t>£m</w:t>
            </w:r>
          </w:p>
        </w:tc>
        <w:tc>
          <w:tcPr>
            <w:tcW w:w="1134" w:type="dxa"/>
            <w:tcBorders>
              <w:bottom w:val="single" w:sz="2" w:space="0" w:color="auto"/>
            </w:tcBorders>
          </w:tcPr>
          <w:p w14:paraId="1D698591" w14:textId="77777777" w:rsidR="00EA2BB4" w:rsidRDefault="00EA2BB4" w:rsidP="0088383C">
            <w:pPr>
              <w:pStyle w:val="T2"/>
              <w:jc w:val="right"/>
            </w:pPr>
            <w:r>
              <w:t>£m</w:t>
            </w:r>
          </w:p>
        </w:tc>
        <w:tc>
          <w:tcPr>
            <w:tcW w:w="1134" w:type="dxa"/>
            <w:tcBorders>
              <w:bottom w:val="single" w:sz="2" w:space="0" w:color="auto"/>
            </w:tcBorders>
            <w:vAlign w:val="bottom"/>
          </w:tcPr>
          <w:p w14:paraId="7435BA94" w14:textId="77777777" w:rsidR="00EA2BB4" w:rsidRPr="00CC7F8E" w:rsidRDefault="00EA2BB4" w:rsidP="0088383C">
            <w:pPr>
              <w:pStyle w:val="T2"/>
              <w:jc w:val="right"/>
            </w:pPr>
            <w:r>
              <w:t>£m</w:t>
            </w:r>
          </w:p>
        </w:tc>
      </w:tr>
      <w:tr w:rsidR="00422A4B" w14:paraId="46547100" w14:textId="77777777" w:rsidTr="00657AC6">
        <w:trPr>
          <w:jc w:val="center"/>
        </w:trPr>
        <w:tc>
          <w:tcPr>
            <w:tcW w:w="6521" w:type="dxa"/>
            <w:tcBorders>
              <w:top w:val="single" w:sz="2" w:space="0" w:color="auto"/>
            </w:tcBorders>
            <w:vAlign w:val="bottom"/>
          </w:tcPr>
          <w:p w14:paraId="5C79323D" w14:textId="77777777" w:rsidR="00422A4B" w:rsidRPr="00CC7F8E" w:rsidRDefault="00422A4B" w:rsidP="00422A4B">
            <w:pPr>
              <w:pStyle w:val="T2"/>
              <w:jc w:val="left"/>
            </w:pPr>
            <w:r>
              <w:t>Cash at bank and in hand</w:t>
            </w:r>
            <w:r w:rsidRPr="00CC7F8E">
              <w:t xml:space="preserve"> </w:t>
            </w:r>
          </w:p>
        </w:tc>
        <w:tc>
          <w:tcPr>
            <w:tcW w:w="992" w:type="dxa"/>
            <w:tcBorders>
              <w:top w:val="single" w:sz="2" w:space="0" w:color="auto"/>
            </w:tcBorders>
          </w:tcPr>
          <w:p w14:paraId="308932DD" w14:textId="0C40862B" w:rsidR="00422A4B" w:rsidRDefault="00AC4439" w:rsidP="00422A4B">
            <w:pPr>
              <w:pStyle w:val="T2"/>
              <w:jc w:val="right"/>
              <w:rPr>
                <w:rFonts w:cs="Arial"/>
                <w:b/>
              </w:rPr>
            </w:pPr>
            <w:r>
              <w:rPr>
                <w:b/>
              </w:rPr>
              <w:t>82.3</w:t>
            </w:r>
          </w:p>
        </w:tc>
        <w:tc>
          <w:tcPr>
            <w:tcW w:w="1134" w:type="dxa"/>
            <w:tcBorders>
              <w:top w:val="single" w:sz="2" w:space="0" w:color="auto"/>
            </w:tcBorders>
          </w:tcPr>
          <w:p w14:paraId="1A7126EC" w14:textId="11F13ECC" w:rsidR="00422A4B" w:rsidRDefault="00422A4B" w:rsidP="00422A4B">
            <w:pPr>
              <w:pStyle w:val="T2"/>
              <w:jc w:val="right"/>
            </w:pPr>
            <w:r>
              <w:t>119.1</w:t>
            </w:r>
          </w:p>
        </w:tc>
        <w:tc>
          <w:tcPr>
            <w:tcW w:w="1134" w:type="dxa"/>
            <w:tcBorders>
              <w:top w:val="single" w:sz="2" w:space="0" w:color="auto"/>
            </w:tcBorders>
          </w:tcPr>
          <w:p w14:paraId="01EEEF06" w14:textId="29CDA462" w:rsidR="00422A4B" w:rsidRPr="00422A4B" w:rsidRDefault="00422A4B" w:rsidP="00422A4B">
            <w:pPr>
              <w:pStyle w:val="T2"/>
              <w:jc w:val="right"/>
              <w:rPr>
                <w:bCs/>
              </w:rPr>
            </w:pPr>
            <w:r w:rsidRPr="00422A4B">
              <w:rPr>
                <w:rFonts w:cs="Arial"/>
                <w:bCs/>
              </w:rPr>
              <w:t>48.4</w:t>
            </w:r>
          </w:p>
        </w:tc>
      </w:tr>
      <w:tr w:rsidR="00422A4B" w14:paraId="572F435C" w14:textId="77777777" w:rsidTr="00657AC6">
        <w:trPr>
          <w:jc w:val="center"/>
        </w:trPr>
        <w:tc>
          <w:tcPr>
            <w:tcW w:w="6521" w:type="dxa"/>
            <w:tcBorders>
              <w:bottom w:val="single" w:sz="2" w:space="0" w:color="auto"/>
            </w:tcBorders>
            <w:vAlign w:val="bottom"/>
          </w:tcPr>
          <w:p w14:paraId="307FF335" w14:textId="73C14BCD" w:rsidR="00422A4B" w:rsidRPr="00CC7F8E" w:rsidRDefault="00422A4B" w:rsidP="00422A4B">
            <w:pPr>
              <w:pStyle w:val="T2"/>
              <w:jc w:val="left"/>
            </w:pPr>
            <w:r>
              <w:t xml:space="preserve">Bank overdraft (Note </w:t>
            </w:r>
            <w:r w:rsidR="002675EF">
              <w:t>12</w:t>
            </w:r>
            <w:r>
              <w:t>)</w:t>
            </w:r>
          </w:p>
        </w:tc>
        <w:tc>
          <w:tcPr>
            <w:tcW w:w="992" w:type="dxa"/>
            <w:tcBorders>
              <w:bottom w:val="single" w:sz="2" w:space="0" w:color="auto"/>
            </w:tcBorders>
          </w:tcPr>
          <w:p w14:paraId="37A1F971" w14:textId="19F318E8" w:rsidR="00422A4B" w:rsidRDefault="00AC4439" w:rsidP="00422A4B">
            <w:pPr>
              <w:pStyle w:val="T2"/>
              <w:jc w:val="right"/>
              <w:rPr>
                <w:rFonts w:cs="Arial"/>
                <w:b/>
              </w:rPr>
            </w:pPr>
            <w:r>
              <w:rPr>
                <w:b/>
              </w:rPr>
              <w:t>(32.8)</w:t>
            </w:r>
          </w:p>
        </w:tc>
        <w:tc>
          <w:tcPr>
            <w:tcW w:w="1134" w:type="dxa"/>
            <w:tcBorders>
              <w:bottom w:val="single" w:sz="2" w:space="0" w:color="auto"/>
            </w:tcBorders>
          </w:tcPr>
          <w:p w14:paraId="5BEB3EF0" w14:textId="7F0CD79D" w:rsidR="00422A4B" w:rsidRDefault="00422A4B" w:rsidP="00422A4B">
            <w:pPr>
              <w:pStyle w:val="T2"/>
              <w:jc w:val="right"/>
            </w:pPr>
            <w:r>
              <w:t>(45.5)</w:t>
            </w:r>
          </w:p>
        </w:tc>
        <w:tc>
          <w:tcPr>
            <w:tcW w:w="1134" w:type="dxa"/>
            <w:tcBorders>
              <w:bottom w:val="single" w:sz="2" w:space="0" w:color="auto"/>
            </w:tcBorders>
          </w:tcPr>
          <w:p w14:paraId="6ADA63B0" w14:textId="07B40F9E" w:rsidR="00422A4B" w:rsidRPr="00422A4B" w:rsidRDefault="00422A4B" w:rsidP="00422A4B">
            <w:pPr>
              <w:pStyle w:val="T2"/>
              <w:jc w:val="right"/>
              <w:rPr>
                <w:bCs/>
              </w:rPr>
            </w:pPr>
            <w:r w:rsidRPr="00422A4B">
              <w:rPr>
                <w:rFonts w:cs="Arial"/>
                <w:bCs/>
              </w:rPr>
              <w:t>(31.4)</w:t>
            </w:r>
          </w:p>
        </w:tc>
      </w:tr>
      <w:tr w:rsidR="00422A4B" w14:paraId="13D1E968" w14:textId="77777777" w:rsidTr="00657AC6">
        <w:trPr>
          <w:jc w:val="center"/>
        </w:trPr>
        <w:tc>
          <w:tcPr>
            <w:tcW w:w="6521" w:type="dxa"/>
            <w:tcBorders>
              <w:top w:val="single" w:sz="2" w:space="0" w:color="auto"/>
              <w:bottom w:val="single" w:sz="2" w:space="0" w:color="auto"/>
            </w:tcBorders>
            <w:vAlign w:val="bottom"/>
          </w:tcPr>
          <w:p w14:paraId="4B37F3F7" w14:textId="77777777" w:rsidR="00422A4B" w:rsidRPr="00D63898" w:rsidRDefault="00422A4B" w:rsidP="00422A4B">
            <w:pPr>
              <w:pStyle w:val="T2"/>
              <w:jc w:val="left"/>
              <w:rPr>
                <w:b/>
              </w:rPr>
            </w:pPr>
            <w:r>
              <w:rPr>
                <w:b/>
              </w:rPr>
              <w:t>Total cash and cash equivalents and bank overdrafts</w:t>
            </w:r>
            <w:r w:rsidRPr="00D63898">
              <w:rPr>
                <w:b/>
              </w:rPr>
              <w:t xml:space="preserve"> </w:t>
            </w:r>
          </w:p>
        </w:tc>
        <w:tc>
          <w:tcPr>
            <w:tcW w:w="992" w:type="dxa"/>
            <w:tcBorders>
              <w:top w:val="single" w:sz="2" w:space="0" w:color="auto"/>
              <w:bottom w:val="single" w:sz="2" w:space="0" w:color="auto"/>
            </w:tcBorders>
          </w:tcPr>
          <w:p w14:paraId="3C9738E0" w14:textId="22AD0D4E" w:rsidR="00422A4B" w:rsidRDefault="00AC4439" w:rsidP="00422A4B">
            <w:pPr>
              <w:pStyle w:val="T2"/>
              <w:jc w:val="right"/>
              <w:rPr>
                <w:rFonts w:cs="Arial"/>
                <w:b/>
              </w:rPr>
            </w:pPr>
            <w:r>
              <w:rPr>
                <w:b/>
              </w:rPr>
              <w:t>49.5</w:t>
            </w:r>
          </w:p>
        </w:tc>
        <w:tc>
          <w:tcPr>
            <w:tcW w:w="1134" w:type="dxa"/>
            <w:tcBorders>
              <w:top w:val="single" w:sz="2" w:space="0" w:color="auto"/>
              <w:bottom w:val="single" w:sz="2" w:space="0" w:color="auto"/>
            </w:tcBorders>
          </w:tcPr>
          <w:p w14:paraId="106DC3AB" w14:textId="41CA988E" w:rsidR="00422A4B" w:rsidRDefault="00422A4B" w:rsidP="00422A4B">
            <w:pPr>
              <w:pStyle w:val="T2"/>
              <w:jc w:val="right"/>
              <w:rPr>
                <w:bCs/>
              </w:rPr>
            </w:pPr>
            <w:r>
              <w:rPr>
                <w:bCs/>
              </w:rPr>
              <w:t>73.6</w:t>
            </w:r>
          </w:p>
        </w:tc>
        <w:tc>
          <w:tcPr>
            <w:tcW w:w="1134" w:type="dxa"/>
            <w:tcBorders>
              <w:top w:val="single" w:sz="2" w:space="0" w:color="auto"/>
              <w:bottom w:val="single" w:sz="2" w:space="0" w:color="auto"/>
            </w:tcBorders>
          </w:tcPr>
          <w:p w14:paraId="5DF825E0" w14:textId="0CC14B66" w:rsidR="00422A4B" w:rsidRPr="00422A4B" w:rsidRDefault="00422A4B" w:rsidP="00422A4B">
            <w:pPr>
              <w:pStyle w:val="T2"/>
              <w:jc w:val="right"/>
              <w:rPr>
                <w:bCs/>
              </w:rPr>
            </w:pPr>
            <w:r w:rsidRPr="00422A4B">
              <w:rPr>
                <w:rFonts w:cs="Arial"/>
                <w:bCs/>
              </w:rPr>
              <w:t>17.0</w:t>
            </w:r>
          </w:p>
        </w:tc>
      </w:tr>
    </w:tbl>
    <w:p w14:paraId="05A0DBD1" w14:textId="087519C8" w:rsidR="0041734A" w:rsidRDefault="0041734A" w:rsidP="004B6C20">
      <w:pPr>
        <w:spacing w:after="0" w:line="240" w:lineRule="auto"/>
        <w:rPr>
          <w:rStyle w:val="ParagraphChar"/>
        </w:rPr>
      </w:pPr>
    </w:p>
    <w:p w14:paraId="071DA471" w14:textId="5985EBAF" w:rsidR="00773F7B" w:rsidRPr="00EE7CDD" w:rsidRDefault="00773F7B" w:rsidP="005B3BEE">
      <w:pPr>
        <w:pStyle w:val="SectionH3"/>
        <w:rPr>
          <w:rStyle w:val="ParagraphChar"/>
        </w:rPr>
      </w:pPr>
      <w:r w:rsidRPr="00EE7CDD">
        <w:rPr>
          <w:rStyle w:val="ParagraphChar"/>
        </w:rPr>
        <w:t>1</w:t>
      </w:r>
      <w:r w:rsidR="002675EF">
        <w:rPr>
          <w:rStyle w:val="ParagraphChar"/>
        </w:rPr>
        <w:t>2</w:t>
      </w:r>
      <w:r w:rsidRPr="00EE7CDD">
        <w:rPr>
          <w:rStyle w:val="ParagraphChar"/>
        </w:rPr>
        <w:t>.</w:t>
      </w:r>
      <w:r w:rsidR="00EE7CDD">
        <w:rPr>
          <w:rStyle w:val="ParagraphChar"/>
        </w:rPr>
        <w:tab/>
      </w:r>
      <w:r w:rsidRPr="00EE7CDD">
        <w:rPr>
          <w:rStyle w:val="ParagraphChar"/>
        </w:rPr>
        <w:t xml:space="preserve">Borrowings and </w:t>
      </w:r>
      <w:r w:rsidR="00F035CB" w:rsidRPr="00EE7CDD">
        <w:rPr>
          <w:rStyle w:val="ParagraphChar"/>
        </w:rPr>
        <w:t>D</w:t>
      </w:r>
      <w:r w:rsidRPr="00EE7CDD">
        <w:rPr>
          <w:rStyle w:val="ParagraphChar"/>
        </w:rPr>
        <w:t>erivatives</w:t>
      </w:r>
    </w:p>
    <w:tbl>
      <w:tblPr>
        <w:tblStyle w:val="TableGrid"/>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992"/>
        <w:gridCol w:w="1134"/>
        <w:gridCol w:w="1076"/>
      </w:tblGrid>
      <w:tr w:rsidR="00422A4B" w14:paraId="4E9F6A37" w14:textId="77777777" w:rsidTr="00072DB2">
        <w:trPr>
          <w:trHeight w:val="440"/>
          <w:jc w:val="center"/>
        </w:trPr>
        <w:tc>
          <w:tcPr>
            <w:tcW w:w="6576" w:type="dxa"/>
            <w:vAlign w:val="bottom"/>
          </w:tcPr>
          <w:p w14:paraId="173A296B" w14:textId="77777777" w:rsidR="00422A4B" w:rsidRPr="006D1798" w:rsidRDefault="00422A4B" w:rsidP="00422A4B">
            <w:pPr>
              <w:pStyle w:val="T2"/>
              <w:jc w:val="left"/>
            </w:pPr>
          </w:p>
        </w:tc>
        <w:tc>
          <w:tcPr>
            <w:tcW w:w="992" w:type="dxa"/>
            <w:vAlign w:val="bottom"/>
          </w:tcPr>
          <w:p w14:paraId="7C61A500" w14:textId="017D30A6" w:rsidR="00422A4B" w:rsidRPr="006910FB" w:rsidRDefault="00422A4B" w:rsidP="00422A4B">
            <w:pPr>
              <w:pStyle w:val="T2"/>
              <w:jc w:val="right"/>
              <w:rPr>
                <w:b/>
              </w:rPr>
            </w:pPr>
            <w:r>
              <w:rPr>
                <w:b/>
              </w:rPr>
              <w:t>March</w:t>
            </w:r>
            <w:r w:rsidRPr="00CC7F8E">
              <w:rPr>
                <w:b/>
              </w:rPr>
              <w:br/>
              <w:t>20</w:t>
            </w:r>
            <w:r>
              <w:rPr>
                <w:b/>
              </w:rPr>
              <w:t>22</w:t>
            </w:r>
          </w:p>
        </w:tc>
        <w:tc>
          <w:tcPr>
            <w:tcW w:w="1134" w:type="dxa"/>
            <w:vAlign w:val="bottom"/>
          </w:tcPr>
          <w:p w14:paraId="4903F0C1" w14:textId="71473962" w:rsidR="00422A4B" w:rsidRPr="00405D63" w:rsidRDefault="00422A4B" w:rsidP="00422A4B">
            <w:pPr>
              <w:pStyle w:val="T2"/>
              <w:jc w:val="right"/>
            </w:pPr>
            <w:r>
              <w:t>September 2021</w:t>
            </w:r>
          </w:p>
        </w:tc>
        <w:tc>
          <w:tcPr>
            <w:tcW w:w="1076" w:type="dxa"/>
            <w:vAlign w:val="bottom"/>
          </w:tcPr>
          <w:p w14:paraId="700A1A4A" w14:textId="18FF1502" w:rsidR="00422A4B" w:rsidRPr="00405D63" w:rsidRDefault="00422A4B" w:rsidP="00422A4B">
            <w:pPr>
              <w:pStyle w:val="T2"/>
              <w:jc w:val="right"/>
            </w:pPr>
            <w:r>
              <w:t>March</w:t>
            </w:r>
            <w:r w:rsidRPr="00CC7F8E">
              <w:br/>
              <w:t>20</w:t>
            </w:r>
            <w:r>
              <w:t>21</w:t>
            </w:r>
          </w:p>
        </w:tc>
      </w:tr>
      <w:tr w:rsidR="00773F7B" w14:paraId="14BB304A" w14:textId="77777777" w:rsidTr="00AE207A">
        <w:trPr>
          <w:trHeight w:val="211"/>
          <w:jc w:val="center"/>
        </w:trPr>
        <w:tc>
          <w:tcPr>
            <w:tcW w:w="6576" w:type="dxa"/>
            <w:tcBorders>
              <w:bottom w:val="single" w:sz="2" w:space="0" w:color="auto"/>
            </w:tcBorders>
            <w:vAlign w:val="bottom"/>
          </w:tcPr>
          <w:p w14:paraId="54BA9805" w14:textId="77777777" w:rsidR="00773F7B" w:rsidRPr="006D1798" w:rsidRDefault="00773F7B" w:rsidP="00773F7B">
            <w:pPr>
              <w:pStyle w:val="T2"/>
              <w:jc w:val="left"/>
            </w:pPr>
          </w:p>
        </w:tc>
        <w:tc>
          <w:tcPr>
            <w:tcW w:w="992" w:type="dxa"/>
            <w:tcBorders>
              <w:bottom w:val="single" w:sz="2" w:space="0" w:color="auto"/>
            </w:tcBorders>
            <w:vAlign w:val="bottom"/>
          </w:tcPr>
          <w:p w14:paraId="1566E211" w14:textId="77777777" w:rsidR="00773F7B" w:rsidRDefault="00773F7B" w:rsidP="00773F7B">
            <w:pPr>
              <w:pStyle w:val="T2"/>
              <w:jc w:val="right"/>
              <w:rPr>
                <w:b/>
              </w:rPr>
            </w:pPr>
            <w:r w:rsidRPr="005C7C70">
              <w:rPr>
                <w:b/>
              </w:rPr>
              <w:t>£m</w:t>
            </w:r>
          </w:p>
        </w:tc>
        <w:tc>
          <w:tcPr>
            <w:tcW w:w="1134" w:type="dxa"/>
            <w:tcBorders>
              <w:bottom w:val="single" w:sz="2" w:space="0" w:color="auto"/>
            </w:tcBorders>
          </w:tcPr>
          <w:p w14:paraId="26FB6F62" w14:textId="77777777" w:rsidR="00773F7B" w:rsidRPr="00405D63" w:rsidRDefault="00773F7B" w:rsidP="00773F7B">
            <w:pPr>
              <w:pStyle w:val="T2"/>
              <w:jc w:val="right"/>
            </w:pPr>
            <w:r w:rsidRPr="00405D63">
              <w:t>£m</w:t>
            </w:r>
          </w:p>
        </w:tc>
        <w:tc>
          <w:tcPr>
            <w:tcW w:w="1076" w:type="dxa"/>
            <w:tcBorders>
              <w:bottom w:val="single" w:sz="2" w:space="0" w:color="auto"/>
            </w:tcBorders>
            <w:vAlign w:val="bottom"/>
          </w:tcPr>
          <w:p w14:paraId="16ECC7D7" w14:textId="77777777" w:rsidR="00773F7B" w:rsidRPr="00405D63" w:rsidRDefault="00773F7B" w:rsidP="00773F7B">
            <w:pPr>
              <w:pStyle w:val="T2"/>
              <w:jc w:val="right"/>
            </w:pPr>
            <w:r w:rsidRPr="00405D63">
              <w:t>£m</w:t>
            </w:r>
          </w:p>
        </w:tc>
      </w:tr>
      <w:tr w:rsidR="00B80931" w14:paraId="25C15EB3" w14:textId="77777777" w:rsidTr="00AE207A">
        <w:trPr>
          <w:trHeight w:val="211"/>
          <w:jc w:val="center"/>
        </w:trPr>
        <w:tc>
          <w:tcPr>
            <w:tcW w:w="6576" w:type="dxa"/>
            <w:tcBorders>
              <w:top w:val="single" w:sz="2" w:space="0" w:color="auto"/>
            </w:tcBorders>
            <w:vAlign w:val="bottom"/>
          </w:tcPr>
          <w:p w14:paraId="6C384EA9" w14:textId="77777777" w:rsidR="00B80931" w:rsidRPr="00B80931" w:rsidRDefault="00B80931" w:rsidP="00773F7B">
            <w:pPr>
              <w:pStyle w:val="T2"/>
              <w:jc w:val="left"/>
              <w:rPr>
                <w:b/>
              </w:rPr>
            </w:pPr>
            <w:r w:rsidRPr="00B80931">
              <w:rPr>
                <w:b/>
              </w:rPr>
              <w:t xml:space="preserve">Current </w:t>
            </w:r>
          </w:p>
        </w:tc>
        <w:tc>
          <w:tcPr>
            <w:tcW w:w="992" w:type="dxa"/>
            <w:tcBorders>
              <w:top w:val="single" w:sz="2" w:space="0" w:color="auto"/>
            </w:tcBorders>
          </w:tcPr>
          <w:p w14:paraId="472EAA0C" w14:textId="77777777" w:rsidR="00B80931" w:rsidRDefault="00B80931" w:rsidP="00773F7B">
            <w:pPr>
              <w:pStyle w:val="T2"/>
              <w:jc w:val="right"/>
              <w:rPr>
                <w:b/>
                <w:bCs/>
              </w:rPr>
            </w:pPr>
          </w:p>
        </w:tc>
        <w:tc>
          <w:tcPr>
            <w:tcW w:w="1134" w:type="dxa"/>
            <w:tcBorders>
              <w:top w:val="single" w:sz="2" w:space="0" w:color="auto"/>
            </w:tcBorders>
          </w:tcPr>
          <w:p w14:paraId="643E638D" w14:textId="77777777" w:rsidR="00B80931" w:rsidRPr="00405D63" w:rsidRDefault="00B80931" w:rsidP="00773F7B">
            <w:pPr>
              <w:pStyle w:val="T2"/>
              <w:jc w:val="right"/>
              <w:rPr>
                <w:bCs/>
              </w:rPr>
            </w:pPr>
          </w:p>
        </w:tc>
        <w:tc>
          <w:tcPr>
            <w:tcW w:w="1076" w:type="dxa"/>
            <w:tcBorders>
              <w:top w:val="single" w:sz="2" w:space="0" w:color="auto"/>
            </w:tcBorders>
            <w:vAlign w:val="bottom"/>
          </w:tcPr>
          <w:p w14:paraId="487E0638" w14:textId="77777777" w:rsidR="00B80931" w:rsidRDefault="00B80931" w:rsidP="00773F7B">
            <w:pPr>
              <w:pStyle w:val="T2"/>
              <w:jc w:val="right"/>
              <w:rPr>
                <w:bCs/>
              </w:rPr>
            </w:pPr>
          </w:p>
        </w:tc>
      </w:tr>
      <w:tr w:rsidR="00422A4B" w14:paraId="6BEA955B" w14:textId="77777777" w:rsidTr="00B44DDC">
        <w:trPr>
          <w:trHeight w:val="211"/>
          <w:jc w:val="center"/>
        </w:trPr>
        <w:tc>
          <w:tcPr>
            <w:tcW w:w="6576" w:type="dxa"/>
            <w:vAlign w:val="bottom"/>
          </w:tcPr>
          <w:p w14:paraId="065AB007" w14:textId="77777777" w:rsidR="00422A4B" w:rsidRPr="006D1798" w:rsidRDefault="00422A4B" w:rsidP="00422A4B">
            <w:pPr>
              <w:pStyle w:val="T2"/>
              <w:jc w:val="left"/>
            </w:pPr>
            <w:r>
              <w:t>Bank overdrafts</w:t>
            </w:r>
          </w:p>
        </w:tc>
        <w:tc>
          <w:tcPr>
            <w:tcW w:w="992" w:type="dxa"/>
          </w:tcPr>
          <w:p w14:paraId="601FBC75" w14:textId="1076DFFA" w:rsidR="00422A4B" w:rsidRPr="00B80931" w:rsidRDefault="00AC4439" w:rsidP="00422A4B">
            <w:pPr>
              <w:pStyle w:val="T2"/>
              <w:jc w:val="right"/>
              <w:rPr>
                <w:b/>
                <w:bCs/>
              </w:rPr>
            </w:pPr>
            <w:r>
              <w:rPr>
                <w:b/>
              </w:rPr>
              <w:t>(32.8)</w:t>
            </w:r>
          </w:p>
        </w:tc>
        <w:tc>
          <w:tcPr>
            <w:tcW w:w="1134" w:type="dxa"/>
          </w:tcPr>
          <w:p w14:paraId="3C8DAC05" w14:textId="54689D30" w:rsidR="00422A4B" w:rsidRPr="00405D63" w:rsidRDefault="00422A4B" w:rsidP="00422A4B">
            <w:pPr>
              <w:pStyle w:val="T2"/>
              <w:jc w:val="right"/>
              <w:rPr>
                <w:bCs/>
              </w:rPr>
            </w:pPr>
            <w:r>
              <w:rPr>
                <w:bCs/>
              </w:rPr>
              <w:t>(45.5)</w:t>
            </w:r>
          </w:p>
        </w:tc>
        <w:tc>
          <w:tcPr>
            <w:tcW w:w="1076" w:type="dxa"/>
          </w:tcPr>
          <w:p w14:paraId="220D1BA7" w14:textId="26531680" w:rsidR="00422A4B" w:rsidRPr="00422A4B" w:rsidRDefault="00422A4B" w:rsidP="00422A4B">
            <w:pPr>
              <w:pStyle w:val="T2"/>
              <w:jc w:val="right"/>
            </w:pPr>
            <w:r w:rsidRPr="00422A4B">
              <w:t>(31.4)</w:t>
            </w:r>
          </w:p>
        </w:tc>
      </w:tr>
      <w:tr w:rsidR="00422A4B" w14:paraId="3AC30236" w14:textId="77777777" w:rsidTr="00B44DDC">
        <w:trPr>
          <w:trHeight w:val="211"/>
          <w:jc w:val="center"/>
        </w:trPr>
        <w:tc>
          <w:tcPr>
            <w:tcW w:w="6576" w:type="dxa"/>
            <w:tcBorders>
              <w:bottom w:val="single" w:sz="2" w:space="0" w:color="auto"/>
            </w:tcBorders>
            <w:vAlign w:val="bottom"/>
          </w:tcPr>
          <w:p w14:paraId="2170AD09" w14:textId="46F26E12" w:rsidR="00422A4B" w:rsidRPr="00E25584" w:rsidRDefault="00422A4B" w:rsidP="00422A4B">
            <w:pPr>
              <w:pStyle w:val="T2"/>
              <w:jc w:val="left"/>
            </w:pPr>
            <w:r w:rsidRPr="00E25584">
              <w:t xml:space="preserve">Private </w:t>
            </w:r>
            <w:r w:rsidR="002675EF">
              <w:t>P</w:t>
            </w:r>
            <w:r w:rsidRPr="00E25584">
              <w:t xml:space="preserve">lacement </w:t>
            </w:r>
            <w:r w:rsidR="002675EF">
              <w:t>N</w:t>
            </w:r>
            <w:r w:rsidRPr="00E25584">
              <w:t>otes</w:t>
            </w:r>
          </w:p>
        </w:tc>
        <w:tc>
          <w:tcPr>
            <w:tcW w:w="992" w:type="dxa"/>
            <w:tcBorders>
              <w:bottom w:val="single" w:sz="2" w:space="0" w:color="auto"/>
            </w:tcBorders>
          </w:tcPr>
          <w:p w14:paraId="7AAAF82D" w14:textId="1E9BFC34" w:rsidR="00422A4B" w:rsidRPr="00E25584" w:rsidRDefault="00422A4B" w:rsidP="00422A4B">
            <w:pPr>
              <w:pStyle w:val="T2"/>
              <w:jc w:val="right"/>
              <w:rPr>
                <w:b/>
                <w:bCs/>
              </w:rPr>
            </w:pPr>
            <w:r w:rsidRPr="00D72EBE">
              <w:rPr>
                <w:b/>
              </w:rPr>
              <w:t>–</w:t>
            </w:r>
          </w:p>
        </w:tc>
        <w:tc>
          <w:tcPr>
            <w:tcW w:w="1134" w:type="dxa"/>
            <w:tcBorders>
              <w:bottom w:val="single" w:sz="2" w:space="0" w:color="auto"/>
            </w:tcBorders>
          </w:tcPr>
          <w:p w14:paraId="0BFFC23F" w14:textId="7CCA29B6" w:rsidR="00422A4B" w:rsidRPr="00E25584" w:rsidRDefault="00422A4B" w:rsidP="00422A4B">
            <w:pPr>
              <w:pStyle w:val="T2"/>
              <w:jc w:val="right"/>
              <w:rPr>
                <w:bCs/>
              </w:rPr>
            </w:pPr>
            <w:r>
              <w:rPr>
                <w:bCs/>
              </w:rPr>
              <w:t>(47.6)</w:t>
            </w:r>
          </w:p>
        </w:tc>
        <w:tc>
          <w:tcPr>
            <w:tcW w:w="1076" w:type="dxa"/>
            <w:tcBorders>
              <w:bottom w:val="single" w:sz="2" w:space="0" w:color="auto"/>
            </w:tcBorders>
          </w:tcPr>
          <w:p w14:paraId="6DCBB3F0" w14:textId="0A25C5CE" w:rsidR="00422A4B" w:rsidRPr="00422A4B" w:rsidRDefault="00422A4B" w:rsidP="00422A4B">
            <w:pPr>
              <w:pStyle w:val="T2"/>
              <w:jc w:val="right"/>
            </w:pPr>
            <w:r w:rsidRPr="00422A4B">
              <w:t>(47.6)</w:t>
            </w:r>
          </w:p>
        </w:tc>
      </w:tr>
      <w:tr w:rsidR="00422A4B" w14:paraId="3C4BEA8D" w14:textId="77777777" w:rsidTr="00B44DDC">
        <w:trPr>
          <w:trHeight w:val="211"/>
          <w:jc w:val="center"/>
        </w:trPr>
        <w:tc>
          <w:tcPr>
            <w:tcW w:w="6576" w:type="dxa"/>
            <w:tcBorders>
              <w:top w:val="single" w:sz="2" w:space="0" w:color="auto"/>
              <w:bottom w:val="single" w:sz="2" w:space="0" w:color="auto"/>
            </w:tcBorders>
            <w:vAlign w:val="bottom"/>
          </w:tcPr>
          <w:p w14:paraId="6638AD8D" w14:textId="77777777" w:rsidR="00422A4B" w:rsidRPr="00B80931" w:rsidRDefault="00422A4B" w:rsidP="00422A4B">
            <w:pPr>
              <w:pStyle w:val="T2"/>
              <w:jc w:val="left"/>
              <w:rPr>
                <w:b/>
              </w:rPr>
            </w:pPr>
            <w:r w:rsidRPr="00B80931">
              <w:rPr>
                <w:b/>
              </w:rPr>
              <w:t>Total current borrowings</w:t>
            </w:r>
          </w:p>
        </w:tc>
        <w:tc>
          <w:tcPr>
            <w:tcW w:w="992" w:type="dxa"/>
            <w:tcBorders>
              <w:top w:val="single" w:sz="2" w:space="0" w:color="auto"/>
              <w:bottom w:val="single" w:sz="2" w:space="0" w:color="auto"/>
            </w:tcBorders>
          </w:tcPr>
          <w:p w14:paraId="2766F58E" w14:textId="5AAF9EA3" w:rsidR="00422A4B" w:rsidRDefault="00AC4439" w:rsidP="00422A4B">
            <w:pPr>
              <w:pStyle w:val="T2"/>
              <w:jc w:val="right"/>
              <w:rPr>
                <w:b/>
                <w:bCs/>
              </w:rPr>
            </w:pPr>
            <w:r>
              <w:rPr>
                <w:b/>
              </w:rPr>
              <w:t>(32.8)</w:t>
            </w:r>
          </w:p>
        </w:tc>
        <w:tc>
          <w:tcPr>
            <w:tcW w:w="1134" w:type="dxa"/>
            <w:tcBorders>
              <w:top w:val="single" w:sz="2" w:space="0" w:color="auto"/>
              <w:bottom w:val="single" w:sz="2" w:space="0" w:color="auto"/>
            </w:tcBorders>
          </w:tcPr>
          <w:p w14:paraId="33E721AD" w14:textId="7C86B144" w:rsidR="00422A4B" w:rsidRPr="00405D63" w:rsidRDefault="00422A4B" w:rsidP="00422A4B">
            <w:pPr>
              <w:pStyle w:val="T2"/>
              <w:jc w:val="right"/>
              <w:rPr>
                <w:bCs/>
              </w:rPr>
            </w:pPr>
            <w:r>
              <w:rPr>
                <w:bCs/>
              </w:rPr>
              <w:t>(93.1)</w:t>
            </w:r>
          </w:p>
        </w:tc>
        <w:tc>
          <w:tcPr>
            <w:tcW w:w="1076" w:type="dxa"/>
            <w:tcBorders>
              <w:top w:val="single" w:sz="2" w:space="0" w:color="auto"/>
              <w:bottom w:val="single" w:sz="2" w:space="0" w:color="auto"/>
            </w:tcBorders>
          </w:tcPr>
          <w:p w14:paraId="4503C290" w14:textId="4832B468" w:rsidR="00422A4B" w:rsidRPr="00422A4B" w:rsidRDefault="00422A4B" w:rsidP="00422A4B">
            <w:pPr>
              <w:pStyle w:val="T2"/>
              <w:jc w:val="right"/>
            </w:pPr>
            <w:r w:rsidRPr="00422A4B">
              <w:t>(79.0)</w:t>
            </w:r>
          </w:p>
        </w:tc>
      </w:tr>
      <w:tr w:rsidR="00B80931" w14:paraId="2C68E21E" w14:textId="77777777" w:rsidTr="00AE207A">
        <w:trPr>
          <w:trHeight w:val="211"/>
          <w:jc w:val="center"/>
        </w:trPr>
        <w:tc>
          <w:tcPr>
            <w:tcW w:w="6576" w:type="dxa"/>
            <w:tcBorders>
              <w:top w:val="single" w:sz="2" w:space="0" w:color="auto"/>
            </w:tcBorders>
            <w:vAlign w:val="bottom"/>
          </w:tcPr>
          <w:p w14:paraId="4771EDB4" w14:textId="77777777" w:rsidR="00B80931" w:rsidRPr="00B80931" w:rsidRDefault="00CF12F0" w:rsidP="00CF12F0">
            <w:pPr>
              <w:pStyle w:val="T2"/>
              <w:jc w:val="left"/>
              <w:rPr>
                <w:b/>
              </w:rPr>
            </w:pPr>
            <w:r>
              <w:rPr>
                <w:b/>
              </w:rPr>
              <w:t>Non-current</w:t>
            </w:r>
          </w:p>
        </w:tc>
        <w:tc>
          <w:tcPr>
            <w:tcW w:w="992" w:type="dxa"/>
            <w:tcBorders>
              <w:top w:val="single" w:sz="2" w:space="0" w:color="auto"/>
            </w:tcBorders>
          </w:tcPr>
          <w:p w14:paraId="78B8DAFE" w14:textId="77777777" w:rsidR="00B80931" w:rsidRDefault="00B80931" w:rsidP="00773F7B">
            <w:pPr>
              <w:pStyle w:val="T2"/>
              <w:jc w:val="right"/>
              <w:rPr>
                <w:b/>
                <w:bCs/>
              </w:rPr>
            </w:pPr>
          </w:p>
        </w:tc>
        <w:tc>
          <w:tcPr>
            <w:tcW w:w="1134" w:type="dxa"/>
            <w:tcBorders>
              <w:top w:val="single" w:sz="2" w:space="0" w:color="auto"/>
            </w:tcBorders>
          </w:tcPr>
          <w:p w14:paraId="66B642D9" w14:textId="77777777" w:rsidR="00B80931" w:rsidRPr="00405D63" w:rsidRDefault="00B80931" w:rsidP="00773F7B">
            <w:pPr>
              <w:pStyle w:val="T2"/>
              <w:jc w:val="right"/>
              <w:rPr>
                <w:bCs/>
              </w:rPr>
            </w:pPr>
          </w:p>
        </w:tc>
        <w:tc>
          <w:tcPr>
            <w:tcW w:w="1076" w:type="dxa"/>
            <w:tcBorders>
              <w:top w:val="single" w:sz="2" w:space="0" w:color="auto"/>
            </w:tcBorders>
            <w:vAlign w:val="bottom"/>
          </w:tcPr>
          <w:p w14:paraId="792F7358" w14:textId="77777777" w:rsidR="00B80931" w:rsidRDefault="00B80931" w:rsidP="00773F7B">
            <w:pPr>
              <w:pStyle w:val="T2"/>
              <w:jc w:val="right"/>
              <w:rPr>
                <w:bCs/>
              </w:rPr>
            </w:pPr>
          </w:p>
        </w:tc>
      </w:tr>
      <w:tr w:rsidR="00422A4B" w14:paraId="50FA36A3" w14:textId="77777777" w:rsidTr="0043605A">
        <w:trPr>
          <w:trHeight w:val="211"/>
          <w:jc w:val="center"/>
        </w:trPr>
        <w:tc>
          <w:tcPr>
            <w:tcW w:w="6576" w:type="dxa"/>
            <w:vAlign w:val="bottom"/>
          </w:tcPr>
          <w:p w14:paraId="4EB76925" w14:textId="77777777" w:rsidR="00422A4B" w:rsidRPr="006D1798" w:rsidRDefault="00422A4B" w:rsidP="00422A4B">
            <w:pPr>
              <w:pStyle w:val="T2"/>
              <w:jc w:val="left"/>
            </w:pPr>
            <w:r w:rsidRPr="006D1798">
              <w:t>Bank borrowings</w:t>
            </w:r>
          </w:p>
        </w:tc>
        <w:tc>
          <w:tcPr>
            <w:tcW w:w="992" w:type="dxa"/>
          </w:tcPr>
          <w:p w14:paraId="6D499EE2" w14:textId="01AD0613" w:rsidR="00422A4B" w:rsidRPr="005D0EFF" w:rsidRDefault="00AC4439" w:rsidP="00422A4B">
            <w:pPr>
              <w:pStyle w:val="T2"/>
              <w:jc w:val="right"/>
              <w:rPr>
                <w:b/>
                <w:bCs/>
              </w:rPr>
            </w:pPr>
            <w:r>
              <w:rPr>
                <w:b/>
              </w:rPr>
              <w:t>(208.4)</w:t>
            </w:r>
          </w:p>
        </w:tc>
        <w:tc>
          <w:tcPr>
            <w:tcW w:w="1134" w:type="dxa"/>
          </w:tcPr>
          <w:p w14:paraId="3C613A44" w14:textId="6906AA8E" w:rsidR="00422A4B" w:rsidRPr="00405D63" w:rsidRDefault="00422A4B" w:rsidP="00422A4B">
            <w:pPr>
              <w:pStyle w:val="T2"/>
              <w:jc w:val="right"/>
              <w:rPr>
                <w:bCs/>
              </w:rPr>
            </w:pPr>
            <w:r w:rsidRPr="00405D63">
              <w:rPr>
                <w:bCs/>
              </w:rPr>
              <w:t>(</w:t>
            </w:r>
            <w:r>
              <w:rPr>
                <w:bCs/>
              </w:rPr>
              <w:t>150.1</w:t>
            </w:r>
            <w:r w:rsidRPr="00405D63">
              <w:rPr>
                <w:bCs/>
              </w:rPr>
              <w:t>)</w:t>
            </w:r>
          </w:p>
        </w:tc>
        <w:tc>
          <w:tcPr>
            <w:tcW w:w="1076" w:type="dxa"/>
          </w:tcPr>
          <w:p w14:paraId="79050769" w14:textId="3110864A" w:rsidR="00422A4B" w:rsidRPr="00422A4B" w:rsidRDefault="00422A4B" w:rsidP="00422A4B">
            <w:pPr>
              <w:pStyle w:val="T2"/>
              <w:jc w:val="right"/>
            </w:pPr>
            <w:r w:rsidRPr="00422A4B">
              <w:t>(181.7)</w:t>
            </w:r>
          </w:p>
        </w:tc>
      </w:tr>
      <w:tr w:rsidR="00422A4B" w14:paraId="27DF1644" w14:textId="77777777" w:rsidTr="0043605A">
        <w:trPr>
          <w:trHeight w:val="211"/>
          <w:jc w:val="center"/>
        </w:trPr>
        <w:tc>
          <w:tcPr>
            <w:tcW w:w="6576" w:type="dxa"/>
            <w:tcBorders>
              <w:bottom w:val="single" w:sz="2" w:space="0" w:color="auto"/>
            </w:tcBorders>
            <w:vAlign w:val="bottom"/>
          </w:tcPr>
          <w:p w14:paraId="2A0EEFD8" w14:textId="003FEA1B" w:rsidR="00422A4B" w:rsidRPr="006D1798" w:rsidRDefault="00422A4B" w:rsidP="00422A4B">
            <w:pPr>
              <w:pStyle w:val="T2"/>
              <w:jc w:val="left"/>
            </w:pPr>
            <w:r w:rsidRPr="006D1798">
              <w:t xml:space="preserve">Private </w:t>
            </w:r>
            <w:r w:rsidR="002675EF">
              <w:t>P</w:t>
            </w:r>
            <w:r w:rsidRPr="006D1798">
              <w:t xml:space="preserve">lacement </w:t>
            </w:r>
            <w:r w:rsidR="002675EF">
              <w:t>N</w:t>
            </w:r>
            <w:r w:rsidRPr="006D1798">
              <w:t>otes</w:t>
            </w:r>
          </w:p>
        </w:tc>
        <w:tc>
          <w:tcPr>
            <w:tcW w:w="992" w:type="dxa"/>
            <w:tcBorders>
              <w:bottom w:val="single" w:sz="2" w:space="0" w:color="auto"/>
            </w:tcBorders>
          </w:tcPr>
          <w:p w14:paraId="1A140923" w14:textId="09E346E2" w:rsidR="00422A4B" w:rsidRPr="005D0EFF" w:rsidRDefault="00AC4439" w:rsidP="00422A4B">
            <w:pPr>
              <w:pStyle w:val="T2"/>
              <w:jc w:val="right"/>
              <w:rPr>
                <w:b/>
                <w:bCs/>
              </w:rPr>
            </w:pPr>
            <w:r>
              <w:rPr>
                <w:b/>
              </w:rPr>
              <w:t>(60.4)</w:t>
            </w:r>
          </w:p>
        </w:tc>
        <w:tc>
          <w:tcPr>
            <w:tcW w:w="1134" w:type="dxa"/>
            <w:tcBorders>
              <w:bottom w:val="single" w:sz="2" w:space="0" w:color="auto"/>
            </w:tcBorders>
          </w:tcPr>
          <w:p w14:paraId="0DAF4B20" w14:textId="3FBA1FF5" w:rsidR="00422A4B" w:rsidRPr="00405D63" w:rsidRDefault="00422A4B" w:rsidP="00422A4B">
            <w:pPr>
              <w:pStyle w:val="T2"/>
              <w:jc w:val="right"/>
              <w:rPr>
                <w:bCs/>
              </w:rPr>
            </w:pPr>
            <w:r>
              <w:rPr>
                <w:bCs/>
              </w:rPr>
              <w:t>(59.0</w:t>
            </w:r>
            <w:r w:rsidRPr="00405D63">
              <w:rPr>
                <w:bCs/>
              </w:rPr>
              <w:t>)</w:t>
            </w:r>
          </w:p>
        </w:tc>
        <w:tc>
          <w:tcPr>
            <w:tcW w:w="1076" w:type="dxa"/>
            <w:tcBorders>
              <w:bottom w:val="single" w:sz="2" w:space="0" w:color="auto"/>
            </w:tcBorders>
          </w:tcPr>
          <w:p w14:paraId="18E1C213" w14:textId="31A1850E" w:rsidR="00422A4B" w:rsidRPr="00422A4B" w:rsidRDefault="00422A4B" w:rsidP="00422A4B">
            <w:pPr>
              <w:pStyle w:val="T2"/>
              <w:jc w:val="right"/>
            </w:pPr>
            <w:r w:rsidRPr="00422A4B">
              <w:t>(59.0)</w:t>
            </w:r>
          </w:p>
        </w:tc>
      </w:tr>
      <w:tr w:rsidR="00422A4B" w14:paraId="7B2180F8" w14:textId="77777777" w:rsidTr="0043605A">
        <w:trPr>
          <w:trHeight w:val="211"/>
          <w:jc w:val="center"/>
        </w:trPr>
        <w:tc>
          <w:tcPr>
            <w:tcW w:w="6576" w:type="dxa"/>
            <w:tcBorders>
              <w:top w:val="single" w:sz="2" w:space="0" w:color="auto"/>
              <w:bottom w:val="single" w:sz="2" w:space="0" w:color="auto"/>
            </w:tcBorders>
            <w:vAlign w:val="bottom"/>
          </w:tcPr>
          <w:p w14:paraId="3465ED7E" w14:textId="77777777" w:rsidR="00422A4B" w:rsidRDefault="00422A4B" w:rsidP="00422A4B">
            <w:pPr>
              <w:pStyle w:val="T2"/>
              <w:jc w:val="left"/>
              <w:rPr>
                <w:b/>
              </w:rPr>
            </w:pPr>
            <w:r>
              <w:rPr>
                <w:b/>
              </w:rPr>
              <w:t>Total non-current borrowings</w:t>
            </w:r>
          </w:p>
        </w:tc>
        <w:tc>
          <w:tcPr>
            <w:tcW w:w="992" w:type="dxa"/>
            <w:tcBorders>
              <w:top w:val="single" w:sz="2" w:space="0" w:color="auto"/>
              <w:bottom w:val="single" w:sz="2" w:space="0" w:color="auto"/>
            </w:tcBorders>
          </w:tcPr>
          <w:p w14:paraId="4554DCDB" w14:textId="2774C6BE" w:rsidR="00422A4B" w:rsidRDefault="00BA73B5" w:rsidP="00422A4B">
            <w:pPr>
              <w:pStyle w:val="T2"/>
              <w:jc w:val="right"/>
              <w:rPr>
                <w:b/>
                <w:bCs/>
              </w:rPr>
            </w:pPr>
            <w:r>
              <w:rPr>
                <w:b/>
              </w:rPr>
              <w:t>(</w:t>
            </w:r>
            <w:r w:rsidR="00AC4439">
              <w:rPr>
                <w:b/>
              </w:rPr>
              <w:t>268.8</w:t>
            </w:r>
            <w:r>
              <w:rPr>
                <w:b/>
              </w:rPr>
              <w:t>)</w:t>
            </w:r>
          </w:p>
        </w:tc>
        <w:tc>
          <w:tcPr>
            <w:tcW w:w="1134" w:type="dxa"/>
            <w:tcBorders>
              <w:top w:val="single" w:sz="2" w:space="0" w:color="auto"/>
              <w:bottom w:val="single" w:sz="2" w:space="0" w:color="auto"/>
            </w:tcBorders>
          </w:tcPr>
          <w:p w14:paraId="63A98E7B" w14:textId="36D10B2F" w:rsidR="00422A4B" w:rsidRPr="001E1407" w:rsidRDefault="00422A4B" w:rsidP="00422A4B">
            <w:pPr>
              <w:pStyle w:val="T2"/>
              <w:jc w:val="right"/>
              <w:rPr>
                <w:bCs/>
              </w:rPr>
            </w:pPr>
            <w:r>
              <w:rPr>
                <w:bCs/>
              </w:rPr>
              <w:t>(209.1)</w:t>
            </w:r>
          </w:p>
        </w:tc>
        <w:tc>
          <w:tcPr>
            <w:tcW w:w="1076" w:type="dxa"/>
            <w:tcBorders>
              <w:top w:val="single" w:sz="2" w:space="0" w:color="auto"/>
              <w:bottom w:val="single" w:sz="2" w:space="0" w:color="auto"/>
            </w:tcBorders>
          </w:tcPr>
          <w:p w14:paraId="7ACBE51D" w14:textId="1816FD96" w:rsidR="00422A4B" w:rsidRPr="00422A4B" w:rsidRDefault="00422A4B" w:rsidP="00422A4B">
            <w:pPr>
              <w:pStyle w:val="T2"/>
              <w:jc w:val="right"/>
            </w:pPr>
            <w:r w:rsidRPr="00422A4B">
              <w:t>(240.7)</w:t>
            </w:r>
          </w:p>
        </w:tc>
      </w:tr>
      <w:tr w:rsidR="00422A4B" w14:paraId="11D6AFDE" w14:textId="77777777" w:rsidTr="0043605A">
        <w:trPr>
          <w:trHeight w:val="211"/>
          <w:jc w:val="center"/>
        </w:trPr>
        <w:tc>
          <w:tcPr>
            <w:tcW w:w="6576" w:type="dxa"/>
            <w:tcBorders>
              <w:top w:val="single" w:sz="2" w:space="0" w:color="auto"/>
              <w:bottom w:val="single" w:sz="2" w:space="0" w:color="auto"/>
            </w:tcBorders>
            <w:vAlign w:val="bottom"/>
          </w:tcPr>
          <w:p w14:paraId="4F5D989D" w14:textId="77777777" w:rsidR="00422A4B" w:rsidRPr="0026155F" w:rsidRDefault="00422A4B" w:rsidP="00422A4B">
            <w:pPr>
              <w:pStyle w:val="T2"/>
              <w:jc w:val="left"/>
              <w:rPr>
                <w:b/>
              </w:rPr>
            </w:pPr>
            <w:r>
              <w:rPr>
                <w:b/>
              </w:rPr>
              <w:t>Total borrowings</w:t>
            </w:r>
          </w:p>
        </w:tc>
        <w:tc>
          <w:tcPr>
            <w:tcW w:w="992" w:type="dxa"/>
            <w:tcBorders>
              <w:top w:val="single" w:sz="2" w:space="0" w:color="auto"/>
              <w:bottom w:val="single" w:sz="2" w:space="0" w:color="auto"/>
            </w:tcBorders>
          </w:tcPr>
          <w:p w14:paraId="54B495E0" w14:textId="6B337254" w:rsidR="00422A4B" w:rsidRPr="0026155F" w:rsidRDefault="00AC4439" w:rsidP="00422A4B">
            <w:pPr>
              <w:pStyle w:val="T2"/>
              <w:jc w:val="right"/>
              <w:rPr>
                <w:b/>
                <w:bCs/>
              </w:rPr>
            </w:pPr>
            <w:r>
              <w:rPr>
                <w:b/>
              </w:rPr>
              <w:t>(301.6)</w:t>
            </w:r>
          </w:p>
        </w:tc>
        <w:tc>
          <w:tcPr>
            <w:tcW w:w="1134" w:type="dxa"/>
            <w:tcBorders>
              <w:top w:val="single" w:sz="2" w:space="0" w:color="auto"/>
              <w:bottom w:val="single" w:sz="2" w:space="0" w:color="auto"/>
            </w:tcBorders>
          </w:tcPr>
          <w:p w14:paraId="2EE6A039" w14:textId="76FFDF73" w:rsidR="00422A4B" w:rsidRPr="001E1407" w:rsidRDefault="00422A4B" w:rsidP="00422A4B">
            <w:pPr>
              <w:pStyle w:val="T2"/>
              <w:jc w:val="right"/>
              <w:rPr>
                <w:bCs/>
              </w:rPr>
            </w:pPr>
            <w:r w:rsidRPr="001E1407">
              <w:rPr>
                <w:bCs/>
              </w:rPr>
              <w:t>(</w:t>
            </w:r>
            <w:r>
              <w:rPr>
                <w:bCs/>
              </w:rPr>
              <w:t>302.2</w:t>
            </w:r>
            <w:r w:rsidRPr="001E1407">
              <w:rPr>
                <w:bCs/>
              </w:rPr>
              <w:t>)</w:t>
            </w:r>
          </w:p>
        </w:tc>
        <w:tc>
          <w:tcPr>
            <w:tcW w:w="1076" w:type="dxa"/>
            <w:tcBorders>
              <w:top w:val="single" w:sz="2" w:space="0" w:color="auto"/>
              <w:bottom w:val="single" w:sz="2" w:space="0" w:color="auto"/>
            </w:tcBorders>
          </w:tcPr>
          <w:p w14:paraId="609D691F" w14:textId="5537FCDE" w:rsidR="00422A4B" w:rsidRPr="00422A4B" w:rsidRDefault="00422A4B" w:rsidP="00422A4B">
            <w:pPr>
              <w:pStyle w:val="T2"/>
              <w:jc w:val="right"/>
            </w:pPr>
            <w:r w:rsidRPr="00422A4B">
              <w:t>(319.7)</w:t>
            </w:r>
          </w:p>
        </w:tc>
      </w:tr>
    </w:tbl>
    <w:p w14:paraId="6884D52A" w14:textId="559F5BAD" w:rsidR="00773F7B" w:rsidRPr="00A47449" w:rsidRDefault="00773F7B" w:rsidP="005B3BEE">
      <w:pPr>
        <w:pStyle w:val="Paragraph"/>
        <w:spacing w:after="120"/>
      </w:pPr>
      <w:r w:rsidRPr="00A47449">
        <w:t>The maturity profile of the Group’s borrowings is as follows:</w:t>
      </w:r>
    </w:p>
    <w:tbl>
      <w:tblPr>
        <w:tblStyle w:val="TableGrid"/>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gridCol w:w="992"/>
        <w:gridCol w:w="1134"/>
        <w:gridCol w:w="1076"/>
      </w:tblGrid>
      <w:tr w:rsidR="00D46F9A" w:rsidRPr="00A47449" w14:paraId="6242CB70" w14:textId="77777777" w:rsidTr="00072DB2">
        <w:trPr>
          <w:trHeight w:val="440"/>
          <w:jc w:val="center"/>
        </w:trPr>
        <w:tc>
          <w:tcPr>
            <w:tcW w:w="6576" w:type="dxa"/>
            <w:vAlign w:val="bottom"/>
          </w:tcPr>
          <w:p w14:paraId="4AF2A771" w14:textId="77777777" w:rsidR="00D46F9A" w:rsidRPr="00A47449" w:rsidRDefault="00D46F9A" w:rsidP="00D46F9A">
            <w:pPr>
              <w:pStyle w:val="T2"/>
              <w:jc w:val="left"/>
            </w:pPr>
          </w:p>
        </w:tc>
        <w:tc>
          <w:tcPr>
            <w:tcW w:w="992" w:type="dxa"/>
            <w:vAlign w:val="bottom"/>
          </w:tcPr>
          <w:p w14:paraId="754D5CD8" w14:textId="13F7709F" w:rsidR="00D46F9A" w:rsidRPr="00A47449" w:rsidRDefault="00D46F9A" w:rsidP="00D46F9A">
            <w:pPr>
              <w:pStyle w:val="T2"/>
              <w:jc w:val="right"/>
              <w:rPr>
                <w:b/>
              </w:rPr>
            </w:pPr>
            <w:r>
              <w:rPr>
                <w:b/>
              </w:rPr>
              <w:t>March</w:t>
            </w:r>
            <w:r w:rsidRPr="00CC7F8E">
              <w:rPr>
                <w:b/>
              </w:rPr>
              <w:br/>
              <w:t>20</w:t>
            </w:r>
            <w:r>
              <w:rPr>
                <w:b/>
              </w:rPr>
              <w:t>22</w:t>
            </w:r>
          </w:p>
        </w:tc>
        <w:tc>
          <w:tcPr>
            <w:tcW w:w="1134" w:type="dxa"/>
            <w:vAlign w:val="bottom"/>
          </w:tcPr>
          <w:p w14:paraId="33EFCC52" w14:textId="50FF7271" w:rsidR="00D46F9A" w:rsidRPr="00A47449" w:rsidRDefault="00D46F9A" w:rsidP="00D46F9A">
            <w:pPr>
              <w:pStyle w:val="T2"/>
              <w:jc w:val="right"/>
            </w:pPr>
            <w:r>
              <w:t>September 2021</w:t>
            </w:r>
          </w:p>
        </w:tc>
        <w:tc>
          <w:tcPr>
            <w:tcW w:w="1076" w:type="dxa"/>
            <w:vAlign w:val="bottom"/>
          </w:tcPr>
          <w:p w14:paraId="02CBDF51" w14:textId="1CF29772" w:rsidR="00D46F9A" w:rsidRPr="00A47449" w:rsidRDefault="00D46F9A" w:rsidP="00D46F9A">
            <w:pPr>
              <w:pStyle w:val="T2"/>
              <w:jc w:val="right"/>
            </w:pPr>
            <w:r>
              <w:t>March</w:t>
            </w:r>
            <w:r w:rsidRPr="00CC7F8E">
              <w:br/>
              <w:t>20</w:t>
            </w:r>
            <w:r>
              <w:t>21</w:t>
            </w:r>
          </w:p>
        </w:tc>
      </w:tr>
      <w:tr w:rsidR="00773F7B" w:rsidRPr="00A47449" w14:paraId="0EB3113F" w14:textId="77777777" w:rsidTr="00CF12F0">
        <w:trPr>
          <w:trHeight w:val="211"/>
          <w:jc w:val="center"/>
        </w:trPr>
        <w:tc>
          <w:tcPr>
            <w:tcW w:w="6576" w:type="dxa"/>
            <w:tcBorders>
              <w:bottom w:val="single" w:sz="2" w:space="0" w:color="auto"/>
            </w:tcBorders>
            <w:vAlign w:val="bottom"/>
          </w:tcPr>
          <w:p w14:paraId="37837D8E" w14:textId="77777777" w:rsidR="00773F7B" w:rsidRPr="00A47449" w:rsidRDefault="00773F7B" w:rsidP="00773F7B">
            <w:pPr>
              <w:pStyle w:val="T2"/>
              <w:jc w:val="left"/>
            </w:pPr>
          </w:p>
        </w:tc>
        <w:tc>
          <w:tcPr>
            <w:tcW w:w="992" w:type="dxa"/>
            <w:tcBorders>
              <w:bottom w:val="single" w:sz="2" w:space="0" w:color="auto"/>
            </w:tcBorders>
            <w:vAlign w:val="bottom"/>
          </w:tcPr>
          <w:p w14:paraId="4A747059" w14:textId="77777777" w:rsidR="00773F7B" w:rsidRPr="00A47449" w:rsidRDefault="00773F7B" w:rsidP="00773F7B">
            <w:pPr>
              <w:pStyle w:val="T2"/>
              <w:jc w:val="right"/>
              <w:rPr>
                <w:b/>
              </w:rPr>
            </w:pPr>
            <w:r w:rsidRPr="00A47449">
              <w:rPr>
                <w:b/>
              </w:rPr>
              <w:t>£m</w:t>
            </w:r>
          </w:p>
        </w:tc>
        <w:tc>
          <w:tcPr>
            <w:tcW w:w="1134" w:type="dxa"/>
            <w:tcBorders>
              <w:bottom w:val="single" w:sz="2" w:space="0" w:color="auto"/>
            </w:tcBorders>
          </w:tcPr>
          <w:p w14:paraId="7006F646" w14:textId="77777777" w:rsidR="00773F7B" w:rsidRPr="00A47449" w:rsidRDefault="00773F7B" w:rsidP="00773F7B">
            <w:pPr>
              <w:pStyle w:val="T2"/>
              <w:jc w:val="right"/>
            </w:pPr>
            <w:r w:rsidRPr="00A47449">
              <w:t>£m</w:t>
            </w:r>
          </w:p>
        </w:tc>
        <w:tc>
          <w:tcPr>
            <w:tcW w:w="1076" w:type="dxa"/>
            <w:tcBorders>
              <w:bottom w:val="single" w:sz="2" w:space="0" w:color="auto"/>
            </w:tcBorders>
            <w:vAlign w:val="bottom"/>
          </w:tcPr>
          <w:p w14:paraId="5622C381" w14:textId="77777777" w:rsidR="00773F7B" w:rsidRPr="00A47449" w:rsidRDefault="00773F7B" w:rsidP="00773F7B">
            <w:pPr>
              <w:pStyle w:val="T2"/>
              <w:jc w:val="right"/>
            </w:pPr>
            <w:r w:rsidRPr="00A47449">
              <w:t>£m</w:t>
            </w:r>
          </w:p>
        </w:tc>
      </w:tr>
      <w:tr w:rsidR="00CF12F0" w:rsidRPr="00A47449" w14:paraId="1324AC3D" w14:textId="77777777" w:rsidTr="005B3BEE">
        <w:trPr>
          <w:trHeight w:val="202"/>
          <w:jc w:val="center"/>
        </w:trPr>
        <w:tc>
          <w:tcPr>
            <w:tcW w:w="6576" w:type="dxa"/>
            <w:tcBorders>
              <w:top w:val="single" w:sz="2" w:space="0" w:color="auto"/>
            </w:tcBorders>
            <w:vAlign w:val="bottom"/>
          </w:tcPr>
          <w:p w14:paraId="06A94826" w14:textId="77777777" w:rsidR="00CF12F0" w:rsidRPr="00A47449" w:rsidRDefault="00CF12F0" w:rsidP="00B80931">
            <w:pPr>
              <w:pStyle w:val="T2"/>
              <w:jc w:val="left"/>
              <w:rPr>
                <w:b/>
              </w:rPr>
            </w:pPr>
            <w:r w:rsidRPr="00A47449">
              <w:rPr>
                <w:b/>
              </w:rPr>
              <w:t xml:space="preserve">Borrowings </w:t>
            </w:r>
          </w:p>
        </w:tc>
        <w:tc>
          <w:tcPr>
            <w:tcW w:w="992" w:type="dxa"/>
            <w:tcBorders>
              <w:top w:val="single" w:sz="2" w:space="0" w:color="auto"/>
            </w:tcBorders>
          </w:tcPr>
          <w:p w14:paraId="27419E5E" w14:textId="77777777" w:rsidR="00CF12F0" w:rsidRPr="00A47449" w:rsidRDefault="00CF12F0" w:rsidP="00F10AF9">
            <w:pPr>
              <w:pStyle w:val="T2"/>
              <w:jc w:val="right"/>
              <w:rPr>
                <w:b/>
                <w:bCs/>
              </w:rPr>
            </w:pPr>
          </w:p>
        </w:tc>
        <w:tc>
          <w:tcPr>
            <w:tcW w:w="1134" w:type="dxa"/>
            <w:tcBorders>
              <w:top w:val="single" w:sz="2" w:space="0" w:color="auto"/>
            </w:tcBorders>
          </w:tcPr>
          <w:p w14:paraId="1B653758" w14:textId="77777777" w:rsidR="00CF12F0" w:rsidRPr="00A47449" w:rsidRDefault="00CF12F0" w:rsidP="00B80931">
            <w:pPr>
              <w:pStyle w:val="T2"/>
              <w:jc w:val="right"/>
              <w:rPr>
                <w:bCs/>
              </w:rPr>
            </w:pPr>
          </w:p>
        </w:tc>
        <w:tc>
          <w:tcPr>
            <w:tcW w:w="1076" w:type="dxa"/>
            <w:tcBorders>
              <w:top w:val="single" w:sz="2" w:space="0" w:color="auto"/>
            </w:tcBorders>
            <w:vAlign w:val="bottom"/>
          </w:tcPr>
          <w:p w14:paraId="1508F17B" w14:textId="77777777" w:rsidR="00CF12F0" w:rsidRPr="00A47449" w:rsidRDefault="00CF12F0" w:rsidP="00B80931">
            <w:pPr>
              <w:pStyle w:val="T2"/>
              <w:jc w:val="right"/>
              <w:rPr>
                <w:bCs/>
              </w:rPr>
            </w:pPr>
          </w:p>
        </w:tc>
      </w:tr>
      <w:tr w:rsidR="00C535DE" w:rsidRPr="00A47449" w14:paraId="77F744C2" w14:textId="77777777" w:rsidTr="00EA06D7">
        <w:trPr>
          <w:trHeight w:val="202"/>
          <w:jc w:val="center"/>
        </w:trPr>
        <w:tc>
          <w:tcPr>
            <w:tcW w:w="6576" w:type="dxa"/>
            <w:vAlign w:val="bottom"/>
          </w:tcPr>
          <w:p w14:paraId="00F06E9D" w14:textId="77777777" w:rsidR="00C535DE" w:rsidRPr="00A47449" w:rsidRDefault="00C535DE" w:rsidP="00C535DE">
            <w:pPr>
              <w:pStyle w:val="T2"/>
              <w:jc w:val="left"/>
            </w:pPr>
            <w:r w:rsidRPr="00A47449">
              <w:lastRenderedPageBreak/>
              <w:t>Less than one year</w:t>
            </w:r>
          </w:p>
        </w:tc>
        <w:tc>
          <w:tcPr>
            <w:tcW w:w="992" w:type="dxa"/>
          </w:tcPr>
          <w:p w14:paraId="22D03755" w14:textId="4CDF3D0E" w:rsidR="00C535DE" w:rsidRPr="00A47449" w:rsidRDefault="00C535DE" w:rsidP="00C535DE">
            <w:pPr>
              <w:pStyle w:val="T2"/>
              <w:jc w:val="right"/>
              <w:rPr>
                <w:b/>
                <w:bCs/>
              </w:rPr>
            </w:pPr>
            <w:r w:rsidRPr="00901E36">
              <w:rPr>
                <w:b/>
                <w:bCs/>
              </w:rPr>
              <w:t>–</w:t>
            </w:r>
          </w:p>
        </w:tc>
        <w:tc>
          <w:tcPr>
            <w:tcW w:w="1134" w:type="dxa"/>
          </w:tcPr>
          <w:p w14:paraId="28E7777F" w14:textId="2172DD96" w:rsidR="00C535DE" w:rsidRPr="00A47449" w:rsidRDefault="00D46F9A" w:rsidP="00C535DE">
            <w:pPr>
              <w:pStyle w:val="T2"/>
              <w:jc w:val="right"/>
              <w:rPr>
                <w:bCs/>
              </w:rPr>
            </w:pPr>
            <w:r>
              <w:rPr>
                <w:bCs/>
              </w:rPr>
              <w:t>(47.6)</w:t>
            </w:r>
          </w:p>
        </w:tc>
        <w:tc>
          <w:tcPr>
            <w:tcW w:w="1076" w:type="dxa"/>
          </w:tcPr>
          <w:p w14:paraId="52E00A48" w14:textId="784A2D97" w:rsidR="00C535DE" w:rsidRPr="00C535DE" w:rsidRDefault="00C535DE" w:rsidP="00C535DE">
            <w:pPr>
              <w:pStyle w:val="T2"/>
              <w:jc w:val="right"/>
            </w:pPr>
            <w:r w:rsidRPr="00C535DE">
              <w:t>(47.6)</w:t>
            </w:r>
          </w:p>
        </w:tc>
      </w:tr>
      <w:tr w:rsidR="00C535DE" w:rsidRPr="00A47449" w14:paraId="2FBA21CF" w14:textId="77777777" w:rsidTr="00EA06D7">
        <w:trPr>
          <w:trHeight w:val="202"/>
          <w:jc w:val="center"/>
        </w:trPr>
        <w:tc>
          <w:tcPr>
            <w:tcW w:w="6576" w:type="dxa"/>
            <w:vAlign w:val="bottom"/>
          </w:tcPr>
          <w:p w14:paraId="6415AB7A" w14:textId="77777777" w:rsidR="00C535DE" w:rsidRPr="00A47449" w:rsidRDefault="00C535DE" w:rsidP="00C535DE">
            <w:pPr>
              <w:pStyle w:val="T2"/>
              <w:jc w:val="left"/>
            </w:pPr>
            <w:r w:rsidRPr="00A47449">
              <w:t>Between one and two years</w:t>
            </w:r>
          </w:p>
        </w:tc>
        <w:tc>
          <w:tcPr>
            <w:tcW w:w="992" w:type="dxa"/>
          </w:tcPr>
          <w:p w14:paraId="2E6061D4" w14:textId="173EF7A5" w:rsidR="00C535DE" w:rsidRPr="00A47449" w:rsidRDefault="00C4231B" w:rsidP="00C535DE">
            <w:pPr>
              <w:pStyle w:val="T2"/>
              <w:jc w:val="right"/>
              <w:rPr>
                <w:b/>
                <w:bCs/>
              </w:rPr>
            </w:pPr>
            <w:r>
              <w:rPr>
                <w:b/>
                <w:bCs/>
              </w:rPr>
              <w:t>(64.9)</w:t>
            </w:r>
          </w:p>
        </w:tc>
        <w:tc>
          <w:tcPr>
            <w:tcW w:w="1134" w:type="dxa"/>
          </w:tcPr>
          <w:p w14:paraId="4295DB2E" w14:textId="122BEF10" w:rsidR="00C535DE" w:rsidRPr="00A47449" w:rsidRDefault="00C535DE" w:rsidP="00C535DE">
            <w:pPr>
              <w:pStyle w:val="T2"/>
              <w:jc w:val="right"/>
              <w:rPr>
                <w:bCs/>
              </w:rPr>
            </w:pPr>
            <w:r w:rsidRPr="00A47449">
              <w:rPr>
                <w:bCs/>
              </w:rPr>
              <w:t>(</w:t>
            </w:r>
            <w:r w:rsidR="00D46F9A">
              <w:rPr>
                <w:bCs/>
              </w:rPr>
              <w:t>64.6</w:t>
            </w:r>
            <w:r w:rsidRPr="00A47449">
              <w:rPr>
                <w:bCs/>
              </w:rPr>
              <w:t>)</w:t>
            </w:r>
          </w:p>
        </w:tc>
        <w:tc>
          <w:tcPr>
            <w:tcW w:w="1076" w:type="dxa"/>
          </w:tcPr>
          <w:p w14:paraId="0A065366" w14:textId="058E6EF7" w:rsidR="00C535DE" w:rsidRPr="00C535DE" w:rsidRDefault="00C535DE" w:rsidP="00C535DE">
            <w:pPr>
              <w:pStyle w:val="T2"/>
              <w:jc w:val="right"/>
            </w:pPr>
            <w:r w:rsidRPr="00C535DE">
              <w:t>–</w:t>
            </w:r>
          </w:p>
        </w:tc>
      </w:tr>
      <w:tr w:rsidR="00C535DE" w:rsidRPr="00A47449" w14:paraId="6C0996EE" w14:textId="77777777" w:rsidTr="00EA06D7">
        <w:trPr>
          <w:trHeight w:val="211"/>
          <w:jc w:val="center"/>
        </w:trPr>
        <w:tc>
          <w:tcPr>
            <w:tcW w:w="6576" w:type="dxa"/>
            <w:vAlign w:val="bottom"/>
          </w:tcPr>
          <w:p w14:paraId="12AFCD0E" w14:textId="77777777" w:rsidR="00C535DE" w:rsidRPr="00A47449" w:rsidRDefault="00C535DE" w:rsidP="00C535DE">
            <w:pPr>
              <w:pStyle w:val="T2"/>
              <w:jc w:val="left"/>
            </w:pPr>
            <w:r w:rsidRPr="00A47449">
              <w:t>Between two and five years</w:t>
            </w:r>
          </w:p>
        </w:tc>
        <w:tc>
          <w:tcPr>
            <w:tcW w:w="992" w:type="dxa"/>
          </w:tcPr>
          <w:p w14:paraId="7D5A572B" w14:textId="716C0058" w:rsidR="00C535DE" w:rsidRPr="00A47449" w:rsidRDefault="00C4231B" w:rsidP="00C535DE">
            <w:pPr>
              <w:pStyle w:val="T2"/>
              <w:jc w:val="right"/>
              <w:rPr>
                <w:b/>
                <w:bCs/>
              </w:rPr>
            </w:pPr>
            <w:r>
              <w:rPr>
                <w:b/>
                <w:bCs/>
              </w:rPr>
              <w:t>(203.9)</w:t>
            </w:r>
          </w:p>
        </w:tc>
        <w:tc>
          <w:tcPr>
            <w:tcW w:w="1134" w:type="dxa"/>
          </w:tcPr>
          <w:p w14:paraId="0DCEF899" w14:textId="330B9BDF" w:rsidR="00C535DE" w:rsidRPr="00A47449" w:rsidRDefault="00C535DE" w:rsidP="00C535DE">
            <w:pPr>
              <w:pStyle w:val="T2"/>
              <w:jc w:val="right"/>
              <w:rPr>
                <w:bCs/>
              </w:rPr>
            </w:pPr>
            <w:r w:rsidRPr="00A47449">
              <w:rPr>
                <w:bCs/>
              </w:rPr>
              <w:t>(</w:t>
            </w:r>
            <w:r w:rsidR="00D46F9A">
              <w:rPr>
                <w:bCs/>
              </w:rPr>
              <w:t>144.5</w:t>
            </w:r>
            <w:r w:rsidRPr="00A47449">
              <w:rPr>
                <w:bCs/>
              </w:rPr>
              <w:t>)</w:t>
            </w:r>
          </w:p>
        </w:tc>
        <w:tc>
          <w:tcPr>
            <w:tcW w:w="1076" w:type="dxa"/>
          </w:tcPr>
          <w:p w14:paraId="5823AF51" w14:textId="75ABA127" w:rsidR="00C535DE" w:rsidRPr="00C535DE" w:rsidRDefault="00C535DE" w:rsidP="00C535DE">
            <w:pPr>
              <w:pStyle w:val="T2"/>
              <w:jc w:val="right"/>
            </w:pPr>
            <w:r w:rsidRPr="00C535DE">
              <w:t>(226.1)</w:t>
            </w:r>
          </w:p>
        </w:tc>
      </w:tr>
      <w:tr w:rsidR="00C535DE" w:rsidRPr="00A47449" w14:paraId="693A06D5" w14:textId="77777777" w:rsidTr="00EA06D7">
        <w:trPr>
          <w:trHeight w:val="211"/>
          <w:jc w:val="center"/>
        </w:trPr>
        <w:tc>
          <w:tcPr>
            <w:tcW w:w="6576" w:type="dxa"/>
            <w:tcBorders>
              <w:bottom w:val="single" w:sz="4" w:space="0" w:color="auto"/>
            </w:tcBorders>
            <w:vAlign w:val="bottom"/>
          </w:tcPr>
          <w:p w14:paraId="46F026DD" w14:textId="77777777" w:rsidR="00C535DE" w:rsidRPr="00A47449" w:rsidRDefault="00C535DE" w:rsidP="00C535DE">
            <w:pPr>
              <w:pStyle w:val="T2"/>
              <w:jc w:val="left"/>
            </w:pPr>
            <w:r w:rsidRPr="00A47449">
              <w:t>Over five years</w:t>
            </w:r>
          </w:p>
        </w:tc>
        <w:tc>
          <w:tcPr>
            <w:tcW w:w="992" w:type="dxa"/>
            <w:tcBorders>
              <w:bottom w:val="single" w:sz="4" w:space="0" w:color="auto"/>
            </w:tcBorders>
          </w:tcPr>
          <w:p w14:paraId="060FD69D" w14:textId="51785B88" w:rsidR="00C535DE" w:rsidRPr="00A47449" w:rsidRDefault="00C535DE" w:rsidP="00C535DE">
            <w:pPr>
              <w:pStyle w:val="T2"/>
              <w:jc w:val="right"/>
              <w:rPr>
                <w:b/>
                <w:bCs/>
              </w:rPr>
            </w:pPr>
            <w:r w:rsidRPr="00901E36">
              <w:rPr>
                <w:b/>
                <w:bCs/>
              </w:rPr>
              <w:t>–</w:t>
            </w:r>
          </w:p>
        </w:tc>
        <w:tc>
          <w:tcPr>
            <w:tcW w:w="1134" w:type="dxa"/>
            <w:tcBorders>
              <w:bottom w:val="single" w:sz="4" w:space="0" w:color="auto"/>
            </w:tcBorders>
          </w:tcPr>
          <w:p w14:paraId="28A8EED9" w14:textId="2CB98A9C" w:rsidR="00C535DE" w:rsidRPr="00D46F9A" w:rsidRDefault="00D46F9A" w:rsidP="00C535DE">
            <w:pPr>
              <w:pStyle w:val="T2"/>
              <w:jc w:val="right"/>
            </w:pPr>
            <w:r w:rsidRPr="00D46F9A">
              <w:t>–</w:t>
            </w:r>
          </w:p>
        </w:tc>
        <w:tc>
          <w:tcPr>
            <w:tcW w:w="1076" w:type="dxa"/>
            <w:tcBorders>
              <w:bottom w:val="single" w:sz="4" w:space="0" w:color="auto"/>
            </w:tcBorders>
          </w:tcPr>
          <w:p w14:paraId="73DFBBF1" w14:textId="7434DF9B" w:rsidR="00C535DE" w:rsidRPr="00C535DE" w:rsidRDefault="00C535DE" w:rsidP="00C535DE">
            <w:pPr>
              <w:pStyle w:val="T2"/>
              <w:jc w:val="right"/>
            </w:pPr>
            <w:r w:rsidRPr="00C535DE">
              <w:t>(14.6)</w:t>
            </w:r>
          </w:p>
        </w:tc>
      </w:tr>
      <w:tr w:rsidR="00C535DE" w:rsidRPr="00A47449" w14:paraId="1AA3ADDB" w14:textId="77777777" w:rsidTr="00EA06D7">
        <w:trPr>
          <w:trHeight w:val="211"/>
          <w:jc w:val="center"/>
        </w:trPr>
        <w:tc>
          <w:tcPr>
            <w:tcW w:w="6576" w:type="dxa"/>
            <w:tcBorders>
              <w:top w:val="single" w:sz="4" w:space="0" w:color="auto"/>
              <w:bottom w:val="single" w:sz="4" w:space="0" w:color="auto"/>
            </w:tcBorders>
            <w:vAlign w:val="bottom"/>
          </w:tcPr>
          <w:p w14:paraId="72250400" w14:textId="77777777" w:rsidR="00C535DE" w:rsidRPr="00A47449" w:rsidRDefault="00C535DE" w:rsidP="00C535DE">
            <w:pPr>
              <w:pStyle w:val="T2"/>
              <w:jc w:val="left"/>
              <w:rPr>
                <w:b/>
              </w:rPr>
            </w:pPr>
            <w:r w:rsidRPr="00A47449">
              <w:rPr>
                <w:b/>
              </w:rPr>
              <w:t>Total borrowings</w:t>
            </w:r>
          </w:p>
        </w:tc>
        <w:tc>
          <w:tcPr>
            <w:tcW w:w="992" w:type="dxa"/>
            <w:tcBorders>
              <w:top w:val="single" w:sz="4" w:space="0" w:color="auto"/>
              <w:bottom w:val="single" w:sz="4" w:space="0" w:color="auto"/>
            </w:tcBorders>
          </w:tcPr>
          <w:p w14:paraId="1117600D" w14:textId="4D93C5CF" w:rsidR="00C535DE" w:rsidRPr="00A47449" w:rsidRDefault="00C4231B" w:rsidP="00C535DE">
            <w:pPr>
              <w:pStyle w:val="T2"/>
              <w:jc w:val="right"/>
              <w:rPr>
                <w:b/>
                <w:bCs/>
              </w:rPr>
            </w:pPr>
            <w:r>
              <w:rPr>
                <w:b/>
                <w:bCs/>
              </w:rPr>
              <w:t>(268.8)</w:t>
            </w:r>
          </w:p>
        </w:tc>
        <w:tc>
          <w:tcPr>
            <w:tcW w:w="1134" w:type="dxa"/>
            <w:tcBorders>
              <w:top w:val="single" w:sz="4" w:space="0" w:color="auto"/>
              <w:bottom w:val="single" w:sz="4" w:space="0" w:color="auto"/>
            </w:tcBorders>
          </w:tcPr>
          <w:p w14:paraId="48CC8380" w14:textId="6D21D8B1" w:rsidR="00C535DE" w:rsidRPr="00A47449" w:rsidRDefault="00C535DE" w:rsidP="00C535DE">
            <w:pPr>
              <w:pStyle w:val="T2"/>
              <w:jc w:val="right"/>
              <w:rPr>
                <w:bCs/>
              </w:rPr>
            </w:pPr>
            <w:r w:rsidRPr="00A47449">
              <w:rPr>
                <w:bCs/>
              </w:rPr>
              <w:t>(</w:t>
            </w:r>
            <w:r w:rsidR="00D46F9A">
              <w:rPr>
                <w:bCs/>
              </w:rPr>
              <w:t>256.7</w:t>
            </w:r>
            <w:r w:rsidRPr="00A47449">
              <w:rPr>
                <w:bCs/>
              </w:rPr>
              <w:t>)</w:t>
            </w:r>
          </w:p>
        </w:tc>
        <w:tc>
          <w:tcPr>
            <w:tcW w:w="1076" w:type="dxa"/>
            <w:tcBorders>
              <w:top w:val="single" w:sz="4" w:space="0" w:color="auto"/>
              <w:bottom w:val="single" w:sz="4" w:space="0" w:color="auto"/>
            </w:tcBorders>
          </w:tcPr>
          <w:p w14:paraId="68DDA8DA" w14:textId="7CEC54DA" w:rsidR="00C535DE" w:rsidRPr="00C535DE" w:rsidRDefault="00C535DE" w:rsidP="00C535DE">
            <w:pPr>
              <w:pStyle w:val="T2"/>
              <w:jc w:val="right"/>
            </w:pPr>
            <w:r w:rsidRPr="00C535DE">
              <w:t>(288.3)</w:t>
            </w:r>
          </w:p>
        </w:tc>
      </w:tr>
      <w:tr w:rsidR="00CF12F0" w:rsidRPr="00A47449" w14:paraId="266C9B6F" w14:textId="77777777" w:rsidTr="00CF12F0">
        <w:trPr>
          <w:trHeight w:val="211"/>
          <w:jc w:val="center"/>
        </w:trPr>
        <w:tc>
          <w:tcPr>
            <w:tcW w:w="6576" w:type="dxa"/>
            <w:tcBorders>
              <w:top w:val="single" w:sz="4" w:space="0" w:color="auto"/>
            </w:tcBorders>
            <w:vAlign w:val="bottom"/>
          </w:tcPr>
          <w:p w14:paraId="14516B4D" w14:textId="77777777" w:rsidR="00CF12F0" w:rsidRPr="00A47449" w:rsidRDefault="00CF12F0" w:rsidP="00B80931">
            <w:pPr>
              <w:pStyle w:val="T2"/>
              <w:jc w:val="left"/>
              <w:rPr>
                <w:b/>
              </w:rPr>
            </w:pPr>
            <w:r w:rsidRPr="00A47449">
              <w:rPr>
                <w:b/>
              </w:rPr>
              <w:t>Bank overdrafts</w:t>
            </w:r>
          </w:p>
        </w:tc>
        <w:tc>
          <w:tcPr>
            <w:tcW w:w="992" w:type="dxa"/>
            <w:tcBorders>
              <w:top w:val="single" w:sz="4" w:space="0" w:color="auto"/>
            </w:tcBorders>
          </w:tcPr>
          <w:p w14:paraId="128E1A0E" w14:textId="77777777" w:rsidR="00CF12F0" w:rsidRPr="00A47449" w:rsidRDefault="00CF12F0" w:rsidP="00CF12F0">
            <w:pPr>
              <w:pStyle w:val="T2"/>
              <w:jc w:val="right"/>
              <w:rPr>
                <w:b/>
                <w:bCs/>
              </w:rPr>
            </w:pPr>
          </w:p>
        </w:tc>
        <w:tc>
          <w:tcPr>
            <w:tcW w:w="1134" w:type="dxa"/>
            <w:tcBorders>
              <w:top w:val="single" w:sz="4" w:space="0" w:color="auto"/>
            </w:tcBorders>
          </w:tcPr>
          <w:p w14:paraId="708A3D96" w14:textId="77777777" w:rsidR="00CF12F0" w:rsidRPr="00A47449" w:rsidRDefault="00CF12F0" w:rsidP="00B80931">
            <w:pPr>
              <w:pStyle w:val="T2"/>
              <w:jc w:val="right"/>
              <w:rPr>
                <w:bCs/>
              </w:rPr>
            </w:pPr>
          </w:p>
        </w:tc>
        <w:tc>
          <w:tcPr>
            <w:tcW w:w="1076" w:type="dxa"/>
            <w:tcBorders>
              <w:top w:val="single" w:sz="4" w:space="0" w:color="auto"/>
            </w:tcBorders>
            <w:vAlign w:val="bottom"/>
          </w:tcPr>
          <w:p w14:paraId="02698DAB" w14:textId="77777777" w:rsidR="00CF12F0" w:rsidRPr="00A47449" w:rsidRDefault="00CF12F0" w:rsidP="00B80931">
            <w:pPr>
              <w:pStyle w:val="T2"/>
              <w:jc w:val="right"/>
              <w:rPr>
                <w:bCs/>
              </w:rPr>
            </w:pPr>
          </w:p>
        </w:tc>
      </w:tr>
      <w:tr w:rsidR="00C535DE" w:rsidRPr="00A47449" w14:paraId="03B46861" w14:textId="77777777" w:rsidTr="007176BF">
        <w:trPr>
          <w:trHeight w:val="211"/>
          <w:jc w:val="center"/>
        </w:trPr>
        <w:tc>
          <w:tcPr>
            <w:tcW w:w="6576" w:type="dxa"/>
            <w:tcBorders>
              <w:bottom w:val="single" w:sz="4" w:space="0" w:color="auto"/>
            </w:tcBorders>
            <w:vAlign w:val="bottom"/>
          </w:tcPr>
          <w:p w14:paraId="2F93C1A7" w14:textId="77777777" w:rsidR="00C535DE" w:rsidRPr="00A47449" w:rsidRDefault="00C535DE" w:rsidP="00C535DE">
            <w:pPr>
              <w:pStyle w:val="T2"/>
              <w:jc w:val="left"/>
              <w:rPr>
                <w:b/>
              </w:rPr>
            </w:pPr>
            <w:r w:rsidRPr="00A47449">
              <w:t>Less than one year</w:t>
            </w:r>
          </w:p>
        </w:tc>
        <w:tc>
          <w:tcPr>
            <w:tcW w:w="992" w:type="dxa"/>
            <w:tcBorders>
              <w:bottom w:val="single" w:sz="4" w:space="0" w:color="auto"/>
            </w:tcBorders>
          </w:tcPr>
          <w:p w14:paraId="5278E35B" w14:textId="2D01E252" w:rsidR="00C535DE" w:rsidRPr="00A47449" w:rsidRDefault="00C4231B" w:rsidP="00C535DE">
            <w:pPr>
              <w:pStyle w:val="T2"/>
              <w:jc w:val="right"/>
              <w:rPr>
                <w:b/>
                <w:bCs/>
              </w:rPr>
            </w:pPr>
            <w:r>
              <w:rPr>
                <w:b/>
                <w:bCs/>
              </w:rPr>
              <w:t>(32.8)</w:t>
            </w:r>
          </w:p>
        </w:tc>
        <w:tc>
          <w:tcPr>
            <w:tcW w:w="1134" w:type="dxa"/>
            <w:tcBorders>
              <w:bottom w:val="single" w:sz="4" w:space="0" w:color="auto"/>
            </w:tcBorders>
          </w:tcPr>
          <w:p w14:paraId="02B7030A" w14:textId="178DC3A6" w:rsidR="00C535DE" w:rsidRPr="00A47449" w:rsidRDefault="00C535DE" w:rsidP="00C535DE">
            <w:pPr>
              <w:pStyle w:val="T2"/>
              <w:jc w:val="right"/>
              <w:rPr>
                <w:bCs/>
              </w:rPr>
            </w:pPr>
            <w:r w:rsidRPr="00A47449">
              <w:rPr>
                <w:bCs/>
              </w:rPr>
              <w:t>(</w:t>
            </w:r>
            <w:r w:rsidR="00D46F9A">
              <w:rPr>
                <w:bCs/>
              </w:rPr>
              <w:t>45.5</w:t>
            </w:r>
            <w:r w:rsidRPr="00A47449">
              <w:rPr>
                <w:bCs/>
              </w:rPr>
              <w:t>)</w:t>
            </w:r>
          </w:p>
        </w:tc>
        <w:tc>
          <w:tcPr>
            <w:tcW w:w="1076" w:type="dxa"/>
            <w:tcBorders>
              <w:bottom w:val="single" w:sz="4" w:space="0" w:color="auto"/>
            </w:tcBorders>
          </w:tcPr>
          <w:p w14:paraId="41FC361A" w14:textId="436A4025" w:rsidR="00C535DE" w:rsidRPr="00C535DE" w:rsidRDefault="00C535DE" w:rsidP="00C535DE">
            <w:pPr>
              <w:pStyle w:val="T2"/>
              <w:jc w:val="right"/>
            </w:pPr>
            <w:r w:rsidRPr="00C535DE">
              <w:t>(31.4)</w:t>
            </w:r>
          </w:p>
        </w:tc>
      </w:tr>
      <w:tr w:rsidR="00C535DE" w:rsidRPr="00A47449" w14:paraId="7E76E205" w14:textId="77777777" w:rsidTr="007176BF">
        <w:trPr>
          <w:trHeight w:val="211"/>
          <w:jc w:val="center"/>
        </w:trPr>
        <w:tc>
          <w:tcPr>
            <w:tcW w:w="6576" w:type="dxa"/>
            <w:tcBorders>
              <w:top w:val="single" w:sz="4" w:space="0" w:color="auto"/>
              <w:bottom w:val="single" w:sz="4" w:space="0" w:color="auto"/>
            </w:tcBorders>
            <w:vAlign w:val="bottom"/>
          </w:tcPr>
          <w:p w14:paraId="3B150F0E" w14:textId="77777777" w:rsidR="00C535DE" w:rsidRPr="00A47449" w:rsidRDefault="00C535DE" w:rsidP="00C535DE">
            <w:pPr>
              <w:pStyle w:val="T2"/>
              <w:jc w:val="left"/>
              <w:rPr>
                <w:b/>
              </w:rPr>
            </w:pPr>
            <w:r w:rsidRPr="00A47449">
              <w:rPr>
                <w:b/>
              </w:rPr>
              <w:t>Total bank overdrafts</w:t>
            </w:r>
          </w:p>
        </w:tc>
        <w:tc>
          <w:tcPr>
            <w:tcW w:w="992" w:type="dxa"/>
            <w:tcBorders>
              <w:top w:val="single" w:sz="4" w:space="0" w:color="auto"/>
              <w:bottom w:val="single" w:sz="4" w:space="0" w:color="auto"/>
            </w:tcBorders>
          </w:tcPr>
          <w:p w14:paraId="31EF604E" w14:textId="79E7D3B3" w:rsidR="00C535DE" w:rsidRPr="00A47449" w:rsidRDefault="00C4231B" w:rsidP="00C535DE">
            <w:pPr>
              <w:pStyle w:val="T2"/>
              <w:jc w:val="right"/>
              <w:rPr>
                <w:b/>
                <w:bCs/>
              </w:rPr>
            </w:pPr>
            <w:r>
              <w:rPr>
                <w:b/>
                <w:bCs/>
              </w:rPr>
              <w:t>(32.8)</w:t>
            </w:r>
          </w:p>
        </w:tc>
        <w:tc>
          <w:tcPr>
            <w:tcW w:w="1134" w:type="dxa"/>
            <w:tcBorders>
              <w:top w:val="single" w:sz="4" w:space="0" w:color="auto"/>
              <w:bottom w:val="single" w:sz="4" w:space="0" w:color="auto"/>
            </w:tcBorders>
          </w:tcPr>
          <w:p w14:paraId="474E7078" w14:textId="3A1519C3" w:rsidR="00C535DE" w:rsidRPr="00A47449" w:rsidRDefault="00C535DE" w:rsidP="00C535DE">
            <w:pPr>
              <w:pStyle w:val="T2"/>
              <w:jc w:val="right"/>
              <w:rPr>
                <w:bCs/>
              </w:rPr>
            </w:pPr>
            <w:r w:rsidRPr="00A47449">
              <w:rPr>
                <w:bCs/>
              </w:rPr>
              <w:t>(</w:t>
            </w:r>
            <w:r w:rsidR="00D46F9A">
              <w:rPr>
                <w:bCs/>
              </w:rPr>
              <w:t>45.5</w:t>
            </w:r>
            <w:r w:rsidRPr="00A47449">
              <w:rPr>
                <w:bCs/>
              </w:rPr>
              <w:t>)</w:t>
            </w:r>
          </w:p>
        </w:tc>
        <w:tc>
          <w:tcPr>
            <w:tcW w:w="1076" w:type="dxa"/>
            <w:tcBorders>
              <w:top w:val="single" w:sz="4" w:space="0" w:color="auto"/>
              <w:bottom w:val="single" w:sz="4" w:space="0" w:color="auto"/>
            </w:tcBorders>
          </w:tcPr>
          <w:p w14:paraId="273D8728" w14:textId="4B39EF49" w:rsidR="00C535DE" w:rsidRPr="00C535DE" w:rsidRDefault="00C535DE" w:rsidP="00C535DE">
            <w:pPr>
              <w:pStyle w:val="T2"/>
              <w:jc w:val="right"/>
            </w:pPr>
            <w:r w:rsidRPr="00C535DE">
              <w:t>(31.4)</w:t>
            </w:r>
          </w:p>
        </w:tc>
      </w:tr>
      <w:tr w:rsidR="00C535DE" w14:paraId="52C783A3" w14:textId="77777777" w:rsidTr="007176BF">
        <w:trPr>
          <w:trHeight w:val="211"/>
          <w:jc w:val="center"/>
        </w:trPr>
        <w:tc>
          <w:tcPr>
            <w:tcW w:w="6576" w:type="dxa"/>
            <w:tcBorders>
              <w:top w:val="single" w:sz="4" w:space="0" w:color="auto"/>
              <w:bottom w:val="single" w:sz="2" w:space="0" w:color="auto"/>
            </w:tcBorders>
            <w:vAlign w:val="bottom"/>
          </w:tcPr>
          <w:p w14:paraId="31C9C783" w14:textId="77777777" w:rsidR="00C535DE" w:rsidRPr="00A47449" w:rsidRDefault="00C535DE" w:rsidP="00C535DE">
            <w:pPr>
              <w:pStyle w:val="T2"/>
              <w:jc w:val="left"/>
              <w:rPr>
                <w:b/>
              </w:rPr>
            </w:pPr>
            <w:r w:rsidRPr="00A47449">
              <w:rPr>
                <w:b/>
              </w:rPr>
              <w:t>Total borrowings and bank overdrafts</w:t>
            </w:r>
          </w:p>
        </w:tc>
        <w:tc>
          <w:tcPr>
            <w:tcW w:w="992" w:type="dxa"/>
            <w:tcBorders>
              <w:top w:val="single" w:sz="4" w:space="0" w:color="auto"/>
              <w:bottom w:val="single" w:sz="2" w:space="0" w:color="auto"/>
            </w:tcBorders>
          </w:tcPr>
          <w:p w14:paraId="24F7C36F" w14:textId="0E375A0F" w:rsidR="00C535DE" w:rsidRPr="00A47449" w:rsidRDefault="00C4231B" w:rsidP="00C535DE">
            <w:pPr>
              <w:pStyle w:val="T2"/>
              <w:jc w:val="right"/>
              <w:rPr>
                <w:b/>
                <w:bCs/>
              </w:rPr>
            </w:pPr>
            <w:r>
              <w:rPr>
                <w:b/>
                <w:bCs/>
              </w:rPr>
              <w:t>(301.6)</w:t>
            </w:r>
          </w:p>
        </w:tc>
        <w:tc>
          <w:tcPr>
            <w:tcW w:w="1134" w:type="dxa"/>
            <w:tcBorders>
              <w:top w:val="single" w:sz="4" w:space="0" w:color="auto"/>
              <w:bottom w:val="single" w:sz="2" w:space="0" w:color="auto"/>
            </w:tcBorders>
          </w:tcPr>
          <w:p w14:paraId="501140CE" w14:textId="16C9C275" w:rsidR="00C535DE" w:rsidRPr="00A47449" w:rsidRDefault="00C535DE" w:rsidP="00C535DE">
            <w:pPr>
              <w:pStyle w:val="T2"/>
              <w:jc w:val="right"/>
              <w:rPr>
                <w:bCs/>
              </w:rPr>
            </w:pPr>
            <w:r w:rsidRPr="00A47449">
              <w:rPr>
                <w:bCs/>
              </w:rPr>
              <w:t>(</w:t>
            </w:r>
            <w:r w:rsidR="00D46F9A">
              <w:rPr>
                <w:bCs/>
              </w:rPr>
              <w:t>302.2</w:t>
            </w:r>
            <w:r w:rsidRPr="00A47449">
              <w:rPr>
                <w:bCs/>
              </w:rPr>
              <w:t>)</w:t>
            </w:r>
          </w:p>
        </w:tc>
        <w:tc>
          <w:tcPr>
            <w:tcW w:w="1076" w:type="dxa"/>
            <w:tcBorders>
              <w:top w:val="single" w:sz="4" w:space="0" w:color="auto"/>
              <w:bottom w:val="single" w:sz="2" w:space="0" w:color="auto"/>
            </w:tcBorders>
          </w:tcPr>
          <w:p w14:paraId="40F0039D" w14:textId="21D5C228" w:rsidR="00C535DE" w:rsidRPr="00C535DE" w:rsidRDefault="00C535DE" w:rsidP="00C535DE">
            <w:pPr>
              <w:pStyle w:val="T2"/>
              <w:jc w:val="right"/>
            </w:pPr>
            <w:r w:rsidRPr="00C535DE">
              <w:t>(319.7)</w:t>
            </w:r>
          </w:p>
        </w:tc>
      </w:tr>
    </w:tbl>
    <w:p w14:paraId="4B11E9BE" w14:textId="555F2A93" w:rsidR="00B80931" w:rsidRDefault="00CA5B1E" w:rsidP="005B3BEE">
      <w:pPr>
        <w:pStyle w:val="SectionH3"/>
        <w:spacing w:before="160"/>
      </w:pPr>
      <w:r>
        <w:t>Bank overdrafts</w:t>
      </w:r>
    </w:p>
    <w:p w14:paraId="1D26C2D0" w14:textId="3AED0AA2" w:rsidR="00CA5B1E" w:rsidRPr="00CA5B1E" w:rsidRDefault="00586F60" w:rsidP="005B3BEE">
      <w:pPr>
        <w:pStyle w:val="SectionH3"/>
        <w:spacing w:before="160"/>
        <w:rPr>
          <w:b w:val="0"/>
        </w:rPr>
      </w:pPr>
      <w:r w:rsidRPr="00EA17C6">
        <w:rPr>
          <w:rFonts w:asciiTheme="minorHAnsi" w:eastAsiaTheme="minorHAnsi" w:hAnsiTheme="minorHAnsi" w:cstheme="minorBidi"/>
          <w:b w:val="0"/>
          <w:bCs w:val="0"/>
          <w:lang w:val="en-GB" w:eastAsia="en-US" w:bidi="ar-SA"/>
        </w:rPr>
        <w:t xml:space="preserve">Uncommitted facilities undrawn at </w:t>
      </w:r>
      <w:r w:rsidR="008A4891">
        <w:rPr>
          <w:rFonts w:asciiTheme="minorHAnsi" w:eastAsiaTheme="minorHAnsi" w:hAnsiTheme="minorHAnsi" w:cstheme="minorBidi"/>
          <w:b w:val="0"/>
          <w:bCs w:val="0"/>
          <w:lang w:val="en-GB" w:eastAsia="en-US" w:bidi="ar-SA"/>
        </w:rPr>
        <w:t>25 March 2022</w:t>
      </w:r>
      <w:r w:rsidRPr="00EA17C6">
        <w:rPr>
          <w:rFonts w:asciiTheme="minorHAnsi" w:eastAsiaTheme="minorHAnsi" w:hAnsiTheme="minorHAnsi" w:cstheme="minorBidi"/>
          <w:b w:val="0"/>
          <w:bCs w:val="0"/>
          <w:lang w:val="en-GB" w:eastAsia="en-US" w:bidi="ar-SA"/>
        </w:rPr>
        <w:t xml:space="preserve"> amounted to </w:t>
      </w:r>
      <w:r w:rsidRPr="00C4231B">
        <w:rPr>
          <w:rFonts w:asciiTheme="minorHAnsi" w:eastAsiaTheme="minorHAnsi" w:hAnsiTheme="minorHAnsi" w:cstheme="minorBidi"/>
          <w:b w:val="0"/>
          <w:bCs w:val="0"/>
          <w:lang w:val="en-GB" w:eastAsia="en-US" w:bidi="ar-SA"/>
        </w:rPr>
        <w:t>£</w:t>
      </w:r>
      <w:r w:rsidR="00C4231B" w:rsidRPr="00C4231B">
        <w:rPr>
          <w:rFonts w:asciiTheme="minorHAnsi" w:eastAsiaTheme="minorHAnsi" w:hAnsiTheme="minorHAnsi" w:cstheme="minorBidi"/>
          <w:b w:val="0"/>
          <w:bCs w:val="0"/>
          <w:lang w:val="en-GB" w:eastAsia="en-US" w:bidi="ar-SA"/>
        </w:rPr>
        <w:t>10.4</w:t>
      </w:r>
      <w:r w:rsidRPr="00C4231B">
        <w:rPr>
          <w:rFonts w:asciiTheme="minorHAnsi" w:eastAsiaTheme="minorHAnsi" w:hAnsiTheme="minorHAnsi" w:cstheme="minorBidi"/>
          <w:b w:val="0"/>
          <w:bCs w:val="0"/>
          <w:lang w:val="en-GB" w:eastAsia="en-US" w:bidi="ar-SA"/>
        </w:rPr>
        <w:t>m (</w:t>
      </w:r>
      <w:r w:rsidRPr="00EA17C6">
        <w:rPr>
          <w:rFonts w:asciiTheme="minorHAnsi" w:eastAsiaTheme="minorHAnsi" w:hAnsiTheme="minorHAnsi" w:cstheme="minorBidi"/>
          <w:b w:val="0"/>
          <w:bCs w:val="0"/>
          <w:lang w:val="en-GB" w:eastAsia="en-US" w:bidi="ar-SA"/>
        </w:rPr>
        <w:t xml:space="preserve">September </w:t>
      </w:r>
      <w:r w:rsidRPr="00CD41A2">
        <w:rPr>
          <w:rFonts w:asciiTheme="minorHAnsi" w:eastAsiaTheme="minorHAnsi" w:hAnsiTheme="minorHAnsi" w:cstheme="minorBidi"/>
          <w:b w:val="0"/>
          <w:bCs w:val="0"/>
          <w:lang w:val="en-GB" w:eastAsia="en-US" w:bidi="ar-SA"/>
        </w:rPr>
        <w:t>202</w:t>
      </w:r>
      <w:r w:rsidR="00422A4B" w:rsidRPr="00CD41A2">
        <w:rPr>
          <w:rFonts w:asciiTheme="minorHAnsi" w:eastAsiaTheme="minorHAnsi" w:hAnsiTheme="minorHAnsi" w:cstheme="minorBidi"/>
          <w:b w:val="0"/>
          <w:bCs w:val="0"/>
          <w:lang w:val="en-GB" w:eastAsia="en-US" w:bidi="ar-SA"/>
        </w:rPr>
        <w:t>1</w:t>
      </w:r>
      <w:r w:rsidRPr="00CD41A2">
        <w:rPr>
          <w:rFonts w:asciiTheme="minorHAnsi" w:eastAsiaTheme="minorHAnsi" w:hAnsiTheme="minorHAnsi" w:cstheme="minorBidi"/>
          <w:b w:val="0"/>
          <w:bCs w:val="0"/>
          <w:lang w:val="en-GB" w:eastAsia="en-US" w:bidi="ar-SA"/>
        </w:rPr>
        <w:t>: £</w:t>
      </w:r>
      <w:r w:rsidR="00CD41A2" w:rsidRPr="00CD41A2">
        <w:rPr>
          <w:rFonts w:asciiTheme="minorHAnsi" w:eastAsiaTheme="minorHAnsi" w:hAnsiTheme="minorHAnsi" w:cstheme="minorBidi"/>
          <w:b w:val="0"/>
          <w:bCs w:val="0"/>
          <w:lang w:val="en-GB" w:eastAsia="en-US" w:bidi="ar-SA"/>
        </w:rPr>
        <w:t>6.7</w:t>
      </w:r>
      <w:r w:rsidRPr="00CD41A2">
        <w:rPr>
          <w:rFonts w:asciiTheme="minorHAnsi" w:eastAsiaTheme="minorHAnsi" w:hAnsiTheme="minorHAnsi" w:cstheme="minorBidi"/>
          <w:b w:val="0"/>
          <w:bCs w:val="0"/>
          <w:lang w:val="en-GB" w:eastAsia="en-US" w:bidi="ar-SA"/>
        </w:rPr>
        <w:t>m).</w:t>
      </w:r>
    </w:p>
    <w:p w14:paraId="730C6181" w14:textId="77777777" w:rsidR="00773F7B" w:rsidRDefault="00773F7B" w:rsidP="00EA17C6">
      <w:pPr>
        <w:pStyle w:val="SectionH3"/>
        <w:spacing w:before="160"/>
      </w:pPr>
      <w:r w:rsidRPr="0026155F">
        <w:t>Bank Borrowings</w:t>
      </w:r>
    </w:p>
    <w:p w14:paraId="0D23F143" w14:textId="7BA3E23A" w:rsidR="00C535DE" w:rsidRPr="00EA17C6" w:rsidRDefault="00EA17C6" w:rsidP="00EA17C6">
      <w:pPr>
        <w:pStyle w:val="SectionH3"/>
        <w:rPr>
          <w:rFonts w:asciiTheme="minorHAnsi" w:eastAsiaTheme="minorHAnsi" w:hAnsiTheme="minorHAnsi" w:cstheme="minorBidi"/>
          <w:b w:val="0"/>
          <w:bCs w:val="0"/>
          <w:lang w:val="en-GB" w:eastAsia="en-US" w:bidi="ar-SA"/>
        </w:rPr>
      </w:pPr>
      <w:r w:rsidRPr="00EA17C6">
        <w:rPr>
          <w:rFonts w:asciiTheme="minorHAnsi" w:eastAsiaTheme="minorHAnsi" w:hAnsiTheme="minorHAnsi" w:cstheme="minorBidi"/>
          <w:b w:val="0"/>
          <w:bCs w:val="0"/>
          <w:lang w:val="en-GB" w:eastAsia="en-US" w:bidi="ar-SA"/>
        </w:rPr>
        <w:t xml:space="preserve">The Group’s bank borrowings net of finance fees </w:t>
      </w:r>
      <w:r w:rsidRPr="00C4231B">
        <w:rPr>
          <w:rFonts w:asciiTheme="minorHAnsi" w:eastAsiaTheme="minorHAnsi" w:hAnsiTheme="minorHAnsi" w:cstheme="minorBidi"/>
          <w:b w:val="0"/>
          <w:bCs w:val="0"/>
          <w:lang w:val="en-GB" w:eastAsia="en-US" w:bidi="ar-SA"/>
        </w:rPr>
        <w:t>comprised of £</w:t>
      </w:r>
      <w:r w:rsidR="00C4231B" w:rsidRPr="00C4231B">
        <w:rPr>
          <w:rFonts w:asciiTheme="minorHAnsi" w:eastAsiaTheme="minorHAnsi" w:hAnsiTheme="minorHAnsi" w:cstheme="minorBidi"/>
          <w:b w:val="0"/>
          <w:bCs w:val="0"/>
          <w:lang w:val="en-GB" w:eastAsia="en-US" w:bidi="ar-SA"/>
        </w:rPr>
        <w:t>208.4</w:t>
      </w:r>
      <w:r w:rsidRPr="00C4231B">
        <w:rPr>
          <w:rFonts w:asciiTheme="minorHAnsi" w:eastAsiaTheme="minorHAnsi" w:hAnsiTheme="minorHAnsi" w:cstheme="minorBidi"/>
          <w:b w:val="0"/>
          <w:bCs w:val="0"/>
          <w:lang w:val="en-GB" w:eastAsia="en-US" w:bidi="ar-SA"/>
        </w:rPr>
        <w:t>m at</w:t>
      </w:r>
      <w:r w:rsidRPr="00EA17C6">
        <w:rPr>
          <w:rFonts w:asciiTheme="minorHAnsi" w:eastAsiaTheme="minorHAnsi" w:hAnsiTheme="minorHAnsi" w:cstheme="minorBidi"/>
          <w:b w:val="0"/>
          <w:bCs w:val="0"/>
          <w:lang w:val="en-GB" w:eastAsia="en-US" w:bidi="ar-SA"/>
        </w:rPr>
        <w:t xml:space="preserve"> </w:t>
      </w:r>
      <w:r w:rsidR="008A4891">
        <w:rPr>
          <w:rFonts w:asciiTheme="minorHAnsi" w:eastAsiaTheme="minorHAnsi" w:hAnsiTheme="minorHAnsi" w:cstheme="minorBidi"/>
          <w:b w:val="0"/>
          <w:bCs w:val="0"/>
          <w:lang w:val="en-GB" w:eastAsia="en-US" w:bidi="ar-SA"/>
        </w:rPr>
        <w:t>25 March 2022</w:t>
      </w:r>
      <w:r w:rsidRPr="00EA17C6">
        <w:rPr>
          <w:rFonts w:asciiTheme="minorHAnsi" w:eastAsiaTheme="minorHAnsi" w:hAnsiTheme="minorHAnsi" w:cstheme="minorBidi"/>
          <w:b w:val="0"/>
          <w:bCs w:val="0"/>
          <w:lang w:val="en-GB" w:eastAsia="en-US" w:bidi="ar-SA"/>
        </w:rPr>
        <w:t xml:space="preserve"> (September 202</w:t>
      </w:r>
      <w:r w:rsidR="0070601B">
        <w:rPr>
          <w:rFonts w:asciiTheme="minorHAnsi" w:eastAsiaTheme="minorHAnsi" w:hAnsiTheme="minorHAnsi" w:cstheme="minorBidi"/>
          <w:b w:val="0"/>
          <w:bCs w:val="0"/>
          <w:lang w:val="en-GB" w:eastAsia="en-US" w:bidi="ar-SA"/>
        </w:rPr>
        <w:t>1</w:t>
      </w:r>
      <w:r w:rsidRPr="00EA17C6">
        <w:rPr>
          <w:rFonts w:asciiTheme="minorHAnsi" w:eastAsiaTheme="minorHAnsi" w:hAnsiTheme="minorHAnsi" w:cstheme="minorBidi"/>
          <w:b w:val="0"/>
          <w:bCs w:val="0"/>
          <w:lang w:val="en-GB" w:eastAsia="en-US" w:bidi="ar-SA"/>
        </w:rPr>
        <w:t>: £</w:t>
      </w:r>
      <w:r w:rsidR="0070601B">
        <w:rPr>
          <w:rFonts w:asciiTheme="minorHAnsi" w:eastAsiaTheme="minorHAnsi" w:hAnsiTheme="minorHAnsi" w:cstheme="minorBidi"/>
          <w:b w:val="0"/>
          <w:bCs w:val="0"/>
          <w:lang w:val="en-GB" w:eastAsia="en-US" w:bidi="ar-SA"/>
        </w:rPr>
        <w:t>150.1</w:t>
      </w:r>
      <w:r w:rsidRPr="00EA17C6">
        <w:rPr>
          <w:rFonts w:asciiTheme="minorHAnsi" w:eastAsiaTheme="minorHAnsi" w:hAnsiTheme="minorHAnsi" w:cstheme="minorBidi"/>
          <w:b w:val="0"/>
          <w:bCs w:val="0"/>
          <w:lang w:val="en-GB" w:eastAsia="en-US" w:bidi="ar-SA"/>
        </w:rPr>
        <w:t xml:space="preserve">m) with maturities </w:t>
      </w:r>
      <w:r w:rsidR="00C01F3C">
        <w:rPr>
          <w:rFonts w:asciiTheme="minorHAnsi" w:eastAsiaTheme="minorHAnsi" w:hAnsiTheme="minorHAnsi" w:cstheme="minorBidi"/>
          <w:b w:val="0"/>
          <w:bCs w:val="0"/>
          <w:lang w:val="en-GB" w:eastAsia="en-US" w:bidi="ar-SA"/>
        </w:rPr>
        <w:t>on drawn borrowing</w:t>
      </w:r>
      <w:r w:rsidR="000D7A33">
        <w:rPr>
          <w:rFonts w:asciiTheme="minorHAnsi" w:eastAsiaTheme="minorHAnsi" w:hAnsiTheme="minorHAnsi" w:cstheme="minorBidi"/>
          <w:b w:val="0"/>
          <w:bCs w:val="0"/>
          <w:lang w:val="en-GB" w:eastAsia="en-US" w:bidi="ar-SA"/>
        </w:rPr>
        <w:t>s</w:t>
      </w:r>
      <w:r w:rsidR="00C01F3C">
        <w:rPr>
          <w:rFonts w:asciiTheme="minorHAnsi" w:eastAsiaTheme="minorHAnsi" w:hAnsiTheme="minorHAnsi" w:cstheme="minorBidi"/>
          <w:b w:val="0"/>
          <w:bCs w:val="0"/>
          <w:lang w:val="en-GB" w:eastAsia="en-US" w:bidi="ar-SA"/>
        </w:rPr>
        <w:t xml:space="preserve"> </w:t>
      </w:r>
      <w:r w:rsidRPr="00EA17C6">
        <w:rPr>
          <w:rFonts w:asciiTheme="minorHAnsi" w:eastAsiaTheme="minorHAnsi" w:hAnsiTheme="minorHAnsi" w:cstheme="minorBidi"/>
          <w:b w:val="0"/>
          <w:bCs w:val="0"/>
          <w:lang w:val="en-GB" w:eastAsia="en-US" w:bidi="ar-SA"/>
        </w:rPr>
        <w:t xml:space="preserve">ranging from </w:t>
      </w:r>
      <w:r w:rsidR="00115137">
        <w:rPr>
          <w:rFonts w:asciiTheme="minorHAnsi" w:eastAsiaTheme="minorHAnsi" w:hAnsiTheme="minorHAnsi" w:cstheme="minorBidi"/>
          <w:b w:val="0"/>
          <w:bCs w:val="0"/>
          <w:lang w:val="en-GB" w:eastAsia="en-US" w:bidi="ar-SA"/>
        </w:rPr>
        <w:t xml:space="preserve">January </w:t>
      </w:r>
      <w:r w:rsidRPr="00EA17C6">
        <w:rPr>
          <w:rFonts w:asciiTheme="minorHAnsi" w:eastAsiaTheme="minorHAnsi" w:hAnsiTheme="minorHAnsi" w:cstheme="minorBidi"/>
          <w:b w:val="0"/>
          <w:bCs w:val="0"/>
          <w:lang w:val="en-GB" w:eastAsia="en-US" w:bidi="ar-SA"/>
        </w:rPr>
        <w:t>202</w:t>
      </w:r>
      <w:r w:rsidR="00C01F3C">
        <w:rPr>
          <w:rFonts w:asciiTheme="minorHAnsi" w:eastAsiaTheme="minorHAnsi" w:hAnsiTheme="minorHAnsi" w:cstheme="minorBidi"/>
          <w:b w:val="0"/>
          <w:bCs w:val="0"/>
          <w:lang w:val="en-GB" w:eastAsia="en-US" w:bidi="ar-SA"/>
        </w:rPr>
        <w:t>4</w:t>
      </w:r>
      <w:r w:rsidRPr="00EA17C6">
        <w:rPr>
          <w:rFonts w:asciiTheme="minorHAnsi" w:eastAsiaTheme="minorHAnsi" w:hAnsiTheme="minorHAnsi" w:cstheme="minorBidi"/>
          <w:b w:val="0"/>
          <w:bCs w:val="0"/>
          <w:lang w:val="en-GB" w:eastAsia="en-US" w:bidi="ar-SA"/>
        </w:rPr>
        <w:t xml:space="preserve"> to January 202</w:t>
      </w:r>
      <w:r w:rsidR="00C42B43">
        <w:rPr>
          <w:rFonts w:asciiTheme="minorHAnsi" w:eastAsiaTheme="minorHAnsi" w:hAnsiTheme="minorHAnsi" w:cstheme="minorBidi"/>
          <w:b w:val="0"/>
          <w:bCs w:val="0"/>
          <w:lang w:val="en-GB" w:eastAsia="en-US" w:bidi="ar-SA"/>
        </w:rPr>
        <w:t>6</w:t>
      </w:r>
      <w:r w:rsidR="00C01F3C">
        <w:rPr>
          <w:rFonts w:asciiTheme="minorHAnsi" w:eastAsiaTheme="minorHAnsi" w:hAnsiTheme="minorHAnsi" w:cstheme="minorBidi"/>
          <w:b w:val="0"/>
          <w:bCs w:val="0"/>
          <w:lang w:val="en-GB" w:eastAsia="en-US" w:bidi="ar-SA"/>
        </w:rPr>
        <w:t>. The Group has in place a revolving credit facility of £75m</w:t>
      </w:r>
      <w:r w:rsidRPr="00EA17C6">
        <w:rPr>
          <w:rFonts w:asciiTheme="minorHAnsi" w:eastAsiaTheme="minorHAnsi" w:hAnsiTheme="minorHAnsi" w:cstheme="minorBidi"/>
          <w:b w:val="0"/>
          <w:bCs w:val="0"/>
          <w:lang w:val="en-GB" w:eastAsia="en-US" w:bidi="ar-SA"/>
        </w:rPr>
        <w:t xml:space="preserve"> </w:t>
      </w:r>
      <w:r w:rsidR="00C01F3C">
        <w:rPr>
          <w:rFonts w:asciiTheme="minorHAnsi" w:eastAsiaTheme="minorHAnsi" w:hAnsiTheme="minorHAnsi" w:cstheme="minorBidi"/>
          <w:b w:val="0"/>
          <w:bCs w:val="0"/>
          <w:lang w:val="en-GB" w:eastAsia="en-US" w:bidi="ar-SA"/>
        </w:rPr>
        <w:t xml:space="preserve">which has not been drawn down and which is scheduled to mature in </w:t>
      </w:r>
      <w:r w:rsidRPr="00EA17C6">
        <w:rPr>
          <w:rFonts w:asciiTheme="minorHAnsi" w:eastAsiaTheme="minorHAnsi" w:hAnsiTheme="minorHAnsi" w:cstheme="minorBidi"/>
          <w:b w:val="0"/>
          <w:bCs w:val="0"/>
          <w:lang w:val="en-GB" w:eastAsia="en-US" w:bidi="ar-SA"/>
        </w:rPr>
        <w:t xml:space="preserve">March 2023. The Group had </w:t>
      </w:r>
      <w:r w:rsidRPr="00C4231B">
        <w:rPr>
          <w:rFonts w:asciiTheme="minorHAnsi" w:eastAsiaTheme="minorHAnsi" w:hAnsiTheme="minorHAnsi" w:cstheme="minorBidi"/>
          <w:b w:val="0"/>
          <w:bCs w:val="0"/>
          <w:lang w:val="en-GB" w:eastAsia="en-US" w:bidi="ar-SA"/>
        </w:rPr>
        <w:t>£</w:t>
      </w:r>
      <w:r w:rsidR="00C4231B" w:rsidRPr="00C4231B">
        <w:rPr>
          <w:rFonts w:asciiTheme="minorHAnsi" w:eastAsiaTheme="minorHAnsi" w:hAnsiTheme="minorHAnsi" w:cstheme="minorBidi"/>
          <w:b w:val="0"/>
          <w:bCs w:val="0"/>
          <w:lang w:val="en-GB" w:eastAsia="en-US" w:bidi="ar-SA"/>
        </w:rPr>
        <w:t>300</w:t>
      </w:r>
      <w:r w:rsidRPr="00C4231B">
        <w:rPr>
          <w:rFonts w:asciiTheme="minorHAnsi" w:eastAsiaTheme="minorHAnsi" w:hAnsiTheme="minorHAnsi" w:cstheme="minorBidi"/>
          <w:b w:val="0"/>
          <w:bCs w:val="0"/>
          <w:lang w:val="en-GB" w:eastAsia="en-US" w:bidi="ar-SA"/>
        </w:rPr>
        <w:t>m</w:t>
      </w:r>
      <w:r w:rsidRPr="00EA17C6">
        <w:rPr>
          <w:rFonts w:asciiTheme="minorHAnsi" w:eastAsiaTheme="minorHAnsi" w:hAnsiTheme="minorHAnsi" w:cstheme="minorBidi"/>
          <w:b w:val="0"/>
          <w:bCs w:val="0"/>
          <w:lang w:val="en-GB" w:eastAsia="en-US" w:bidi="ar-SA"/>
        </w:rPr>
        <w:t xml:space="preserve"> (September 202</w:t>
      </w:r>
      <w:r w:rsidR="0070601B">
        <w:rPr>
          <w:rFonts w:asciiTheme="minorHAnsi" w:eastAsiaTheme="minorHAnsi" w:hAnsiTheme="minorHAnsi" w:cstheme="minorBidi"/>
          <w:b w:val="0"/>
          <w:bCs w:val="0"/>
          <w:lang w:val="en-GB" w:eastAsia="en-US" w:bidi="ar-SA"/>
        </w:rPr>
        <w:t>1</w:t>
      </w:r>
      <w:r w:rsidRPr="00EA17C6">
        <w:rPr>
          <w:rFonts w:asciiTheme="minorHAnsi" w:eastAsiaTheme="minorHAnsi" w:hAnsiTheme="minorHAnsi" w:cstheme="minorBidi"/>
          <w:b w:val="0"/>
          <w:bCs w:val="0"/>
          <w:lang w:val="en-GB" w:eastAsia="en-US" w:bidi="ar-SA"/>
        </w:rPr>
        <w:t>: £</w:t>
      </w:r>
      <w:r w:rsidR="0070601B">
        <w:rPr>
          <w:rFonts w:asciiTheme="minorHAnsi" w:eastAsiaTheme="minorHAnsi" w:hAnsiTheme="minorHAnsi" w:cstheme="minorBidi"/>
          <w:b w:val="0"/>
          <w:bCs w:val="0"/>
          <w:lang w:val="en-GB" w:eastAsia="en-US" w:bidi="ar-SA"/>
        </w:rPr>
        <w:t>360.0</w:t>
      </w:r>
      <w:r w:rsidRPr="00EA17C6">
        <w:rPr>
          <w:rFonts w:asciiTheme="minorHAnsi" w:eastAsiaTheme="minorHAnsi" w:hAnsiTheme="minorHAnsi" w:cstheme="minorBidi"/>
          <w:b w:val="0"/>
          <w:bCs w:val="0"/>
          <w:lang w:val="en-GB" w:eastAsia="en-US" w:bidi="ar-SA"/>
        </w:rPr>
        <w:t xml:space="preserve">m) of undrawn committed bank facilities in respect of which all conditions precedent had been met. </w:t>
      </w:r>
      <w:r w:rsidR="00C42B43">
        <w:rPr>
          <w:rFonts w:asciiTheme="minorHAnsi" w:eastAsiaTheme="minorHAnsi" w:hAnsiTheme="minorHAnsi" w:cstheme="minorBidi"/>
          <w:b w:val="0"/>
          <w:bCs w:val="0"/>
          <w:lang w:val="en-GB" w:eastAsia="en-US" w:bidi="ar-SA"/>
        </w:rPr>
        <w:t xml:space="preserve">In October 2021, the Group drew down on a new £45m term loan which matures in June 2024. </w:t>
      </w:r>
    </w:p>
    <w:p w14:paraId="0AEB0F95" w14:textId="5B22DEED" w:rsidR="00773F7B" w:rsidRDefault="00773F7B" w:rsidP="00EA17C6">
      <w:pPr>
        <w:pStyle w:val="SectionH3"/>
      </w:pPr>
      <w:r>
        <w:t>Private Placement Notes</w:t>
      </w:r>
    </w:p>
    <w:p w14:paraId="76C18072" w14:textId="172CEC32" w:rsidR="00082AF5" w:rsidRDefault="00EA17C6" w:rsidP="00EA17C6">
      <w:pPr>
        <w:pStyle w:val="Paragraph"/>
        <w:spacing w:before="0" w:after="120"/>
        <w:jc w:val="both"/>
        <w:rPr>
          <w:b/>
        </w:rPr>
      </w:pPr>
      <w:r w:rsidRPr="00EA17C6">
        <w:t xml:space="preserve">The Group’s outstanding Private Placement Notes net of finance fees comprised of </w:t>
      </w:r>
      <w:r w:rsidRPr="00C4231B">
        <w:t>£</w:t>
      </w:r>
      <w:r w:rsidR="00C4231B" w:rsidRPr="00C4231B">
        <w:t>60.4</w:t>
      </w:r>
      <w:r w:rsidRPr="00C4231B">
        <w:t>m</w:t>
      </w:r>
      <w:r w:rsidRPr="00EA17C6">
        <w:t xml:space="preserve"> (denominated as $</w:t>
      </w:r>
      <w:r w:rsidR="0070601B">
        <w:t>55.9</w:t>
      </w:r>
      <w:r w:rsidRPr="00EA17C6">
        <w:t xml:space="preserve">m and £18m) at </w:t>
      </w:r>
      <w:r w:rsidR="008A4891">
        <w:t>25 March 2022</w:t>
      </w:r>
      <w:r w:rsidRPr="00EA17C6">
        <w:t xml:space="preserve"> (September 202</w:t>
      </w:r>
      <w:r w:rsidR="0070601B">
        <w:t>1</w:t>
      </w:r>
      <w:r w:rsidRPr="00EA17C6">
        <w:t>: £</w:t>
      </w:r>
      <w:r w:rsidR="0070601B">
        <w:t>106.6</w:t>
      </w:r>
      <w:r w:rsidRPr="00EA17C6">
        <w:t>m, denominated as $120.9m and £18m). These were issued as fixed rate debt in June 2016 ($</w:t>
      </w:r>
      <w:r w:rsidR="0070601B">
        <w:t>55.9</w:t>
      </w:r>
      <w:r w:rsidRPr="00EA17C6">
        <w:t xml:space="preserve">m and £18m) with maturities </w:t>
      </w:r>
      <w:r w:rsidR="00424305">
        <w:t xml:space="preserve">ranging from June 2023 to </w:t>
      </w:r>
      <w:r w:rsidRPr="00EA17C6">
        <w:t>June 2026.</w:t>
      </w:r>
      <w:r w:rsidR="0070601B">
        <w:t xml:space="preserve"> The Group repaid the $65m Private Placement Note in full in October 2021.</w:t>
      </w:r>
    </w:p>
    <w:p w14:paraId="786993E4" w14:textId="000373D6" w:rsidR="000117F8" w:rsidRDefault="00EA17C6" w:rsidP="00EA17C6">
      <w:pPr>
        <w:pStyle w:val="Paragraph"/>
        <w:spacing w:before="0" w:after="120"/>
        <w:jc w:val="both"/>
      </w:pPr>
      <w:r w:rsidRPr="00EA17C6">
        <w:t>The Group has swapped the $</w:t>
      </w:r>
      <w:r w:rsidR="0070601B">
        <w:t>55.9</w:t>
      </w:r>
      <w:r w:rsidRPr="00EA17C6">
        <w:t>m Private Placement Notes from fixed rate US Dollar to fixed rate sterling using cross–currency interest rate swaps. The fixed rate US dollar to fixed rate sterling swaps are designated as cash flow hedges.</w:t>
      </w:r>
    </w:p>
    <w:p w14:paraId="354ACB9A" w14:textId="29DFA825" w:rsidR="00AA27C5" w:rsidRDefault="00AA27C5" w:rsidP="005B3BEE">
      <w:pPr>
        <w:pStyle w:val="Paragraph"/>
        <w:spacing w:before="0" w:after="120"/>
        <w:rPr>
          <w:b/>
        </w:rPr>
      </w:pPr>
      <w:r>
        <w:rPr>
          <w:b/>
        </w:rPr>
        <w:t>Drawn and undrawn borrowings facilities</w:t>
      </w:r>
    </w:p>
    <w:p w14:paraId="79A130B4" w14:textId="77777777" w:rsidR="00AA27C5" w:rsidRDefault="00AA27C5" w:rsidP="005B3BEE">
      <w:pPr>
        <w:pStyle w:val="Paragraph"/>
        <w:spacing w:before="0" w:after="120"/>
        <w:rPr>
          <w:bCs/>
        </w:rPr>
      </w:pPr>
      <w:r w:rsidRPr="00702E1E">
        <w:rPr>
          <w:bCs/>
        </w:rPr>
        <w:t>The table</w:t>
      </w:r>
      <w:r>
        <w:rPr>
          <w:bCs/>
        </w:rPr>
        <w:t xml:space="preserve"> below sets out the split between drawn and undrawn borrowings amounts as at 25 March 2022:</w:t>
      </w: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1559"/>
        <w:gridCol w:w="1228"/>
        <w:gridCol w:w="1229"/>
        <w:gridCol w:w="1087"/>
      </w:tblGrid>
      <w:tr w:rsidR="00955DD1" w14:paraId="149FC641" w14:textId="77777777" w:rsidTr="00702E1E">
        <w:trPr>
          <w:jc w:val="center"/>
        </w:trPr>
        <w:tc>
          <w:tcPr>
            <w:tcW w:w="4820" w:type="dxa"/>
          </w:tcPr>
          <w:p w14:paraId="74C5DF3E" w14:textId="1AA8CAB1" w:rsidR="00955DD1" w:rsidRPr="00702E1E" w:rsidRDefault="00955DD1" w:rsidP="00F42747">
            <w:pPr>
              <w:pStyle w:val="T2"/>
              <w:rPr>
                <w:i/>
                <w:iCs/>
              </w:rPr>
            </w:pPr>
          </w:p>
        </w:tc>
        <w:tc>
          <w:tcPr>
            <w:tcW w:w="1559" w:type="dxa"/>
            <w:vMerge w:val="restart"/>
            <w:vAlign w:val="bottom"/>
          </w:tcPr>
          <w:p w14:paraId="6D79870B" w14:textId="18712E59" w:rsidR="00955DD1" w:rsidRDefault="00955DD1">
            <w:pPr>
              <w:pStyle w:val="T2"/>
              <w:jc w:val="right"/>
              <w:rPr>
                <w:b/>
              </w:rPr>
            </w:pPr>
            <w:r>
              <w:rPr>
                <w:b/>
              </w:rPr>
              <w:t>Maturity dates</w:t>
            </w:r>
          </w:p>
        </w:tc>
        <w:tc>
          <w:tcPr>
            <w:tcW w:w="1228" w:type="dxa"/>
            <w:vAlign w:val="bottom"/>
          </w:tcPr>
          <w:p w14:paraId="66124661" w14:textId="5874BAF2" w:rsidR="00955DD1" w:rsidRPr="00C0338D" w:rsidRDefault="000E0A0C" w:rsidP="00F42747">
            <w:pPr>
              <w:pStyle w:val="T2"/>
              <w:jc w:val="right"/>
              <w:rPr>
                <w:b/>
              </w:rPr>
            </w:pPr>
            <w:r>
              <w:rPr>
                <w:b/>
              </w:rPr>
              <w:t>Net b</w:t>
            </w:r>
            <w:r w:rsidR="00955DD1">
              <w:rPr>
                <w:b/>
              </w:rPr>
              <w:t>orrowings</w:t>
            </w:r>
            <w:r w:rsidR="00FF189E">
              <w:rPr>
                <w:b/>
              </w:rPr>
              <w:t xml:space="preserve"> Mar-22</w:t>
            </w:r>
          </w:p>
        </w:tc>
        <w:tc>
          <w:tcPr>
            <w:tcW w:w="1229" w:type="dxa"/>
            <w:vAlign w:val="bottom"/>
          </w:tcPr>
          <w:p w14:paraId="6622F6FD" w14:textId="798C0A2F" w:rsidR="00955DD1" w:rsidRPr="00702E1E" w:rsidRDefault="00955DD1" w:rsidP="00F42747">
            <w:pPr>
              <w:pStyle w:val="T2"/>
              <w:jc w:val="right"/>
              <w:rPr>
                <w:b/>
                <w:bCs/>
              </w:rPr>
            </w:pPr>
            <w:r w:rsidRPr="00702E1E">
              <w:rPr>
                <w:b/>
                <w:bCs/>
              </w:rPr>
              <w:t>Undrawn</w:t>
            </w:r>
            <w:r w:rsidR="00FF189E">
              <w:rPr>
                <w:b/>
                <w:bCs/>
              </w:rPr>
              <w:t xml:space="preserve"> &amp; available</w:t>
            </w:r>
          </w:p>
        </w:tc>
        <w:tc>
          <w:tcPr>
            <w:tcW w:w="1087" w:type="dxa"/>
            <w:vAlign w:val="bottom"/>
          </w:tcPr>
          <w:p w14:paraId="666A3C7F" w14:textId="72A527BE" w:rsidR="00955DD1" w:rsidRPr="00702E1E" w:rsidRDefault="00955DD1" w:rsidP="00F42747">
            <w:pPr>
              <w:pStyle w:val="T2"/>
              <w:jc w:val="right"/>
              <w:rPr>
                <w:b/>
                <w:bCs/>
              </w:rPr>
            </w:pPr>
            <w:r w:rsidRPr="00702E1E">
              <w:rPr>
                <w:b/>
                <w:bCs/>
              </w:rPr>
              <w:t>Total</w:t>
            </w:r>
            <w:r w:rsidR="00FF189E">
              <w:rPr>
                <w:b/>
                <w:bCs/>
              </w:rPr>
              <w:t xml:space="preserve"> facilities</w:t>
            </w:r>
            <w:r w:rsidRPr="00702E1E">
              <w:rPr>
                <w:b/>
                <w:bCs/>
              </w:rPr>
              <w:t xml:space="preserve"> available</w:t>
            </w:r>
          </w:p>
        </w:tc>
      </w:tr>
      <w:tr w:rsidR="00955DD1" w14:paraId="03B29A5F" w14:textId="77777777" w:rsidTr="00702E1E">
        <w:trPr>
          <w:jc w:val="center"/>
        </w:trPr>
        <w:tc>
          <w:tcPr>
            <w:tcW w:w="4820" w:type="dxa"/>
            <w:tcBorders>
              <w:bottom w:val="single" w:sz="2" w:space="0" w:color="auto"/>
            </w:tcBorders>
            <w:vAlign w:val="bottom"/>
          </w:tcPr>
          <w:p w14:paraId="4DEB57B4" w14:textId="77777777" w:rsidR="00955DD1" w:rsidRPr="00C0338D" w:rsidRDefault="00955DD1" w:rsidP="00F42747">
            <w:pPr>
              <w:pStyle w:val="T2"/>
              <w:jc w:val="left"/>
            </w:pPr>
          </w:p>
        </w:tc>
        <w:tc>
          <w:tcPr>
            <w:tcW w:w="1559" w:type="dxa"/>
            <w:vMerge/>
            <w:tcBorders>
              <w:bottom w:val="single" w:sz="2" w:space="0" w:color="auto"/>
            </w:tcBorders>
          </w:tcPr>
          <w:p w14:paraId="021543CC" w14:textId="77777777" w:rsidR="00955DD1" w:rsidRPr="00C0338D" w:rsidRDefault="00955DD1" w:rsidP="00F42747">
            <w:pPr>
              <w:pStyle w:val="T2"/>
              <w:jc w:val="right"/>
              <w:rPr>
                <w:b/>
              </w:rPr>
            </w:pPr>
          </w:p>
        </w:tc>
        <w:tc>
          <w:tcPr>
            <w:tcW w:w="1228" w:type="dxa"/>
            <w:tcBorders>
              <w:bottom w:val="single" w:sz="2" w:space="0" w:color="auto"/>
            </w:tcBorders>
            <w:vAlign w:val="bottom"/>
          </w:tcPr>
          <w:p w14:paraId="589073FF" w14:textId="6A3EB0E5" w:rsidR="00955DD1" w:rsidRPr="00C0338D" w:rsidRDefault="00955DD1" w:rsidP="00F42747">
            <w:pPr>
              <w:pStyle w:val="T2"/>
              <w:jc w:val="right"/>
              <w:rPr>
                <w:b/>
              </w:rPr>
            </w:pPr>
            <w:r w:rsidRPr="00C0338D">
              <w:rPr>
                <w:b/>
              </w:rPr>
              <w:t>£m</w:t>
            </w:r>
          </w:p>
        </w:tc>
        <w:tc>
          <w:tcPr>
            <w:tcW w:w="1229" w:type="dxa"/>
            <w:tcBorders>
              <w:bottom w:val="single" w:sz="2" w:space="0" w:color="auto"/>
            </w:tcBorders>
            <w:vAlign w:val="bottom"/>
          </w:tcPr>
          <w:p w14:paraId="38BEF526" w14:textId="77777777" w:rsidR="00955DD1" w:rsidRPr="00702E1E" w:rsidRDefault="00955DD1" w:rsidP="00F42747">
            <w:pPr>
              <w:pStyle w:val="T2"/>
              <w:jc w:val="right"/>
              <w:rPr>
                <w:b/>
                <w:bCs/>
              </w:rPr>
            </w:pPr>
            <w:r w:rsidRPr="00702E1E">
              <w:rPr>
                <w:b/>
                <w:bCs/>
              </w:rPr>
              <w:t>£m</w:t>
            </w:r>
          </w:p>
        </w:tc>
        <w:tc>
          <w:tcPr>
            <w:tcW w:w="1087" w:type="dxa"/>
            <w:tcBorders>
              <w:bottom w:val="single" w:sz="2" w:space="0" w:color="auto"/>
            </w:tcBorders>
            <w:vAlign w:val="bottom"/>
          </w:tcPr>
          <w:p w14:paraId="10CF81C8" w14:textId="77777777" w:rsidR="00955DD1" w:rsidRPr="00702E1E" w:rsidRDefault="00955DD1" w:rsidP="00F42747">
            <w:pPr>
              <w:pStyle w:val="T2"/>
              <w:jc w:val="right"/>
              <w:rPr>
                <w:b/>
                <w:bCs/>
              </w:rPr>
            </w:pPr>
            <w:r w:rsidRPr="00702E1E">
              <w:rPr>
                <w:b/>
                <w:bCs/>
              </w:rPr>
              <w:t>£m</w:t>
            </w:r>
          </w:p>
        </w:tc>
      </w:tr>
      <w:tr w:rsidR="00955DD1" w14:paraId="379C6801" w14:textId="77777777" w:rsidTr="00702E1E">
        <w:trPr>
          <w:jc w:val="center"/>
        </w:trPr>
        <w:tc>
          <w:tcPr>
            <w:tcW w:w="4820" w:type="dxa"/>
            <w:tcBorders>
              <w:top w:val="single" w:sz="2" w:space="0" w:color="auto"/>
            </w:tcBorders>
            <w:vAlign w:val="bottom"/>
          </w:tcPr>
          <w:p w14:paraId="75D8D147" w14:textId="49A27DA8" w:rsidR="00955DD1" w:rsidRPr="00702E1E" w:rsidRDefault="00955DD1" w:rsidP="00F42747">
            <w:pPr>
              <w:pStyle w:val="T2"/>
              <w:jc w:val="left"/>
              <w:rPr>
                <w:bCs/>
              </w:rPr>
            </w:pPr>
            <w:r>
              <w:rPr>
                <w:bCs/>
              </w:rPr>
              <w:t>Cash and cash equivalents and bank overdrafts</w:t>
            </w:r>
          </w:p>
        </w:tc>
        <w:tc>
          <w:tcPr>
            <w:tcW w:w="1559" w:type="dxa"/>
            <w:tcBorders>
              <w:top w:val="single" w:sz="2" w:space="0" w:color="auto"/>
            </w:tcBorders>
          </w:tcPr>
          <w:p w14:paraId="35F4B2AE" w14:textId="1A22501A" w:rsidR="00955DD1" w:rsidRPr="00785619" w:rsidRDefault="00955DD1" w:rsidP="00F42747">
            <w:pPr>
              <w:pStyle w:val="T2"/>
              <w:jc w:val="right"/>
            </w:pPr>
            <w:r w:rsidRPr="00785619">
              <w:t>-</w:t>
            </w:r>
          </w:p>
        </w:tc>
        <w:tc>
          <w:tcPr>
            <w:tcW w:w="1228" w:type="dxa"/>
            <w:tcBorders>
              <w:top w:val="single" w:sz="2" w:space="0" w:color="auto"/>
            </w:tcBorders>
            <w:vAlign w:val="bottom"/>
          </w:tcPr>
          <w:p w14:paraId="19E1756D" w14:textId="2F49D9A3" w:rsidR="00955DD1" w:rsidRPr="00785619" w:rsidRDefault="00955DD1" w:rsidP="00F42747">
            <w:pPr>
              <w:pStyle w:val="T2"/>
              <w:jc w:val="right"/>
            </w:pPr>
            <w:r w:rsidRPr="00785619">
              <w:t>49.5</w:t>
            </w:r>
          </w:p>
        </w:tc>
        <w:tc>
          <w:tcPr>
            <w:tcW w:w="1229" w:type="dxa"/>
            <w:tcBorders>
              <w:top w:val="single" w:sz="2" w:space="0" w:color="auto"/>
            </w:tcBorders>
            <w:vAlign w:val="bottom"/>
          </w:tcPr>
          <w:p w14:paraId="796287F9" w14:textId="538C5DD1" w:rsidR="00955DD1" w:rsidRPr="00785619" w:rsidRDefault="00FF189E" w:rsidP="00F42747">
            <w:pPr>
              <w:pStyle w:val="T2"/>
              <w:jc w:val="right"/>
            </w:pPr>
            <w:r>
              <w:t>(49.5)</w:t>
            </w:r>
          </w:p>
        </w:tc>
        <w:tc>
          <w:tcPr>
            <w:tcW w:w="1087" w:type="dxa"/>
            <w:tcBorders>
              <w:top w:val="single" w:sz="2" w:space="0" w:color="auto"/>
            </w:tcBorders>
            <w:vAlign w:val="bottom"/>
          </w:tcPr>
          <w:p w14:paraId="54075032" w14:textId="4A3A0737" w:rsidR="00955DD1" w:rsidRPr="00785619" w:rsidRDefault="00FF189E" w:rsidP="00F42747">
            <w:pPr>
              <w:pStyle w:val="T2"/>
              <w:jc w:val="right"/>
            </w:pPr>
            <w:r>
              <w:t>-</w:t>
            </w:r>
          </w:p>
        </w:tc>
      </w:tr>
      <w:tr w:rsidR="00FC5866" w14:paraId="31EA4B62" w14:textId="77777777" w:rsidTr="00FC5866">
        <w:trPr>
          <w:jc w:val="center"/>
        </w:trPr>
        <w:tc>
          <w:tcPr>
            <w:tcW w:w="4820" w:type="dxa"/>
            <w:vAlign w:val="bottom"/>
          </w:tcPr>
          <w:p w14:paraId="5370DAEE" w14:textId="6696F17A" w:rsidR="00955DD1" w:rsidRPr="00702E1E" w:rsidRDefault="00955DD1" w:rsidP="00C4736D">
            <w:pPr>
              <w:pStyle w:val="T2"/>
              <w:jc w:val="left"/>
              <w:rPr>
                <w:bCs/>
              </w:rPr>
            </w:pPr>
            <w:r w:rsidRPr="00F42747">
              <w:rPr>
                <w:bCs/>
              </w:rPr>
              <w:t>Bank Borrowings</w:t>
            </w:r>
            <w:r w:rsidR="000E0A0C">
              <w:rPr>
                <w:bCs/>
              </w:rPr>
              <w:t>*</w:t>
            </w:r>
          </w:p>
        </w:tc>
        <w:tc>
          <w:tcPr>
            <w:tcW w:w="1559" w:type="dxa"/>
          </w:tcPr>
          <w:p w14:paraId="0FAB5D40" w14:textId="7175B168" w:rsidR="00955DD1" w:rsidRPr="00702E1E" w:rsidRDefault="00955DD1" w:rsidP="00C4736D">
            <w:pPr>
              <w:pStyle w:val="T2"/>
              <w:jc w:val="right"/>
            </w:pPr>
            <w:r w:rsidRPr="00702E1E">
              <w:t>Mar-23 – Jan-26</w:t>
            </w:r>
          </w:p>
        </w:tc>
        <w:tc>
          <w:tcPr>
            <w:tcW w:w="1228" w:type="dxa"/>
            <w:vAlign w:val="bottom"/>
          </w:tcPr>
          <w:p w14:paraId="2B8BAD89" w14:textId="6BAC5BF1" w:rsidR="00955DD1" w:rsidRPr="00702E1E" w:rsidRDefault="00FC5866" w:rsidP="00C4736D">
            <w:pPr>
              <w:pStyle w:val="T2"/>
              <w:jc w:val="right"/>
            </w:pPr>
            <w:r w:rsidRPr="00702E1E">
              <w:t>(</w:t>
            </w:r>
            <w:r w:rsidR="00955DD1" w:rsidRPr="00702E1E">
              <w:t>210.0</w:t>
            </w:r>
            <w:r w:rsidRPr="00702E1E">
              <w:t>)</w:t>
            </w:r>
          </w:p>
        </w:tc>
        <w:tc>
          <w:tcPr>
            <w:tcW w:w="1229" w:type="dxa"/>
            <w:vAlign w:val="bottom"/>
          </w:tcPr>
          <w:p w14:paraId="288D28C7" w14:textId="70F4E658" w:rsidR="00955DD1" w:rsidRPr="00785619" w:rsidRDefault="00FC5866" w:rsidP="00C4736D">
            <w:pPr>
              <w:pStyle w:val="T2"/>
              <w:jc w:val="right"/>
            </w:pPr>
            <w:r w:rsidRPr="00702E1E">
              <w:t>(</w:t>
            </w:r>
            <w:r w:rsidR="00955DD1" w:rsidRPr="00702E1E">
              <w:t>300.0</w:t>
            </w:r>
            <w:r w:rsidRPr="00702E1E">
              <w:t>)</w:t>
            </w:r>
          </w:p>
        </w:tc>
        <w:tc>
          <w:tcPr>
            <w:tcW w:w="1087" w:type="dxa"/>
            <w:vAlign w:val="bottom"/>
          </w:tcPr>
          <w:p w14:paraId="4A62231F" w14:textId="6F8287A8" w:rsidR="00955DD1" w:rsidRPr="00785619" w:rsidRDefault="00FF189E" w:rsidP="00C4736D">
            <w:pPr>
              <w:pStyle w:val="T2"/>
              <w:jc w:val="right"/>
            </w:pPr>
            <w:r>
              <w:t>(</w:t>
            </w:r>
            <w:r w:rsidR="00955DD1" w:rsidRPr="00785619">
              <w:t>510.0</w:t>
            </w:r>
            <w:r>
              <w:t>)</w:t>
            </w:r>
          </w:p>
        </w:tc>
      </w:tr>
      <w:tr w:rsidR="00955DD1" w14:paraId="44095C81" w14:textId="77777777" w:rsidTr="00702E1E">
        <w:trPr>
          <w:jc w:val="center"/>
        </w:trPr>
        <w:tc>
          <w:tcPr>
            <w:tcW w:w="4820" w:type="dxa"/>
            <w:vAlign w:val="bottom"/>
          </w:tcPr>
          <w:p w14:paraId="045AB064" w14:textId="47BAB108" w:rsidR="00955DD1" w:rsidRPr="001B7D59" w:rsidRDefault="00955DD1" w:rsidP="00C4736D">
            <w:pPr>
              <w:pStyle w:val="T2"/>
              <w:jc w:val="left"/>
              <w:rPr>
                <w:bCs/>
              </w:rPr>
            </w:pPr>
            <w:r w:rsidRPr="00F42747">
              <w:rPr>
                <w:bCs/>
              </w:rPr>
              <w:t>Private Placement Notes</w:t>
            </w:r>
            <w:r w:rsidR="000E0A0C">
              <w:rPr>
                <w:bCs/>
              </w:rPr>
              <w:t>*</w:t>
            </w:r>
          </w:p>
        </w:tc>
        <w:tc>
          <w:tcPr>
            <w:tcW w:w="1559" w:type="dxa"/>
          </w:tcPr>
          <w:p w14:paraId="77D9BC90" w14:textId="1EF0AB4C" w:rsidR="00955DD1" w:rsidRPr="00702E1E" w:rsidRDefault="00955DD1" w:rsidP="00C4736D">
            <w:pPr>
              <w:pStyle w:val="T2"/>
              <w:jc w:val="right"/>
            </w:pPr>
            <w:r w:rsidRPr="00702E1E">
              <w:t>Jun-23 – Jun-26</w:t>
            </w:r>
          </w:p>
        </w:tc>
        <w:tc>
          <w:tcPr>
            <w:tcW w:w="1228" w:type="dxa"/>
          </w:tcPr>
          <w:p w14:paraId="262DB23D" w14:textId="4467C2F6" w:rsidR="00955DD1" w:rsidRPr="00702E1E" w:rsidRDefault="00FC5866" w:rsidP="00C4736D">
            <w:pPr>
              <w:pStyle w:val="T2"/>
              <w:jc w:val="right"/>
            </w:pPr>
            <w:r w:rsidRPr="00702E1E">
              <w:t>(</w:t>
            </w:r>
            <w:r w:rsidR="00955DD1" w:rsidRPr="00702E1E">
              <w:t>60.4</w:t>
            </w:r>
            <w:r w:rsidRPr="00702E1E">
              <w:t>)</w:t>
            </w:r>
          </w:p>
        </w:tc>
        <w:tc>
          <w:tcPr>
            <w:tcW w:w="1229" w:type="dxa"/>
            <w:vAlign w:val="bottom"/>
          </w:tcPr>
          <w:p w14:paraId="421B93B2" w14:textId="02DCE0B9" w:rsidR="00955DD1" w:rsidRPr="00785619" w:rsidRDefault="00955DD1" w:rsidP="00C4736D">
            <w:pPr>
              <w:pStyle w:val="T2"/>
              <w:jc w:val="right"/>
            </w:pPr>
            <w:r w:rsidRPr="00702E1E">
              <w:t>-</w:t>
            </w:r>
          </w:p>
        </w:tc>
        <w:tc>
          <w:tcPr>
            <w:tcW w:w="1087" w:type="dxa"/>
          </w:tcPr>
          <w:p w14:paraId="36FDDCB8" w14:textId="6AAF138B" w:rsidR="00955DD1" w:rsidRPr="00785619" w:rsidRDefault="00877E1C" w:rsidP="00C4736D">
            <w:pPr>
              <w:pStyle w:val="T2"/>
              <w:jc w:val="right"/>
            </w:pPr>
            <w:r>
              <w:t>(</w:t>
            </w:r>
            <w:r w:rsidR="00955DD1" w:rsidRPr="00702E1E">
              <w:t>60.4</w:t>
            </w:r>
            <w:r>
              <w:t>)</w:t>
            </w:r>
          </w:p>
        </w:tc>
      </w:tr>
      <w:tr w:rsidR="00955DD1" w14:paraId="70B1798D" w14:textId="77777777" w:rsidTr="00702E1E">
        <w:trPr>
          <w:jc w:val="center"/>
        </w:trPr>
        <w:tc>
          <w:tcPr>
            <w:tcW w:w="4820" w:type="dxa"/>
            <w:tcBorders>
              <w:top w:val="single" w:sz="2" w:space="0" w:color="auto"/>
              <w:bottom w:val="single" w:sz="2" w:space="0" w:color="auto"/>
            </w:tcBorders>
          </w:tcPr>
          <w:p w14:paraId="504DE9A4" w14:textId="76B03FA2" w:rsidR="00955DD1" w:rsidRPr="00702E1E" w:rsidRDefault="00EF18AD" w:rsidP="00702E1E">
            <w:pPr>
              <w:pStyle w:val="T2"/>
              <w:jc w:val="left"/>
              <w:rPr>
                <w:b/>
                <w:bCs/>
              </w:rPr>
            </w:pPr>
            <w:r w:rsidRPr="00702E1E">
              <w:rPr>
                <w:b/>
                <w:bCs/>
              </w:rPr>
              <w:t xml:space="preserve">Total </w:t>
            </w:r>
          </w:p>
        </w:tc>
        <w:tc>
          <w:tcPr>
            <w:tcW w:w="1559" w:type="dxa"/>
            <w:tcBorders>
              <w:top w:val="single" w:sz="2" w:space="0" w:color="auto"/>
              <w:bottom w:val="single" w:sz="2" w:space="0" w:color="auto"/>
            </w:tcBorders>
          </w:tcPr>
          <w:p w14:paraId="2A1EA686" w14:textId="77777777" w:rsidR="00955DD1" w:rsidRPr="00702E1E" w:rsidRDefault="00955DD1" w:rsidP="00C4736D">
            <w:pPr>
              <w:pStyle w:val="T2"/>
              <w:jc w:val="right"/>
            </w:pPr>
          </w:p>
        </w:tc>
        <w:tc>
          <w:tcPr>
            <w:tcW w:w="1228" w:type="dxa"/>
            <w:tcBorders>
              <w:top w:val="single" w:sz="2" w:space="0" w:color="auto"/>
              <w:bottom w:val="single" w:sz="2" w:space="0" w:color="auto"/>
            </w:tcBorders>
          </w:tcPr>
          <w:p w14:paraId="58091018" w14:textId="62861DB0" w:rsidR="00955DD1" w:rsidRPr="001B7D59" w:rsidRDefault="00877E1C" w:rsidP="00C4736D">
            <w:pPr>
              <w:pStyle w:val="T2"/>
              <w:jc w:val="right"/>
              <w:rPr>
                <w:b/>
                <w:bCs/>
              </w:rPr>
            </w:pPr>
            <w:r>
              <w:rPr>
                <w:b/>
                <w:bCs/>
              </w:rPr>
              <w:t>(220.9)</w:t>
            </w:r>
          </w:p>
        </w:tc>
        <w:tc>
          <w:tcPr>
            <w:tcW w:w="1229" w:type="dxa"/>
            <w:tcBorders>
              <w:top w:val="single" w:sz="2" w:space="0" w:color="auto"/>
              <w:bottom w:val="single" w:sz="2" w:space="0" w:color="auto"/>
            </w:tcBorders>
            <w:vAlign w:val="bottom"/>
          </w:tcPr>
          <w:p w14:paraId="6EBB488D" w14:textId="214FBB25" w:rsidR="00955DD1" w:rsidRPr="00702E1E" w:rsidRDefault="00FC5866" w:rsidP="00C4736D">
            <w:pPr>
              <w:pStyle w:val="T2"/>
              <w:jc w:val="right"/>
              <w:rPr>
                <w:b/>
                <w:bCs/>
              </w:rPr>
            </w:pPr>
            <w:r w:rsidRPr="00785619">
              <w:rPr>
                <w:b/>
                <w:bCs/>
              </w:rPr>
              <w:t>(</w:t>
            </w:r>
            <w:r w:rsidR="00EF18AD" w:rsidRPr="00702E1E">
              <w:rPr>
                <w:b/>
                <w:bCs/>
              </w:rPr>
              <w:t>3</w:t>
            </w:r>
            <w:r w:rsidR="00FF189E">
              <w:rPr>
                <w:b/>
                <w:bCs/>
              </w:rPr>
              <w:t>49.5</w:t>
            </w:r>
            <w:r w:rsidRPr="00785619">
              <w:rPr>
                <w:b/>
                <w:bCs/>
              </w:rPr>
              <w:t>)</w:t>
            </w:r>
          </w:p>
        </w:tc>
        <w:tc>
          <w:tcPr>
            <w:tcW w:w="1087" w:type="dxa"/>
            <w:tcBorders>
              <w:top w:val="single" w:sz="2" w:space="0" w:color="auto"/>
              <w:bottom w:val="single" w:sz="2" w:space="0" w:color="auto"/>
            </w:tcBorders>
          </w:tcPr>
          <w:p w14:paraId="21DB2F47" w14:textId="7DC22EA9" w:rsidR="00955DD1" w:rsidRPr="00702E1E" w:rsidRDefault="00FF189E" w:rsidP="00C4736D">
            <w:pPr>
              <w:pStyle w:val="T2"/>
              <w:jc w:val="right"/>
              <w:rPr>
                <w:b/>
                <w:bCs/>
              </w:rPr>
            </w:pPr>
            <w:r>
              <w:rPr>
                <w:b/>
                <w:bCs/>
              </w:rPr>
              <w:t>(570</w:t>
            </w:r>
            <w:r w:rsidR="00FC5866" w:rsidRPr="00785619">
              <w:rPr>
                <w:b/>
                <w:bCs/>
              </w:rPr>
              <w:t>.</w:t>
            </w:r>
            <w:r>
              <w:rPr>
                <w:b/>
                <w:bCs/>
              </w:rPr>
              <w:t>4)</w:t>
            </w:r>
          </w:p>
        </w:tc>
      </w:tr>
      <w:tr w:rsidR="00EF18AD" w14:paraId="4F2D4FE5" w14:textId="77777777" w:rsidTr="00702E1E">
        <w:trPr>
          <w:jc w:val="center"/>
        </w:trPr>
        <w:tc>
          <w:tcPr>
            <w:tcW w:w="9923" w:type="dxa"/>
            <w:gridSpan w:val="5"/>
            <w:tcBorders>
              <w:top w:val="single" w:sz="2" w:space="0" w:color="auto"/>
            </w:tcBorders>
          </w:tcPr>
          <w:p w14:paraId="6391105B" w14:textId="2AA8CA2A" w:rsidR="00EF18AD" w:rsidRPr="00702E1E" w:rsidRDefault="000E0A0C" w:rsidP="00C4736D">
            <w:pPr>
              <w:pStyle w:val="T2"/>
              <w:jc w:val="left"/>
              <w:rPr>
                <w:sz w:val="14"/>
                <w:szCs w:val="14"/>
              </w:rPr>
            </w:pPr>
            <w:r>
              <w:rPr>
                <w:sz w:val="14"/>
                <w:szCs w:val="14"/>
              </w:rPr>
              <w:t>*excludes capitalised finance fees</w:t>
            </w:r>
          </w:p>
        </w:tc>
      </w:tr>
    </w:tbl>
    <w:p w14:paraId="22F577A8" w14:textId="77777777" w:rsidR="00FC5866" w:rsidRDefault="00AA27C5" w:rsidP="004B20A6">
      <w:pPr>
        <w:pStyle w:val="Paragraph"/>
        <w:spacing w:before="0" w:after="120"/>
        <w:rPr>
          <w:bCs/>
        </w:rPr>
      </w:pPr>
      <w:r w:rsidRPr="00702E1E">
        <w:rPr>
          <w:bCs/>
        </w:rPr>
        <w:t xml:space="preserve"> </w:t>
      </w:r>
    </w:p>
    <w:p w14:paraId="1A45AAE2" w14:textId="772E4D32" w:rsidR="00DD0F33" w:rsidRPr="00A47449" w:rsidRDefault="00A47449" w:rsidP="005B3BEE">
      <w:pPr>
        <w:pStyle w:val="Paragraph"/>
        <w:spacing w:before="0" w:after="120"/>
        <w:rPr>
          <w:b/>
        </w:rPr>
      </w:pPr>
      <w:r w:rsidRPr="00A47449">
        <w:rPr>
          <w:b/>
        </w:rPr>
        <w:t>Fair Value of financial instruments at amortised cost</w:t>
      </w:r>
    </w:p>
    <w:p w14:paraId="7DB970A5" w14:textId="36CA2986" w:rsidR="00A47449" w:rsidRDefault="00A47449" w:rsidP="005B3BEE">
      <w:pPr>
        <w:pStyle w:val="Paragraph"/>
        <w:spacing w:before="0" w:after="120"/>
      </w:pPr>
      <w:r>
        <w:t xml:space="preserve">Except as set out below, it is considered that the carrying amounts of financial assets and financial liabilities recognised at amortised cost in the </w:t>
      </w:r>
      <w:r w:rsidR="00CA0491">
        <w:t>C</w:t>
      </w:r>
      <w:r>
        <w:t xml:space="preserve">ondensed </w:t>
      </w:r>
      <w:r w:rsidR="00CA0491">
        <w:t>Group F</w:t>
      </w:r>
      <w:r>
        <w:t xml:space="preserve">inancial </w:t>
      </w:r>
      <w:r w:rsidR="00CA0491">
        <w:t>S</w:t>
      </w:r>
      <w:r>
        <w:t>tatements approximate their fair values</w:t>
      </w:r>
      <w:r w:rsidR="00782E8F">
        <w:t>:</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992"/>
        <w:gridCol w:w="992"/>
        <w:gridCol w:w="992"/>
        <w:gridCol w:w="992"/>
        <w:gridCol w:w="992"/>
        <w:gridCol w:w="993"/>
      </w:tblGrid>
      <w:tr w:rsidR="00A47449" w:rsidRPr="00C0338D" w14:paraId="7F7D0D1F" w14:textId="77777777" w:rsidTr="00A47449">
        <w:trPr>
          <w:jc w:val="center"/>
        </w:trPr>
        <w:tc>
          <w:tcPr>
            <w:tcW w:w="3828" w:type="dxa"/>
          </w:tcPr>
          <w:p w14:paraId="4E237442" w14:textId="77777777" w:rsidR="00A47449" w:rsidRPr="00C0338D" w:rsidRDefault="00A47449" w:rsidP="00A47449">
            <w:pPr>
              <w:pStyle w:val="T2"/>
              <w:ind w:left="-392"/>
            </w:pPr>
          </w:p>
        </w:tc>
        <w:tc>
          <w:tcPr>
            <w:tcW w:w="1984" w:type="dxa"/>
            <w:gridSpan w:val="2"/>
            <w:vAlign w:val="bottom"/>
          </w:tcPr>
          <w:p w14:paraId="412FEDCE" w14:textId="156DEE79" w:rsidR="00A47449" w:rsidRPr="00A47449" w:rsidRDefault="00A47449" w:rsidP="00A47449">
            <w:pPr>
              <w:pStyle w:val="T2"/>
              <w:rPr>
                <w:b/>
              </w:rPr>
            </w:pPr>
            <w:r w:rsidRPr="00C0338D">
              <w:rPr>
                <w:b/>
              </w:rPr>
              <w:t>March 20</w:t>
            </w:r>
            <w:r>
              <w:rPr>
                <w:b/>
              </w:rPr>
              <w:t>2</w:t>
            </w:r>
            <w:r w:rsidR="00C535DE">
              <w:rPr>
                <w:b/>
              </w:rPr>
              <w:t>2</w:t>
            </w:r>
          </w:p>
        </w:tc>
        <w:tc>
          <w:tcPr>
            <w:tcW w:w="1984" w:type="dxa"/>
            <w:gridSpan w:val="2"/>
          </w:tcPr>
          <w:p w14:paraId="66C2CBE7" w14:textId="193F189E" w:rsidR="00A47449" w:rsidRPr="00C0338D" w:rsidRDefault="00A47449" w:rsidP="00A47449">
            <w:pPr>
              <w:pStyle w:val="T2"/>
            </w:pPr>
            <w:r>
              <w:t>September 202</w:t>
            </w:r>
            <w:r w:rsidR="00C535DE">
              <w:t>1</w:t>
            </w:r>
          </w:p>
        </w:tc>
        <w:tc>
          <w:tcPr>
            <w:tcW w:w="1985" w:type="dxa"/>
            <w:gridSpan w:val="2"/>
            <w:vAlign w:val="bottom"/>
          </w:tcPr>
          <w:p w14:paraId="5A15557A" w14:textId="2D545622" w:rsidR="00A47449" w:rsidRPr="00C0338D" w:rsidRDefault="00A47449" w:rsidP="00A47449">
            <w:pPr>
              <w:pStyle w:val="T2"/>
            </w:pPr>
            <w:r>
              <w:t>March 202</w:t>
            </w:r>
            <w:r w:rsidR="00C535DE">
              <w:t>1</w:t>
            </w:r>
          </w:p>
        </w:tc>
      </w:tr>
      <w:tr w:rsidR="00A47449" w:rsidRPr="00C0338D" w14:paraId="6AB944F2" w14:textId="77777777" w:rsidTr="00A47449">
        <w:trPr>
          <w:jc w:val="center"/>
        </w:trPr>
        <w:tc>
          <w:tcPr>
            <w:tcW w:w="3828" w:type="dxa"/>
            <w:vAlign w:val="bottom"/>
          </w:tcPr>
          <w:p w14:paraId="7B6D5C5D" w14:textId="77777777" w:rsidR="00A47449" w:rsidRPr="00C0338D" w:rsidRDefault="00A47449" w:rsidP="00A47449">
            <w:pPr>
              <w:pStyle w:val="T2"/>
              <w:jc w:val="left"/>
            </w:pPr>
          </w:p>
        </w:tc>
        <w:tc>
          <w:tcPr>
            <w:tcW w:w="992" w:type="dxa"/>
            <w:vAlign w:val="bottom"/>
          </w:tcPr>
          <w:p w14:paraId="2D7D509A" w14:textId="77777777" w:rsidR="00A47449" w:rsidRPr="00C0338D" w:rsidRDefault="00A47449" w:rsidP="00A47449">
            <w:pPr>
              <w:pStyle w:val="T2"/>
              <w:jc w:val="right"/>
              <w:rPr>
                <w:b/>
              </w:rPr>
            </w:pPr>
            <w:r>
              <w:rPr>
                <w:b/>
              </w:rPr>
              <w:t>Carrying amount</w:t>
            </w:r>
          </w:p>
        </w:tc>
        <w:tc>
          <w:tcPr>
            <w:tcW w:w="992" w:type="dxa"/>
          </w:tcPr>
          <w:p w14:paraId="3B89DE51" w14:textId="77777777" w:rsidR="00A47449" w:rsidRPr="00A47449" w:rsidRDefault="00A47449" w:rsidP="00A47449">
            <w:pPr>
              <w:pStyle w:val="T2"/>
              <w:jc w:val="right"/>
              <w:rPr>
                <w:b/>
              </w:rPr>
            </w:pPr>
            <w:r w:rsidRPr="00A47449">
              <w:rPr>
                <w:b/>
              </w:rPr>
              <w:t>Fair</w:t>
            </w:r>
          </w:p>
          <w:p w14:paraId="33229002" w14:textId="77777777" w:rsidR="00A47449" w:rsidRPr="00A47449" w:rsidRDefault="00A47449" w:rsidP="00A47449">
            <w:pPr>
              <w:pStyle w:val="T2"/>
              <w:jc w:val="right"/>
              <w:rPr>
                <w:b/>
              </w:rPr>
            </w:pPr>
            <w:r w:rsidRPr="00A47449">
              <w:rPr>
                <w:b/>
              </w:rPr>
              <w:t>Value</w:t>
            </w:r>
          </w:p>
        </w:tc>
        <w:tc>
          <w:tcPr>
            <w:tcW w:w="992" w:type="dxa"/>
            <w:vAlign w:val="bottom"/>
          </w:tcPr>
          <w:p w14:paraId="4FFB7A9C" w14:textId="77777777" w:rsidR="00A47449" w:rsidRPr="00A47449" w:rsidRDefault="00A47449" w:rsidP="00A47449">
            <w:pPr>
              <w:pStyle w:val="T2"/>
              <w:jc w:val="right"/>
            </w:pPr>
            <w:r w:rsidRPr="00A47449">
              <w:t>Carrying amount</w:t>
            </w:r>
          </w:p>
        </w:tc>
        <w:tc>
          <w:tcPr>
            <w:tcW w:w="992" w:type="dxa"/>
          </w:tcPr>
          <w:p w14:paraId="7D9BA35C" w14:textId="77777777" w:rsidR="00A47449" w:rsidRPr="00A47449" w:rsidRDefault="00A47449" w:rsidP="00A47449">
            <w:pPr>
              <w:pStyle w:val="T2"/>
              <w:jc w:val="right"/>
            </w:pPr>
            <w:r w:rsidRPr="00A47449">
              <w:t>Fair</w:t>
            </w:r>
          </w:p>
          <w:p w14:paraId="56D707D1" w14:textId="77777777" w:rsidR="00A47449" w:rsidRPr="00A47449" w:rsidRDefault="00A47449" w:rsidP="00A47449">
            <w:pPr>
              <w:pStyle w:val="T2"/>
              <w:jc w:val="right"/>
            </w:pPr>
            <w:r w:rsidRPr="00A47449">
              <w:t>Value</w:t>
            </w:r>
          </w:p>
        </w:tc>
        <w:tc>
          <w:tcPr>
            <w:tcW w:w="992" w:type="dxa"/>
            <w:vAlign w:val="bottom"/>
          </w:tcPr>
          <w:p w14:paraId="1253BF76" w14:textId="77777777" w:rsidR="00A47449" w:rsidRPr="00C0338D" w:rsidRDefault="00A47449" w:rsidP="00A47449">
            <w:pPr>
              <w:pStyle w:val="T2"/>
              <w:jc w:val="right"/>
            </w:pPr>
            <w:r w:rsidRPr="00A47449">
              <w:t>Carrying amount</w:t>
            </w:r>
          </w:p>
        </w:tc>
        <w:tc>
          <w:tcPr>
            <w:tcW w:w="993" w:type="dxa"/>
          </w:tcPr>
          <w:p w14:paraId="31E4BFE0" w14:textId="77777777" w:rsidR="00A47449" w:rsidRPr="00A47449" w:rsidRDefault="00A47449" w:rsidP="00A47449">
            <w:pPr>
              <w:pStyle w:val="T2"/>
              <w:jc w:val="right"/>
            </w:pPr>
            <w:r w:rsidRPr="00A47449">
              <w:t>Fair</w:t>
            </w:r>
          </w:p>
          <w:p w14:paraId="2FA1BC15" w14:textId="77777777" w:rsidR="00A47449" w:rsidRPr="00C0338D" w:rsidRDefault="00A47449" w:rsidP="00A47449">
            <w:pPr>
              <w:pStyle w:val="T2"/>
              <w:jc w:val="right"/>
            </w:pPr>
            <w:r w:rsidRPr="00A47449">
              <w:t>Value</w:t>
            </w:r>
          </w:p>
        </w:tc>
      </w:tr>
      <w:tr w:rsidR="00A47449" w:rsidRPr="00C0338D" w14:paraId="4FACCC5F" w14:textId="77777777" w:rsidTr="00A47449">
        <w:trPr>
          <w:jc w:val="center"/>
        </w:trPr>
        <w:tc>
          <w:tcPr>
            <w:tcW w:w="3828" w:type="dxa"/>
            <w:tcBorders>
              <w:bottom w:val="single" w:sz="2" w:space="0" w:color="auto"/>
            </w:tcBorders>
            <w:vAlign w:val="bottom"/>
          </w:tcPr>
          <w:p w14:paraId="6096F784" w14:textId="77777777" w:rsidR="00A47449" w:rsidRPr="00C0338D" w:rsidRDefault="00A47449" w:rsidP="00A47449">
            <w:pPr>
              <w:pStyle w:val="T2"/>
              <w:jc w:val="left"/>
            </w:pPr>
          </w:p>
        </w:tc>
        <w:tc>
          <w:tcPr>
            <w:tcW w:w="992" w:type="dxa"/>
            <w:tcBorders>
              <w:bottom w:val="single" w:sz="2" w:space="0" w:color="auto"/>
            </w:tcBorders>
            <w:vAlign w:val="bottom"/>
          </w:tcPr>
          <w:p w14:paraId="1AA2699C" w14:textId="77777777" w:rsidR="00A47449" w:rsidRPr="00C0338D" w:rsidRDefault="00A47449" w:rsidP="00A47449">
            <w:pPr>
              <w:pStyle w:val="T2"/>
              <w:jc w:val="right"/>
              <w:rPr>
                <w:b/>
              </w:rPr>
            </w:pPr>
            <w:r w:rsidRPr="00C0338D">
              <w:rPr>
                <w:b/>
              </w:rPr>
              <w:t>£m</w:t>
            </w:r>
          </w:p>
        </w:tc>
        <w:tc>
          <w:tcPr>
            <w:tcW w:w="992" w:type="dxa"/>
            <w:tcBorders>
              <w:bottom w:val="single" w:sz="2" w:space="0" w:color="auto"/>
            </w:tcBorders>
          </w:tcPr>
          <w:p w14:paraId="63BA334D" w14:textId="77777777" w:rsidR="00A47449" w:rsidRPr="00C0338D" w:rsidRDefault="00A47449" w:rsidP="00A47449">
            <w:pPr>
              <w:pStyle w:val="T2"/>
              <w:jc w:val="right"/>
            </w:pPr>
            <w:r w:rsidRPr="00C0338D">
              <w:rPr>
                <w:b/>
              </w:rPr>
              <w:t>£m</w:t>
            </w:r>
          </w:p>
        </w:tc>
        <w:tc>
          <w:tcPr>
            <w:tcW w:w="992" w:type="dxa"/>
            <w:tcBorders>
              <w:bottom w:val="single" w:sz="2" w:space="0" w:color="auto"/>
            </w:tcBorders>
            <w:vAlign w:val="bottom"/>
          </w:tcPr>
          <w:p w14:paraId="794F0290" w14:textId="77777777" w:rsidR="00A47449" w:rsidRPr="00A47449" w:rsidRDefault="00A47449" w:rsidP="00A47449">
            <w:pPr>
              <w:pStyle w:val="T2"/>
              <w:jc w:val="right"/>
            </w:pPr>
            <w:r w:rsidRPr="00A47449">
              <w:t>£m</w:t>
            </w:r>
          </w:p>
        </w:tc>
        <w:tc>
          <w:tcPr>
            <w:tcW w:w="992" w:type="dxa"/>
            <w:tcBorders>
              <w:bottom w:val="single" w:sz="2" w:space="0" w:color="auto"/>
            </w:tcBorders>
          </w:tcPr>
          <w:p w14:paraId="6722363C" w14:textId="77777777" w:rsidR="00A47449" w:rsidRPr="00A47449" w:rsidRDefault="00A47449" w:rsidP="00A47449">
            <w:pPr>
              <w:pStyle w:val="T2"/>
              <w:jc w:val="right"/>
            </w:pPr>
            <w:r w:rsidRPr="00A47449">
              <w:t>£m</w:t>
            </w:r>
          </w:p>
        </w:tc>
        <w:tc>
          <w:tcPr>
            <w:tcW w:w="992" w:type="dxa"/>
            <w:tcBorders>
              <w:bottom w:val="single" w:sz="2" w:space="0" w:color="auto"/>
            </w:tcBorders>
            <w:vAlign w:val="bottom"/>
          </w:tcPr>
          <w:p w14:paraId="2687999A" w14:textId="77777777" w:rsidR="00A47449" w:rsidRPr="00C0338D" w:rsidRDefault="00A47449" w:rsidP="00A47449">
            <w:pPr>
              <w:pStyle w:val="T2"/>
              <w:jc w:val="right"/>
            </w:pPr>
            <w:r w:rsidRPr="00A47449">
              <w:t>£m</w:t>
            </w:r>
          </w:p>
        </w:tc>
        <w:tc>
          <w:tcPr>
            <w:tcW w:w="993" w:type="dxa"/>
            <w:tcBorders>
              <w:bottom w:val="single" w:sz="2" w:space="0" w:color="auto"/>
            </w:tcBorders>
          </w:tcPr>
          <w:p w14:paraId="3B1C81D0" w14:textId="77777777" w:rsidR="00A47449" w:rsidRPr="00C0338D" w:rsidRDefault="00A47449" w:rsidP="00A47449">
            <w:pPr>
              <w:pStyle w:val="T2"/>
              <w:jc w:val="right"/>
            </w:pPr>
            <w:r w:rsidRPr="00A47449">
              <w:t>£m</w:t>
            </w:r>
          </w:p>
        </w:tc>
      </w:tr>
      <w:tr w:rsidR="00D46F9A" w:rsidRPr="00C0338D" w14:paraId="1CEE0683" w14:textId="77777777" w:rsidTr="00910D5B">
        <w:trPr>
          <w:jc w:val="center"/>
        </w:trPr>
        <w:tc>
          <w:tcPr>
            <w:tcW w:w="3828" w:type="dxa"/>
            <w:tcBorders>
              <w:top w:val="single" w:sz="2" w:space="0" w:color="auto"/>
            </w:tcBorders>
            <w:vAlign w:val="bottom"/>
          </w:tcPr>
          <w:p w14:paraId="3329411D" w14:textId="77777777" w:rsidR="00D46F9A" w:rsidRPr="00A47449" w:rsidRDefault="00D46F9A" w:rsidP="00D46F9A">
            <w:pPr>
              <w:pStyle w:val="T2"/>
              <w:jc w:val="left"/>
            </w:pPr>
            <w:r w:rsidRPr="00A47449">
              <w:t>Bank borrowings</w:t>
            </w:r>
            <w:r>
              <w:t>*</w:t>
            </w:r>
          </w:p>
        </w:tc>
        <w:tc>
          <w:tcPr>
            <w:tcW w:w="992" w:type="dxa"/>
            <w:tcBorders>
              <w:top w:val="single" w:sz="2" w:space="0" w:color="auto"/>
            </w:tcBorders>
          </w:tcPr>
          <w:p w14:paraId="50B3BEE4" w14:textId="0712A640" w:rsidR="00D46F9A" w:rsidRPr="00A47449" w:rsidRDefault="00C4231B" w:rsidP="00D46F9A">
            <w:pPr>
              <w:pStyle w:val="T2"/>
              <w:jc w:val="right"/>
              <w:rPr>
                <w:b/>
              </w:rPr>
            </w:pPr>
            <w:r>
              <w:rPr>
                <w:b/>
                <w:bCs/>
              </w:rPr>
              <w:t>(208.4)</w:t>
            </w:r>
          </w:p>
        </w:tc>
        <w:tc>
          <w:tcPr>
            <w:tcW w:w="992" w:type="dxa"/>
            <w:tcBorders>
              <w:top w:val="single" w:sz="2" w:space="0" w:color="auto"/>
            </w:tcBorders>
          </w:tcPr>
          <w:p w14:paraId="1AAF0400" w14:textId="592AB46B" w:rsidR="00D46F9A" w:rsidRPr="00A47449" w:rsidRDefault="00C4231B" w:rsidP="00D46F9A">
            <w:pPr>
              <w:pStyle w:val="T2"/>
              <w:jc w:val="right"/>
              <w:rPr>
                <w:b/>
              </w:rPr>
            </w:pPr>
            <w:r>
              <w:rPr>
                <w:b/>
                <w:bCs/>
              </w:rPr>
              <w:t>(20</w:t>
            </w:r>
            <w:r w:rsidR="00115137">
              <w:rPr>
                <w:b/>
                <w:bCs/>
              </w:rPr>
              <w:t>3.4</w:t>
            </w:r>
            <w:r>
              <w:rPr>
                <w:b/>
                <w:bCs/>
              </w:rPr>
              <w:t>)</w:t>
            </w:r>
          </w:p>
        </w:tc>
        <w:tc>
          <w:tcPr>
            <w:tcW w:w="992" w:type="dxa"/>
            <w:tcBorders>
              <w:top w:val="single" w:sz="2" w:space="0" w:color="auto"/>
            </w:tcBorders>
          </w:tcPr>
          <w:p w14:paraId="47393F4E" w14:textId="4B612505" w:rsidR="00D46F9A" w:rsidRPr="00C0338D" w:rsidRDefault="00D46F9A" w:rsidP="00D46F9A">
            <w:pPr>
              <w:pStyle w:val="T2"/>
              <w:jc w:val="right"/>
            </w:pPr>
            <w:r>
              <w:t>(150.1)</w:t>
            </w:r>
          </w:p>
        </w:tc>
        <w:tc>
          <w:tcPr>
            <w:tcW w:w="992" w:type="dxa"/>
            <w:tcBorders>
              <w:top w:val="single" w:sz="2" w:space="0" w:color="auto"/>
            </w:tcBorders>
          </w:tcPr>
          <w:p w14:paraId="7A3E5BDD" w14:textId="5284EE19" w:rsidR="00D46F9A" w:rsidRPr="00C0338D" w:rsidRDefault="00D46F9A" w:rsidP="00D46F9A">
            <w:pPr>
              <w:pStyle w:val="T2"/>
              <w:jc w:val="right"/>
            </w:pPr>
            <w:r>
              <w:t>(146.6)</w:t>
            </w:r>
          </w:p>
        </w:tc>
        <w:tc>
          <w:tcPr>
            <w:tcW w:w="992" w:type="dxa"/>
            <w:tcBorders>
              <w:top w:val="single" w:sz="2" w:space="0" w:color="auto"/>
            </w:tcBorders>
            <w:vAlign w:val="bottom"/>
          </w:tcPr>
          <w:p w14:paraId="455726E5" w14:textId="16D2D79A" w:rsidR="00D46F9A" w:rsidRPr="00C535DE" w:rsidRDefault="00D46F9A" w:rsidP="00D46F9A">
            <w:pPr>
              <w:pStyle w:val="T2"/>
              <w:jc w:val="right"/>
              <w:rPr>
                <w:bCs/>
              </w:rPr>
            </w:pPr>
            <w:r w:rsidRPr="00C535DE">
              <w:rPr>
                <w:bCs/>
              </w:rPr>
              <w:t>(181.7)</w:t>
            </w:r>
          </w:p>
        </w:tc>
        <w:tc>
          <w:tcPr>
            <w:tcW w:w="993" w:type="dxa"/>
            <w:tcBorders>
              <w:top w:val="single" w:sz="2" w:space="0" w:color="auto"/>
            </w:tcBorders>
          </w:tcPr>
          <w:p w14:paraId="3B7BF18A" w14:textId="4495B347" w:rsidR="00D46F9A" w:rsidRPr="00C535DE" w:rsidRDefault="00D46F9A" w:rsidP="00D46F9A">
            <w:pPr>
              <w:pStyle w:val="T2"/>
              <w:jc w:val="right"/>
              <w:rPr>
                <w:bCs/>
              </w:rPr>
            </w:pPr>
            <w:r w:rsidRPr="00C535DE">
              <w:rPr>
                <w:bCs/>
              </w:rPr>
              <w:t>(183.9)</w:t>
            </w:r>
          </w:p>
        </w:tc>
      </w:tr>
      <w:tr w:rsidR="00D46F9A" w:rsidRPr="0096767F" w14:paraId="034637F0" w14:textId="77777777" w:rsidTr="008D6E15">
        <w:trPr>
          <w:jc w:val="center"/>
        </w:trPr>
        <w:tc>
          <w:tcPr>
            <w:tcW w:w="3828" w:type="dxa"/>
            <w:tcBorders>
              <w:bottom w:val="single" w:sz="2" w:space="0" w:color="auto"/>
            </w:tcBorders>
            <w:vAlign w:val="bottom"/>
          </w:tcPr>
          <w:p w14:paraId="727C9F16" w14:textId="77777777" w:rsidR="00D46F9A" w:rsidRPr="00C0338D" w:rsidRDefault="00D46F9A" w:rsidP="00D46F9A">
            <w:pPr>
              <w:pStyle w:val="T2"/>
              <w:jc w:val="left"/>
            </w:pPr>
            <w:r>
              <w:t>Private Placement Notes</w:t>
            </w:r>
          </w:p>
        </w:tc>
        <w:tc>
          <w:tcPr>
            <w:tcW w:w="992" w:type="dxa"/>
            <w:tcBorders>
              <w:bottom w:val="single" w:sz="2" w:space="0" w:color="auto"/>
            </w:tcBorders>
          </w:tcPr>
          <w:p w14:paraId="31F0047B" w14:textId="1CD9FBB2" w:rsidR="00D46F9A" w:rsidRPr="00E5521C" w:rsidRDefault="00C4231B" w:rsidP="00D46F9A">
            <w:pPr>
              <w:pStyle w:val="T2"/>
              <w:jc w:val="right"/>
              <w:rPr>
                <w:b/>
              </w:rPr>
            </w:pPr>
            <w:r>
              <w:rPr>
                <w:b/>
                <w:bCs/>
              </w:rPr>
              <w:t>(60.4)</w:t>
            </w:r>
          </w:p>
        </w:tc>
        <w:tc>
          <w:tcPr>
            <w:tcW w:w="992" w:type="dxa"/>
            <w:tcBorders>
              <w:bottom w:val="single" w:sz="2" w:space="0" w:color="auto"/>
            </w:tcBorders>
          </w:tcPr>
          <w:p w14:paraId="5FE8B554" w14:textId="565855B2" w:rsidR="00D46F9A" w:rsidRDefault="00C4231B" w:rsidP="00D46F9A">
            <w:pPr>
              <w:pStyle w:val="T2"/>
              <w:jc w:val="right"/>
            </w:pPr>
            <w:r>
              <w:rPr>
                <w:b/>
                <w:bCs/>
              </w:rPr>
              <w:t>(6</w:t>
            </w:r>
            <w:r w:rsidR="00115137">
              <w:rPr>
                <w:b/>
                <w:bCs/>
              </w:rPr>
              <w:t>0.6</w:t>
            </w:r>
            <w:r>
              <w:rPr>
                <w:b/>
                <w:bCs/>
              </w:rPr>
              <w:t>)</w:t>
            </w:r>
          </w:p>
        </w:tc>
        <w:tc>
          <w:tcPr>
            <w:tcW w:w="992" w:type="dxa"/>
            <w:tcBorders>
              <w:bottom w:val="single" w:sz="2" w:space="0" w:color="auto"/>
            </w:tcBorders>
          </w:tcPr>
          <w:p w14:paraId="7D813EC3" w14:textId="041177A5" w:rsidR="00D46F9A" w:rsidRDefault="00D46F9A" w:rsidP="00D46F9A">
            <w:pPr>
              <w:pStyle w:val="T2"/>
              <w:jc w:val="right"/>
            </w:pPr>
            <w:r>
              <w:t>(106.6)</w:t>
            </w:r>
          </w:p>
        </w:tc>
        <w:tc>
          <w:tcPr>
            <w:tcW w:w="992" w:type="dxa"/>
            <w:tcBorders>
              <w:bottom w:val="single" w:sz="2" w:space="0" w:color="auto"/>
            </w:tcBorders>
          </w:tcPr>
          <w:p w14:paraId="6251CA94" w14:textId="3EEA0895" w:rsidR="00D46F9A" w:rsidRDefault="00D46F9A" w:rsidP="00D46F9A">
            <w:pPr>
              <w:pStyle w:val="T2"/>
              <w:jc w:val="right"/>
            </w:pPr>
            <w:r>
              <w:t>(107.7)</w:t>
            </w:r>
          </w:p>
        </w:tc>
        <w:tc>
          <w:tcPr>
            <w:tcW w:w="992" w:type="dxa"/>
            <w:tcBorders>
              <w:bottom w:val="single" w:sz="2" w:space="0" w:color="auto"/>
            </w:tcBorders>
          </w:tcPr>
          <w:p w14:paraId="76D586D3" w14:textId="58E983AC" w:rsidR="00D46F9A" w:rsidRPr="00C535DE" w:rsidRDefault="00D46F9A" w:rsidP="00D46F9A">
            <w:pPr>
              <w:pStyle w:val="T2"/>
              <w:jc w:val="right"/>
              <w:rPr>
                <w:bCs/>
              </w:rPr>
            </w:pPr>
            <w:r w:rsidRPr="00C535DE">
              <w:rPr>
                <w:bCs/>
              </w:rPr>
              <w:t>(106.6)</w:t>
            </w:r>
          </w:p>
        </w:tc>
        <w:tc>
          <w:tcPr>
            <w:tcW w:w="993" w:type="dxa"/>
            <w:tcBorders>
              <w:bottom w:val="single" w:sz="2" w:space="0" w:color="auto"/>
            </w:tcBorders>
          </w:tcPr>
          <w:p w14:paraId="78A23E8A" w14:textId="272F4E79" w:rsidR="00D46F9A" w:rsidRPr="00C535DE" w:rsidRDefault="00D46F9A" w:rsidP="00D46F9A">
            <w:pPr>
              <w:pStyle w:val="T2"/>
              <w:jc w:val="right"/>
              <w:rPr>
                <w:bCs/>
              </w:rPr>
            </w:pPr>
            <w:r w:rsidRPr="00C535DE">
              <w:rPr>
                <w:bCs/>
              </w:rPr>
              <w:t>(111.2)</w:t>
            </w:r>
          </w:p>
        </w:tc>
      </w:tr>
      <w:tr w:rsidR="00AC1280" w:rsidRPr="00C0338D" w14:paraId="07A98E37" w14:textId="77777777" w:rsidTr="00AE207A">
        <w:trPr>
          <w:jc w:val="center"/>
        </w:trPr>
        <w:tc>
          <w:tcPr>
            <w:tcW w:w="3828" w:type="dxa"/>
            <w:tcBorders>
              <w:top w:val="single" w:sz="2" w:space="0" w:color="auto"/>
            </w:tcBorders>
            <w:vAlign w:val="bottom"/>
          </w:tcPr>
          <w:p w14:paraId="37DC92C8" w14:textId="77777777" w:rsidR="00AC1280" w:rsidRPr="00AC1280" w:rsidRDefault="00AC1280" w:rsidP="00AC1280">
            <w:pPr>
              <w:pStyle w:val="T2"/>
              <w:jc w:val="left"/>
              <w:rPr>
                <w:sz w:val="14"/>
                <w:szCs w:val="14"/>
              </w:rPr>
            </w:pPr>
            <w:r w:rsidRPr="00AC1280">
              <w:rPr>
                <w:sz w:val="14"/>
                <w:szCs w:val="14"/>
              </w:rPr>
              <w:t> *excludes bank overdrafts</w:t>
            </w:r>
          </w:p>
        </w:tc>
        <w:tc>
          <w:tcPr>
            <w:tcW w:w="992" w:type="dxa"/>
            <w:tcBorders>
              <w:top w:val="single" w:sz="2" w:space="0" w:color="auto"/>
            </w:tcBorders>
          </w:tcPr>
          <w:p w14:paraId="23F7DD06" w14:textId="77777777" w:rsidR="00AC1280" w:rsidRPr="00E5521C" w:rsidRDefault="00AC1280" w:rsidP="00AC1280">
            <w:pPr>
              <w:pStyle w:val="T2"/>
              <w:jc w:val="right"/>
              <w:rPr>
                <w:b/>
              </w:rPr>
            </w:pPr>
          </w:p>
        </w:tc>
        <w:tc>
          <w:tcPr>
            <w:tcW w:w="992" w:type="dxa"/>
            <w:tcBorders>
              <w:top w:val="single" w:sz="2" w:space="0" w:color="auto"/>
            </w:tcBorders>
          </w:tcPr>
          <w:p w14:paraId="76E6FBE7" w14:textId="77777777" w:rsidR="00AC1280" w:rsidRPr="00C0338D" w:rsidRDefault="00AC1280" w:rsidP="00AC1280">
            <w:pPr>
              <w:pStyle w:val="T2"/>
              <w:jc w:val="right"/>
            </w:pPr>
          </w:p>
        </w:tc>
        <w:tc>
          <w:tcPr>
            <w:tcW w:w="992" w:type="dxa"/>
            <w:tcBorders>
              <w:top w:val="single" w:sz="2" w:space="0" w:color="auto"/>
            </w:tcBorders>
          </w:tcPr>
          <w:p w14:paraId="165ACD20" w14:textId="77777777" w:rsidR="00AC1280" w:rsidRPr="00C0338D" w:rsidRDefault="00AC1280" w:rsidP="00AC1280">
            <w:pPr>
              <w:pStyle w:val="T2"/>
              <w:jc w:val="right"/>
            </w:pPr>
          </w:p>
        </w:tc>
        <w:tc>
          <w:tcPr>
            <w:tcW w:w="992" w:type="dxa"/>
            <w:tcBorders>
              <w:top w:val="single" w:sz="2" w:space="0" w:color="auto"/>
            </w:tcBorders>
          </w:tcPr>
          <w:p w14:paraId="347BF002" w14:textId="77777777" w:rsidR="00AC1280" w:rsidRPr="00C0338D" w:rsidRDefault="00AC1280" w:rsidP="00AC1280">
            <w:pPr>
              <w:pStyle w:val="T2"/>
              <w:jc w:val="right"/>
            </w:pPr>
          </w:p>
        </w:tc>
        <w:tc>
          <w:tcPr>
            <w:tcW w:w="992" w:type="dxa"/>
            <w:tcBorders>
              <w:top w:val="single" w:sz="2" w:space="0" w:color="auto"/>
            </w:tcBorders>
            <w:vAlign w:val="bottom"/>
          </w:tcPr>
          <w:p w14:paraId="11B35D16" w14:textId="77777777" w:rsidR="00AC1280" w:rsidRPr="00C0338D" w:rsidRDefault="00AC1280" w:rsidP="00AC1280">
            <w:pPr>
              <w:pStyle w:val="T2"/>
              <w:jc w:val="right"/>
            </w:pPr>
          </w:p>
        </w:tc>
        <w:tc>
          <w:tcPr>
            <w:tcW w:w="993" w:type="dxa"/>
            <w:tcBorders>
              <w:top w:val="single" w:sz="2" w:space="0" w:color="auto"/>
            </w:tcBorders>
            <w:vAlign w:val="bottom"/>
          </w:tcPr>
          <w:p w14:paraId="2906DF19" w14:textId="77777777" w:rsidR="00AC1280" w:rsidRPr="00C0338D" w:rsidRDefault="00AC1280" w:rsidP="00AC1280">
            <w:pPr>
              <w:pStyle w:val="T2"/>
              <w:jc w:val="right"/>
            </w:pPr>
          </w:p>
        </w:tc>
      </w:tr>
    </w:tbl>
    <w:p w14:paraId="60A6682E" w14:textId="6AF7A26C" w:rsidR="00A53038" w:rsidRDefault="00A53038" w:rsidP="004B20A6">
      <w:pPr>
        <w:pStyle w:val="Paragraph"/>
        <w:spacing w:before="0" w:after="120"/>
        <w:rPr>
          <w:b/>
        </w:rPr>
      </w:pPr>
    </w:p>
    <w:p w14:paraId="2EDB832E" w14:textId="0F50FEBE" w:rsidR="00773F7B" w:rsidRDefault="00773F7B" w:rsidP="005B3BEE">
      <w:pPr>
        <w:pStyle w:val="Paragraph"/>
        <w:spacing w:before="0" w:after="120"/>
        <w:rPr>
          <w:b/>
        </w:rPr>
      </w:pPr>
      <w:r>
        <w:rPr>
          <w:b/>
        </w:rPr>
        <w:t xml:space="preserve">Derivatives </w:t>
      </w:r>
      <w:r w:rsidRPr="00662216">
        <w:rPr>
          <w:b/>
        </w:rPr>
        <w:t xml:space="preserve">Fair value hierarchy </w:t>
      </w:r>
      <w:r>
        <w:rPr>
          <w:b/>
        </w:rPr>
        <w:t>–</w:t>
      </w:r>
      <w:r w:rsidRPr="00662216">
        <w:rPr>
          <w:b/>
        </w:rPr>
        <w:t xml:space="preserve"> IFRS 13 (level 2 inputs)*</w:t>
      </w:r>
      <w:r w:rsidR="00AC1280">
        <w:rPr>
          <w:b/>
        </w:rPr>
        <w:t>*</w:t>
      </w:r>
    </w:p>
    <w:tbl>
      <w:tblPr>
        <w:tblStyle w:val="TableGrid"/>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5"/>
        <w:gridCol w:w="1027"/>
        <w:gridCol w:w="1028"/>
        <w:gridCol w:w="1030"/>
      </w:tblGrid>
      <w:tr w:rsidR="00773F7B" w14:paraId="6BC60EB5" w14:textId="77777777" w:rsidTr="008B4755">
        <w:trPr>
          <w:jc w:val="center"/>
        </w:trPr>
        <w:tc>
          <w:tcPr>
            <w:tcW w:w="6695" w:type="dxa"/>
          </w:tcPr>
          <w:p w14:paraId="3644521B" w14:textId="77777777" w:rsidR="00773F7B" w:rsidRPr="00C0338D" w:rsidRDefault="00773F7B" w:rsidP="00773F7B">
            <w:pPr>
              <w:pStyle w:val="T2"/>
            </w:pPr>
          </w:p>
        </w:tc>
        <w:tc>
          <w:tcPr>
            <w:tcW w:w="1027" w:type="dxa"/>
            <w:vAlign w:val="bottom"/>
          </w:tcPr>
          <w:p w14:paraId="760E99D7" w14:textId="657215B3" w:rsidR="00773F7B" w:rsidRPr="00C0338D" w:rsidRDefault="00773F7B" w:rsidP="00773F7B">
            <w:pPr>
              <w:pStyle w:val="T2"/>
              <w:jc w:val="right"/>
              <w:rPr>
                <w:b/>
              </w:rPr>
            </w:pPr>
            <w:r w:rsidRPr="00C0338D">
              <w:rPr>
                <w:b/>
              </w:rPr>
              <w:t>March 20</w:t>
            </w:r>
            <w:r w:rsidR="0088383C">
              <w:rPr>
                <w:b/>
              </w:rPr>
              <w:t>2</w:t>
            </w:r>
            <w:r w:rsidR="00D46F9A">
              <w:rPr>
                <w:b/>
              </w:rPr>
              <w:t>2</w:t>
            </w:r>
          </w:p>
        </w:tc>
        <w:tc>
          <w:tcPr>
            <w:tcW w:w="1028" w:type="dxa"/>
            <w:vAlign w:val="bottom"/>
          </w:tcPr>
          <w:p w14:paraId="2930CA9D" w14:textId="6A356CA9" w:rsidR="00773F7B" w:rsidRPr="00C0338D" w:rsidRDefault="00773F7B" w:rsidP="008B4755">
            <w:pPr>
              <w:pStyle w:val="T2"/>
              <w:jc w:val="right"/>
            </w:pPr>
            <w:r w:rsidRPr="00C0338D">
              <w:t>September 20</w:t>
            </w:r>
            <w:r w:rsidR="008B4755">
              <w:t>2</w:t>
            </w:r>
            <w:r w:rsidR="00D46F9A">
              <w:t>1</w:t>
            </w:r>
          </w:p>
        </w:tc>
        <w:tc>
          <w:tcPr>
            <w:tcW w:w="1030" w:type="dxa"/>
            <w:vAlign w:val="bottom"/>
          </w:tcPr>
          <w:p w14:paraId="4FD9A61A" w14:textId="0C752748" w:rsidR="00773F7B" w:rsidRPr="00C0338D" w:rsidRDefault="00773F7B" w:rsidP="008B4755">
            <w:pPr>
              <w:pStyle w:val="T2"/>
              <w:jc w:val="right"/>
            </w:pPr>
            <w:r w:rsidRPr="00C0338D">
              <w:t>March 20</w:t>
            </w:r>
            <w:r w:rsidR="008B4755">
              <w:t>2</w:t>
            </w:r>
            <w:r w:rsidR="00D46F9A">
              <w:t>1</w:t>
            </w:r>
          </w:p>
        </w:tc>
      </w:tr>
      <w:tr w:rsidR="00773F7B" w14:paraId="08F92504" w14:textId="77777777" w:rsidTr="004B6C20">
        <w:trPr>
          <w:jc w:val="center"/>
        </w:trPr>
        <w:tc>
          <w:tcPr>
            <w:tcW w:w="6695" w:type="dxa"/>
            <w:vAlign w:val="bottom"/>
          </w:tcPr>
          <w:p w14:paraId="282F18BC" w14:textId="77777777" w:rsidR="00773F7B" w:rsidRPr="00C0338D" w:rsidRDefault="00773F7B" w:rsidP="00773F7B">
            <w:pPr>
              <w:pStyle w:val="T2"/>
              <w:jc w:val="left"/>
            </w:pPr>
          </w:p>
        </w:tc>
        <w:tc>
          <w:tcPr>
            <w:tcW w:w="1027" w:type="dxa"/>
            <w:vAlign w:val="bottom"/>
          </w:tcPr>
          <w:p w14:paraId="31D4BC30" w14:textId="6E001728" w:rsidR="00773F7B" w:rsidRPr="00C0338D" w:rsidRDefault="00773F7B" w:rsidP="00773F7B">
            <w:pPr>
              <w:pStyle w:val="T2"/>
              <w:jc w:val="right"/>
              <w:rPr>
                <w:b/>
              </w:rPr>
            </w:pPr>
            <w:r w:rsidRPr="00C0338D">
              <w:rPr>
                <w:b/>
              </w:rPr>
              <w:t>Level 2</w:t>
            </w:r>
            <w:r w:rsidR="00C279C6">
              <w:rPr>
                <w:b/>
              </w:rPr>
              <w:t>*</w:t>
            </w:r>
            <w:r w:rsidRPr="00C0338D">
              <w:rPr>
                <w:b/>
              </w:rPr>
              <w:t xml:space="preserve">* </w:t>
            </w:r>
          </w:p>
        </w:tc>
        <w:tc>
          <w:tcPr>
            <w:tcW w:w="1028" w:type="dxa"/>
            <w:vAlign w:val="bottom"/>
          </w:tcPr>
          <w:p w14:paraId="494459C0" w14:textId="14855192" w:rsidR="00773F7B" w:rsidRPr="00C0338D" w:rsidRDefault="00773F7B" w:rsidP="00773F7B">
            <w:pPr>
              <w:pStyle w:val="T2"/>
              <w:jc w:val="right"/>
            </w:pPr>
            <w:r w:rsidRPr="00C0338D">
              <w:t>Level 2</w:t>
            </w:r>
            <w:r w:rsidR="00C279C6">
              <w:t>*</w:t>
            </w:r>
            <w:r w:rsidRPr="00C0338D">
              <w:t xml:space="preserve">* </w:t>
            </w:r>
          </w:p>
        </w:tc>
        <w:tc>
          <w:tcPr>
            <w:tcW w:w="1030" w:type="dxa"/>
            <w:vAlign w:val="bottom"/>
          </w:tcPr>
          <w:p w14:paraId="5E33EC32" w14:textId="59970137" w:rsidR="00773F7B" w:rsidRPr="00C0338D" w:rsidRDefault="00773F7B" w:rsidP="00773F7B">
            <w:pPr>
              <w:pStyle w:val="T2"/>
              <w:jc w:val="right"/>
            </w:pPr>
            <w:r w:rsidRPr="00C0338D">
              <w:t>Level 2</w:t>
            </w:r>
            <w:r w:rsidR="00C279C6">
              <w:t>*</w:t>
            </w:r>
            <w:r w:rsidRPr="00C0338D">
              <w:t xml:space="preserve">* </w:t>
            </w:r>
          </w:p>
        </w:tc>
      </w:tr>
      <w:tr w:rsidR="00773F7B" w14:paraId="23026991" w14:textId="77777777" w:rsidTr="004B6C20">
        <w:trPr>
          <w:jc w:val="center"/>
        </w:trPr>
        <w:tc>
          <w:tcPr>
            <w:tcW w:w="6695" w:type="dxa"/>
            <w:tcBorders>
              <w:bottom w:val="single" w:sz="4" w:space="0" w:color="auto"/>
            </w:tcBorders>
            <w:vAlign w:val="bottom"/>
          </w:tcPr>
          <w:p w14:paraId="590DBEAD" w14:textId="77777777" w:rsidR="00773F7B" w:rsidRPr="00C0338D" w:rsidRDefault="00773F7B" w:rsidP="00773F7B">
            <w:pPr>
              <w:pStyle w:val="T2"/>
              <w:jc w:val="left"/>
            </w:pPr>
          </w:p>
        </w:tc>
        <w:tc>
          <w:tcPr>
            <w:tcW w:w="1027" w:type="dxa"/>
            <w:tcBorders>
              <w:bottom w:val="single" w:sz="4" w:space="0" w:color="auto"/>
            </w:tcBorders>
            <w:vAlign w:val="bottom"/>
          </w:tcPr>
          <w:p w14:paraId="7F58E3D6" w14:textId="77777777" w:rsidR="00773F7B" w:rsidRPr="00C0338D" w:rsidRDefault="00773F7B" w:rsidP="00773F7B">
            <w:pPr>
              <w:pStyle w:val="T2"/>
              <w:jc w:val="right"/>
              <w:rPr>
                <w:b/>
              </w:rPr>
            </w:pPr>
            <w:r w:rsidRPr="00C0338D">
              <w:rPr>
                <w:b/>
              </w:rPr>
              <w:t>£m</w:t>
            </w:r>
          </w:p>
        </w:tc>
        <w:tc>
          <w:tcPr>
            <w:tcW w:w="1028" w:type="dxa"/>
            <w:tcBorders>
              <w:bottom w:val="single" w:sz="4" w:space="0" w:color="auto"/>
            </w:tcBorders>
            <w:vAlign w:val="bottom"/>
          </w:tcPr>
          <w:p w14:paraId="102985A7" w14:textId="77777777" w:rsidR="00773F7B" w:rsidRPr="00C0338D" w:rsidRDefault="00773F7B" w:rsidP="00773F7B">
            <w:pPr>
              <w:pStyle w:val="T2"/>
              <w:jc w:val="right"/>
            </w:pPr>
            <w:r w:rsidRPr="00C0338D">
              <w:t>£m</w:t>
            </w:r>
          </w:p>
        </w:tc>
        <w:tc>
          <w:tcPr>
            <w:tcW w:w="1030" w:type="dxa"/>
            <w:tcBorders>
              <w:bottom w:val="single" w:sz="4" w:space="0" w:color="auto"/>
            </w:tcBorders>
            <w:vAlign w:val="bottom"/>
          </w:tcPr>
          <w:p w14:paraId="23F9035A" w14:textId="77777777" w:rsidR="00773F7B" w:rsidRPr="00C0338D" w:rsidRDefault="00773F7B" w:rsidP="00773F7B">
            <w:pPr>
              <w:pStyle w:val="T2"/>
              <w:jc w:val="right"/>
            </w:pPr>
            <w:r w:rsidRPr="00C0338D">
              <w:t>£m</w:t>
            </w:r>
          </w:p>
        </w:tc>
      </w:tr>
      <w:tr w:rsidR="00295B99" w14:paraId="7B3699FE" w14:textId="77777777" w:rsidTr="004B6C20">
        <w:trPr>
          <w:jc w:val="center"/>
        </w:trPr>
        <w:tc>
          <w:tcPr>
            <w:tcW w:w="6695" w:type="dxa"/>
            <w:tcBorders>
              <w:top w:val="single" w:sz="4" w:space="0" w:color="auto"/>
            </w:tcBorders>
            <w:vAlign w:val="bottom"/>
          </w:tcPr>
          <w:p w14:paraId="7DA25B49" w14:textId="01FE2E2B" w:rsidR="00295B99" w:rsidRPr="004B6C20" w:rsidRDefault="00295B99" w:rsidP="00773F7B">
            <w:pPr>
              <w:pStyle w:val="T2"/>
              <w:jc w:val="left"/>
              <w:rPr>
                <w:b/>
                <w:bCs/>
              </w:rPr>
            </w:pPr>
            <w:r w:rsidRPr="004B6C20">
              <w:rPr>
                <w:b/>
                <w:bCs/>
              </w:rPr>
              <w:t>Non-current</w:t>
            </w:r>
          </w:p>
        </w:tc>
        <w:tc>
          <w:tcPr>
            <w:tcW w:w="1027" w:type="dxa"/>
            <w:tcBorders>
              <w:top w:val="single" w:sz="4" w:space="0" w:color="auto"/>
            </w:tcBorders>
            <w:vAlign w:val="bottom"/>
          </w:tcPr>
          <w:p w14:paraId="5894EF76" w14:textId="77777777" w:rsidR="00295B99" w:rsidRPr="00C0338D" w:rsidRDefault="00295B99" w:rsidP="00773F7B">
            <w:pPr>
              <w:pStyle w:val="T2"/>
              <w:jc w:val="right"/>
              <w:rPr>
                <w:b/>
              </w:rPr>
            </w:pPr>
          </w:p>
        </w:tc>
        <w:tc>
          <w:tcPr>
            <w:tcW w:w="1028" w:type="dxa"/>
            <w:tcBorders>
              <w:top w:val="single" w:sz="4" w:space="0" w:color="auto"/>
            </w:tcBorders>
            <w:vAlign w:val="bottom"/>
          </w:tcPr>
          <w:p w14:paraId="64B36A17" w14:textId="77777777" w:rsidR="00295B99" w:rsidRPr="00C0338D" w:rsidRDefault="00295B99" w:rsidP="00773F7B">
            <w:pPr>
              <w:pStyle w:val="T2"/>
              <w:jc w:val="right"/>
            </w:pPr>
          </w:p>
        </w:tc>
        <w:tc>
          <w:tcPr>
            <w:tcW w:w="1030" w:type="dxa"/>
            <w:tcBorders>
              <w:top w:val="single" w:sz="4" w:space="0" w:color="auto"/>
            </w:tcBorders>
            <w:vAlign w:val="bottom"/>
          </w:tcPr>
          <w:p w14:paraId="51F9E798" w14:textId="77777777" w:rsidR="00295B99" w:rsidRPr="00C0338D" w:rsidRDefault="00295B99" w:rsidP="00773F7B">
            <w:pPr>
              <w:pStyle w:val="T2"/>
              <w:jc w:val="right"/>
            </w:pPr>
          </w:p>
        </w:tc>
      </w:tr>
      <w:tr w:rsidR="00773F7B" w14:paraId="4DFE1EF2" w14:textId="77777777" w:rsidTr="004B6C20">
        <w:trPr>
          <w:jc w:val="center"/>
        </w:trPr>
        <w:tc>
          <w:tcPr>
            <w:tcW w:w="6695" w:type="dxa"/>
            <w:vAlign w:val="bottom"/>
          </w:tcPr>
          <w:p w14:paraId="2E98994C" w14:textId="395CDD42" w:rsidR="00773F7B" w:rsidRPr="00C0338D" w:rsidRDefault="00773F7B" w:rsidP="00773F7B">
            <w:pPr>
              <w:pStyle w:val="T2"/>
              <w:jc w:val="left"/>
              <w:rPr>
                <w:b/>
              </w:rPr>
            </w:pPr>
            <w:r w:rsidRPr="00C0338D">
              <w:rPr>
                <w:b/>
              </w:rPr>
              <w:t xml:space="preserve">Assets carried at fair value </w:t>
            </w:r>
          </w:p>
        </w:tc>
        <w:tc>
          <w:tcPr>
            <w:tcW w:w="1027" w:type="dxa"/>
            <w:vAlign w:val="bottom"/>
          </w:tcPr>
          <w:p w14:paraId="2F3DC63D" w14:textId="77777777" w:rsidR="00773F7B" w:rsidRPr="00B074E8" w:rsidRDefault="00773F7B" w:rsidP="00773F7B">
            <w:pPr>
              <w:pStyle w:val="T2"/>
              <w:jc w:val="right"/>
            </w:pPr>
          </w:p>
        </w:tc>
        <w:tc>
          <w:tcPr>
            <w:tcW w:w="1028" w:type="dxa"/>
            <w:vAlign w:val="bottom"/>
          </w:tcPr>
          <w:p w14:paraId="6FEACC87" w14:textId="77777777" w:rsidR="00773F7B" w:rsidRPr="00C0338D" w:rsidRDefault="00773F7B" w:rsidP="00773F7B">
            <w:pPr>
              <w:pStyle w:val="T2"/>
              <w:jc w:val="right"/>
            </w:pPr>
          </w:p>
        </w:tc>
        <w:tc>
          <w:tcPr>
            <w:tcW w:w="1030" w:type="dxa"/>
            <w:vAlign w:val="bottom"/>
          </w:tcPr>
          <w:p w14:paraId="1DB543FE" w14:textId="77777777" w:rsidR="00773F7B" w:rsidRPr="00C0338D" w:rsidRDefault="00773F7B" w:rsidP="00773F7B">
            <w:pPr>
              <w:pStyle w:val="T2"/>
              <w:jc w:val="right"/>
            </w:pPr>
          </w:p>
        </w:tc>
      </w:tr>
      <w:tr w:rsidR="00D46F9A" w14:paraId="721E6704" w14:textId="77777777" w:rsidTr="00A53038">
        <w:trPr>
          <w:jc w:val="center"/>
        </w:trPr>
        <w:tc>
          <w:tcPr>
            <w:tcW w:w="6695" w:type="dxa"/>
            <w:tcBorders>
              <w:bottom w:val="single" w:sz="2" w:space="0" w:color="auto"/>
            </w:tcBorders>
            <w:vAlign w:val="bottom"/>
          </w:tcPr>
          <w:p w14:paraId="28F6022E" w14:textId="5E6B4477" w:rsidR="00D46F9A" w:rsidRPr="00C0338D" w:rsidRDefault="00C4231B" w:rsidP="00D46F9A">
            <w:pPr>
              <w:pStyle w:val="T2"/>
              <w:jc w:val="left"/>
            </w:pPr>
            <w:r w:rsidRPr="00C0338D">
              <w:t xml:space="preserve">Interest rate swaps </w:t>
            </w:r>
            <w:r>
              <w:t>–</w:t>
            </w:r>
            <w:r w:rsidRPr="00C0338D">
              <w:t xml:space="preserve"> cash flow hedges</w:t>
            </w:r>
          </w:p>
        </w:tc>
        <w:tc>
          <w:tcPr>
            <w:tcW w:w="1027" w:type="dxa"/>
            <w:tcBorders>
              <w:bottom w:val="single" w:sz="2" w:space="0" w:color="auto"/>
            </w:tcBorders>
          </w:tcPr>
          <w:p w14:paraId="00BE7781" w14:textId="1E387FEA" w:rsidR="00D46F9A" w:rsidRPr="00E5521C" w:rsidRDefault="00C4231B" w:rsidP="00D46F9A">
            <w:pPr>
              <w:pStyle w:val="T2"/>
              <w:jc w:val="right"/>
              <w:rPr>
                <w:b/>
              </w:rPr>
            </w:pPr>
            <w:r>
              <w:rPr>
                <w:b/>
                <w:bCs/>
              </w:rPr>
              <w:t>2.5</w:t>
            </w:r>
          </w:p>
        </w:tc>
        <w:tc>
          <w:tcPr>
            <w:tcW w:w="1028" w:type="dxa"/>
            <w:tcBorders>
              <w:bottom w:val="single" w:sz="2" w:space="0" w:color="auto"/>
            </w:tcBorders>
          </w:tcPr>
          <w:p w14:paraId="25FB4CB5" w14:textId="4A52930C" w:rsidR="00D46F9A" w:rsidRDefault="00D46F9A" w:rsidP="00D46F9A">
            <w:pPr>
              <w:pStyle w:val="T2"/>
              <w:jc w:val="right"/>
            </w:pPr>
            <w:r w:rsidRPr="00D46F9A">
              <w:t>–</w:t>
            </w:r>
          </w:p>
        </w:tc>
        <w:tc>
          <w:tcPr>
            <w:tcW w:w="1030" w:type="dxa"/>
            <w:tcBorders>
              <w:bottom w:val="single" w:sz="2" w:space="0" w:color="auto"/>
            </w:tcBorders>
          </w:tcPr>
          <w:p w14:paraId="34BA821D" w14:textId="2894DE57" w:rsidR="00D46F9A" w:rsidRPr="00D46F9A" w:rsidRDefault="00D46F9A" w:rsidP="00D46F9A">
            <w:pPr>
              <w:pStyle w:val="T2"/>
              <w:jc w:val="right"/>
            </w:pPr>
            <w:r w:rsidRPr="00D46F9A">
              <w:t>–</w:t>
            </w:r>
          </w:p>
        </w:tc>
      </w:tr>
      <w:tr w:rsidR="00D46F9A" w14:paraId="013F050D" w14:textId="77777777" w:rsidTr="004B6C20">
        <w:trPr>
          <w:jc w:val="center"/>
        </w:trPr>
        <w:tc>
          <w:tcPr>
            <w:tcW w:w="6695" w:type="dxa"/>
            <w:tcBorders>
              <w:top w:val="single" w:sz="2" w:space="0" w:color="auto"/>
              <w:bottom w:val="single" w:sz="4" w:space="0" w:color="auto"/>
            </w:tcBorders>
            <w:vAlign w:val="bottom"/>
          </w:tcPr>
          <w:p w14:paraId="00621581" w14:textId="77777777" w:rsidR="00D46F9A" w:rsidRPr="00C0338D" w:rsidRDefault="00D46F9A" w:rsidP="00D46F9A">
            <w:pPr>
              <w:pStyle w:val="T2"/>
              <w:jc w:val="left"/>
            </w:pPr>
            <w:r w:rsidRPr="00C0338D">
              <w:t> </w:t>
            </w:r>
          </w:p>
        </w:tc>
        <w:tc>
          <w:tcPr>
            <w:tcW w:w="1027" w:type="dxa"/>
            <w:tcBorders>
              <w:top w:val="single" w:sz="2" w:space="0" w:color="auto"/>
              <w:bottom w:val="single" w:sz="4" w:space="0" w:color="auto"/>
            </w:tcBorders>
          </w:tcPr>
          <w:p w14:paraId="4DDFB387" w14:textId="5B4AF29B" w:rsidR="00D46F9A" w:rsidRPr="00E5521C" w:rsidRDefault="00C4231B" w:rsidP="00D46F9A">
            <w:pPr>
              <w:pStyle w:val="T2"/>
              <w:jc w:val="right"/>
              <w:rPr>
                <w:b/>
              </w:rPr>
            </w:pPr>
            <w:r>
              <w:rPr>
                <w:b/>
                <w:bCs/>
              </w:rPr>
              <w:t>2.5</w:t>
            </w:r>
          </w:p>
        </w:tc>
        <w:tc>
          <w:tcPr>
            <w:tcW w:w="1028" w:type="dxa"/>
            <w:tcBorders>
              <w:top w:val="single" w:sz="2" w:space="0" w:color="auto"/>
              <w:bottom w:val="single" w:sz="4" w:space="0" w:color="auto"/>
            </w:tcBorders>
          </w:tcPr>
          <w:p w14:paraId="19F72EB1" w14:textId="446DA28E" w:rsidR="00D46F9A" w:rsidRPr="00C0338D" w:rsidRDefault="00D46F9A" w:rsidP="00D46F9A">
            <w:pPr>
              <w:pStyle w:val="T2"/>
              <w:jc w:val="right"/>
            </w:pPr>
            <w:r w:rsidRPr="00D46F9A">
              <w:t>–</w:t>
            </w:r>
          </w:p>
        </w:tc>
        <w:tc>
          <w:tcPr>
            <w:tcW w:w="1030" w:type="dxa"/>
            <w:tcBorders>
              <w:top w:val="single" w:sz="2" w:space="0" w:color="auto"/>
              <w:bottom w:val="single" w:sz="4" w:space="0" w:color="auto"/>
            </w:tcBorders>
          </w:tcPr>
          <w:p w14:paraId="3AC70CB3" w14:textId="7098A71A" w:rsidR="00D46F9A" w:rsidRPr="00D46F9A" w:rsidRDefault="00D46F9A" w:rsidP="00D46F9A">
            <w:pPr>
              <w:pStyle w:val="T2"/>
              <w:jc w:val="right"/>
            </w:pPr>
            <w:r w:rsidRPr="00D46F9A">
              <w:t>–</w:t>
            </w:r>
          </w:p>
        </w:tc>
      </w:tr>
      <w:tr w:rsidR="00773F7B" w14:paraId="14691999" w14:textId="77777777" w:rsidTr="00A53038">
        <w:trPr>
          <w:jc w:val="center"/>
        </w:trPr>
        <w:tc>
          <w:tcPr>
            <w:tcW w:w="6695" w:type="dxa"/>
            <w:tcBorders>
              <w:top w:val="single" w:sz="4" w:space="0" w:color="auto"/>
            </w:tcBorders>
            <w:vAlign w:val="bottom"/>
          </w:tcPr>
          <w:p w14:paraId="78FEED11" w14:textId="04A7C18A" w:rsidR="00773F7B" w:rsidRPr="00C0338D" w:rsidRDefault="00295B99" w:rsidP="00773F7B">
            <w:pPr>
              <w:pStyle w:val="T2"/>
              <w:jc w:val="left"/>
              <w:rPr>
                <w:b/>
              </w:rPr>
            </w:pPr>
            <w:r>
              <w:rPr>
                <w:b/>
              </w:rPr>
              <w:t>Non-current</w:t>
            </w:r>
          </w:p>
        </w:tc>
        <w:tc>
          <w:tcPr>
            <w:tcW w:w="1027" w:type="dxa"/>
            <w:tcBorders>
              <w:top w:val="single" w:sz="4" w:space="0" w:color="auto"/>
            </w:tcBorders>
            <w:vAlign w:val="bottom"/>
          </w:tcPr>
          <w:p w14:paraId="66D9ADFE" w14:textId="77777777" w:rsidR="00773F7B" w:rsidRPr="00E5521C" w:rsidRDefault="00773F7B" w:rsidP="00773F7B">
            <w:pPr>
              <w:pStyle w:val="T2"/>
              <w:jc w:val="right"/>
              <w:rPr>
                <w:b/>
              </w:rPr>
            </w:pPr>
          </w:p>
        </w:tc>
        <w:tc>
          <w:tcPr>
            <w:tcW w:w="1028" w:type="dxa"/>
            <w:tcBorders>
              <w:top w:val="single" w:sz="4" w:space="0" w:color="auto"/>
            </w:tcBorders>
            <w:vAlign w:val="bottom"/>
          </w:tcPr>
          <w:p w14:paraId="47F4DD30" w14:textId="77777777" w:rsidR="00773F7B" w:rsidRPr="00C0338D" w:rsidRDefault="00773F7B" w:rsidP="00773F7B">
            <w:pPr>
              <w:pStyle w:val="T2"/>
              <w:jc w:val="right"/>
            </w:pPr>
          </w:p>
        </w:tc>
        <w:tc>
          <w:tcPr>
            <w:tcW w:w="1030" w:type="dxa"/>
            <w:tcBorders>
              <w:top w:val="single" w:sz="4" w:space="0" w:color="auto"/>
            </w:tcBorders>
            <w:vAlign w:val="bottom"/>
          </w:tcPr>
          <w:p w14:paraId="17D65434" w14:textId="77777777" w:rsidR="00773F7B" w:rsidRPr="00C0338D" w:rsidRDefault="00773F7B" w:rsidP="00773F7B">
            <w:pPr>
              <w:pStyle w:val="T2"/>
              <w:jc w:val="right"/>
            </w:pPr>
          </w:p>
        </w:tc>
      </w:tr>
      <w:tr w:rsidR="00295B99" w14:paraId="5A700ED6" w14:textId="77777777" w:rsidTr="004B6C20">
        <w:trPr>
          <w:jc w:val="center"/>
        </w:trPr>
        <w:tc>
          <w:tcPr>
            <w:tcW w:w="6695" w:type="dxa"/>
            <w:vAlign w:val="bottom"/>
          </w:tcPr>
          <w:p w14:paraId="0326691E" w14:textId="2A31D00F" w:rsidR="00295B99" w:rsidRPr="00C0338D" w:rsidRDefault="00295B99" w:rsidP="00773F7B">
            <w:pPr>
              <w:pStyle w:val="T2"/>
              <w:jc w:val="left"/>
              <w:rPr>
                <w:b/>
              </w:rPr>
            </w:pPr>
            <w:r w:rsidRPr="00C0338D">
              <w:rPr>
                <w:b/>
              </w:rPr>
              <w:lastRenderedPageBreak/>
              <w:t>Liabilities carried at fair value</w:t>
            </w:r>
          </w:p>
        </w:tc>
        <w:tc>
          <w:tcPr>
            <w:tcW w:w="1027" w:type="dxa"/>
            <w:vAlign w:val="bottom"/>
          </w:tcPr>
          <w:p w14:paraId="739B53B3" w14:textId="77777777" w:rsidR="00295B99" w:rsidRPr="00E5521C" w:rsidRDefault="00295B99" w:rsidP="00773F7B">
            <w:pPr>
              <w:pStyle w:val="T2"/>
              <w:jc w:val="right"/>
              <w:rPr>
                <w:b/>
              </w:rPr>
            </w:pPr>
          </w:p>
        </w:tc>
        <w:tc>
          <w:tcPr>
            <w:tcW w:w="1028" w:type="dxa"/>
            <w:vAlign w:val="bottom"/>
          </w:tcPr>
          <w:p w14:paraId="28E6F5E3" w14:textId="77777777" w:rsidR="00295B99" w:rsidRPr="00C0338D" w:rsidRDefault="00295B99" w:rsidP="00773F7B">
            <w:pPr>
              <w:pStyle w:val="T2"/>
              <w:jc w:val="right"/>
            </w:pPr>
          </w:p>
        </w:tc>
        <w:tc>
          <w:tcPr>
            <w:tcW w:w="1030" w:type="dxa"/>
            <w:vAlign w:val="bottom"/>
          </w:tcPr>
          <w:p w14:paraId="3F73D99C" w14:textId="77777777" w:rsidR="00295B99" w:rsidRPr="00C0338D" w:rsidRDefault="00295B99" w:rsidP="00773F7B">
            <w:pPr>
              <w:pStyle w:val="T2"/>
              <w:jc w:val="right"/>
            </w:pPr>
          </w:p>
        </w:tc>
      </w:tr>
      <w:tr w:rsidR="00D46F9A" w14:paraId="06093307" w14:textId="77777777" w:rsidTr="0070610F">
        <w:trPr>
          <w:jc w:val="center"/>
        </w:trPr>
        <w:tc>
          <w:tcPr>
            <w:tcW w:w="6695" w:type="dxa"/>
            <w:vAlign w:val="bottom"/>
          </w:tcPr>
          <w:p w14:paraId="1F07B9BB" w14:textId="77777777" w:rsidR="00D46F9A" w:rsidRPr="00C0338D" w:rsidRDefault="00D46F9A" w:rsidP="00D46F9A">
            <w:pPr>
              <w:pStyle w:val="T2"/>
              <w:jc w:val="left"/>
            </w:pPr>
            <w:r w:rsidRPr="00C0338D">
              <w:t xml:space="preserve">Interest rate swaps </w:t>
            </w:r>
            <w:r>
              <w:t>–</w:t>
            </w:r>
            <w:r w:rsidRPr="00C0338D">
              <w:t xml:space="preserve"> cash flow hedges </w:t>
            </w:r>
          </w:p>
        </w:tc>
        <w:tc>
          <w:tcPr>
            <w:tcW w:w="1027" w:type="dxa"/>
          </w:tcPr>
          <w:p w14:paraId="066D08CA" w14:textId="34A2A434" w:rsidR="00D46F9A" w:rsidRPr="00E5521C" w:rsidRDefault="00D46F9A" w:rsidP="00D46F9A">
            <w:pPr>
              <w:pStyle w:val="T2"/>
              <w:jc w:val="right"/>
              <w:rPr>
                <w:b/>
              </w:rPr>
            </w:pPr>
            <w:r w:rsidRPr="00724190">
              <w:rPr>
                <w:b/>
                <w:bCs/>
              </w:rPr>
              <w:t>–</w:t>
            </w:r>
          </w:p>
        </w:tc>
        <w:tc>
          <w:tcPr>
            <w:tcW w:w="1028" w:type="dxa"/>
            <w:vAlign w:val="bottom"/>
          </w:tcPr>
          <w:p w14:paraId="1FF6D64C" w14:textId="32B88607" w:rsidR="00D46F9A" w:rsidRPr="00C0338D" w:rsidRDefault="00D46F9A" w:rsidP="00D46F9A">
            <w:pPr>
              <w:pStyle w:val="T2"/>
              <w:jc w:val="right"/>
            </w:pPr>
            <w:r>
              <w:t>(</w:t>
            </w:r>
            <w:r w:rsidR="00237D17">
              <w:t>0.</w:t>
            </w:r>
            <w:r w:rsidR="00295B99">
              <w:t>1</w:t>
            </w:r>
            <w:r>
              <w:t>)</w:t>
            </w:r>
          </w:p>
        </w:tc>
        <w:tc>
          <w:tcPr>
            <w:tcW w:w="1030" w:type="dxa"/>
          </w:tcPr>
          <w:p w14:paraId="5B87DBD4" w14:textId="6BFA8B8A" w:rsidR="00D46F9A" w:rsidRPr="00D46F9A" w:rsidRDefault="00DD69CB" w:rsidP="00D46F9A">
            <w:pPr>
              <w:pStyle w:val="T2"/>
              <w:jc w:val="right"/>
            </w:pPr>
            <w:r w:rsidRPr="00D46F9A">
              <w:t>–</w:t>
            </w:r>
            <w:r w:rsidRPr="00D46F9A" w:rsidDel="00DD69CB">
              <w:t xml:space="preserve"> </w:t>
            </w:r>
          </w:p>
        </w:tc>
      </w:tr>
      <w:tr w:rsidR="00D46F9A" w14:paraId="7AF2454B" w14:textId="77777777" w:rsidTr="004B6C20">
        <w:trPr>
          <w:jc w:val="center"/>
        </w:trPr>
        <w:tc>
          <w:tcPr>
            <w:tcW w:w="6695" w:type="dxa"/>
            <w:tcBorders>
              <w:bottom w:val="single" w:sz="2" w:space="0" w:color="auto"/>
            </w:tcBorders>
            <w:vAlign w:val="bottom"/>
          </w:tcPr>
          <w:p w14:paraId="29F7534F" w14:textId="77777777" w:rsidR="00D46F9A" w:rsidRPr="00C0338D" w:rsidRDefault="00D46F9A" w:rsidP="00D46F9A">
            <w:pPr>
              <w:pStyle w:val="T2"/>
              <w:jc w:val="left"/>
            </w:pPr>
            <w:r>
              <w:t xml:space="preserve">Cross–currency interest rate swaps – </w:t>
            </w:r>
            <w:r w:rsidRPr="00C0338D">
              <w:t>cash flow hedges</w:t>
            </w:r>
          </w:p>
        </w:tc>
        <w:tc>
          <w:tcPr>
            <w:tcW w:w="1027" w:type="dxa"/>
            <w:tcBorders>
              <w:bottom w:val="single" w:sz="2" w:space="0" w:color="auto"/>
            </w:tcBorders>
          </w:tcPr>
          <w:p w14:paraId="1043C748" w14:textId="12D59FE8" w:rsidR="00D46F9A" w:rsidRPr="003D0EDE" w:rsidRDefault="00C4231B" w:rsidP="00D46F9A">
            <w:pPr>
              <w:pStyle w:val="T2"/>
              <w:jc w:val="right"/>
              <w:rPr>
                <w:b/>
                <w:bCs/>
              </w:rPr>
            </w:pPr>
            <w:r>
              <w:rPr>
                <w:b/>
                <w:bCs/>
              </w:rPr>
              <w:t>(1.8)</w:t>
            </w:r>
          </w:p>
        </w:tc>
        <w:tc>
          <w:tcPr>
            <w:tcW w:w="1028" w:type="dxa"/>
            <w:tcBorders>
              <w:bottom w:val="single" w:sz="2" w:space="0" w:color="auto"/>
            </w:tcBorders>
            <w:vAlign w:val="bottom"/>
          </w:tcPr>
          <w:p w14:paraId="1340D6DF" w14:textId="05C8148A" w:rsidR="00D46F9A" w:rsidRDefault="00237D17" w:rsidP="00D46F9A">
            <w:pPr>
              <w:pStyle w:val="T2"/>
              <w:jc w:val="right"/>
            </w:pPr>
            <w:r>
              <w:t>(</w:t>
            </w:r>
            <w:r w:rsidR="00295B99">
              <w:t>2.6</w:t>
            </w:r>
            <w:r>
              <w:t>)</w:t>
            </w:r>
          </w:p>
        </w:tc>
        <w:tc>
          <w:tcPr>
            <w:tcW w:w="1030" w:type="dxa"/>
            <w:tcBorders>
              <w:bottom w:val="single" w:sz="2" w:space="0" w:color="auto"/>
            </w:tcBorders>
          </w:tcPr>
          <w:p w14:paraId="397FE7F4" w14:textId="67C898B8" w:rsidR="00D46F9A" w:rsidRPr="00D46F9A" w:rsidRDefault="00D46F9A" w:rsidP="00D46F9A">
            <w:pPr>
              <w:pStyle w:val="T2"/>
              <w:jc w:val="right"/>
            </w:pPr>
            <w:r w:rsidRPr="00D46F9A">
              <w:t>(</w:t>
            </w:r>
            <w:r w:rsidR="00DD69CB">
              <w:t>3.1</w:t>
            </w:r>
            <w:r w:rsidRPr="00D46F9A">
              <w:t>)</w:t>
            </w:r>
          </w:p>
        </w:tc>
      </w:tr>
      <w:tr w:rsidR="00295B99" w14:paraId="601A3CF1" w14:textId="77777777" w:rsidTr="00761C21">
        <w:trPr>
          <w:jc w:val="center"/>
        </w:trPr>
        <w:tc>
          <w:tcPr>
            <w:tcW w:w="6695" w:type="dxa"/>
            <w:tcBorders>
              <w:top w:val="single" w:sz="2" w:space="0" w:color="auto"/>
              <w:bottom w:val="single" w:sz="4" w:space="0" w:color="auto"/>
            </w:tcBorders>
            <w:vAlign w:val="bottom"/>
          </w:tcPr>
          <w:p w14:paraId="0CDF1847" w14:textId="77777777" w:rsidR="00295B99" w:rsidRPr="00C0338D" w:rsidRDefault="00295B99" w:rsidP="00D46F9A">
            <w:pPr>
              <w:pStyle w:val="T2"/>
              <w:jc w:val="left"/>
            </w:pPr>
          </w:p>
        </w:tc>
        <w:tc>
          <w:tcPr>
            <w:tcW w:w="1027" w:type="dxa"/>
            <w:tcBorders>
              <w:top w:val="single" w:sz="2" w:space="0" w:color="auto"/>
              <w:bottom w:val="single" w:sz="4" w:space="0" w:color="auto"/>
            </w:tcBorders>
          </w:tcPr>
          <w:p w14:paraId="65B319FB" w14:textId="154C63E4" w:rsidR="00295B99" w:rsidRDefault="00295B99" w:rsidP="00D46F9A">
            <w:pPr>
              <w:pStyle w:val="T2"/>
              <w:jc w:val="right"/>
              <w:rPr>
                <w:b/>
                <w:bCs/>
              </w:rPr>
            </w:pPr>
            <w:r>
              <w:rPr>
                <w:b/>
                <w:bCs/>
              </w:rPr>
              <w:t>(1.8)</w:t>
            </w:r>
          </w:p>
        </w:tc>
        <w:tc>
          <w:tcPr>
            <w:tcW w:w="1028" w:type="dxa"/>
            <w:tcBorders>
              <w:top w:val="single" w:sz="2" w:space="0" w:color="auto"/>
              <w:bottom w:val="single" w:sz="4" w:space="0" w:color="auto"/>
            </w:tcBorders>
            <w:vAlign w:val="bottom"/>
          </w:tcPr>
          <w:p w14:paraId="22F8A93F" w14:textId="4B28DB8D" w:rsidR="00295B99" w:rsidRDefault="00295B99" w:rsidP="00D46F9A">
            <w:pPr>
              <w:pStyle w:val="T2"/>
              <w:jc w:val="right"/>
            </w:pPr>
            <w:r>
              <w:t>(2.7)</w:t>
            </w:r>
          </w:p>
        </w:tc>
        <w:tc>
          <w:tcPr>
            <w:tcW w:w="1030" w:type="dxa"/>
            <w:tcBorders>
              <w:top w:val="single" w:sz="2" w:space="0" w:color="auto"/>
              <w:bottom w:val="single" w:sz="4" w:space="0" w:color="auto"/>
            </w:tcBorders>
          </w:tcPr>
          <w:p w14:paraId="3881A16A" w14:textId="464B7908" w:rsidR="00295B99" w:rsidRPr="00D46F9A" w:rsidRDefault="00DD69CB" w:rsidP="00D46F9A">
            <w:pPr>
              <w:pStyle w:val="T2"/>
              <w:jc w:val="right"/>
            </w:pPr>
            <w:r w:rsidRPr="00D46F9A">
              <w:t>(</w:t>
            </w:r>
            <w:r>
              <w:t>3.1</w:t>
            </w:r>
            <w:r w:rsidRPr="00D46F9A">
              <w:t>)</w:t>
            </w:r>
          </w:p>
        </w:tc>
      </w:tr>
      <w:tr w:rsidR="00295B99" w14:paraId="511E5421" w14:textId="77777777" w:rsidTr="00761C21">
        <w:trPr>
          <w:jc w:val="center"/>
        </w:trPr>
        <w:tc>
          <w:tcPr>
            <w:tcW w:w="6695" w:type="dxa"/>
            <w:tcBorders>
              <w:top w:val="single" w:sz="4" w:space="0" w:color="auto"/>
            </w:tcBorders>
            <w:vAlign w:val="bottom"/>
          </w:tcPr>
          <w:p w14:paraId="348D94D8" w14:textId="246094D6" w:rsidR="00295B99" w:rsidRPr="004B6C20" w:rsidRDefault="00295B99" w:rsidP="00D46F9A">
            <w:pPr>
              <w:pStyle w:val="T2"/>
              <w:jc w:val="left"/>
              <w:rPr>
                <w:b/>
                <w:bCs/>
              </w:rPr>
            </w:pPr>
            <w:r w:rsidRPr="004B6C20">
              <w:rPr>
                <w:b/>
                <w:bCs/>
              </w:rPr>
              <w:t>Current</w:t>
            </w:r>
          </w:p>
        </w:tc>
        <w:tc>
          <w:tcPr>
            <w:tcW w:w="1027" w:type="dxa"/>
            <w:tcBorders>
              <w:top w:val="single" w:sz="4" w:space="0" w:color="auto"/>
            </w:tcBorders>
          </w:tcPr>
          <w:p w14:paraId="3693EBAD" w14:textId="77777777" w:rsidR="00295B99" w:rsidRDefault="00295B99" w:rsidP="00D46F9A">
            <w:pPr>
              <w:pStyle w:val="T2"/>
              <w:jc w:val="right"/>
              <w:rPr>
                <w:b/>
                <w:bCs/>
              </w:rPr>
            </w:pPr>
          </w:p>
        </w:tc>
        <w:tc>
          <w:tcPr>
            <w:tcW w:w="1028" w:type="dxa"/>
            <w:tcBorders>
              <w:top w:val="single" w:sz="4" w:space="0" w:color="auto"/>
            </w:tcBorders>
            <w:vAlign w:val="bottom"/>
          </w:tcPr>
          <w:p w14:paraId="63C51114" w14:textId="77777777" w:rsidR="00295B99" w:rsidRDefault="00295B99" w:rsidP="00D46F9A">
            <w:pPr>
              <w:pStyle w:val="T2"/>
              <w:jc w:val="right"/>
            </w:pPr>
          </w:p>
        </w:tc>
        <w:tc>
          <w:tcPr>
            <w:tcW w:w="1030" w:type="dxa"/>
            <w:tcBorders>
              <w:top w:val="single" w:sz="4" w:space="0" w:color="auto"/>
            </w:tcBorders>
          </w:tcPr>
          <w:p w14:paraId="1A2D262D" w14:textId="77777777" w:rsidR="00295B99" w:rsidRPr="00D46F9A" w:rsidRDefault="00295B99" w:rsidP="00D46F9A">
            <w:pPr>
              <w:pStyle w:val="T2"/>
              <w:jc w:val="right"/>
            </w:pPr>
          </w:p>
        </w:tc>
      </w:tr>
      <w:tr w:rsidR="00295B99" w14:paraId="45E6D2FD" w14:textId="77777777" w:rsidTr="00761C21">
        <w:trPr>
          <w:jc w:val="center"/>
        </w:trPr>
        <w:tc>
          <w:tcPr>
            <w:tcW w:w="6695" w:type="dxa"/>
            <w:vAlign w:val="bottom"/>
          </w:tcPr>
          <w:p w14:paraId="138E5048" w14:textId="30AD5171" w:rsidR="00295B99" w:rsidRPr="00C0338D" w:rsidRDefault="00295B99" w:rsidP="00D46F9A">
            <w:pPr>
              <w:pStyle w:val="T2"/>
              <w:jc w:val="left"/>
            </w:pPr>
            <w:r w:rsidRPr="00C0338D">
              <w:rPr>
                <w:b/>
              </w:rPr>
              <w:t>Liabilities carried at fair value</w:t>
            </w:r>
          </w:p>
        </w:tc>
        <w:tc>
          <w:tcPr>
            <w:tcW w:w="1027" w:type="dxa"/>
          </w:tcPr>
          <w:p w14:paraId="55AA88E9" w14:textId="77777777" w:rsidR="00295B99" w:rsidRDefault="00295B99" w:rsidP="00D46F9A">
            <w:pPr>
              <w:pStyle w:val="T2"/>
              <w:jc w:val="right"/>
              <w:rPr>
                <w:b/>
                <w:bCs/>
              </w:rPr>
            </w:pPr>
          </w:p>
        </w:tc>
        <w:tc>
          <w:tcPr>
            <w:tcW w:w="1028" w:type="dxa"/>
            <w:vAlign w:val="bottom"/>
          </w:tcPr>
          <w:p w14:paraId="0A5339AD" w14:textId="77777777" w:rsidR="00295B99" w:rsidRDefault="00295B99" w:rsidP="00D46F9A">
            <w:pPr>
              <w:pStyle w:val="T2"/>
              <w:jc w:val="right"/>
            </w:pPr>
          </w:p>
        </w:tc>
        <w:tc>
          <w:tcPr>
            <w:tcW w:w="1030" w:type="dxa"/>
          </w:tcPr>
          <w:p w14:paraId="35D84BF5" w14:textId="77777777" w:rsidR="00295B99" w:rsidRPr="00D46F9A" w:rsidRDefault="00295B99" w:rsidP="00D46F9A">
            <w:pPr>
              <w:pStyle w:val="T2"/>
              <w:jc w:val="right"/>
            </w:pPr>
          </w:p>
        </w:tc>
      </w:tr>
      <w:tr w:rsidR="00295B99" w14:paraId="3E6AF3E9" w14:textId="77777777" w:rsidTr="004B6C20">
        <w:trPr>
          <w:jc w:val="center"/>
        </w:trPr>
        <w:tc>
          <w:tcPr>
            <w:tcW w:w="6695" w:type="dxa"/>
            <w:vAlign w:val="bottom"/>
          </w:tcPr>
          <w:p w14:paraId="69A0D6CB" w14:textId="7E58CD96" w:rsidR="00295B99" w:rsidRPr="00C0338D" w:rsidRDefault="00DD69CB" w:rsidP="00D46F9A">
            <w:pPr>
              <w:pStyle w:val="T2"/>
              <w:jc w:val="left"/>
            </w:pPr>
            <w:r w:rsidRPr="00C0338D">
              <w:t xml:space="preserve">Interest rate swaps </w:t>
            </w:r>
            <w:r>
              <w:t>–</w:t>
            </w:r>
            <w:r w:rsidRPr="00C0338D">
              <w:t xml:space="preserve"> cash flow hedges</w:t>
            </w:r>
          </w:p>
        </w:tc>
        <w:tc>
          <w:tcPr>
            <w:tcW w:w="1027" w:type="dxa"/>
          </w:tcPr>
          <w:p w14:paraId="5A5D2381" w14:textId="192F1453" w:rsidR="00295B99" w:rsidRDefault="00DD69CB" w:rsidP="00D46F9A">
            <w:pPr>
              <w:pStyle w:val="T2"/>
              <w:jc w:val="right"/>
              <w:rPr>
                <w:b/>
                <w:bCs/>
              </w:rPr>
            </w:pPr>
            <w:r w:rsidRPr="00724190">
              <w:rPr>
                <w:b/>
                <w:bCs/>
              </w:rPr>
              <w:t>–</w:t>
            </w:r>
          </w:p>
        </w:tc>
        <w:tc>
          <w:tcPr>
            <w:tcW w:w="1028" w:type="dxa"/>
            <w:vAlign w:val="bottom"/>
          </w:tcPr>
          <w:p w14:paraId="4227EC12" w14:textId="135FD56A" w:rsidR="00295B99" w:rsidRDefault="00DD69CB" w:rsidP="00D46F9A">
            <w:pPr>
              <w:pStyle w:val="T2"/>
              <w:jc w:val="right"/>
            </w:pPr>
            <w:r>
              <w:t>(0.5)</w:t>
            </w:r>
          </w:p>
        </w:tc>
        <w:tc>
          <w:tcPr>
            <w:tcW w:w="1030" w:type="dxa"/>
          </w:tcPr>
          <w:p w14:paraId="10985113" w14:textId="0A7EF098" w:rsidR="00295B99" w:rsidRPr="00D46F9A" w:rsidRDefault="00DD69CB" w:rsidP="00D46F9A">
            <w:pPr>
              <w:pStyle w:val="T2"/>
              <w:jc w:val="right"/>
            </w:pPr>
            <w:r>
              <w:t>(1.5)</w:t>
            </w:r>
          </w:p>
        </w:tc>
      </w:tr>
      <w:tr w:rsidR="00DD69CB" w14:paraId="6B83B783" w14:textId="77777777" w:rsidTr="004B6C20">
        <w:trPr>
          <w:jc w:val="center"/>
        </w:trPr>
        <w:tc>
          <w:tcPr>
            <w:tcW w:w="6695" w:type="dxa"/>
            <w:vAlign w:val="bottom"/>
          </w:tcPr>
          <w:p w14:paraId="47135277" w14:textId="21E228D2" w:rsidR="00DD69CB" w:rsidRPr="00C0338D" w:rsidRDefault="00DD69CB" w:rsidP="00D46F9A">
            <w:pPr>
              <w:pStyle w:val="T2"/>
              <w:jc w:val="left"/>
            </w:pPr>
            <w:r>
              <w:t xml:space="preserve">Cross–currency interest rate swaps – </w:t>
            </w:r>
            <w:r w:rsidRPr="00C0338D">
              <w:t>cash flow hedges</w:t>
            </w:r>
          </w:p>
        </w:tc>
        <w:tc>
          <w:tcPr>
            <w:tcW w:w="1027" w:type="dxa"/>
          </w:tcPr>
          <w:p w14:paraId="4B4F72A0" w14:textId="3E2B623C" w:rsidR="00DD69CB" w:rsidRDefault="00DD69CB" w:rsidP="00D46F9A">
            <w:pPr>
              <w:pStyle w:val="T2"/>
              <w:jc w:val="right"/>
              <w:rPr>
                <w:b/>
                <w:bCs/>
              </w:rPr>
            </w:pPr>
            <w:r w:rsidRPr="00724190">
              <w:rPr>
                <w:b/>
                <w:bCs/>
              </w:rPr>
              <w:t>–</w:t>
            </w:r>
          </w:p>
        </w:tc>
        <w:tc>
          <w:tcPr>
            <w:tcW w:w="1028" w:type="dxa"/>
            <w:vAlign w:val="bottom"/>
          </w:tcPr>
          <w:p w14:paraId="41ED4455" w14:textId="006693D6" w:rsidR="00DD69CB" w:rsidRDefault="00DD69CB" w:rsidP="00D46F9A">
            <w:pPr>
              <w:pStyle w:val="T2"/>
              <w:jc w:val="right"/>
            </w:pPr>
            <w:r>
              <w:t>(2.1)</w:t>
            </w:r>
          </w:p>
        </w:tc>
        <w:tc>
          <w:tcPr>
            <w:tcW w:w="1030" w:type="dxa"/>
          </w:tcPr>
          <w:p w14:paraId="46635369" w14:textId="2671E853" w:rsidR="00DD69CB" w:rsidRPr="00D46F9A" w:rsidRDefault="00DD69CB" w:rsidP="00D46F9A">
            <w:pPr>
              <w:pStyle w:val="T2"/>
              <w:jc w:val="right"/>
            </w:pPr>
            <w:r>
              <w:t>(2.3)</w:t>
            </w:r>
          </w:p>
        </w:tc>
      </w:tr>
      <w:tr w:rsidR="00D46F9A" w14:paraId="6B659890" w14:textId="77777777" w:rsidTr="0070610F">
        <w:trPr>
          <w:jc w:val="center"/>
        </w:trPr>
        <w:tc>
          <w:tcPr>
            <w:tcW w:w="6695" w:type="dxa"/>
            <w:tcBorders>
              <w:bottom w:val="single" w:sz="2" w:space="0" w:color="auto"/>
            </w:tcBorders>
            <w:vAlign w:val="bottom"/>
          </w:tcPr>
          <w:p w14:paraId="3B593D4A" w14:textId="77777777" w:rsidR="00D46F9A" w:rsidRPr="00C0338D" w:rsidRDefault="00D46F9A" w:rsidP="00D46F9A">
            <w:pPr>
              <w:pStyle w:val="T2"/>
              <w:jc w:val="left"/>
            </w:pPr>
            <w:r w:rsidRPr="00C0338D">
              <w:t xml:space="preserve">Forward foreign exchange contracts </w:t>
            </w:r>
            <w:r>
              <w:t>–</w:t>
            </w:r>
            <w:r w:rsidRPr="00C0338D">
              <w:t xml:space="preserve"> not designated as hedges </w:t>
            </w:r>
          </w:p>
        </w:tc>
        <w:tc>
          <w:tcPr>
            <w:tcW w:w="1027" w:type="dxa"/>
            <w:tcBorders>
              <w:bottom w:val="single" w:sz="2" w:space="0" w:color="auto"/>
            </w:tcBorders>
          </w:tcPr>
          <w:p w14:paraId="69912136" w14:textId="515A04FF" w:rsidR="00D46F9A" w:rsidRPr="00E5521C" w:rsidRDefault="00C4231B" w:rsidP="00D46F9A">
            <w:pPr>
              <w:pStyle w:val="T2"/>
              <w:jc w:val="right"/>
              <w:rPr>
                <w:b/>
              </w:rPr>
            </w:pPr>
            <w:r>
              <w:rPr>
                <w:b/>
                <w:bCs/>
              </w:rPr>
              <w:t>(0.5)</w:t>
            </w:r>
          </w:p>
        </w:tc>
        <w:tc>
          <w:tcPr>
            <w:tcW w:w="1028" w:type="dxa"/>
            <w:tcBorders>
              <w:bottom w:val="single" w:sz="2" w:space="0" w:color="auto"/>
            </w:tcBorders>
            <w:vAlign w:val="bottom"/>
          </w:tcPr>
          <w:p w14:paraId="7FB412F1" w14:textId="08160524" w:rsidR="00D46F9A" w:rsidRPr="00C0338D" w:rsidRDefault="00237D17" w:rsidP="00D46F9A">
            <w:pPr>
              <w:pStyle w:val="T2"/>
              <w:jc w:val="right"/>
            </w:pPr>
            <w:r>
              <w:t>(0.3)</w:t>
            </w:r>
          </w:p>
        </w:tc>
        <w:tc>
          <w:tcPr>
            <w:tcW w:w="1030" w:type="dxa"/>
            <w:tcBorders>
              <w:bottom w:val="single" w:sz="2" w:space="0" w:color="auto"/>
            </w:tcBorders>
          </w:tcPr>
          <w:p w14:paraId="3A47B132" w14:textId="429C159C" w:rsidR="00D46F9A" w:rsidRPr="00D46F9A" w:rsidRDefault="00D46F9A" w:rsidP="00D46F9A">
            <w:pPr>
              <w:pStyle w:val="T2"/>
              <w:jc w:val="right"/>
            </w:pPr>
            <w:r w:rsidRPr="00D46F9A">
              <w:t>(0.4)</w:t>
            </w:r>
          </w:p>
        </w:tc>
      </w:tr>
      <w:tr w:rsidR="00295B99" w14:paraId="69E798D0" w14:textId="77777777" w:rsidTr="0070610F">
        <w:trPr>
          <w:jc w:val="center"/>
        </w:trPr>
        <w:tc>
          <w:tcPr>
            <w:tcW w:w="6695" w:type="dxa"/>
            <w:tcBorders>
              <w:top w:val="single" w:sz="2" w:space="0" w:color="auto"/>
              <w:bottom w:val="single" w:sz="2" w:space="0" w:color="auto"/>
            </w:tcBorders>
          </w:tcPr>
          <w:p w14:paraId="3E61F2D3" w14:textId="77777777" w:rsidR="00295B99" w:rsidRPr="00C0338D" w:rsidRDefault="00295B99" w:rsidP="00D46F9A">
            <w:pPr>
              <w:pStyle w:val="T2"/>
            </w:pPr>
          </w:p>
        </w:tc>
        <w:tc>
          <w:tcPr>
            <w:tcW w:w="1027" w:type="dxa"/>
            <w:tcBorders>
              <w:top w:val="single" w:sz="2" w:space="0" w:color="auto"/>
              <w:bottom w:val="single" w:sz="2" w:space="0" w:color="auto"/>
            </w:tcBorders>
          </w:tcPr>
          <w:p w14:paraId="4EAD5108" w14:textId="0B16CC74" w:rsidR="00295B99" w:rsidRDefault="00DD69CB" w:rsidP="00D46F9A">
            <w:pPr>
              <w:pStyle w:val="T2"/>
              <w:jc w:val="right"/>
              <w:rPr>
                <w:b/>
                <w:bCs/>
              </w:rPr>
            </w:pPr>
            <w:r>
              <w:rPr>
                <w:b/>
                <w:bCs/>
              </w:rPr>
              <w:t>(0.5)</w:t>
            </w:r>
          </w:p>
        </w:tc>
        <w:tc>
          <w:tcPr>
            <w:tcW w:w="1028" w:type="dxa"/>
            <w:tcBorders>
              <w:top w:val="single" w:sz="2" w:space="0" w:color="auto"/>
              <w:bottom w:val="single" w:sz="2" w:space="0" w:color="auto"/>
            </w:tcBorders>
            <w:vAlign w:val="bottom"/>
          </w:tcPr>
          <w:p w14:paraId="6A0A8B93" w14:textId="4708BEE4" w:rsidR="00295B99" w:rsidRDefault="00DD69CB" w:rsidP="00D46F9A">
            <w:pPr>
              <w:pStyle w:val="T2"/>
              <w:jc w:val="right"/>
            </w:pPr>
            <w:r>
              <w:t>(</w:t>
            </w:r>
            <w:r w:rsidR="00190183">
              <w:t>2.9</w:t>
            </w:r>
            <w:r>
              <w:t>)</w:t>
            </w:r>
          </w:p>
        </w:tc>
        <w:tc>
          <w:tcPr>
            <w:tcW w:w="1030" w:type="dxa"/>
            <w:tcBorders>
              <w:top w:val="single" w:sz="2" w:space="0" w:color="auto"/>
              <w:bottom w:val="single" w:sz="2" w:space="0" w:color="auto"/>
            </w:tcBorders>
          </w:tcPr>
          <w:p w14:paraId="31998748" w14:textId="5A3142D9" w:rsidR="00295B99" w:rsidRPr="00D46F9A" w:rsidRDefault="00DD69CB" w:rsidP="00D46F9A">
            <w:pPr>
              <w:pStyle w:val="T2"/>
              <w:jc w:val="right"/>
            </w:pPr>
            <w:r>
              <w:t>(4.2)</w:t>
            </w:r>
          </w:p>
        </w:tc>
      </w:tr>
      <w:tr w:rsidR="00D46F9A" w14:paraId="65011076" w14:textId="77777777" w:rsidTr="0070610F">
        <w:trPr>
          <w:jc w:val="center"/>
        </w:trPr>
        <w:tc>
          <w:tcPr>
            <w:tcW w:w="6695" w:type="dxa"/>
            <w:tcBorders>
              <w:top w:val="single" w:sz="2" w:space="0" w:color="auto"/>
              <w:bottom w:val="single" w:sz="2" w:space="0" w:color="auto"/>
            </w:tcBorders>
          </w:tcPr>
          <w:p w14:paraId="339ABE81" w14:textId="09C00BDF" w:rsidR="00D46F9A" w:rsidRPr="004B6C20" w:rsidRDefault="00DD69CB" w:rsidP="004B6C20">
            <w:pPr>
              <w:pStyle w:val="T2"/>
              <w:jc w:val="left"/>
              <w:rPr>
                <w:b/>
                <w:bCs/>
              </w:rPr>
            </w:pPr>
            <w:r w:rsidRPr="004B6C20">
              <w:rPr>
                <w:b/>
                <w:bCs/>
              </w:rPr>
              <w:t>Total</w:t>
            </w:r>
          </w:p>
        </w:tc>
        <w:tc>
          <w:tcPr>
            <w:tcW w:w="1027" w:type="dxa"/>
            <w:tcBorders>
              <w:top w:val="single" w:sz="2" w:space="0" w:color="auto"/>
              <w:bottom w:val="single" w:sz="2" w:space="0" w:color="auto"/>
            </w:tcBorders>
          </w:tcPr>
          <w:p w14:paraId="528B2DCF" w14:textId="1597B997" w:rsidR="00D46F9A" w:rsidRPr="00E5521C" w:rsidRDefault="00DD69CB" w:rsidP="00D46F9A">
            <w:pPr>
              <w:pStyle w:val="T2"/>
              <w:jc w:val="right"/>
              <w:rPr>
                <w:b/>
              </w:rPr>
            </w:pPr>
            <w:r>
              <w:rPr>
                <w:b/>
                <w:bCs/>
              </w:rPr>
              <w:t>0.2</w:t>
            </w:r>
          </w:p>
        </w:tc>
        <w:tc>
          <w:tcPr>
            <w:tcW w:w="1028" w:type="dxa"/>
            <w:tcBorders>
              <w:top w:val="single" w:sz="2" w:space="0" w:color="auto"/>
              <w:bottom w:val="single" w:sz="2" w:space="0" w:color="auto"/>
            </w:tcBorders>
            <w:vAlign w:val="bottom"/>
          </w:tcPr>
          <w:p w14:paraId="40693AF6" w14:textId="7AF8DDBD" w:rsidR="00D46F9A" w:rsidRPr="00C0338D" w:rsidRDefault="00D46F9A" w:rsidP="00D46F9A">
            <w:pPr>
              <w:pStyle w:val="T2"/>
              <w:jc w:val="right"/>
            </w:pPr>
            <w:r>
              <w:t>(5.6)</w:t>
            </w:r>
          </w:p>
        </w:tc>
        <w:tc>
          <w:tcPr>
            <w:tcW w:w="1030" w:type="dxa"/>
            <w:tcBorders>
              <w:top w:val="single" w:sz="2" w:space="0" w:color="auto"/>
              <w:bottom w:val="single" w:sz="2" w:space="0" w:color="auto"/>
            </w:tcBorders>
          </w:tcPr>
          <w:p w14:paraId="2007C443" w14:textId="07FF0447" w:rsidR="00D46F9A" w:rsidRPr="00D46F9A" w:rsidRDefault="00D46F9A" w:rsidP="00D46F9A">
            <w:pPr>
              <w:pStyle w:val="T2"/>
              <w:jc w:val="right"/>
            </w:pPr>
            <w:r w:rsidRPr="00D46F9A">
              <w:t>(7.3)</w:t>
            </w:r>
          </w:p>
        </w:tc>
      </w:tr>
      <w:tr w:rsidR="00773F7B" w14:paraId="0487E442" w14:textId="77777777" w:rsidTr="001F1616">
        <w:trPr>
          <w:jc w:val="center"/>
        </w:trPr>
        <w:tc>
          <w:tcPr>
            <w:tcW w:w="9780" w:type="dxa"/>
            <w:gridSpan w:val="4"/>
            <w:tcBorders>
              <w:top w:val="single" w:sz="2" w:space="0" w:color="auto"/>
            </w:tcBorders>
            <w:vAlign w:val="bottom"/>
          </w:tcPr>
          <w:p w14:paraId="74E15BB3" w14:textId="4E301E74" w:rsidR="00773F7B" w:rsidRPr="00E02FFC" w:rsidRDefault="00773F7B" w:rsidP="008B4755">
            <w:pPr>
              <w:pStyle w:val="T2"/>
              <w:jc w:val="left"/>
              <w:rPr>
                <w:sz w:val="16"/>
                <w:szCs w:val="16"/>
              </w:rPr>
            </w:pPr>
            <w:r w:rsidRPr="00E02FFC">
              <w:rPr>
                <w:sz w:val="16"/>
                <w:szCs w:val="16"/>
              </w:rPr>
              <w:t>*</w:t>
            </w:r>
            <w:r w:rsidR="00AC1280">
              <w:rPr>
                <w:sz w:val="16"/>
                <w:szCs w:val="16"/>
              </w:rPr>
              <w:t>*</w:t>
            </w:r>
            <w:r w:rsidRPr="00E02FFC">
              <w:rPr>
                <w:sz w:val="16"/>
                <w:szCs w:val="16"/>
              </w:rPr>
              <w:t xml:space="preserve"> For definition of level 2 inputs please refer to the 20</w:t>
            </w:r>
            <w:r w:rsidR="008B4755">
              <w:rPr>
                <w:sz w:val="16"/>
                <w:szCs w:val="16"/>
              </w:rPr>
              <w:t>2</w:t>
            </w:r>
            <w:r w:rsidR="00D46F9A">
              <w:rPr>
                <w:sz w:val="16"/>
                <w:szCs w:val="16"/>
              </w:rPr>
              <w:t>1</w:t>
            </w:r>
            <w:r w:rsidRPr="00E02FFC">
              <w:rPr>
                <w:sz w:val="16"/>
                <w:szCs w:val="16"/>
              </w:rPr>
              <w:t xml:space="preserve"> Annual Report.</w:t>
            </w:r>
          </w:p>
        </w:tc>
      </w:tr>
    </w:tbl>
    <w:p w14:paraId="0E59A609" w14:textId="77777777" w:rsidR="00C279C6" w:rsidRDefault="00C279C6" w:rsidP="005B3BEE">
      <w:pPr>
        <w:pStyle w:val="SectionH3"/>
        <w:spacing w:before="160"/>
      </w:pPr>
    </w:p>
    <w:p w14:paraId="4902A6FD" w14:textId="78B79B29" w:rsidR="00773F7B" w:rsidRDefault="00773F7B" w:rsidP="005B3BEE">
      <w:pPr>
        <w:pStyle w:val="SectionH3"/>
        <w:spacing w:before="160"/>
      </w:pPr>
      <w:r>
        <w:t>1</w:t>
      </w:r>
      <w:r w:rsidR="002675EF">
        <w:t>3</w:t>
      </w:r>
      <w:r w:rsidRPr="003232EE">
        <w:t>.</w:t>
      </w:r>
      <w:r w:rsidRPr="003232EE">
        <w:tab/>
      </w:r>
      <w:r w:rsidRPr="00B37DA6">
        <w:t xml:space="preserve">Provisions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559"/>
        <w:gridCol w:w="1843"/>
        <w:gridCol w:w="1134"/>
      </w:tblGrid>
      <w:tr w:rsidR="00773F7B" w14:paraId="24247A66" w14:textId="77777777" w:rsidTr="00773F7B">
        <w:tc>
          <w:tcPr>
            <w:tcW w:w="8647" w:type="dxa"/>
            <w:gridSpan w:val="3"/>
            <w:vAlign w:val="bottom"/>
          </w:tcPr>
          <w:p w14:paraId="05CD082A" w14:textId="77777777" w:rsidR="00773F7B" w:rsidRPr="00453A62" w:rsidRDefault="00773F7B" w:rsidP="00773F7B">
            <w:pPr>
              <w:pStyle w:val="T2"/>
              <w:jc w:val="left"/>
              <w:rPr>
                <w:b/>
              </w:rPr>
            </w:pPr>
          </w:p>
        </w:tc>
        <w:tc>
          <w:tcPr>
            <w:tcW w:w="1134" w:type="dxa"/>
            <w:vAlign w:val="bottom"/>
          </w:tcPr>
          <w:p w14:paraId="25BED4FA" w14:textId="77777777" w:rsidR="00773F7B" w:rsidRDefault="00773F7B" w:rsidP="00773F7B">
            <w:pPr>
              <w:pStyle w:val="T2"/>
              <w:jc w:val="right"/>
              <w:rPr>
                <w:b/>
              </w:rPr>
            </w:pPr>
            <w:r w:rsidRPr="00453A62">
              <w:rPr>
                <w:b/>
              </w:rPr>
              <w:t xml:space="preserve">Half year </w:t>
            </w:r>
          </w:p>
          <w:p w14:paraId="24FD4A9F" w14:textId="113942BF" w:rsidR="00773F7B" w:rsidRPr="00453A62" w:rsidRDefault="00773F7B" w:rsidP="008B4755">
            <w:pPr>
              <w:pStyle w:val="T2"/>
              <w:jc w:val="right"/>
              <w:rPr>
                <w:b/>
              </w:rPr>
            </w:pPr>
            <w:r w:rsidRPr="00453A62">
              <w:rPr>
                <w:b/>
              </w:rPr>
              <w:t>March 20</w:t>
            </w:r>
            <w:r>
              <w:rPr>
                <w:b/>
              </w:rPr>
              <w:t>2</w:t>
            </w:r>
            <w:r w:rsidR="00237D17">
              <w:rPr>
                <w:b/>
              </w:rPr>
              <w:t>2</w:t>
            </w:r>
          </w:p>
        </w:tc>
      </w:tr>
      <w:tr w:rsidR="00773F7B" w14:paraId="09A5B03B" w14:textId="77777777" w:rsidTr="00773F7B">
        <w:tc>
          <w:tcPr>
            <w:tcW w:w="8647" w:type="dxa"/>
            <w:gridSpan w:val="3"/>
            <w:tcBorders>
              <w:bottom w:val="single" w:sz="2" w:space="0" w:color="auto"/>
            </w:tcBorders>
            <w:vAlign w:val="bottom"/>
          </w:tcPr>
          <w:p w14:paraId="26785D38" w14:textId="77777777" w:rsidR="00773F7B" w:rsidRPr="00453A62" w:rsidRDefault="00773F7B" w:rsidP="00773F7B">
            <w:pPr>
              <w:pStyle w:val="T2"/>
              <w:jc w:val="left"/>
              <w:rPr>
                <w:b/>
              </w:rPr>
            </w:pPr>
          </w:p>
        </w:tc>
        <w:tc>
          <w:tcPr>
            <w:tcW w:w="1134" w:type="dxa"/>
            <w:tcBorders>
              <w:bottom w:val="single" w:sz="2" w:space="0" w:color="auto"/>
            </w:tcBorders>
            <w:vAlign w:val="bottom"/>
          </w:tcPr>
          <w:p w14:paraId="729CEFBA" w14:textId="77777777" w:rsidR="00773F7B" w:rsidRPr="00453A62" w:rsidRDefault="00773F7B" w:rsidP="00773F7B">
            <w:pPr>
              <w:pStyle w:val="T2"/>
              <w:jc w:val="right"/>
              <w:rPr>
                <w:b/>
              </w:rPr>
            </w:pPr>
            <w:r w:rsidRPr="00453A62">
              <w:rPr>
                <w:b/>
              </w:rPr>
              <w:t>£m</w:t>
            </w:r>
          </w:p>
        </w:tc>
      </w:tr>
      <w:tr w:rsidR="00773F7B" w14:paraId="196A2C77" w14:textId="77777777" w:rsidTr="00773F7B">
        <w:tc>
          <w:tcPr>
            <w:tcW w:w="8647" w:type="dxa"/>
            <w:gridSpan w:val="3"/>
            <w:tcBorders>
              <w:top w:val="single" w:sz="2" w:space="0" w:color="auto"/>
            </w:tcBorders>
            <w:vAlign w:val="bottom"/>
          </w:tcPr>
          <w:p w14:paraId="34666C13" w14:textId="73B65CF2" w:rsidR="00773F7B" w:rsidRPr="00D44C1D" w:rsidRDefault="00773F7B" w:rsidP="00773F7B">
            <w:pPr>
              <w:pStyle w:val="T2"/>
              <w:jc w:val="left"/>
            </w:pPr>
            <w:r w:rsidRPr="00D44C1D">
              <w:t xml:space="preserve">At beginning of period </w:t>
            </w:r>
          </w:p>
        </w:tc>
        <w:tc>
          <w:tcPr>
            <w:tcW w:w="1134" w:type="dxa"/>
            <w:tcBorders>
              <w:top w:val="single" w:sz="2" w:space="0" w:color="auto"/>
            </w:tcBorders>
            <w:vAlign w:val="bottom"/>
          </w:tcPr>
          <w:p w14:paraId="584CE7EC" w14:textId="51D39B48" w:rsidR="00773F7B" w:rsidRPr="00453A62" w:rsidRDefault="00237D17" w:rsidP="00773F7B">
            <w:pPr>
              <w:pStyle w:val="T2"/>
              <w:jc w:val="right"/>
              <w:rPr>
                <w:b/>
              </w:rPr>
            </w:pPr>
            <w:r>
              <w:rPr>
                <w:b/>
              </w:rPr>
              <w:t>7.6</w:t>
            </w:r>
          </w:p>
        </w:tc>
      </w:tr>
      <w:tr w:rsidR="00237D17" w14:paraId="56C51B3C" w14:textId="77777777" w:rsidTr="00246BA4">
        <w:tc>
          <w:tcPr>
            <w:tcW w:w="8647" w:type="dxa"/>
            <w:gridSpan w:val="3"/>
            <w:vAlign w:val="bottom"/>
          </w:tcPr>
          <w:p w14:paraId="1938A202" w14:textId="77777777" w:rsidR="00237D17" w:rsidRPr="00D44C1D" w:rsidRDefault="00237D17" w:rsidP="00237D17">
            <w:pPr>
              <w:pStyle w:val="T2"/>
              <w:jc w:val="left"/>
            </w:pPr>
            <w:r>
              <w:t xml:space="preserve">Provided </w:t>
            </w:r>
            <w:r w:rsidRPr="00D44C1D">
              <w:t>in period</w:t>
            </w:r>
          </w:p>
        </w:tc>
        <w:tc>
          <w:tcPr>
            <w:tcW w:w="1134" w:type="dxa"/>
          </w:tcPr>
          <w:p w14:paraId="2CABD2DC" w14:textId="41359FF5" w:rsidR="00237D17" w:rsidRPr="00453A62" w:rsidRDefault="00C4231B" w:rsidP="00237D17">
            <w:pPr>
              <w:pStyle w:val="T2"/>
              <w:jc w:val="right"/>
              <w:rPr>
                <w:b/>
              </w:rPr>
            </w:pPr>
            <w:r>
              <w:rPr>
                <w:b/>
                <w:bCs/>
              </w:rPr>
              <w:t>3.0</w:t>
            </w:r>
          </w:p>
        </w:tc>
      </w:tr>
      <w:tr w:rsidR="00237D17" w14:paraId="7459ECFD" w14:textId="77777777" w:rsidTr="00246BA4">
        <w:tc>
          <w:tcPr>
            <w:tcW w:w="8647" w:type="dxa"/>
            <w:gridSpan w:val="3"/>
            <w:vAlign w:val="bottom"/>
          </w:tcPr>
          <w:p w14:paraId="62B2BA6A" w14:textId="77777777" w:rsidR="00237D17" w:rsidRPr="00D44C1D" w:rsidRDefault="00237D17" w:rsidP="00237D17">
            <w:pPr>
              <w:pStyle w:val="T2"/>
              <w:jc w:val="left"/>
            </w:pPr>
            <w:r>
              <w:t>Utilised</w:t>
            </w:r>
            <w:r w:rsidRPr="00D44C1D">
              <w:t xml:space="preserve"> in period</w:t>
            </w:r>
          </w:p>
        </w:tc>
        <w:tc>
          <w:tcPr>
            <w:tcW w:w="1134" w:type="dxa"/>
          </w:tcPr>
          <w:p w14:paraId="7DA66ABE" w14:textId="597ADFBE" w:rsidR="00237D17" w:rsidRPr="00453A62" w:rsidRDefault="00C4231B" w:rsidP="00237D17">
            <w:pPr>
              <w:pStyle w:val="T2"/>
              <w:jc w:val="right"/>
              <w:rPr>
                <w:b/>
              </w:rPr>
            </w:pPr>
            <w:r>
              <w:rPr>
                <w:b/>
                <w:bCs/>
              </w:rPr>
              <w:t>(0.2)</w:t>
            </w:r>
          </w:p>
        </w:tc>
      </w:tr>
      <w:tr w:rsidR="00237D17" w14:paraId="577E2DD6" w14:textId="77777777" w:rsidTr="00246BA4">
        <w:tc>
          <w:tcPr>
            <w:tcW w:w="8647" w:type="dxa"/>
            <w:gridSpan w:val="3"/>
            <w:tcBorders>
              <w:top w:val="single" w:sz="2" w:space="0" w:color="auto"/>
              <w:bottom w:val="single" w:sz="2" w:space="0" w:color="auto"/>
            </w:tcBorders>
            <w:vAlign w:val="bottom"/>
          </w:tcPr>
          <w:p w14:paraId="4C51A109" w14:textId="77777777" w:rsidR="00237D17" w:rsidRPr="00453A62" w:rsidRDefault="00237D17" w:rsidP="00237D17">
            <w:pPr>
              <w:pStyle w:val="T2"/>
              <w:jc w:val="left"/>
              <w:rPr>
                <w:b/>
              </w:rPr>
            </w:pPr>
            <w:r w:rsidRPr="00453A62">
              <w:rPr>
                <w:b/>
              </w:rPr>
              <w:t>At end of period</w:t>
            </w:r>
          </w:p>
        </w:tc>
        <w:tc>
          <w:tcPr>
            <w:tcW w:w="1134" w:type="dxa"/>
            <w:tcBorders>
              <w:top w:val="single" w:sz="2" w:space="0" w:color="auto"/>
              <w:bottom w:val="single" w:sz="2" w:space="0" w:color="auto"/>
            </w:tcBorders>
          </w:tcPr>
          <w:p w14:paraId="729BA10C" w14:textId="4516FB1E" w:rsidR="00237D17" w:rsidRPr="00453A62" w:rsidRDefault="00C4231B" w:rsidP="00237D17">
            <w:pPr>
              <w:pStyle w:val="T2"/>
              <w:jc w:val="right"/>
              <w:rPr>
                <w:b/>
              </w:rPr>
            </w:pPr>
            <w:r>
              <w:rPr>
                <w:b/>
                <w:bCs/>
              </w:rPr>
              <w:t>10.4</w:t>
            </w:r>
          </w:p>
        </w:tc>
      </w:tr>
      <w:tr w:rsidR="004447BE" w14:paraId="0DFFF34E" w14:textId="77777777" w:rsidTr="004447BE">
        <w:tc>
          <w:tcPr>
            <w:tcW w:w="5245" w:type="dxa"/>
            <w:tcBorders>
              <w:top w:val="single" w:sz="2" w:space="0" w:color="auto"/>
            </w:tcBorders>
          </w:tcPr>
          <w:p w14:paraId="1EB15AEA" w14:textId="77777777" w:rsidR="004447BE" w:rsidRPr="00923DB3" w:rsidRDefault="004447BE" w:rsidP="00773F7B">
            <w:pPr>
              <w:pStyle w:val="T2"/>
            </w:pPr>
          </w:p>
        </w:tc>
        <w:tc>
          <w:tcPr>
            <w:tcW w:w="1559" w:type="dxa"/>
            <w:tcBorders>
              <w:top w:val="single" w:sz="2" w:space="0" w:color="auto"/>
            </w:tcBorders>
            <w:vAlign w:val="bottom"/>
          </w:tcPr>
          <w:p w14:paraId="14F97344" w14:textId="77777777" w:rsidR="004447BE" w:rsidRPr="00923DB3" w:rsidRDefault="004447BE" w:rsidP="00773F7B">
            <w:pPr>
              <w:pStyle w:val="T2"/>
              <w:jc w:val="right"/>
              <w:rPr>
                <w:b/>
              </w:rPr>
            </w:pPr>
          </w:p>
        </w:tc>
        <w:tc>
          <w:tcPr>
            <w:tcW w:w="1843" w:type="dxa"/>
            <w:tcBorders>
              <w:top w:val="single" w:sz="2" w:space="0" w:color="auto"/>
            </w:tcBorders>
            <w:vAlign w:val="bottom"/>
          </w:tcPr>
          <w:p w14:paraId="40C7AA48" w14:textId="77777777" w:rsidR="004447BE" w:rsidRPr="00923DB3" w:rsidRDefault="004447BE" w:rsidP="00773F7B">
            <w:pPr>
              <w:pStyle w:val="T2"/>
              <w:jc w:val="right"/>
              <w:rPr>
                <w:b/>
              </w:rPr>
            </w:pPr>
          </w:p>
        </w:tc>
        <w:tc>
          <w:tcPr>
            <w:tcW w:w="1134" w:type="dxa"/>
            <w:tcBorders>
              <w:top w:val="single" w:sz="2" w:space="0" w:color="auto"/>
            </w:tcBorders>
            <w:vAlign w:val="bottom"/>
          </w:tcPr>
          <w:p w14:paraId="46DC56EF" w14:textId="77777777" w:rsidR="004447BE" w:rsidRPr="00923DB3" w:rsidRDefault="004447BE" w:rsidP="00773F7B">
            <w:pPr>
              <w:pStyle w:val="T2"/>
              <w:jc w:val="right"/>
            </w:pPr>
          </w:p>
        </w:tc>
      </w:tr>
      <w:tr w:rsidR="00773F7B" w14:paraId="2A6CA46F" w14:textId="77777777" w:rsidTr="001F1616">
        <w:tc>
          <w:tcPr>
            <w:tcW w:w="5245" w:type="dxa"/>
          </w:tcPr>
          <w:p w14:paraId="2F25C111" w14:textId="77777777" w:rsidR="00773F7B" w:rsidRPr="00923DB3" w:rsidRDefault="00773F7B" w:rsidP="00773F7B">
            <w:pPr>
              <w:pStyle w:val="T2"/>
            </w:pPr>
          </w:p>
        </w:tc>
        <w:tc>
          <w:tcPr>
            <w:tcW w:w="1559" w:type="dxa"/>
            <w:vAlign w:val="bottom"/>
          </w:tcPr>
          <w:p w14:paraId="566C78D3" w14:textId="77777777" w:rsidR="00773F7B" w:rsidRPr="00923DB3" w:rsidRDefault="00773F7B" w:rsidP="00773F7B">
            <w:pPr>
              <w:pStyle w:val="T2"/>
              <w:jc w:val="right"/>
              <w:rPr>
                <w:b/>
              </w:rPr>
            </w:pPr>
          </w:p>
        </w:tc>
        <w:tc>
          <w:tcPr>
            <w:tcW w:w="1843" w:type="dxa"/>
            <w:vAlign w:val="bottom"/>
          </w:tcPr>
          <w:p w14:paraId="1A6413B7" w14:textId="77777777" w:rsidR="00773F7B" w:rsidRDefault="00773F7B" w:rsidP="00773F7B">
            <w:pPr>
              <w:pStyle w:val="T2"/>
              <w:jc w:val="right"/>
              <w:rPr>
                <w:b/>
              </w:rPr>
            </w:pPr>
            <w:r w:rsidRPr="00923DB3">
              <w:rPr>
                <w:b/>
              </w:rPr>
              <w:t xml:space="preserve">March </w:t>
            </w:r>
          </w:p>
          <w:p w14:paraId="0C551DE3" w14:textId="27EE4AB9" w:rsidR="00773F7B" w:rsidRPr="00923DB3" w:rsidRDefault="00773F7B" w:rsidP="00773F7B">
            <w:pPr>
              <w:pStyle w:val="T2"/>
              <w:jc w:val="right"/>
              <w:rPr>
                <w:b/>
              </w:rPr>
            </w:pPr>
            <w:r w:rsidRPr="00923DB3">
              <w:rPr>
                <w:b/>
              </w:rPr>
              <w:t>20</w:t>
            </w:r>
            <w:r w:rsidR="008B4755">
              <w:rPr>
                <w:b/>
              </w:rPr>
              <w:t>2</w:t>
            </w:r>
            <w:r w:rsidR="00237D17">
              <w:rPr>
                <w:b/>
              </w:rPr>
              <w:t>2</w:t>
            </w:r>
          </w:p>
        </w:tc>
        <w:tc>
          <w:tcPr>
            <w:tcW w:w="1134" w:type="dxa"/>
            <w:vAlign w:val="bottom"/>
          </w:tcPr>
          <w:p w14:paraId="38684F1A" w14:textId="77777777" w:rsidR="00773F7B" w:rsidRDefault="00773F7B" w:rsidP="00773F7B">
            <w:pPr>
              <w:pStyle w:val="T2"/>
              <w:jc w:val="right"/>
            </w:pPr>
            <w:r w:rsidRPr="00923DB3">
              <w:t xml:space="preserve">September </w:t>
            </w:r>
          </w:p>
          <w:p w14:paraId="14AF76C8" w14:textId="77C8E806" w:rsidR="00773F7B" w:rsidRPr="00923DB3" w:rsidRDefault="00773F7B" w:rsidP="008B4755">
            <w:pPr>
              <w:pStyle w:val="T2"/>
              <w:jc w:val="right"/>
            </w:pPr>
            <w:r w:rsidRPr="00923DB3">
              <w:t>20</w:t>
            </w:r>
            <w:r w:rsidR="008B4755">
              <w:t>2</w:t>
            </w:r>
            <w:r w:rsidR="00237D17">
              <w:t>1</w:t>
            </w:r>
          </w:p>
        </w:tc>
      </w:tr>
      <w:tr w:rsidR="00773F7B" w14:paraId="229A8ACB" w14:textId="77777777" w:rsidTr="00773F7B">
        <w:tc>
          <w:tcPr>
            <w:tcW w:w="5245" w:type="dxa"/>
            <w:tcBorders>
              <w:bottom w:val="single" w:sz="2" w:space="0" w:color="auto"/>
            </w:tcBorders>
          </w:tcPr>
          <w:p w14:paraId="24ECFEA2" w14:textId="77777777" w:rsidR="00773F7B" w:rsidRPr="00923DB3" w:rsidRDefault="00773F7B" w:rsidP="00773F7B">
            <w:pPr>
              <w:pStyle w:val="T2"/>
            </w:pPr>
          </w:p>
        </w:tc>
        <w:tc>
          <w:tcPr>
            <w:tcW w:w="1559" w:type="dxa"/>
            <w:tcBorders>
              <w:bottom w:val="single" w:sz="2" w:space="0" w:color="auto"/>
            </w:tcBorders>
            <w:vAlign w:val="bottom"/>
          </w:tcPr>
          <w:p w14:paraId="32F14B31" w14:textId="77777777" w:rsidR="00773F7B" w:rsidRPr="00923DB3" w:rsidRDefault="00773F7B" w:rsidP="00773F7B">
            <w:pPr>
              <w:pStyle w:val="T2"/>
              <w:jc w:val="right"/>
              <w:rPr>
                <w:b/>
              </w:rPr>
            </w:pPr>
          </w:p>
        </w:tc>
        <w:tc>
          <w:tcPr>
            <w:tcW w:w="1843" w:type="dxa"/>
            <w:tcBorders>
              <w:bottom w:val="single" w:sz="2" w:space="0" w:color="auto"/>
            </w:tcBorders>
            <w:vAlign w:val="bottom"/>
          </w:tcPr>
          <w:p w14:paraId="6DDE756F" w14:textId="77777777" w:rsidR="00773F7B" w:rsidRPr="00923DB3" w:rsidRDefault="00773F7B" w:rsidP="00773F7B">
            <w:pPr>
              <w:pStyle w:val="T2"/>
              <w:jc w:val="right"/>
              <w:rPr>
                <w:b/>
              </w:rPr>
            </w:pPr>
            <w:r w:rsidRPr="00923DB3">
              <w:rPr>
                <w:b/>
              </w:rPr>
              <w:t>£m</w:t>
            </w:r>
          </w:p>
        </w:tc>
        <w:tc>
          <w:tcPr>
            <w:tcW w:w="1134" w:type="dxa"/>
            <w:tcBorders>
              <w:bottom w:val="single" w:sz="2" w:space="0" w:color="auto"/>
            </w:tcBorders>
            <w:vAlign w:val="bottom"/>
          </w:tcPr>
          <w:p w14:paraId="0A4C0CFA" w14:textId="77777777" w:rsidR="00773F7B" w:rsidRPr="00923DB3" w:rsidRDefault="00773F7B" w:rsidP="00773F7B">
            <w:pPr>
              <w:pStyle w:val="T2"/>
              <w:jc w:val="right"/>
            </w:pPr>
            <w:r w:rsidRPr="00923DB3">
              <w:t>£m</w:t>
            </w:r>
          </w:p>
        </w:tc>
      </w:tr>
      <w:tr w:rsidR="00773F7B" w14:paraId="6CA9C7C0" w14:textId="77777777" w:rsidTr="00773F7B">
        <w:tc>
          <w:tcPr>
            <w:tcW w:w="5245" w:type="dxa"/>
            <w:tcBorders>
              <w:top w:val="single" w:sz="2" w:space="0" w:color="auto"/>
            </w:tcBorders>
            <w:vAlign w:val="bottom"/>
          </w:tcPr>
          <w:p w14:paraId="1DCB5B86" w14:textId="77777777" w:rsidR="00773F7B" w:rsidRPr="00923DB3" w:rsidRDefault="00773F7B" w:rsidP="00773F7B">
            <w:pPr>
              <w:pStyle w:val="T2"/>
              <w:jc w:val="left"/>
              <w:rPr>
                <w:b/>
              </w:rPr>
            </w:pPr>
            <w:r w:rsidRPr="00923DB3">
              <w:rPr>
                <w:b/>
              </w:rPr>
              <w:t xml:space="preserve">Analysed as: </w:t>
            </w:r>
          </w:p>
        </w:tc>
        <w:tc>
          <w:tcPr>
            <w:tcW w:w="1559" w:type="dxa"/>
            <w:tcBorders>
              <w:top w:val="single" w:sz="2" w:space="0" w:color="auto"/>
            </w:tcBorders>
            <w:vAlign w:val="bottom"/>
          </w:tcPr>
          <w:p w14:paraId="1D82EBFD" w14:textId="77777777" w:rsidR="00773F7B" w:rsidRPr="00923DB3" w:rsidRDefault="00773F7B" w:rsidP="00773F7B">
            <w:pPr>
              <w:pStyle w:val="T2"/>
              <w:jc w:val="right"/>
            </w:pPr>
          </w:p>
        </w:tc>
        <w:tc>
          <w:tcPr>
            <w:tcW w:w="1843" w:type="dxa"/>
            <w:tcBorders>
              <w:top w:val="single" w:sz="2" w:space="0" w:color="auto"/>
            </w:tcBorders>
            <w:vAlign w:val="bottom"/>
          </w:tcPr>
          <w:p w14:paraId="42A40740" w14:textId="77777777" w:rsidR="00773F7B" w:rsidRPr="00923DB3" w:rsidRDefault="00773F7B" w:rsidP="00773F7B">
            <w:pPr>
              <w:pStyle w:val="T2"/>
              <w:jc w:val="right"/>
            </w:pPr>
          </w:p>
        </w:tc>
        <w:tc>
          <w:tcPr>
            <w:tcW w:w="1134" w:type="dxa"/>
            <w:tcBorders>
              <w:top w:val="single" w:sz="2" w:space="0" w:color="auto"/>
            </w:tcBorders>
            <w:vAlign w:val="bottom"/>
          </w:tcPr>
          <w:p w14:paraId="29B700E3" w14:textId="77777777" w:rsidR="00773F7B" w:rsidRPr="00923DB3" w:rsidRDefault="00773F7B" w:rsidP="00773F7B">
            <w:pPr>
              <w:pStyle w:val="T2"/>
              <w:jc w:val="right"/>
            </w:pPr>
          </w:p>
        </w:tc>
      </w:tr>
      <w:tr w:rsidR="00237D17" w14:paraId="7FF3B093" w14:textId="77777777" w:rsidTr="00592BB5">
        <w:tc>
          <w:tcPr>
            <w:tcW w:w="5245" w:type="dxa"/>
            <w:vAlign w:val="bottom"/>
          </w:tcPr>
          <w:p w14:paraId="4860EEEF" w14:textId="77777777" w:rsidR="00237D17" w:rsidRPr="00923DB3" w:rsidRDefault="00237D17" w:rsidP="00237D17">
            <w:pPr>
              <w:pStyle w:val="T2"/>
              <w:jc w:val="left"/>
            </w:pPr>
            <w:r w:rsidRPr="00923DB3">
              <w:t>Non</w:t>
            </w:r>
            <w:r>
              <w:t>–</w:t>
            </w:r>
            <w:r w:rsidRPr="00923DB3">
              <w:t>current liabilities</w:t>
            </w:r>
          </w:p>
        </w:tc>
        <w:tc>
          <w:tcPr>
            <w:tcW w:w="1559" w:type="dxa"/>
            <w:vAlign w:val="bottom"/>
          </w:tcPr>
          <w:p w14:paraId="49BB2D1A" w14:textId="77777777" w:rsidR="00237D17" w:rsidRPr="00453A62" w:rsidRDefault="00237D17" w:rsidP="00237D17">
            <w:pPr>
              <w:pStyle w:val="T2"/>
              <w:jc w:val="right"/>
              <w:rPr>
                <w:b/>
              </w:rPr>
            </w:pPr>
          </w:p>
        </w:tc>
        <w:tc>
          <w:tcPr>
            <w:tcW w:w="1843" w:type="dxa"/>
          </w:tcPr>
          <w:p w14:paraId="2CBE15F7" w14:textId="15DAEAC4" w:rsidR="00237D17" w:rsidRDefault="00C4231B" w:rsidP="00237D17">
            <w:pPr>
              <w:pStyle w:val="T2"/>
              <w:jc w:val="right"/>
              <w:rPr>
                <w:b/>
              </w:rPr>
            </w:pPr>
            <w:r>
              <w:rPr>
                <w:b/>
                <w:bCs/>
              </w:rPr>
              <w:t>5.</w:t>
            </w:r>
            <w:r w:rsidR="0074606C">
              <w:rPr>
                <w:b/>
                <w:bCs/>
              </w:rPr>
              <w:t>3</w:t>
            </w:r>
          </w:p>
        </w:tc>
        <w:tc>
          <w:tcPr>
            <w:tcW w:w="1134" w:type="dxa"/>
            <w:vAlign w:val="bottom"/>
          </w:tcPr>
          <w:p w14:paraId="135D5E34" w14:textId="77917480" w:rsidR="00237D17" w:rsidRDefault="00237D17" w:rsidP="00237D17">
            <w:pPr>
              <w:pStyle w:val="T2"/>
              <w:jc w:val="right"/>
            </w:pPr>
            <w:r>
              <w:t>5.5</w:t>
            </w:r>
          </w:p>
        </w:tc>
      </w:tr>
      <w:tr w:rsidR="00237D17" w14:paraId="70ED11FA" w14:textId="77777777" w:rsidTr="001F1616">
        <w:tc>
          <w:tcPr>
            <w:tcW w:w="5245" w:type="dxa"/>
            <w:tcBorders>
              <w:bottom w:val="single" w:sz="2" w:space="0" w:color="auto"/>
            </w:tcBorders>
            <w:vAlign w:val="bottom"/>
          </w:tcPr>
          <w:p w14:paraId="42CA06BE" w14:textId="77777777" w:rsidR="00237D17" w:rsidRPr="00923DB3" w:rsidRDefault="00237D17" w:rsidP="00237D17">
            <w:pPr>
              <w:pStyle w:val="T2"/>
              <w:jc w:val="left"/>
            </w:pPr>
            <w:r>
              <w:t>C</w:t>
            </w:r>
            <w:r w:rsidRPr="00923DB3">
              <w:t>urrent liabilities</w:t>
            </w:r>
          </w:p>
        </w:tc>
        <w:tc>
          <w:tcPr>
            <w:tcW w:w="1559" w:type="dxa"/>
            <w:tcBorders>
              <w:bottom w:val="single" w:sz="2" w:space="0" w:color="auto"/>
            </w:tcBorders>
            <w:vAlign w:val="bottom"/>
          </w:tcPr>
          <w:p w14:paraId="5B716CEE" w14:textId="77777777" w:rsidR="00237D17" w:rsidRPr="00453A62" w:rsidRDefault="00237D17" w:rsidP="00237D17">
            <w:pPr>
              <w:pStyle w:val="T2"/>
              <w:jc w:val="right"/>
              <w:rPr>
                <w:b/>
              </w:rPr>
            </w:pPr>
          </w:p>
        </w:tc>
        <w:tc>
          <w:tcPr>
            <w:tcW w:w="1843" w:type="dxa"/>
            <w:tcBorders>
              <w:bottom w:val="single" w:sz="2" w:space="0" w:color="auto"/>
            </w:tcBorders>
          </w:tcPr>
          <w:p w14:paraId="296CD25C" w14:textId="39560759" w:rsidR="00237D17" w:rsidRPr="00453A62" w:rsidRDefault="00C4231B" w:rsidP="00237D17">
            <w:pPr>
              <w:pStyle w:val="T2"/>
              <w:jc w:val="right"/>
              <w:rPr>
                <w:b/>
              </w:rPr>
            </w:pPr>
            <w:r>
              <w:rPr>
                <w:b/>
                <w:bCs/>
              </w:rPr>
              <w:t>5.</w:t>
            </w:r>
            <w:r w:rsidR="0074606C">
              <w:rPr>
                <w:b/>
                <w:bCs/>
              </w:rPr>
              <w:t>1</w:t>
            </w:r>
          </w:p>
        </w:tc>
        <w:tc>
          <w:tcPr>
            <w:tcW w:w="1134" w:type="dxa"/>
            <w:tcBorders>
              <w:bottom w:val="single" w:sz="2" w:space="0" w:color="auto"/>
            </w:tcBorders>
            <w:vAlign w:val="bottom"/>
          </w:tcPr>
          <w:p w14:paraId="4ECEDC7A" w14:textId="3F222F23" w:rsidR="00237D17" w:rsidRPr="00923DB3" w:rsidRDefault="00237D17" w:rsidP="00237D17">
            <w:pPr>
              <w:pStyle w:val="T2"/>
              <w:jc w:val="right"/>
            </w:pPr>
            <w:r>
              <w:t>2.1</w:t>
            </w:r>
          </w:p>
        </w:tc>
      </w:tr>
      <w:tr w:rsidR="00237D17" w14:paraId="77C1D177" w14:textId="77777777" w:rsidTr="001F1616">
        <w:tc>
          <w:tcPr>
            <w:tcW w:w="5245" w:type="dxa"/>
            <w:tcBorders>
              <w:top w:val="single" w:sz="2" w:space="0" w:color="auto"/>
              <w:bottom w:val="single" w:sz="2" w:space="0" w:color="auto"/>
            </w:tcBorders>
            <w:vAlign w:val="bottom"/>
          </w:tcPr>
          <w:p w14:paraId="51D7A5F8" w14:textId="77777777" w:rsidR="00237D17" w:rsidRPr="00923DB3" w:rsidRDefault="00237D17" w:rsidP="00237D17">
            <w:pPr>
              <w:pStyle w:val="T2"/>
            </w:pPr>
          </w:p>
        </w:tc>
        <w:tc>
          <w:tcPr>
            <w:tcW w:w="1559" w:type="dxa"/>
            <w:tcBorders>
              <w:top w:val="single" w:sz="2" w:space="0" w:color="auto"/>
              <w:bottom w:val="single" w:sz="2" w:space="0" w:color="auto"/>
            </w:tcBorders>
            <w:vAlign w:val="bottom"/>
          </w:tcPr>
          <w:p w14:paraId="59070890" w14:textId="77777777" w:rsidR="00237D17" w:rsidRPr="00453A62" w:rsidRDefault="00237D17" w:rsidP="00237D17">
            <w:pPr>
              <w:pStyle w:val="T2"/>
              <w:jc w:val="right"/>
              <w:rPr>
                <w:b/>
              </w:rPr>
            </w:pPr>
          </w:p>
        </w:tc>
        <w:tc>
          <w:tcPr>
            <w:tcW w:w="1843" w:type="dxa"/>
            <w:tcBorders>
              <w:top w:val="single" w:sz="2" w:space="0" w:color="auto"/>
              <w:bottom w:val="single" w:sz="2" w:space="0" w:color="auto"/>
            </w:tcBorders>
          </w:tcPr>
          <w:p w14:paraId="7DE0649C" w14:textId="65F105AC" w:rsidR="00237D17" w:rsidRPr="00453A62" w:rsidRDefault="00C4231B" w:rsidP="00237D17">
            <w:pPr>
              <w:pStyle w:val="T2"/>
              <w:jc w:val="right"/>
              <w:rPr>
                <w:b/>
              </w:rPr>
            </w:pPr>
            <w:r>
              <w:rPr>
                <w:b/>
                <w:bCs/>
              </w:rPr>
              <w:t>10.4</w:t>
            </w:r>
          </w:p>
        </w:tc>
        <w:tc>
          <w:tcPr>
            <w:tcW w:w="1134" w:type="dxa"/>
            <w:tcBorders>
              <w:top w:val="single" w:sz="2" w:space="0" w:color="auto"/>
              <w:bottom w:val="single" w:sz="2" w:space="0" w:color="auto"/>
            </w:tcBorders>
            <w:vAlign w:val="bottom"/>
          </w:tcPr>
          <w:p w14:paraId="2480AEE2" w14:textId="2F6C0FDD" w:rsidR="00237D17" w:rsidRPr="00923DB3" w:rsidRDefault="00237D17" w:rsidP="00237D17">
            <w:pPr>
              <w:pStyle w:val="T2"/>
              <w:jc w:val="right"/>
            </w:pPr>
            <w:r>
              <w:t>7.6</w:t>
            </w:r>
          </w:p>
        </w:tc>
      </w:tr>
    </w:tbl>
    <w:p w14:paraId="1F8E7ED4" w14:textId="77777777" w:rsidR="00200886" w:rsidRDefault="00200886" w:rsidP="005B3BEE">
      <w:pPr>
        <w:pStyle w:val="Style1"/>
        <w:numPr>
          <w:ilvl w:val="0"/>
          <w:numId w:val="0"/>
        </w:numPr>
        <w:spacing w:before="160" w:after="120"/>
        <w:jc w:val="both"/>
        <w:rPr>
          <w:b w:val="0"/>
        </w:rPr>
      </w:pPr>
    </w:p>
    <w:p w14:paraId="0013304A" w14:textId="36C874C6" w:rsidR="00773F7B" w:rsidRPr="004905D4" w:rsidRDefault="00773F7B" w:rsidP="005B3BEE">
      <w:pPr>
        <w:pStyle w:val="SectionH3"/>
      </w:pPr>
      <w:r w:rsidRPr="004905D4">
        <w:t>1</w:t>
      </w:r>
      <w:r w:rsidR="002675EF">
        <w:t>4</w:t>
      </w:r>
      <w:r w:rsidRPr="004905D4">
        <w:t>.</w:t>
      </w:r>
      <w:r w:rsidR="004905D4">
        <w:tab/>
      </w:r>
      <w:r w:rsidRPr="004905D4">
        <w:t>Retirement Benefit Obligations</w:t>
      </w:r>
    </w:p>
    <w:p w14:paraId="7B3026B9" w14:textId="77777777" w:rsidR="00773F7B" w:rsidRPr="009E13E4" w:rsidRDefault="00773F7B" w:rsidP="005B3BEE">
      <w:pPr>
        <w:pStyle w:val="Paragraph"/>
        <w:spacing w:before="0" w:after="120"/>
        <w:jc w:val="both"/>
      </w:pPr>
      <w:r w:rsidRPr="009E13E4">
        <w:t xml:space="preserve">The Group operates three legacy defined benefit pension schemes in the Republic of Ireland (the Irish schemes) and </w:t>
      </w:r>
      <w:r w:rsidR="00CA5B1E" w:rsidRPr="009E13E4">
        <w:t>one</w:t>
      </w:r>
      <w:r w:rsidRPr="009E13E4">
        <w:t xml:space="preserve"> legacy defined benefit pension scheme and one legacy defined benefit commitment in the UK (the UK schemes). These are all closed to future accrual and there is an assumption applied in the valuation of the schemes that there will be no discretionary increases in pension payments. The scheme assets are held in separate Trustee administered funds. The Group continues to seek ways to reduce its liabilities through various restructuring initiatives in co-operation with the respective schemes. </w:t>
      </w:r>
    </w:p>
    <w:p w14:paraId="014A8EFC" w14:textId="77777777" w:rsidR="002D4204" w:rsidRPr="009E13E4" w:rsidRDefault="002D4204" w:rsidP="002D4204">
      <w:pPr>
        <w:pStyle w:val="Paragraph"/>
        <w:spacing w:before="0" w:after="120"/>
        <w:jc w:val="both"/>
      </w:pPr>
      <w:r w:rsidRPr="009E13E4">
        <w:t>In consultation with the independent actuaries to the scheme, the valuation of pension obligations have been updated to reflect current market discount rates, rates of increase in salaries, pension payments and inflation, current market values of investments and actual investment returns.</w:t>
      </w:r>
    </w:p>
    <w:p w14:paraId="245BF98B" w14:textId="6968FB54" w:rsidR="00773F7B" w:rsidRDefault="00773F7B" w:rsidP="005B3BEE">
      <w:pPr>
        <w:pStyle w:val="Paragraph"/>
        <w:spacing w:before="0" w:after="120"/>
        <w:jc w:val="both"/>
      </w:pPr>
      <w:r w:rsidRPr="009E13E4">
        <w:t xml:space="preserve">The Group’s retirement benefit obligations moved from a net </w:t>
      </w:r>
      <w:r w:rsidRPr="00FB661E">
        <w:t>liability of £</w:t>
      </w:r>
      <w:r w:rsidR="00B704D2" w:rsidRPr="00FB661E">
        <w:t>46.0</w:t>
      </w:r>
      <w:r w:rsidRPr="00FB661E">
        <w:t>m at 2</w:t>
      </w:r>
      <w:r w:rsidR="009E13E4" w:rsidRPr="00FB661E">
        <w:t>5</w:t>
      </w:r>
      <w:r w:rsidRPr="00FB661E">
        <w:t xml:space="preserve"> September 20</w:t>
      </w:r>
      <w:r w:rsidR="009E13E4" w:rsidRPr="00FB661E">
        <w:t>2</w:t>
      </w:r>
      <w:r w:rsidR="00B704D2" w:rsidRPr="00FB661E">
        <w:t>1</w:t>
      </w:r>
      <w:r w:rsidRPr="00FB661E">
        <w:t xml:space="preserve"> to a net liability of £</w:t>
      </w:r>
      <w:r w:rsidR="00FB661E" w:rsidRPr="00FB661E">
        <w:t>18.2</w:t>
      </w:r>
      <w:r w:rsidRPr="00FB661E">
        <w:t xml:space="preserve">m at </w:t>
      </w:r>
      <w:r w:rsidR="008A4891" w:rsidRPr="00FB661E">
        <w:t>25 March 2022</w:t>
      </w:r>
      <w:r w:rsidRPr="00FB661E">
        <w:t>. This movement was primarily driven by an actuarial gain on liabilities arising from an increase in the discount rates used to value these liabilities. The move</w:t>
      </w:r>
      <w:r w:rsidR="004447BE" w:rsidRPr="00FB661E">
        <w:t>ment</w:t>
      </w:r>
      <w:r w:rsidRPr="00FB661E">
        <w:t xml:space="preserve"> in the discount rate is driven by the corporate bond rate.</w:t>
      </w:r>
      <w:r w:rsidRPr="009E13E4">
        <w:t xml:space="preserve"> </w:t>
      </w:r>
    </w:p>
    <w:p w14:paraId="58082DD8" w14:textId="6A6035CE" w:rsidR="00773F7B" w:rsidRDefault="00773F7B" w:rsidP="005B3BEE">
      <w:pPr>
        <w:pStyle w:val="Paragraph"/>
        <w:spacing w:before="0" w:after="120"/>
      </w:pPr>
      <w:r w:rsidRPr="00202019">
        <w:t>The principal actuarial assumptions are as follo</w:t>
      </w:r>
      <w:r>
        <w:t>w</w:t>
      </w:r>
      <w:r w:rsidRPr="00202019">
        <w:t>s:</w:t>
      </w:r>
    </w:p>
    <w:tbl>
      <w:tblPr>
        <w:tblStyle w:val="TableGrid"/>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0"/>
        <w:gridCol w:w="877"/>
        <w:gridCol w:w="877"/>
        <w:gridCol w:w="877"/>
        <w:gridCol w:w="879"/>
      </w:tblGrid>
      <w:tr w:rsidR="00773F7B" w14:paraId="2F19F34B" w14:textId="77777777" w:rsidTr="008B4755">
        <w:trPr>
          <w:jc w:val="center"/>
        </w:trPr>
        <w:tc>
          <w:tcPr>
            <w:tcW w:w="6270" w:type="dxa"/>
            <w:vAlign w:val="bottom"/>
          </w:tcPr>
          <w:p w14:paraId="4CD3A131" w14:textId="77777777" w:rsidR="00773F7B" w:rsidRPr="00B7240B" w:rsidRDefault="00773F7B" w:rsidP="00773F7B">
            <w:pPr>
              <w:pStyle w:val="T2"/>
              <w:jc w:val="left"/>
            </w:pPr>
          </w:p>
        </w:tc>
        <w:tc>
          <w:tcPr>
            <w:tcW w:w="1754" w:type="dxa"/>
            <w:gridSpan w:val="2"/>
            <w:vAlign w:val="bottom"/>
          </w:tcPr>
          <w:p w14:paraId="6DDBB9F4" w14:textId="2D2B44F4" w:rsidR="008B4755" w:rsidRPr="00F91BA7" w:rsidRDefault="00773F7B" w:rsidP="008B4755">
            <w:pPr>
              <w:pStyle w:val="T2"/>
              <w:rPr>
                <w:b/>
              </w:rPr>
            </w:pPr>
            <w:r w:rsidRPr="00F91BA7">
              <w:rPr>
                <w:b/>
              </w:rPr>
              <w:t xml:space="preserve">March </w:t>
            </w:r>
            <w:r w:rsidRPr="00F91BA7">
              <w:rPr>
                <w:b/>
              </w:rPr>
              <w:br/>
              <w:t>20</w:t>
            </w:r>
            <w:r w:rsidR="008B4755">
              <w:rPr>
                <w:b/>
              </w:rPr>
              <w:t>2</w:t>
            </w:r>
            <w:r w:rsidR="00450D89">
              <w:rPr>
                <w:b/>
              </w:rPr>
              <w:t>2</w:t>
            </w:r>
          </w:p>
        </w:tc>
        <w:tc>
          <w:tcPr>
            <w:tcW w:w="1756" w:type="dxa"/>
            <w:gridSpan w:val="2"/>
            <w:vAlign w:val="bottom"/>
          </w:tcPr>
          <w:p w14:paraId="2179A7B9" w14:textId="77777777" w:rsidR="00773F7B" w:rsidRDefault="00773F7B" w:rsidP="00773F7B">
            <w:pPr>
              <w:pStyle w:val="T2"/>
            </w:pPr>
            <w:r w:rsidRPr="00B7240B">
              <w:t xml:space="preserve">September </w:t>
            </w:r>
          </w:p>
          <w:p w14:paraId="53243534" w14:textId="757CAC0B" w:rsidR="00773F7B" w:rsidRPr="00B7240B" w:rsidRDefault="00773F7B" w:rsidP="008B4755">
            <w:pPr>
              <w:pStyle w:val="T2"/>
            </w:pPr>
            <w:r w:rsidRPr="00B7240B">
              <w:t>20</w:t>
            </w:r>
            <w:r w:rsidR="008B4755">
              <w:t>2</w:t>
            </w:r>
            <w:r w:rsidR="00450D89">
              <w:t>1</w:t>
            </w:r>
          </w:p>
        </w:tc>
      </w:tr>
      <w:tr w:rsidR="00773F7B" w14:paraId="221E8D3A" w14:textId="77777777" w:rsidTr="008B4755">
        <w:trPr>
          <w:jc w:val="center"/>
        </w:trPr>
        <w:tc>
          <w:tcPr>
            <w:tcW w:w="6270" w:type="dxa"/>
            <w:tcBorders>
              <w:bottom w:val="single" w:sz="2" w:space="0" w:color="auto"/>
            </w:tcBorders>
            <w:vAlign w:val="bottom"/>
          </w:tcPr>
          <w:p w14:paraId="11975133" w14:textId="77777777" w:rsidR="00773F7B" w:rsidRPr="00B7240B" w:rsidRDefault="00773F7B" w:rsidP="00773F7B">
            <w:pPr>
              <w:pStyle w:val="T2"/>
              <w:jc w:val="left"/>
            </w:pPr>
          </w:p>
        </w:tc>
        <w:tc>
          <w:tcPr>
            <w:tcW w:w="877" w:type="dxa"/>
            <w:tcBorders>
              <w:bottom w:val="single" w:sz="2" w:space="0" w:color="auto"/>
            </w:tcBorders>
            <w:vAlign w:val="bottom"/>
          </w:tcPr>
          <w:p w14:paraId="7512D9E8" w14:textId="77777777" w:rsidR="00773F7B" w:rsidRPr="00F91BA7" w:rsidRDefault="00773F7B" w:rsidP="00773F7B">
            <w:pPr>
              <w:pStyle w:val="T2"/>
              <w:jc w:val="right"/>
              <w:rPr>
                <w:b/>
              </w:rPr>
            </w:pPr>
            <w:r w:rsidRPr="00F91BA7">
              <w:rPr>
                <w:b/>
              </w:rPr>
              <w:t>UK</w:t>
            </w:r>
          </w:p>
        </w:tc>
        <w:tc>
          <w:tcPr>
            <w:tcW w:w="877" w:type="dxa"/>
            <w:tcBorders>
              <w:bottom w:val="single" w:sz="2" w:space="0" w:color="auto"/>
            </w:tcBorders>
            <w:vAlign w:val="bottom"/>
          </w:tcPr>
          <w:p w14:paraId="6F3E84F3" w14:textId="77777777" w:rsidR="00773F7B" w:rsidRPr="00F91BA7" w:rsidRDefault="00773F7B" w:rsidP="00773F7B">
            <w:pPr>
              <w:pStyle w:val="T2"/>
              <w:jc w:val="right"/>
              <w:rPr>
                <w:b/>
              </w:rPr>
            </w:pPr>
            <w:r w:rsidRPr="00F91BA7">
              <w:rPr>
                <w:b/>
              </w:rPr>
              <w:t>Ireland</w:t>
            </w:r>
          </w:p>
        </w:tc>
        <w:tc>
          <w:tcPr>
            <w:tcW w:w="877" w:type="dxa"/>
            <w:tcBorders>
              <w:bottom w:val="single" w:sz="2" w:space="0" w:color="auto"/>
            </w:tcBorders>
            <w:vAlign w:val="bottom"/>
          </w:tcPr>
          <w:p w14:paraId="4C7F5F3A" w14:textId="77777777" w:rsidR="00773F7B" w:rsidRPr="00B7240B" w:rsidRDefault="00773F7B" w:rsidP="00773F7B">
            <w:pPr>
              <w:pStyle w:val="T2"/>
              <w:jc w:val="right"/>
            </w:pPr>
            <w:r w:rsidRPr="00B7240B">
              <w:t>UK</w:t>
            </w:r>
          </w:p>
        </w:tc>
        <w:tc>
          <w:tcPr>
            <w:tcW w:w="879" w:type="dxa"/>
            <w:tcBorders>
              <w:bottom w:val="single" w:sz="2" w:space="0" w:color="auto"/>
            </w:tcBorders>
            <w:vAlign w:val="bottom"/>
          </w:tcPr>
          <w:p w14:paraId="4D752523" w14:textId="77777777" w:rsidR="00773F7B" w:rsidRPr="00B7240B" w:rsidRDefault="00773F7B" w:rsidP="00773F7B">
            <w:pPr>
              <w:pStyle w:val="T2"/>
              <w:jc w:val="right"/>
            </w:pPr>
            <w:r w:rsidRPr="00B7240B">
              <w:t>Ireland</w:t>
            </w:r>
          </w:p>
        </w:tc>
      </w:tr>
      <w:tr w:rsidR="008B4755" w14:paraId="7E509EAD" w14:textId="77777777" w:rsidTr="00592BB5">
        <w:trPr>
          <w:jc w:val="center"/>
        </w:trPr>
        <w:tc>
          <w:tcPr>
            <w:tcW w:w="6270" w:type="dxa"/>
            <w:tcBorders>
              <w:top w:val="single" w:sz="2" w:space="0" w:color="auto"/>
            </w:tcBorders>
            <w:vAlign w:val="bottom"/>
          </w:tcPr>
          <w:p w14:paraId="091CB7ED" w14:textId="77777777" w:rsidR="008B4755" w:rsidRPr="00B7240B" w:rsidRDefault="008B4755" w:rsidP="008B4755">
            <w:pPr>
              <w:pStyle w:val="T2"/>
              <w:jc w:val="left"/>
            </w:pPr>
            <w:r w:rsidRPr="00B7240B">
              <w:t>Rate of increase in pension payments *</w:t>
            </w:r>
          </w:p>
        </w:tc>
        <w:tc>
          <w:tcPr>
            <w:tcW w:w="877" w:type="dxa"/>
            <w:tcBorders>
              <w:top w:val="single" w:sz="2" w:space="0" w:color="auto"/>
            </w:tcBorders>
          </w:tcPr>
          <w:p w14:paraId="2DC8A803" w14:textId="15DC6BED" w:rsidR="008B4755" w:rsidRPr="00AE76AF" w:rsidRDefault="00FB661E" w:rsidP="008B4755">
            <w:pPr>
              <w:pStyle w:val="T2"/>
              <w:jc w:val="right"/>
              <w:rPr>
                <w:b/>
                <w:bCs/>
              </w:rPr>
            </w:pPr>
            <w:r>
              <w:rPr>
                <w:b/>
                <w:bCs/>
              </w:rPr>
              <w:t>3.</w:t>
            </w:r>
            <w:r w:rsidR="00115137">
              <w:rPr>
                <w:b/>
                <w:bCs/>
              </w:rPr>
              <w:t>30</w:t>
            </w:r>
            <w:r w:rsidR="00FD7ED5">
              <w:rPr>
                <w:b/>
                <w:bCs/>
              </w:rPr>
              <w:t>%</w:t>
            </w:r>
          </w:p>
        </w:tc>
        <w:tc>
          <w:tcPr>
            <w:tcW w:w="877" w:type="dxa"/>
            <w:tcBorders>
              <w:top w:val="single" w:sz="2" w:space="0" w:color="auto"/>
            </w:tcBorders>
          </w:tcPr>
          <w:p w14:paraId="05E23550" w14:textId="77777777" w:rsidR="008B4755" w:rsidRPr="00AE76AF" w:rsidRDefault="00FD7ED5" w:rsidP="008B4755">
            <w:pPr>
              <w:pStyle w:val="T2"/>
              <w:jc w:val="right"/>
              <w:rPr>
                <w:b/>
                <w:bCs/>
              </w:rPr>
            </w:pPr>
            <w:r>
              <w:rPr>
                <w:b/>
                <w:bCs/>
              </w:rPr>
              <w:t>0.00%</w:t>
            </w:r>
          </w:p>
        </w:tc>
        <w:tc>
          <w:tcPr>
            <w:tcW w:w="877" w:type="dxa"/>
            <w:tcBorders>
              <w:top w:val="single" w:sz="2" w:space="0" w:color="auto"/>
            </w:tcBorders>
            <w:vAlign w:val="bottom"/>
          </w:tcPr>
          <w:p w14:paraId="5223F6B5" w14:textId="20B27659" w:rsidR="008B4755" w:rsidRPr="00B7240B" w:rsidRDefault="009603AB" w:rsidP="008B4755">
            <w:pPr>
              <w:pStyle w:val="T2"/>
              <w:jc w:val="right"/>
            </w:pPr>
            <w:r>
              <w:rPr>
                <w:bCs/>
              </w:rPr>
              <w:t>3.35</w:t>
            </w:r>
            <w:r w:rsidR="008B4755" w:rsidRPr="0096767F">
              <w:rPr>
                <w:bCs/>
              </w:rPr>
              <w:t>%</w:t>
            </w:r>
          </w:p>
        </w:tc>
        <w:tc>
          <w:tcPr>
            <w:tcW w:w="879" w:type="dxa"/>
            <w:tcBorders>
              <w:top w:val="single" w:sz="2" w:space="0" w:color="auto"/>
            </w:tcBorders>
            <w:vAlign w:val="bottom"/>
          </w:tcPr>
          <w:p w14:paraId="48BC63E2" w14:textId="77777777" w:rsidR="008B4755" w:rsidRPr="00B7240B" w:rsidRDefault="008B4755" w:rsidP="008B4755">
            <w:pPr>
              <w:pStyle w:val="T2"/>
              <w:jc w:val="right"/>
            </w:pPr>
            <w:r w:rsidRPr="0096767F">
              <w:rPr>
                <w:bCs/>
              </w:rPr>
              <w:t>0.00%</w:t>
            </w:r>
          </w:p>
        </w:tc>
      </w:tr>
      <w:tr w:rsidR="008B4755" w14:paraId="346333E9" w14:textId="77777777" w:rsidTr="00592BB5">
        <w:trPr>
          <w:jc w:val="center"/>
        </w:trPr>
        <w:tc>
          <w:tcPr>
            <w:tcW w:w="6270" w:type="dxa"/>
            <w:vAlign w:val="bottom"/>
          </w:tcPr>
          <w:p w14:paraId="75E46149" w14:textId="77777777" w:rsidR="008B4755" w:rsidRPr="00B7240B" w:rsidRDefault="008B4755" w:rsidP="008B4755">
            <w:pPr>
              <w:pStyle w:val="T2"/>
              <w:jc w:val="left"/>
            </w:pPr>
            <w:r w:rsidRPr="00B7240B">
              <w:t>Discount rate</w:t>
            </w:r>
          </w:p>
        </w:tc>
        <w:tc>
          <w:tcPr>
            <w:tcW w:w="877" w:type="dxa"/>
          </w:tcPr>
          <w:p w14:paraId="557512E6" w14:textId="68A88B91" w:rsidR="008B4755" w:rsidRPr="00AE76AF" w:rsidRDefault="00FB661E" w:rsidP="008B4755">
            <w:pPr>
              <w:pStyle w:val="T2"/>
              <w:jc w:val="right"/>
              <w:rPr>
                <w:b/>
                <w:bCs/>
              </w:rPr>
            </w:pPr>
            <w:r>
              <w:rPr>
                <w:b/>
                <w:bCs/>
              </w:rPr>
              <w:t>2.85</w:t>
            </w:r>
            <w:r w:rsidR="00FD7ED5">
              <w:rPr>
                <w:b/>
                <w:bCs/>
              </w:rPr>
              <w:t>%</w:t>
            </w:r>
          </w:p>
        </w:tc>
        <w:tc>
          <w:tcPr>
            <w:tcW w:w="877" w:type="dxa"/>
          </w:tcPr>
          <w:p w14:paraId="0762D242" w14:textId="6EE8B877" w:rsidR="008B4755" w:rsidRPr="00AE76AF" w:rsidRDefault="00FB661E" w:rsidP="008B4755">
            <w:pPr>
              <w:pStyle w:val="T2"/>
              <w:jc w:val="right"/>
              <w:rPr>
                <w:b/>
                <w:bCs/>
              </w:rPr>
            </w:pPr>
            <w:r>
              <w:rPr>
                <w:b/>
                <w:bCs/>
              </w:rPr>
              <w:t>2.00</w:t>
            </w:r>
            <w:r w:rsidR="00FD7ED5">
              <w:rPr>
                <w:b/>
                <w:bCs/>
              </w:rPr>
              <w:t>%</w:t>
            </w:r>
          </w:p>
        </w:tc>
        <w:tc>
          <w:tcPr>
            <w:tcW w:w="877" w:type="dxa"/>
            <w:vAlign w:val="bottom"/>
          </w:tcPr>
          <w:p w14:paraId="7528D323" w14:textId="17E48442" w:rsidR="008B4755" w:rsidRPr="00B7240B" w:rsidRDefault="008B4755" w:rsidP="008B4755">
            <w:pPr>
              <w:pStyle w:val="T2"/>
              <w:jc w:val="right"/>
            </w:pPr>
            <w:r>
              <w:rPr>
                <w:bCs/>
              </w:rPr>
              <w:t>1.</w:t>
            </w:r>
            <w:r w:rsidR="009603AB">
              <w:rPr>
                <w:bCs/>
              </w:rPr>
              <w:t>90</w:t>
            </w:r>
            <w:r w:rsidRPr="0096767F">
              <w:rPr>
                <w:bCs/>
              </w:rPr>
              <w:t>%</w:t>
            </w:r>
          </w:p>
        </w:tc>
        <w:tc>
          <w:tcPr>
            <w:tcW w:w="879" w:type="dxa"/>
            <w:vAlign w:val="bottom"/>
          </w:tcPr>
          <w:p w14:paraId="3A38E984" w14:textId="452F2288" w:rsidR="008B4755" w:rsidRPr="00B7240B" w:rsidRDefault="009603AB" w:rsidP="008B4755">
            <w:pPr>
              <w:pStyle w:val="T2"/>
              <w:jc w:val="right"/>
            </w:pPr>
            <w:r>
              <w:rPr>
                <w:bCs/>
              </w:rPr>
              <w:t>1.13</w:t>
            </w:r>
            <w:r w:rsidR="008B4755" w:rsidRPr="0096767F">
              <w:rPr>
                <w:bCs/>
              </w:rPr>
              <w:t>%</w:t>
            </w:r>
          </w:p>
        </w:tc>
      </w:tr>
      <w:tr w:rsidR="008B4755" w14:paraId="5613BB25" w14:textId="77777777" w:rsidTr="00592BB5">
        <w:trPr>
          <w:jc w:val="center"/>
        </w:trPr>
        <w:tc>
          <w:tcPr>
            <w:tcW w:w="6270" w:type="dxa"/>
            <w:tcBorders>
              <w:bottom w:val="single" w:sz="2" w:space="0" w:color="auto"/>
            </w:tcBorders>
            <w:vAlign w:val="bottom"/>
          </w:tcPr>
          <w:p w14:paraId="5CCB4C02" w14:textId="77777777" w:rsidR="008B4755" w:rsidRPr="00B7240B" w:rsidRDefault="008B4755" w:rsidP="008B4755">
            <w:pPr>
              <w:pStyle w:val="T2"/>
              <w:jc w:val="left"/>
            </w:pPr>
            <w:r w:rsidRPr="00B7240B">
              <w:t>Inflation rate</w:t>
            </w:r>
          </w:p>
        </w:tc>
        <w:tc>
          <w:tcPr>
            <w:tcW w:w="877" w:type="dxa"/>
            <w:tcBorders>
              <w:bottom w:val="single" w:sz="2" w:space="0" w:color="auto"/>
            </w:tcBorders>
          </w:tcPr>
          <w:p w14:paraId="7E2FC4CF" w14:textId="04AEE84B" w:rsidR="008B4755" w:rsidRPr="00AE76AF" w:rsidRDefault="00FB661E" w:rsidP="008B4755">
            <w:pPr>
              <w:pStyle w:val="T2"/>
              <w:jc w:val="right"/>
              <w:rPr>
                <w:b/>
                <w:bCs/>
              </w:rPr>
            </w:pPr>
            <w:r>
              <w:rPr>
                <w:b/>
                <w:bCs/>
              </w:rPr>
              <w:t>3.65</w:t>
            </w:r>
            <w:r w:rsidR="00FD7ED5">
              <w:rPr>
                <w:b/>
                <w:bCs/>
              </w:rPr>
              <w:t>%</w:t>
            </w:r>
          </w:p>
        </w:tc>
        <w:tc>
          <w:tcPr>
            <w:tcW w:w="877" w:type="dxa"/>
            <w:tcBorders>
              <w:bottom w:val="single" w:sz="2" w:space="0" w:color="auto"/>
            </w:tcBorders>
          </w:tcPr>
          <w:p w14:paraId="099E4279" w14:textId="22263D58" w:rsidR="008B4755" w:rsidRPr="00AE76AF" w:rsidRDefault="00FB661E" w:rsidP="008B4755">
            <w:pPr>
              <w:pStyle w:val="T2"/>
              <w:jc w:val="right"/>
              <w:rPr>
                <w:b/>
                <w:bCs/>
              </w:rPr>
            </w:pPr>
            <w:r>
              <w:rPr>
                <w:b/>
                <w:bCs/>
              </w:rPr>
              <w:t>2.60</w:t>
            </w:r>
            <w:r w:rsidR="00FD7ED5">
              <w:rPr>
                <w:b/>
                <w:bCs/>
              </w:rPr>
              <w:t>%</w:t>
            </w:r>
          </w:p>
        </w:tc>
        <w:tc>
          <w:tcPr>
            <w:tcW w:w="877" w:type="dxa"/>
            <w:tcBorders>
              <w:bottom w:val="single" w:sz="2" w:space="0" w:color="auto"/>
            </w:tcBorders>
            <w:vAlign w:val="bottom"/>
          </w:tcPr>
          <w:p w14:paraId="1768C672" w14:textId="447B6EB3" w:rsidR="008B4755" w:rsidRPr="00B7240B" w:rsidRDefault="009603AB" w:rsidP="008B4755">
            <w:pPr>
              <w:pStyle w:val="T2"/>
              <w:jc w:val="right"/>
            </w:pPr>
            <w:r>
              <w:rPr>
                <w:bCs/>
              </w:rPr>
              <w:t>3.45</w:t>
            </w:r>
            <w:r w:rsidR="008B4755" w:rsidRPr="0096767F">
              <w:rPr>
                <w:bCs/>
              </w:rPr>
              <w:t>%</w:t>
            </w:r>
          </w:p>
        </w:tc>
        <w:tc>
          <w:tcPr>
            <w:tcW w:w="879" w:type="dxa"/>
            <w:tcBorders>
              <w:bottom w:val="single" w:sz="2" w:space="0" w:color="auto"/>
            </w:tcBorders>
            <w:vAlign w:val="bottom"/>
          </w:tcPr>
          <w:p w14:paraId="2991B684" w14:textId="72FCC30C" w:rsidR="008B4755" w:rsidRPr="00B7240B" w:rsidRDefault="008B4755" w:rsidP="008B4755">
            <w:pPr>
              <w:pStyle w:val="T2"/>
              <w:jc w:val="right"/>
            </w:pPr>
            <w:r w:rsidRPr="0096767F">
              <w:rPr>
                <w:bCs/>
              </w:rPr>
              <w:t>1.</w:t>
            </w:r>
            <w:r w:rsidR="009603AB">
              <w:rPr>
                <w:bCs/>
              </w:rPr>
              <w:t>80</w:t>
            </w:r>
            <w:r w:rsidRPr="0096767F">
              <w:rPr>
                <w:bCs/>
              </w:rPr>
              <w:t>%</w:t>
            </w:r>
          </w:p>
        </w:tc>
      </w:tr>
      <w:tr w:rsidR="00773F7B" w14:paraId="5A565D0A" w14:textId="77777777" w:rsidTr="005B3BEE">
        <w:trPr>
          <w:jc w:val="center"/>
        </w:trPr>
        <w:tc>
          <w:tcPr>
            <w:tcW w:w="9780" w:type="dxa"/>
            <w:gridSpan w:val="5"/>
            <w:tcBorders>
              <w:top w:val="single" w:sz="2" w:space="0" w:color="auto"/>
            </w:tcBorders>
          </w:tcPr>
          <w:p w14:paraId="4DFF6870" w14:textId="77777777" w:rsidR="00773F7B" w:rsidRPr="00E05961" w:rsidRDefault="00773F7B" w:rsidP="00773F7B">
            <w:pPr>
              <w:pStyle w:val="T2"/>
              <w:jc w:val="left"/>
              <w:rPr>
                <w:sz w:val="16"/>
                <w:szCs w:val="16"/>
              </w:rPr>
            </w:pPr>
            <w:r w:rsidRPr="00E05961">
              <w:rPr>
                <w:sz w:val="16"/>
                <w:szCs w:val="16"/>
              </w:rPr>
              <w:t xml:space="preserve">* The pension increase rate shown above applies to the majority of the liability base. However there are certain categories within the </w:t>
            </w:r>
            <w:r>
              <w:rPr>
                <w:sz w:val="16"/>
                <w:szCs w:val="16"/>
              </w:rPr>
              <w:t>G</w:t>
            </w:r>
            <w:r w:rsidRPr="00E05961">
              <w:rPr>
                <w:sz w:val="16"/>
                <w:szCs w:val="16"/>
              </w:rPr>
              <w:t>roup that have an entitlement to pension indexation and this is allowed for in the calculation.</w:t>
            </w:r>
          </w:p>
        </w:tc>
      </w:tr>
    </w:tbl>
    <w:p w14:paraId="3E3C25FE" w14:textId="73236385" w:rsidR="00773F7B" w:rsidRDefault="00773F7B" w:rsidP="005B3BEE">
      <w:pPr>
        <w:pStyle w:val="Paragraph"/>
        <w:spacing w:after="120"/>
      </w:pPr>
      <w:r>
        <w:t>T</w:t>
      </w:r>
      <w:r w:rsidRPr="005D5C34">
        <w:t>he financial position of the schemes was as follows:</w:t>
      </w:r>
    </w:p>
    <w:tbl>
      <w:tblPr>
        <w:tblStyle w:val="TableGrid"/>
        <w:tblW w:w="97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992"/>
        <w:gridCol w:w="992"/>
        <w:gridCol w:w="851"/>
        <w:gridCol w:w="921"/>
        <w:gridCol w:w="863"/>
        <w:gridCol w:w="739"/>
      </w:tblGrid>
      <w:tr w:rsidR="00773F7B" w14:paraId="3C72ACE7" w14:textId="77777777" w:rsidTr="008B4755">
        <w:trPr>
          <w:jc w:val="center"/>
        </w:trPr>
        <w:tc>
          <w:tcPr>
            <w:tcW w:w="4422" w:type="dxa"/>
          </w:tcPr>
          <w:p w14:paraId="248A678D" w14:textId="77777777" w:rsidR="00773F7B" w:rsidRPr="00496A2A" w:rsidRDefault="00773F7B" w:rsidP="00773F7B">
            <w:pPr>
              <w:pStyle w:val="T2"/>
            </w:pPr>
          </w:p>
        </w:tc>
        <w:tc>
          <w:tcPr>
            <w:tcW w:w="2835" w:type="dxa"/>
            <w:gridSpan w:val="3"/>
            <w:vAlign w:val="bottom"/>
          </w:tcPr>
          <w:p w14:paraId="6CB363BD" w14:textId="40767A84" w:rsidR="00773F7B" w:rsidRPr="00892F5E" w:rsidRDefault="00773F7B" w:rsidP="00773F7B">
            <w:pPr>
              <w:pStyle w:val="T2"/>
              <w:rPr>
                <w:b/>
              </w:rPr>
            </w:pPr>
            <w:r w:rsidRPr="00892F5E">
              <w:rPr>
                <w:b/>
              </w:rPr>
              <w:t xml:space="preserve"> March 20</w:t>
            </w:r>
            <w:r w:rsidR="008B4755">
              <w:rPr>
                <w:b/>
              </w:rPr>
              <w:t>2</w:t>
            </w:r>
            <w:r w:rsidR="009603AB">
              <w:rPr>
                <w:b/>
              </w:rPr>
              <w:t>2</w:t>
            </w:r>
          </w:p>
        </w:tc>
        <w:tc>
          <w:tcPr>
            <w:tcW w:w="2523" w:type="dxa"/>
            <w:gridSpan w:val="3"/>
            <w:vAlign w:val="bottom"/>
          </w:tcPr>
          <w:p w14:paraId="3906297F" w14:textId="036F0F88" w:rsidR="00773F7B" w:rsidRPr="00496A2A" w:rsidRDefault="00773F7B" w:rsidP="008B4755">
            <w:pPr>
              <w:pStyle w:val="T2"/>
            </w:pPr>
            <w:r w:rsidRPr="00496A2A">
              <w:t>September 20</w:t>
            </w:r>
            <w:r w:rsidR="008B4755">
              <w:t>2</w:t>
            </w:r>
            <w:r w:rsidR="009603AB">
              <w:t>1</w:t>
            </w:r>
          </w:p>
        </w:tc>
      </w:tr>
      <w:tr w:rsidR="00773F7B" w14:paraId="1051301A" w14:textId="77777777" w:rsidTr="008B4755">
        <w:trPr>
          <w:jc w:val="center"/>
        </w:trPr>
        <w:tc>
          <w:tcPr>
            <w:tcW w:w="4422" w:type="dxa"/>
          </w:tcPr>
          <w:p w14:paraId="165FE380" w14:textId="77777777" w:rsidR="00773F7B" w:rsidRPr="00496A2A" w:rsidRDefault="00773F7B" w:rsidP="00773F7B">
            <w:pPr>
              <w:pStyle w:val="T2"/>
            </w:pPr>
          </w:p>
        </w:tc>
        <w:tc>
          <w:tcPr>
            <w:tcW w:w="992" w:type="dxa"/>
            <w:vAlign w:val="bottom"/>
          </w:tcPr>
          <w:p w14:paraId="77A76736" w14:textId="77777777" w:rsidR="00773F7B" w:rsidRPr="00892F5E" w:rsidRDefault="00773F7B" w:rsidP="00773F7B">
            <w:pPr>
              <w:pStyle w:val="T2"/>
              <w:jc w:val="right"/>
              <w:rPr>
                <w:b/>
              </w:rPr>
            </w:pPr>
            <w:r w:rsidRPr="00892F5E">
              <w:rPr>
                <w:b/>
              </w:rPr>
              <w:t>UK</w:t>
            </w:r>
            <w:r w:rsidRPr="00892F5E">
              <w:rPr>
                <w:b/>
              </w:rPr>
              <w:br/>
              <w:t xml:space="preserve"> Schemes</w:t>
            </w:r>
          </w:p>
        </w:tc>
        <w:tc>
          <w:tcPr>
            <w:tcW w:w="992" w:type="dxa"/>
            <w:vAlign w:val="bottom"/>
          </w:tcPr>
          <w:p w14:paraId="6C2F67EB" w14:textId="77777777" w:rsidR="00773F7B" w:rsidRPr="00892F5E" w:rsidRDefault="00773F7B" w:rsidP="00773F7B">
            <w:pPr>
              <w:pStyle w:val="T2"/>
              <w:jc w:val="right"/>
              <w:rPr>
                <w:b/>
              </w:rPr>
            </w:pPr>
            <w:r w:rsidRPr="00892F5E">
              <w:rPr>
                <w:b/>
              </w:rPr>
              <w:t>Irish Schemes</w:t>
            </w:r>
          </w:p>
        </w:tc>
        <w:tc>
          <w:tcPr>
            <w:tcW w:w="851" w:type="dxa"/>
            <w:vAlign w:val="bottom"/>
          </w:tcPr>
          <w:p w14:paraId="71B29263" w14:textId="77777777" w:rsidR="00773F7B" w:rsidRPr="00892F5E" w:rsidRDefault="00773F7B" w:rsidP="00773F7B">
            <w:pPr>
              <w:pStyle w:val="T2"/>
              <w:jc w:val="right"/>
              <w:rPr>
                <w:b/>
              </w:rPr>
            </w:pPr>
            <w:r w:rsidRPr="00892F5E">
              <w:rPr>
                <w:b/>
              </w:rPr>
              <w:t>Total</w:t>
            </w:r>
          </w:p>
        </w:tc>
        <w:tc>
          <w:tcPr>
            <w:tcW w:w="921" w:type="dxa"/>
            <w:vAlign w:val="bottom"/>
          </w:tcPr>
          <w:p w14:paraId="6AA6CF15" w14:textId="77777777" w:rsidR="00773F7B" w:rsidRPr="00496A2A" w:rsidRDefault="00773F7B" w:rsidP="00773F7B">
            <w:pPr>
              <w:pStyle w:val="T2"/>
              <w:jc w:val="right"/>
            </w:pPr>
            <w:r w:rsidRPr="00496A2A">
              <w:t>UK</w:t>
            </w:r>
            <w:r w:rsidRPr="00496A2A">
              <w:br/>
              <w:t xml:space="preserve"> Schemes</w:t>
            </w:r>
          </w:p>
        </w:tc>
        <w:tc>
          <w:tcPr>
            <w:tcW w:w="863" w:type="dxa"/>
            <w:vAlign w:val="bottom"/>
          </w:tcPr>
          <w:p w14:paraId="1C6340DB" w14:textId="77777777" w:rsidR="00773F7B" w:rsidRPr="00496A2A" w:rsidRDefault="00773F7B" w:rsidP="00773F7B">
            <w:pPr>
              <w:pStyle w:val="T2"/>
              <w:jc w:val="right"/>
            </w:pPr>
            <w:r w:rsidRPr="00496A2A">
              <w:t>Irish Schemes</w:t>
            </w:r>
          </w:p>
        </w:tc>
        <w:tc>
          <w:tcPr>
            <w:tcW w:w="739" w:type="dxa"/>
            <w:vAlign w:val="bottom"/>
          </w:tcPr>
          <w:p w14:paraId="26BBDE70" w14:textId="77777777" w:rsidR="00773F7B" w:rsidRPr="00496A2A" w:rsidRDefault="00773F7B" w:rsidP="00773F7B">
            <w:pPr>
              <w:pStyle w:val="T2"/>
              <w:jc w:val="right"/>
            </w:pPr>
            <w:r w:rsidRPr="00496A2A">
              <w:t>Total</w:t>
            </w:r>
          </w:p>
        </w:tc>
      </w:tr>
      <w:tr w:rsidR="00773F7B" w14:paraId="5D3F55F9" w14:textId="77777777" w:rsidTr="008B4755">
        <w:trPr>
          <w:jc w:val="center"/>
        </w:trPr>
        <w:tc>
          <w:tcPr>
            <w:tcW w:w="4422" w:type="dxa"/>
            <w:tcBorders>
              <w:bottom w:val="single" w:sz="2" w:space="0" w:color="auto"/>
            </w:tcBorders>
          </w:tcPr>
          <w:p w14:paraId="15AF1EE1" w14:textId="77777777" w:rsidR="00773F7B" w:rsidRPr="00496A2A" w:rsidRDefault="00773F7B" w:rsidP="00773F7B">
            <w:pPr>
              <w:pStyle w:val="T2"/>
            </w:pPr>
          </w:p>
        </w:tc>
        <w:tc>
          <w:tcPr>
            <w:tcW w:w="992" w:type="dxa"/>
            <w:tcBorders>
              <w:bottom w:val="single" w:sz="2" w:space="0" w:color="auto"/>
            </w:tcBorders>
            <w:vAlign w:val="bottom"/>
          </w:tcPr>
          <w:p w14:paraId="7A405183" w14:textId="77777777" w:rsidR="00773F7B" w:rsidRPr="008F29DE" w:rsidRDefault="00773F7B" w:rsidP="00773F7B">
            <w:pPr>
              <w:pStyle w:val="T2"/>
              <w:jc w:val="right"/>
              <w:rPr>
                <w:b/>
              </w:rPr>
            </w:pPr>
            <w:r w:rsidRPr="008F29DE">
              <w:rPr>
                <w:b/>
              </w:rPr>
              <w:t>£m</w:t>
            </w:r>
          </w:p>
        </w:tc>
        <w:tc>
          <w:tcPr>
            <w:tcW w:w="992" w:type="dxa"/>
            <w:tcBorders>
              <w:bottom w:val="single" w:sz="2" w:space="0" w:color="auto"/>
            </w:tcBorders>
            <w:vAlign w:val="bottom"/>
          </w:tcPr>
          <w:p w14:paraId="1083FC23" w14:textId="77777777" w:rsidR="00773F7B" w:rsidRPr="008F29DE" w:rsidRDefault="00773F7B" w:rsidP="00773F7B">
            <w:pPr>
              <w:pStyle w:val="T2"/>
              <w:jc w:val="right"/>
              <w:rPr>
                <w:b/>
              </w:rPr>
            </w:pPr>
            <w:r w:rsidRPr="008F29DE">
              <w:rPr>
                <w:b/>
              </w:rPr>
              <w:t>£m</w:t>
            </w:r>
          </w:p>
        </w:tc>
        <w:tc>
          <w:tcPr>
            <w:tcW w:w="851" w:type="dxa"/>
            <w:tcBorders>
              <w:bottom w:val="single" w:sz="2" w:space="0" w:color="auto"/>
            </w:tcBorders>
            <w:vAlign w:val="bottom"/>
          </w:tcPr>
          <w:p w14:paraId="326C93C5" w14:textId="77777777" w:rsidR="00773F7B" w:rsidRPr="008F29DE" w:rsidRDefault="00773F7B" w:rsidP="00773F7B">
            <w:pPr>
              <w:pStyle w:val="T2"/>
              <w:jc w:val="right"/>
              <w:rPr>
                <w:b/>
              </w:rPr>
            </w:pPr>
            <w:r w:rsidRPr="008F29DE">
              <w:rPr>
                <w:b/>
              </w:rPr>
              <w:t>£m</w:t>
            </w:r>
          </w:p>
        </w:tc>
        <w:tc>
          <w:tcPr>
            <w:tcW w:w="921" w:type="dxa"/>
            <w:tcBorders>
              <w:bottom w:val="single" w:sz="2" w:space="0" w:color="auto"/>
            </w:tcBorders>
            <w:vAlign w:val="bottom"/>
          </w:tcPr>
          <w:p w14:paraId="0A6DCA3B" w14:textId="77777777" w:rsidR="00773F7B" w:rsidRPr="00496A2A" w:rsidRDefault="00773F7B" w:rsidP="00773F7B">
            <w:pPr>
              <w:pStyle w:val="T2"/>
              <w:jc w:val="right"/>
            </w:pPr>
            <w:r w:rsidRPr="00496A2A">
              <w:t>£m</w:t>
            </w:r>
          </w:p>
        </w:tc>
        <w:tc>
          <w:tcPr>
            <w:tcW w:w="863" w:type="dxa"/>
            <w:tcBorders>
              <w:bottom w:val="single" w:sz="2" w:space="0" w:color="auto"/>
            </w:tcBorders>
            <w:vAlign w:val="bottom"/>
          </w:tcPr>
          <w:p w14:paraId="30F3EEDC" w14:textId="77777777" w:rsidR="00773F7B" w:rsidRPr="00496A2A" w:rsidRDefault="00773F7B" w:rsidP="00773F7B">
            <w:pPr>
              <w:pStyle w:val="T2"/>
              <w:jc w:val="right"/>
            </w:pPr>
            <w:r w:rsidRPr="00496A2A">
              <w:t>£m</w:t>
            </w:r>
          </w:p>
        </w:tc>
        <w:tc>
          <w:tcPr>
            <w:tcW w:w="739" w:type="dxa"/>
            <w:tcBorders>
              <w:bottom w:val="single" w:sz="2" w:space="0" w:color="auto"/>
            </w:tcBorders>
            <w:vAlign w:val="bottom"/>
          </w:tcPr>
          <w:p w14:paraId="191F34F5" w14:textId="77777777" w:rsidR="00773F7B" w:rsidRPr="00496A2A" w:rsidRDefault="00773F7B" w:rsidP="00773F7B">
            <w:pPr>
              <w:pStyle w:val="T2"/>
              <w:jc w:val="right"/>
            </w:pPr>
            <w:r w:rsidRPr="00496A2A">
              <w:t>£m</w:t>
            </w:r>
          </w:p>
        </w:tc>
      </w:tr>
      <w:tr w:rsidR="009603AB" w14:paraId="2F1FAB90" w14:textId="77777777" w:rsidTr="008B4755">
        <w:trPr>
          <w:jc w:val="center"/>
        </w:trPr>
        <w:tc>
          <w:tcPr>
            <w:tcW w:w="4422" w:type="dxa"/>
            <w:tcBorders>
              <w:top w:val="single" w:sz="2" w:space="0" w:color="auto"/>
            </w:tcBorders>
            <w:vAlign w:val="bottom"/>
          </w:tcPr>
          <w:p w14:paraId="61D2096C" w14:textId="77777777" w:rsidR="009603AB" w:rsidRPr="00496A2A" w:rsidRDefault="009603AB" w:rsidP="009603AB">
            <w:pPr>
              <w:pStyle w:val="T2"/>
              <w:jc w:val="left"/>
            </w:pPr>
            <w:r>
              <w:t>Fair value of plan assets</w:t>
            </w:r>
          </w:p>
        </w:tc>
        <w:tc>
          <w:tcPr>
            <w:tcW w:w="992" w:type="dxa"/>
            <w:tcBorders>
              <w:top w:val="single" w:sz="2" w:space="0" w:color="auto"/>
            </w:tcBorders>
          </w:tcPr>
          <w:p w14:paraId="51C05783" w14:textId="63D4A81E" w:rsidR="009603AB" w:rsidRPr="005226E7" w:rsidRDefault="00FB661E" w:rsidP="009603AB">
            <w:pPr>
              <w:pStyle w:val="T2"/>
              <w:jc w:val="right"/>
              <w:rPr>
                <w:b/>
              </w:rPr>
            </w:pPr>
            <w:r>
              <w:rPr>
                <w:b/>
              </w:rPr>
              <w:t>234.0</w:t>
            </w:r>
          </w:p>
        </w:tc>
        <w:tc>
          <w:tcPr>
            <w:tcW w:w="992" w:type="dxa"/>
            <w:tcBorders>
              <w:top w:val="single" w:sz="2" w:space="0" w:color="auto"/>
            </w:tcBorders>
          </w:tcPr>
          <w:p w14:paraId="5AEA3047" w14:textId="3F34DD9A" w:rsidR="009603AB" w:rsidRPr="005226E7" w:rsidRDefault="00FB661E" w:rsidP="009603AB">
            <w:pPr>
              <w:pStyle w:val="T2"/>
              <w:jc w:val="right"/>
              <w:rPr>
                <w:b/>
              </w:rPr>
            </w:pPr>
            <w:r>
              <w:rPr>
                <w:b/>
              </w:rPr>
              <w:t>195.4</w:t>
            </w:r>
          </w:p>
        </w:tc>
        <w:tc>
          <w:tcPr>
            <w:tcW w:w="851" w:type="dxa"/>
            <w:tcBorders>
              <w:top w:val="single" w:sz="2" w:space="0" w:color="auto"/>
            </w:tcBorders>
          </w:tcPr>
          <w:p w14:paraId="654AFF03" w14:textId="5EC7492C" w:rsidR="009603AB" w:rsidRPr="005226E7" w:rsidRDefault="00FB661E" w:rsidP="009603AB">
            <w:pPr>
              <w:pStyle w:val="T2"/>
              <w:jc w:val="right"/>
              <w:rPr>
                <w:b/>
              </w:rPr>
            </w:pPr>
            <w:r>
              <w:rPr>
                <w:b/>
              </w:rPr>
              <w:t>429.4</w:t>
            </w:r>
          </w:p>
        </w:tc>
        <w:tc>
          <w:tcPr>
            <w:tcW w:w="921" w:type="dxa"/>
            <w:tcBorders>
              <w:top w:val="single" w:sz="2" w:space="0" w:color="auto"/>
            </w:tcBorders>
            <w:vAlign w:val="bottom"/>
          </w:tcPr>
          <w:p w14:paraId="09261386" w14:textId="5D773D0B" w:rsidR="009603AB" w:rsidRPr="00496A2A" w:rsidRDefault="009603AB" w:rsidP="009603AB">
            <w:pPr>
              <w:pStyle w:val="T2"/>
              <w:jc w:val="right"/>
            </w:pPr>
            <w:r>
              <w:t>260.6</w:t>
            </w:r>
          </w:p>
        </w:tc>
        <w:tc>
          <w:tcPr>
            <w:tcW w:w="863" w:type="dxa"/>
            <w:tcBorders>
              <w:top w:val="single" w:sz="2" w:space="0" w:color="auto"/>
            </w:tcBorders>
            <w:vAlign w:val="bottom"/>
          </w:tcPr>
          <w:p w14:paraId="14C7B1B5" w14:textId="11A4491B" w:rsidR="009603AB" w:rsidRPr="00496A2A" w:rsidRDefault="009603AB" w:rsidP="009603AB">
            <w:pPr>
              <w:pStyle w:val="T2"/>
              <w:jc w:val="right"/>
            </w:pPr>
            <w:r>
              <w:t>220.7</w:t>
            </w:r>
          </w:p>
        </w:tc>
        <w:tc>
          <w:tcPr>
            <w:tcW w:w="739" w:type="dxa"/>
            <w:tcBorders>
              <w:top w:val="single" w:sz="2" w:space="0" w:color="auto"/>
            </w:tcBorders>
            <w:vAlign w:val="bottom"/>
          </w:tcPr>
          <w:p w14:paraId="4BF91ECE" w14:textId="3105D9D6" w:rsidR="009603AB" w:rsidRPr="00496A2A" w:rsidRDefault="009603AB" w:rsidP="009603AB">
            <w:pPr>
              <w:pStyle w:val="T2"/>
              <w:jc w:val="right"/>
            </w:pPr>
            <w:r>
              <w:t>481.3</w:t>
            </w:r>
          </w:p>
        </w:tc>
      </w:tr>
      <w:tr w:rsidR="009603AB" w14:paraId="02C52F70" w14:textId="77777777" w:rsidTr="008B4755">
        <w:trPr>
          <w:jc w:val="center"/>
        </w:trPr>
        <w:tc>
          <w:tcPr>
            <w:tcW w:w="4422" w:type="dxa"/>
            <w:tcBorders>
              <w:bottom w:val="single" w:sz="2" w:space="0" w:color="auto"/>
            </w:tcBorders>
            <w:vAlign w:val="bottom"/>
          </w:tcPr>
          <w:p w14:paraId="6D058E46" w14:textId="77777777" w:rsidR="009603AB" w:rsidRPr="00496A2A" w:rsidRDefault="009603AB" w:rsidP="009603AB">
            <w:pPr>
              <w:pStyle w:val="T2"/>
              <w:jc w:val="left"/>
            </w:pPr>
            <w:r w:rsidRPr="00496A2A">
              <w:t>Present value of scheme liabilities</w:t>
            </w:r>
          </w:p>
        </w:tc>
        <w:tc>
          <w:tcPr>
            <w:tcW w:w="992" w:type="dxa"/>
            <w:tcBorders>
              <w:bottom w:val="single" w:sz="2" w:space="0" w:color="auto"/>
            </w:tcBorders>
          </w:tcPr>
          <w:p w14:paraId="093000E7" w14:textId="13B0D686" w:rsidR="009603AB" w:rsidRPr="005226E7" w:rsidRDefault="00FB661E" w:rsidP="009603AB">
            <w:pPr>
              <w:pStyle w:val="T2"/>
              <w:jc w:val="right"/>
              <w:rPr>
                <w:b/>
              </w:rPr>
            </w:pPr>
            <w:r>
              <w:rPr>
                <w:b/>
              </w:rPr>
              <w:t>(291.8)</w:t>
            </w:r>
          </w:p>
        </w:tc>
        <w:tc>
          <w:tcPr>
            <w:tcW w:w="992" w:type="dxa"/>
            <w:tcBorders>
              <w:bottom w:val="single" w:sz="2" w:space="0" w:color="auto"/>
            </w:tcBorders>
          </w:tcPr>
          <w:p w14:paraId="119F5FEF" w14:textId="44F251A8" w:rsidR="009603AB" w:rsidRPr="005226E7" w:rsidRDefault="00FB661E" w:rsidP="009603AB">
            <w:pPr>
              <w:pStyle w:val="T2"/>
              <w:jc w:val="right"/>
              <w:rPr>
                <w:b/>
              </w:rPr>
            </w:pPr>
            <w:r>
              <w:rPr>
                <w:b/>
              </w:rPr>
              <w:t>(155.8)</w:t>
            </w:r>
          </w:p>
        </w:tc>
        <w:tc>
          <w:tcPr>
            <w:tcW w:w="851" w:type="dxa"/>
            <w:tcBorders>
              <w:bottom w:val="single" w:sz="2" w:space="0" w:color="auto"/>
            </w:tcBorders>
          </w:tcPr>
          <w:p w14:paraId="2A300847" w14:textId="4A32DDE6" w:rsidR="009603AB" w:rsidRPr="005226E7" w:rsidRDefault="00FB661E" w:rsidP="009603AB">
            <w:pPr>
              <w:pStyle w:val="T2"/>
              <w:jc w:val="right"/>
              <w:rPr>
                <w:b/>
              </w:rPr>
            </w:pPr>
            <w:r>
              <w:rPr>
                <w:b/>
              </w:rPr>
              <w:t>(447.6)</w:t>
            </w:r>
          </w:p>
        </w:tc>
        <w:tc>
          <w:tcPr>
            <w:tcW w:w="921" w:type="dxa"/>
            <w:tcBorders>
              <w:bottom w:val="single" w:sz="2" w:space="0" w:color="auto"/>
            </w:tcBorders>
            <w:vAlign w:val="bottom"/>
          </w:tcPr>
          <w:p w14:paraId="0FBA44F7" w14:textId="2D7C2FCE" w:rsidR="009603AB" w:rsidRPr="00496A2A" w:rsidRDefault="009603AB" w:rsidP="009603AB">
            <w:pPr>
              <w:pStyle w:val="T2"/>
              <w:jc w:val="right"/>
            </w:pPr>
            <w:r>
              <w:t>(347.7)</w:t>
            </w:r>
          </w:p>
        </w:tc>
        <w:tc>
          <w:tcPr>
            <w:tcW w:w="863" w:type="dxa"/>
            <w:tcBorders>
              <w:bottom w:val="single" w:sz="2" w:space="0" w:color="auto"/>
            </w:tcBorders>
            <w:vAlign w:val="bottom"/>
          </w:tcPr>
          <w:p w14:paraId="77F481E8" w14:textId="7C20E090" w:rsidR="009603AB" w:rsidRPr="00496A2A" w:rsidRDefault="009603AB" w:rsidP="009603AB">
            <w:pPr>
              <w:pStyle w:val="T2"/>
              <w:jc w:val="right"/>
            </w:pPr>
            <w:r>
              <w:t>(179.6)</w:t>
            </w:r>
          </w:p>
        </w:tc>
        <w:tc>
          <w:tcPr>
            <w:tcW w:w="739" w:type="dxa"/>
            <w:tcBorders>
              <w:bottom w:val="single" w:sz="2" w:space="0" w:color="auto"/>
            </w:tcBorders>
            <w:vAlign w:val="bottom"/>
          </w:tcPr>
          <w:p w14:paraId="7A289ABD" w14:textId="501C3E53" w:rsidR="009603AB" w:rsidRPr="00496A2A" w:rsidRDefault="009603AB" w:rsidP="009603AB">
            <w:pPr>
              <w:pStyle w:val="T2"/>
              <w:jc w:val="right"/>
            </w:pPr>
            <w:r>
              <w:t>(527.3)</w:t>
            </w:r>
          </w:p>
        </w:tc>
      </w:tr>
      <w:tr w:rsidR="009603AB" w14:paraId="37F3BA6F" w14:textId="77777777" w:rsidTr="008B4755">
        <w:trPr>
          <w:jc w:val="center"/>
        </w:trPr>
        <w:tc>
          <w:tcPr>
            <w:tcW w:w="4422" w:type="dxa"/>
            <w:tcBorders>
              <w:top w:val="single" w:sz="2" w:space="0" w:color="auto"/>
            </w:tcBorders>
            <w:vAlign w:val="bottom"/>
          </w:tcPr>
          <w:p w14:paraId="61B98904" w14:textId="77777777" w:rsidR="009603AB" w:rsidRPr="00496A2A" w:rsidRDefault="009603AB" w:rsidP="009603AB">
            <w:pPr>
              <w:pStyle w:val="T2"/>
              <w:jc w:val="left"/>
            </w:pPr>
            <w:r w:rsidRPr="00496A2A">
              <w:lastRenderedPageBreak/>
              <w:t>(Deficit)/surplus in schemes</w:t>
            </w:r>
          </w:p>
        </w:tc>
        <w:tc>
          <w:tcPr>
            <w:tcW w:w="992" w:type="dxa"/>
            <w:tcBorders>
              <w:top w:val="single" w:sz="2" w:space="0" w:color="auto"/>
            </w:tcBorders>
          </w:tcPr>
          <w:p w14:paraId="25CA5A8A" w14:textId="6DDD6E8E" w:rsidR="009603AB" w:rsidRPr="005226E7" w:rsidRDefault="00FB661E" w:rsidP="009603AB">
            <w:pPr>
              <w:pStyle w:val="T2"/>
              <w:jc w:val="right"/>
              <w:rPr>
                <w:b/>
              </w:rPr>
            </w:pPr>
            <w:r>
              <w:rPr>
                <w:b/>
              </w:rPr>
              <w:t>(57.8)</w:t>
            </w:r>
          </w:p>
        </w:tc>
        <w:tc>
          <w:tcPr>
            <w:tcW w:w="992" w:type="dxa"/>
            <w:tcBorders>
              <w:top w:val="single" w:sz="2" w:space="0" w:color="auto"/>
            </w:tcBorders>
          </w:tcPr>
          <w:p w14:paraId="5F0022D1" w14:textId="788F948A" w:rsidR="009603AB" w:rsidRPr="005226E7" w:rsidRDefault="00FB661E" w:rsidP="009603AB">
            <w:pPr>
              <w:pStyle w:val="T2"/>
              <w:jc w:val="right"/>
              <w:rPr>
                <w:b/>
              </w:rPr>
            </w:pPr>
            <w:r>
              <w:rPr>
                <w:b/>
              </w:rPr>
              <w:t>39.6</w:t>
            </w:r>
          </w:p>
        </w:tc>
        <w:tc>
          <w:tcPr>
            <w:tcW w:w="851" w:type="dxa"/>
            <w:tcBorders>
              <w:top w:val="single" w:sz="2" w:space="0" w:color="auto"/>
            </w:tcBorders>
          </w:tcPr>
          <w:p w14:paraId="23449F18" w14:textId="2AAE47E9" w:rsidR="009603AB" w:rsidRPr="005226E7" w:rsidRDefault="00FB661E" w:rsidP="009603AB">
            <w:pPr>
              <w:pStyle w:val="T2"/>
              <w:jc w:val="right"/>
              <w:rPr>
                <w:b/>
              </w:rPr>
            </w:pPr>
            <w:r>
              <w:rPr>
                <w:b/>
              </w:rPr>
              <w:t>(18.2)</w:t>
            </w:r>
          </w:p>
        </w:tc>
        <w:tc>
          <w:tcPr>
            <w:tcW w:w="921" w:type="dxa"/>
            <w:tcBorders>
              <w:top w:val="single" w:sz="2" w:space="0" w:color="auto"/>
            </w:tcBorders>
            <w:vAlign w:val="bottom"/>
          </w:tcPr>
          <w:p w14:paraId="1A98162A" w14:textId="50C7E2B6" w:rsidR="009603AB" w:rsidRPr="00496A2A" w:rsidRDefault="009603AB" w:rsidP="009603AB">
            <w:pPr>
              <w:pStyle w:val="T2"/>
              <w:jc w:val="right"/>
            </w:pPr>
            <w:r>
              <w:t>(87.1)</w:t>
            </w:r>
          </w:p>
        </w:tc>
        <w:tc>
          <w:tcPr>
            <w:tcW w:w="863" w:type="dxa"/>
            <w:tcBorders>
              <w:top w:val="single" w:sz="2" w:space="0" w:color="auto"/>
            </w:tcBorders>
            <w:vAlign w:val="bottom"/>
          </w:tcPr>
          <w:p w14:paraId="579716CF" w14:textId="3934B7D5" w:rsidR="009603AB" w:rsidRPr="00496A2A" w:rsidRDefault="009603AB" w:rsidP="009603AB">
            <w:pPr>
              <w:pStyle w:val="T2"/>
              <w:jc w:val="right"/>
            </w:pPr>
            <w:r>
              <w:t>41.1</w:t>
            </w:r>
          </w:p>
        </w:tc>
        <w:tc>
          <w:tcPr>
            <w:tcW w:w="739" w:type="dxa"/>
            <w:tcBorders>
              <w:top w:val="single" w:sz="2" w:space="0" w:color="auto"/>
            </w:tcBorders>
            <w:vAlign w:val="bottom"/>
          </w:tcPr>
          <w:p w14:paraId="5A52DCF6" w14:textId="58222D54" w:rsidR="009603AB" w:rsidRPr="00496A2A" w:rsidRDefault="009603AB" w:rsidP="009603AB">
            <w:pPr>
              <w:pStyle w:val="T2"/>
              <w:jc w:val="right"/>
            </w:pPr>
            <w:r>
              <w:t>(46.0)</w:t>
            </w:r>
          </w:p>
        </w:tc>
      </w:tr>
      <w:tr w:rsidR="009603AB" w14:paraId="662614D2" w14:textId="77777777" w:rsidTr="00BA73B5">
        <w:trPr>
          <w:jc w:val="center"/>
        </w:trPr>
        <w:tc>
          <w:tcPr>
            <w:tcW w:w="4422" w:type="dxa"/>
            <w:tcBorders>
              <w:bottom w:val="single" w:sz="2" w:space="0" w:color="auto"/>
            </w:tcBorders>
            <w:vAlign w:val="bottom"/>
          </w:tcPr>
          <w:p w14:paraId="1C4411D6" w14:textId="77777777" w:rsidR="009603AB" w:rsidRPr="00496A2A" w:rsidRDefault="009603AB" w:rsidP="009603AB">
            <w:pPr>
              <w:pStyle w:val="T2"/>
              <w:jc w:val="left"/>
            </w:pPr>
            <w:r w:rsidRPr="00496A2A">
              <w:t>Deferred tax asset</w:t>
            </w:r>
            <w:r>
              <w:t>/(liability)</w:t>
            </w:r>
          </w:p>
        </w:tc>
        <w:tc>
          <w:tcPr>
            <w:tcW w:w="992" w:type="dxa"/>
            <w:tcBorders>
              <w:bottom w:val="single" w:sz="2" w:space="0" w:color="auto"/>
            </w:tcBorders>
          </w:tcPr>
          <w:p w14:paraId="7A6D0C97" w14:textId="51F5C9DD" w:rsidR="009603AB" w:rsidRPr="001E1407" w:rsidRDefault="00FB661E" w:rsidP="009603AB">
            <w:pPr>
              <w:pStyle w:val="T2"/>
              <w:jc w:val="right"/>
              <w:rPr>
                <w:b/>
              </w:rPr>
            </w:pPr>
            <w:r>
              <w:rPr>
                <w:b/>
              </w:rPr>
              <w:t>14.5</w:t>
            </w:r>
          </w:p>
        </w:tc>
        <w:tc>
          <w:tcPr>
            <w:tcW w:w="992" w:type="dxa"/>
            <w:tcBorders>
              <w:bottom w:val="single" w:sz="2" w:space="0" w:color="auto"/>
            </w:tcBorders>
          </w:tcPr>
          <w:p w14:paraId="4488F27E" w14:textId="49EE6844" w:rsidR="009603AB" w:rsidRPr="001E1407" w:rsidRDefault="00FB661E" w:rsidP="009603AB">
            <w:pPr>
              <w:pStyle w:val="T2"/>
              <w:tabs>
                <w:tab w:val="center" w:pos="388"/>
                <w:tab w:val="right" w:pos="776"/>
              </w:tabs>
              <w:jc w:val="right"/>
              <w:rPr>
                <w:b/>
              </w:rPr>
            </w:pPr>
            <w:r>
              <w:rPr>
                <w:b/>
              </w:rPr>
              <w:t>(5.0)</w:t>
            </w:r>
          </w:p>
        </w:tc>
        <w:tc>
          <w:tcPr>
            <w:tcW w:w="851" w:type="dxa"/>
            <w:tcBorders>
              <w:bottom w:val="single" w:sz="2" w:space="0" w:color="auto"/>
            </w:tcBorders>
          </w:tcPr>
          <w:p w14:paraId="54CBAC81" w14:textId="24908F54" w:rsidR="009603AB" w:rsidRPr="001E1407" w:rsidRDefault="00FB661E" w:rsidP="009603AB">
            <w:pPr>
              <w:pStyle w:val="T2"/>
              <w:tabs>
                <w:tab w:val="right" w:pos="635"/>
              </w:tabs>
              <w:jc w:val="right"/>
              <w:rPr>
                <w:b/>
              </w:rPr>
            </w:pPr>
            <w:r>
              <w:rPr>
                <w:b/>
              </w:rPr>
              <w:t>9.5</w:t>
            </w:r>
          </w:p>
        </w:tc>
        <w:tc>
          <w:tcPr>
            <w:tcW w:w="921" w:type="dxa"/>
            <w:tcBorders>
              <w:bottom w:val="single" w:sz="2" w:space="0" w:color="auto"/>
            </w:tcBorders>
            <w:vAlign w:val="bottom"/>
          </w:tcPr>
          <w:p w14:paraId="24A5BDD0" w14:textId="191C6C48" w:rsidR="009603AB" w:rsidRPr="00496A2A" w:rsidRDefault="009603AB" w:rsidP="009603AB">
            <w:pPr>
              <w:pStyle w:val="T2"/>
              <w:jc w:val="right"/>
            </w:pPr>
            <w:r>
              <w:t>21.8</w:t>
            </w:r>
          </w:p>
        </w:tc>
        <w:tc>
          <w:tcPr>
            <w:tcW w:w="863" w:type="dxa"/>
            <w:tcBorders>
              <w:bottom w:val="single" w:sz="2" w:space="0" w:color="auto"/>
            </w:tcBorders>
            <w:vAlign w:val="bottom"/>
          </w:tcPr>
          <w:p w14:paraId="056F8C17" w14:textId="5B26A8A3" w:rsidR="009603AB" w:rsidRPr="00496A2A" w:rsidRDefault="009603AB" w:rsidP="009603AB">
            <w:pPr>
              <w:pStyle w:val="T2"/>
              <w:jc w:val="right"/>
            </w:pPr>
            <w:r>
              <w:t>(5.1)</w:t>
            </w:r>
          </w:p>
        </w:tc>
        <w:tc>
          <w:tcPr>
            <w:tcW w:w="739" w:type="dxa"/>
            <w:tcBorders>
              <w:bottom w:val="single" w:sz="2" w:space="0" w:color="auto"/>
            </w:tcBorders>
            <w:vAlign w:val="bottom"/>
          </w:tcPr>
          <w:p w14:paraId="235DF253" w14:textId="733088A0" w:rsidR="009603AB" w:rsidRPr="00496A2A" w:rsidRDefault="009603AB" w:rsidP="009603AB">
            <w:pPr>
              <w:pStyle w:val="T2"/>
              <w:jc w:val="right"/>
            </w:pPr>
            <w:r>
              <w:t>16.7</w:t>
            </w:r>
          </w:p>
        </w:tc>
      </w:tr>
      <w:tr w:rsidR="009603AB" w14:paraId="02D52F0E" w14:textId="77777777" w:rsidTr="00BA73B5">
        <w:trPr>
          <w:jc w:val="center"/>
        </w:trPr>
        <w:tc>
          <w:tcPr>
            <w:tcW w:w="4422" w:type="dxa"/>
            <w:tcBorders>
              <w:top w:val="single" w:sz="2" w:space="0" w:color="auto"/>
              <w:bottom w:val="single" w:sz="2" w:space="0" w:color="auto"/>
            </w:tcBorders>
            <w:vAlign w:val="bottom"/>
          </w:tcPr>
          <w:p w14:paraId="5DF99EBE" w14:textId="77777777" w:rsidR="009603AB" w:rsidRPr="009E00FF" w:rsidRDefault="009603AB" w:rsidP="009603AB">
            <w:pPr>
              <w:pStyle w:val="T2"/>
              <w:jc w:val="left"/>
              <w:rPr>
                <w:b/>
              </w:rPr>
            </w:pPr>
            <w:r w:rsidRPr="009E00FF">
              <w:rPr>
                <w:b/>
              </w:rPr>
              <w:t>Net (liability)/asset at end of the period</w:t>
            </w:r>
          </w:p>
        </w:tc>
        <w:tc>
          <w:tcPr>
            <w:tcW w:w="992" w:type="dxa"/>
            <w:tcBorders>
              <w:top w:val="single" w:sz="2" w:space="0" w:color="auto"/>
              <w:bottom w:val="single" w:sz="2" w:space="0" w:color="auto"/>
            </w:tcBorders>
          </w:tcPr>
          <w:p w14:paraId="4C4BD2CA" w14:textId="00F32CBF" w:rsidR="009603AB" w:rsidRPr="005226E7" w:rsidRDefault="00FB661E" w:rsidP="009603AB">
            <w:pPr>
              <w:pStyle w:val="T2"/>
              <w:jc w:val="right"/>
              <w:rPr>
                <w:b/>
              </w:rPr>
            </w:pPr>
            <w:r>
              <w:rPr>
                <w:b/>
              </w:rPr>
              <w:t>(43.</w:t>
            </w:r>
            <w:r w:rsidR="00BA73B5">
              <w:rPr>
                <w:b/>
              </w:rPr>
              <w:t>3</w:t>
            </w:r>
            <w:r>
              <w:rPr>
                <w:b/>
              </w:rPr>
              <w:t>)</w:t>
            </w:r>
          </w:p>
        </w:tc>
        <w:tc>
          <w:tcPr>
            <w:tcW w:w="992" w:type="dxa"/>
            <w:tcBorders>
              <w:top w:val="single" w:sz="2" w:space="0" w:color="auto"/>
              <w:bottom w:val="single" w:sz="2" w:space="0" w:color="auto"/>
            </w:tcBorders>
          </w:tcPr>
          <w:p w14:paraId="13E25B37" w14:textId="32C3E89E" w:rsidR="009603AB" w:rsidRPr="005226E7" w:rsidRDefault="00FB661E" w:rsidP="009603AB">
            <w:pPr>
              <w:pStyle w:val="T2"/>
              <w:jc w:val="right"/>
              <w:rPr>
                <w:b/>
              </w:rPr>
            </w:pPr>
            <w:r>
              <w:rPr>
                <w:b/>
              </w:rPr>
              <w:t>34.</w:t>
            </w:r>
            <w:r w:rsidR="00BA73B5">
              <w:rPr>
                <w:b/>
              </w:rPr>
              <w:t>6</w:t>
            </w:r>
          </w:p>
        </w:tc>
        <w:tc>
          <w:tcPr>
            <w:tcW w:w="851" w:type="dxa"/>
            <w:tcBorders>
              <w:top w:val="single" w:sz="2" w:space="0" w:color="auto"/>
              <w:bottom w:val="single" w:sz="2" w:space="0" w:color="auto"/>
            </w:tcBorders>
          </w:tcPr>
          <w:p w14:paraId="6DD1F98F" w14:textId="665BF3AF" w:rsidR="009603AB" w:rsidRPr="005226E7" w:rsidRDefault="00FB661E" w:rsidP="009603AB">
            <w:pPr>
              <w:pStyle w:val="T2"/>
              <w:jc w:val="right"/>
              <w:rPr>
                <w:b/>
              </w:rPr>
            </w:pPr>
            <w:r>
              <w:rPr>
                <w:b/>
              </w:rPr>
              <w:t>(8.7)</w:t>
            </w:r>
          </w:p>
        </w:tc>
        <w:tc>
          <w:tcPr>
            <w:tcW w:w="921" w:type="dxa"/>
            <w:tcBorders>
              <w:top w:val="single" w:sz="2" w:space="0" w:color="auto"/>
              <w:bottom w:val="single" w:sz="2" w:space="0" w:color="auto"/>
            </w:tcBorders>
            <w:vAlign w:val="bottom"/>
          </w:tcPr>
          <w:p w14:paraId="2B5FE613" w14:textId="78AF0135" w:rsidR="009603AB" w:rsidRPr="00496A2A" w:rsidRDefault="009603AB" w:rsidP="009603AB">
            <w:pPr>
              <w:pStyle w:val="T2"/>
              <w:jc w:val="right"/>
            </w:pPr>
            <w:r>
              <w:t>(65.3)</w:t>
            </w:r>
          </w:p>
        </w:tc>
        <w:tc>
          <w:tcPr>
            <w:tcW w:w="863" w:type="dxa"/>
            <w:tcBorders>
              <w:top w:val="single" w:sz="2" w:space="0" w:color="auto"/>
              <w:bottom w:val="single" w:sz="2" w:space="0" w:color="auto"/>
            </w:tcBorders>
            <w:vAlign w:val="bottom"/>
          </w:tcPr>
          <w:p w14:paraId="190A3BF3" w14:textId="45D22047" w:rsidR="009603AB" w:rsidRPr="00496A2A" w:rsidRDefault="009603AB" w:rsidP="009603AB">
            <w:pPr>
              <w:pStyle w:val="T2"/>
              <w:jc w:val="right"/>
            </w:pPr>
            <w:r>
              <w:t>36.0</w:t>
            </w:r>
          </w:p>
        </w:tc>
        <w:tc>
          <w:tcPr>
            <w:tcW w:w="739" w:type="dxa"/>
            <w:tcBorders>
              <w:top w:val="single" w:sz="2" w:space="0" w:color="auto"/>
              <w:bottom w:val="single" w:sz="2" w:space="0" w:color="auto"/>
            </w:tcBorders>
            <w:vAlign w:val="bottom"/>
          </w:tcPr>
          <w:p w14:paraId="38AA92F9" w14:textId="3C79B31C" w:rsidR="009603AB" w:rsidRPr="00496A2A" w:rsidRDefault="009603AB" w:rsidP="009603AB">
            <w:pPr>
              <w:pStyle w:val="T2"/>
              <w:jc w:val="right"/>
            </w:pPr>
            <w:r>
              <w:t>(29.3)</w:t>
            </w:r>
          </w:p>
        </w:tc>
      </w:tr>
      <w:tr w:rsidR="009E00FF" w14:paraId="25E82EA7" w14:textId="77777777" w:rsidTr="00BA73B5">
        <w:trPr>
          <w:jc w:val="center"/>
        </w:trPr>
        <w:tc>
          <w:tcPr>
            <w:tcW w:w="4422" w:type="dxa"/>
            <w:tcBorders>
              <w:top w:val="single" w:sz="2" w:space="0" w:color="auto"/>
            </w:tcBorders>
            <w:vAlign w:val="bottom"/>
          </w:tcPr>
          <w:p w14:paraId="477AE255" w14:textId="77777777" w:rsidR="009E00FF" w:rsidRPr="00E31429" w:rsidRDefault="009E00FF" w:rsidP="00773F7B">
            <w:pPr>
              <w:pStyle w:val="T2"/>
              <w:jc w:val="left"/>
              <w:rPr>
                <w:b/>
              </w:rPr>
            </w:pPr>
          </w:p>
        </w:tc>
        <w:tc>
          <w:tcPr>
            <w:tcW w:w="992" w:type="dxa"/>
            <w:tcBorders>
              <w:top w:val="single" w:sz="2" w:space="0" w:color="auto"/>
            </w:tcBorders>
            <w:vAlign w:val="bottom"/>
          </w:tcPr>
          <w:p w14:paraId="5049C433" w14:textId="77777777" w:rsidR="009E00FF" w:rsidRPr="005226E7" w:rsidRDefault="009E00FF" w:rsidP="00773F7B">
            <w:pPr>
              <w:pStyle w:val="T2"/>
              <w:jc w:val="right"/>
              <w:rPr>
                <w:b/>
              </w:rPr>
            </w:pPr>
          </w:p>
        </w:tc>
        <w:tc>
          <w:tcPr>
            <w:tcW w:w="992" w:type="dxa"/>
            <w:tcBorders>
              <w:top w:val="single" w:sz="2" w:space="0" w:color="auto"/>
            </w:tcBorders>
            <w:vAlign w:val="bottom"/>
          </w:tcPr>
          <w:p w14:paraId="38F8C9E5" w14:textId="77777777" w:rsidR="009E00FF" w:rsidRPr="005226E7" w:rsidRDefault="009E00FF" w:rsidP="00773F7B">
            <w:pPr>
              <w:pStyle w:val="T2"/>
              <w:jc w:val="right"/>
              <w:rPr>
                <w:b/>
              </w:rPr>
            </w:pPr>
          </w:p>
        </w:tc>
        <w:tc>
          <w:tcPr>
            <w:tcW w:w="851" w:type="dxa"/>
            <w:tcBorders>
              <w:top w:val="single" w:sz="2" w:space="0" w:color="auto"/>
            </w:tcBorders>
            <w:vAlign w:val="bottom"/>
          </w:tcPr>
          <w:p w14:paraId="3B662936" w14:textId="77777777" w:rsidR="009E00FF" w:rsidRPr="005226E7" w:rsidRDefault="009E00FF" w:rsidP="00773F7B">
            <w:pPr>
              <w:pStyle w:val="T2"/>
              <w:jc w:val="right"/>
              <w:rPr>
                <w:b/>
              </w:rPr>
            </w:pPr>
          </w:p>
        </w:tc>
        <w:tc>
          <w:tcPr>
            <w:tcW w:w="921" w:type="dxa"/>
            <w:tcBorders>
              <w:top w:val="single" w:sz="2" w:space="0" w:color="auto"/>
            </w:tcBorders>
            <w:vAlign w:val="bottom"/>
          </w:tcPr>
          <w:p w14:paraId="5947E058" w14:textId="77777777" w:rsidR="009E00FF" w:rsidRPr="00496A2A" w:rsidRDefault="009E00FF" w:rsidP="00773F7B">
            <w:pPr>
              <w:pStyle w:val="T2"/>
              <w:jc w:val="right"/>
            </w:pPr>
          </w:p>
        </w:tc>
        <w:tc>
          <w:tcPr>
            <w:tcW w:w="863" w:type="dxa"/>
            <w:tcBorders>
              <w:top w:val="single" w:sz="2" w:space="0" w:color="auto"/>
            </w:tcBorders>
            <w:vAlign w:val="bottom"/>
          </w:tcPr>
          <w:p w14:paraId="3576871B" w14:textId="77777777" w:rsidR="009E00FF" w:rsidRPr="00496A2A" w:rsidRDefault="009E00FF" w:rsidP="00773F7B">
            <w:pPr>
              <w:pStyle w:val="T2"/>
              <w:jc w:val="right"/>
            </w:pPr>
          </w:p>
        </w:tc>
        <w:tc>
          <w:tcPr>
            <w:tcW w:w="739" w:type="dxa"/>
            <w:tcBorders>
              <w:top w:val="single" w:sz="2" w:space="0" w:color="auto"/>
            </w:tcBorders>
            <w:vAlign w:val="bottom"/>
          </w:tcPr>
          <w:p w14:paraId="1F29E94F" w14:textId="77777777" w:rsidR="009E00FF" w:rsidRPr="00496A2A" w:rsidRDefault="009E00FF" w:rsidP="00773F7B">
            <w:pPr>
              <w:pStyle w:val="T2"/>
              <w:jc w:val="right"/>
            </w:pPr>
          </w:p>
        </w:tc>
      </w:tr>
      <w:tr w:rsidR="00773F7B" w14:paraId="5BFEDEE1" w14:textId="77777777" w:rsidTr="009E00FF">
        <w:trPr>
          <w:jc w:val="center"/>
        </w:trPr>
        <w:tc>
          <w:tcPr>
            <w:tcW w:w="4422" w:type="dxa"/>
            <w:vAlign w:val="bottom"/>
          </w:tcPr>
          <w:p w14:paraId="575283EC" w14:textId="77777777" w:rsidR="00773F7B" w:rsidRPr="00E31429" w:rsidRDefault="00773F7B" w:rsidP="00773F7B">
            <w:pPr>
              <w:pStyle w:val="T2"/>
              <w:jc w:val="left"/>
              <w:rPr>
                <w:b/>
              </w:rPr>
            </w:pPr>
            <w:r w:rsidRPr="00E31429">
              <w:rPr>
                <w:b/>
              </w:rPr>
              <w:t>Presented as:</w:t>
            </w:r>
          </w:p>
        </w:tc>
        <w:tc>
          <w:tcPr>
            <w:tcW w:w="992" w:type="dxa"/>
            <w:vAlign w:val="bottom"/>
          </w:tcPr>
          <w:p w14:paraId="139BEAF9" w14:textId="77777777" w:rsidR="00773F7B" w:rsidRPr="005226E7" w:rsidRDefault="00773F7B" w:rsidP="00773F7B">
            <w:pPr>
              <w:pStyle w:val="T2"/>
              <w:jc w:val="right"/>
              <w:rPr>
                <w:b/>
              </w:rPr>
            </w:pPr>
          </w:p>
        </w:tc>
        <w:tc>
          <w:tcPr>
            <w:tcW w:w="992" w:type="dxa"/>
            <w:vAlign w:val="bottom"/>
          </w:tcPr>
          <w:p w14:paraId="5F921E0F" w14:textId="77777777" w:rsidR="00773F7B" w:rsidRPr="005226E7" w:rsidRDefault="00773F7B" w:rsidP="00773F7B">
            <w:pPr>
              <w:pStyle w:val="T2"/>
              <w:jc w:val="right"/>
              <w:rPr>
                <w:b/>
              </w:rPr>
            </w:pPr>
          </w:p>
        </w:tc>
        <w:tc>
          <w:tcPr>
            <w:tcW w:w="851" w:type="dxa"/>
            <w:vAlign w:val="bottom"/>
          </w:tcPr>
          <w:p w14:paraId="039809DB" w14:textId="77777777" w:rsidR="00773F7B" w:rsidRPr="005226E7" w:rsidRDefault="00773F7B" w:rsidP="00773F7B">
            <w:pPr>
              <w:pStyle w:val="T2"/>
              <w:jc w:val="right"/>
              <w:rPr>
                <w:b/>
              </w:rPr>
            </w:pPr>
          </w:p>
        </w:tc>
        <w:tc>
          <w:tcPr>
            <w:tcW w:w="921" w:type="dxa"/>
            <w:vAlign w:val="bottom"/>
          </w:tcPr>
          <w:p w14:paraId="7ABED951" w14:textId="77777777" w:rsidR="00773F7B" w:rsidRPr="00496A2A" w:rsidRDefault="00773F7B" w:rsidP="00773F7B">
            <w:pPr>
              <w:pStyle w:val="T2"/>
              <w:jc w:val="right"/>
            </w:pPr>
          </w:p>
        </w:tc>
        <w:tc>
          <w:tcPr>
            <w:tcW w:w="863" w:type="dxa"/>
            <w:vAlign w:val="bottom"/>
          </w:tcPr>
          <w:p w14:paraId="06A3F290" w14:textId="77777777" w:rsidR="00773F7B" w:rsidRPr="00496A2A" w:rsidRDefault="00773F7B" w:rsidP="00773F7B">
            <w:pPr>
              <w:pStyle w:val="T2"/>
              <w:jc w:val="right"/>
            </w:pPr>
          </w:p>
        </w:tc>
        <w:tc>
          <w:tcPr>
            <w:tcW w:w="739" w:type="dxa"/>
            <w:vAlign w:val="bottom"/>
          </w:tcPr>
          <w:p w14:paraId="5A9D34C9" w14:textId="77777777" w:rsidR="00773F7B" w:rsidRPr="00496A2A" w:rsidRDefault="00773F7B" w:rsidP="00773F7B">
            <w:pPr>
              <w:pStyle w:val="T2"/>
              <w:jc w:val="right"/>
            </w:pPr>
          </w:p>
        </w:tc>
      </w:tr>
      <w:tr w:rsidR="008B4755" w14:paraId="5BE2AEE5" w14:textId="77777777" w:rsidTr="00BA73B5">
        <w:trPr>
          <w:jc w:val="center"/>
        </w:trPr>
        <w:tc>
          <w:tcPr>
            <w:tcW w:w="4422" w:type="dxa"/>
            <w:vAlign w:val="bottom"/>
          </w:tcPr>
          <w:p w14:paraId="5BB9521A" w14:textId="77777777" w:rsidR="008B4755" w:rsidRPr="00496A2A" w:rsidRDefault="008B4755" w:rsidP="008B4755">
            <w:pPr>
              <w:pStyle w:val="T2"/>
              <w:jc w:val="left"/>
            </w:pPr>
            <w:r w:rsidRPr="00496A2A">
              <w:t>Retirement benefit asset**</w:t>
            </w:r>
          </w:p>
        </w:tc>
        <w:tc>
          <w:tcPr>
            <w:tcW w:w="992" w:type="dxa"/>
            <w:vAlign w:val="bottom"/>
          </w:tcPr>
          <w:p w14:paraId="6F8F8CA7" w14:textId="77777777" w:rsidR="008B4755" w:rsidRPr="005226E7" w:rsidRDefault="008B4755" w:rsidP="008B4755">
            <w:pPr>
              <w:pStyle w:val="T2"/>
              <w:jc w:val="right"/>
              <w:rPr>
                <w:b/>
              </w:rPr>
            </w:pPr>
          </w:p>
        </w:tc>
        <w:tc>
          <w:tcPr>
            <w:tcW w:w="992" w:type="dxa"/>
            <w:vAlign w:val="bottom"/>
          </w:tcPr>
          <w:p w14:paraId="7113E15E" w14:textId="77777777" w:rsidR="008B4755" w:rsidRPr="005226E7" w:rsidRDefault="008B4755" w:rsidP="008B4755">
            <w:pPr>
              <w:pStyle w:val="T2"/>
              <w:jc w:val="right"/>
              <w:rPr>
                <w:b/>
              </w:rPr>
            </w:pPr>
          </w:p>
        </w:tc>
        <w:tc>
          <w:tcPr>
            <w:tcW w:w="851" w:type="dxa"/>
          </w:tcPr>
          <w:p w14:paraId="22B9D959" w14:textId="57ED9A19" w:rsidR="008B4755" w:rsidRPr="005226E7" w:rsidRDefault="00FB661E" w:rsidP="008B4755">
            <w:pPr>
              <w:pStyle w:val="T2"/>
              <w:jc w:val="right"/>
              <w:rPr>
                <w:b/>
              </w:rPr>
            </w:pPr>
            <w:r>
              <w:rPr>
                <w:b/>
              </w:rPr>
              <w:t>40.4</w:t>
            </w:r>
          </w:p>
        </w:tc>
        <w:tc>
          <w:tcPr>
            <w:tcW w:w="921" w:type="dxa"/>
            <w:vAlign w:val="bottom"/>
          </w:tcPr>
          <w:p w14:paraId="4ED3EB18" w14:textId="77777777" w:rsidR="008B4755" w:rsidRPr="00496A2A" w:rsidRDefault="008B4755" w:rsidP="008B4755">
            <w:pPr>
              <w:pStyle w:val="T2"/>
              <w:jc w:val="right"/>
            </w:pPr>
          </w:p>
        </w:tc>
        <w:tc>
          <w:tcPr>
            <w:tcW w:w="863" w:type="dxa"/>
            <w:vAlign w:val="bottom"/>
          </w:tcPr>
          <w:p w14:paraId="32EEE7AA" w14:textId="77777777" w:rsidR="008B4755" w:rsidRPr="00496A2A" w:rsidRDefault="008B4755" w:rsidP="008B4755">
            <w:pPr>
              <w:pStyle w:val="T2"/>
              <w:jc w:val="right"/>
            </w:pPr>
          </w:p>
        </w:tc>
        <w:tc>
          <w:tcPr>
            <w:tcW w:w="739" w:type="dxa"/>
            <w:vAlign w:val="bottom"/>
          </w:tcPr>
          <w:p w14:paraId="123A2679" w14:textId="279EE2DE" w:rsidR="008B4755" w:rsidRPr="00496A2A" w:rsidRDefault="008B4755" w:rsidP="008B4755">
            <w:pPr>
              <w:pStyle w:val="T2"/>
              <w:jc w:val="right"/>
            </w:pPr>
            <w:r>
              <w:t>42.</w:t>
            </w:r>
            <w:r w:rsidR="009603AB">
              <w:t>1</w:t>
            </w:r>
          </w:p>
        </w:tc>
      </w:tr>
      <w:tr w:rsidR="008B4755" w14:paraId="43958C4D" w14:textId="77777777" w:rsidTr="00BA73B5">
        <w:trPr>
          <w:jc w:val="center"/>
        </w:trPr>
        <w:tc>
          <w:tcPr>
            <w:tcW w:w="4422" w:type="dxa"/>
            <w:tcBorders>
              <w:bottom w:val="single" w:sz="2" w:space="0" w:color="auto"/>
            </w:tcBorders>
            <w:vAlign w:val="bottom"/>
          </w:tcPr>
          <w:p w14:paraId="225C7736" w14:textId="77777777" w:rsidR="008B4755" w:rsidRPr="00496A2A" w:rsidRDefault="008B4755" w:rsidP="008B4755">
            <w:pPr>
              <w:pStyle w:val="T2"/>
              <w:jc w:val="left"/>
            </w:pPr>
            <w:r w:rsidRPr="00496A2A">
              <w:t>Retirement benefit obligation</w:t>
            </w:r>
          </w:p>
        </w:tc>
        <w:tc>
          <w:tcPr>
            <w:tcW w:w="992" w:type="dxa"/>
            <w:tcBorders>
              <w:bottom w:val="single" w:sz="2" w:space="0" w:color="auto"/>
            </w:tcBorders>
            <w:vAlign w:val="bottom"/>
          </w:tcPr>
          <w:p w14:paraId="50561B4C" w14:textId="77777777" w:rsidR="008B4755" w:rsidRPr="005226E7" w:rsidRDefault="008B4755" w:rsidP="008B4755">
            <w:pPr>
              <w:pStyle w:val="T2"/>
              <w:jc w:val="right"/>
              <w:rPr>
                <w:b/>
              </w:rPr>
            </w:pPr>
          </w:p>
        </w:tc>
        <w:tc>
          <w:tcPr>
            <w:tcW w:w="992" w:type="dxa"/>
            <w:tcBorders>
              <w:bottom w:val="single" w:sz="2" w:space="0" w:color="auto"/>
            </w:tcBorders>
            <w:vAlign w:val="bottom"/>
          </w:tcPr>
          <w:p w14:paraId="126213CB" w14:textId="77777777" w:rsidR="008B4755" w:rsidRPr="005226E7" w:rsidRDefault="008B4755" w:rsidP="008B4755">
            <w:pPr>
              <w:pStyle w:val="T2"/>
              <w:jc w:val="right"/>
              <w:rPr>
                <w:b/>
              </w:rPr>
            </w:pPr>
          </w:p>
        </w:tc>
        <w:tc>
          <w:tcPr>
            <w:tcW w:w="851" w:type="dxa"/>
            <w:tcBorders>
              <w:bottom w:val="single" w:sz="2" w:space="0" w:color="auto"/>
            </w:tcBorders>
          </w:tcPr>
          <w:p w14:paraId="579E1CC6" w14:textId="1CF7CF1A" w:rsidR="008B4755" w:rsidRPr="005226E7" w:rsidRDefault="00FB661E" w:rsidP="008B4755">
            <w:pPr>
              <w:pStyle w:val="T2"/>
              <w:jc w:val="right"/>
              <w:rPr>
                <w:b/>
              </w:rPr>
            </w:pPr>
            <w:r>
              <w:rPr>
                <w:b/>
              </w:rPr>
              <w:t>(58.6)</w:t>
            </w:r>
          </w:p>
        </w:tc>
        <w:tc>
          <w:tcPr>
            <w:tcW w:w="921" w:type="dxa"/>
            <w:tcBorders>
              <w:bottom w:val="single" w:sz="2" w:space="0" w:color="auto"/>
            </w:tcBorders>
            <w:vAlign w:val="bottom"/>
          </w:tcPr>
          <w:p w14:paraId="67C2C373" w14:textId="77777777" w:rsidR="008B4755" w:rsidRPr="00496A2A" w:rsidRDefault="008B4755" w:rsidP="008B4755">
            <w:pPr>
              <w:pStyle w:val="T2"/>
              <w:jc w:val="right"/>
            </w:pPr>
          </w:p>
        </w:tc>
        <w:tc>
          <w:tcPr>
            <w:tcW w:w="863" w:type="dxa"/>
            <w:tcBorders>
              <w:bottom w:val="single" w:sz="2" w:space="0" w:color="auto"/>
            </w:tcBorders>
            <w:vAlign w:val="bottom"/>
          </w:tcPr>
          <w:p w14:paraId="35D105B8" w14:textId="77777777" w:rsidR="008B4755" w:rsidRPr="00496A2A" w:rsidRDefault="008B4755" w:rsidP="008B4755">
            <w:pPr>
              <w:pStyle w:val="T2"/>
              <w:jc w:val="right"/>
            </w:pPr>
          </w:p>
        </w:tc>
        <w:tc>
          <w:tcPr>
            <w:tcW w:w="739" w:type="dxa"/>
            <w:tcBorders>
              <w:bottom w:val="single" w:sz="2" w:space="0" w:color="auto"/>
            </w:tcBorders>
            <w:vAlign w:val="bottom"/>
          </w:tcPr>
          <w:p w14:paraId="2ED52FBF" w14:textId="258AD2B0" w:rsidR="008B4755" w:rsidRPr="00496A2A" w:rsidRDefault="008B4755" w:rsidP="008B4755">
            <w:pPr>
              <w:pStyle w:val="T2"/>
              <w:jc w:val="right"/>
            </w:pPr>
            <w:r>
              <w:t>(</w:t>
            </w:r>
            <w:r w:rsidR="009603AB">
              <w:t>88.1</w:t>
            </w:r>
            <w:r>
              <w:t>)</w:t>
            </w:r>
          </w:p>
        </w:tc>
      </w:tr>
      <w:tr w:rsidR="00773F7B" w14:paraId="7E52E24D" w14:textId="77777777" w:rsidTr="00BA73B5">
        <w:trPr>
          <w:jc w:val="center"/>
        </w:trPr>
        <w:tc>
          <w:tcPr>
            <w:tcW w:w="9780" w:type="dxa"/>
            <w:gridSpan w:val="7"/>
            <w:tcBorders>
              <w:top w:val="single" w:sz="2" w:space="0" w:color="auto"/>
            </w:tcBorders>
            <w:vAlign w:val="bottom"/>
          </w:tcPr>
          <w:p w14:paraId="5B343E9D" w14:textId="77777777" w:rsidR="00773F7B" w:rsidRPr="00E05961" w:rsidRDefault="00773F7B" w:rsidP="00773F7B">
            <w:pPr>
              <w:pStyle w:val="T2"/>
              <w:jc w:val="left"/>
              <w:rPr>
                <w:sz w:val="16"/>
                <w:szCs w:val="16"/>
              </w:rPr>
            </w:pPr>
            <w:r w:rsidRPr="00E05961">
              <w:rPr>
                <w:sz w:val="16"/>
                <w:szCs w:val="16"/>
              </w:rPr>
              <w:t>** The value of a net pension benefit asset is the value of any amount the Group reasonably expects to recover by way of a refund of a surplus from the remaining assets of a plan at the end of the plan’s life.</w:t>
            </w:r>
          </w:p>
        </w:tc>
      </w:tr>
    </w:tbl>
    <w:p w14:paraId="7E23F200" w14:textId="77777777" w:rsidR="00FC5866" w:rsidRDefault="00FC5866" w:rsidP="00FC5866">
      <w:pPr>
        <w:pStyle w:val="SectionH3"/>
      </w:pPr>
    </w:p>
    <w:p w14:paraId="139E817B" w14:textId="0CCA740A" w:rsidR="00773F7B" w:rsidRPr="00E31429" w:rsidRDefault="00773F7B" w:rsidP="005B3BEE">
      <w:pPr>
        <w:pStyle w:val="Paragraph"/>
        <w:spacing w:after="120"/>
        <w:rPr>
          <w:b/>
        </w:rPr>
      </w:pPr>
      <w:r w:rsidRPr="00E31429">
        <w:rPr>
          <w:b/>
        </w:rPr>
        <w:t>Sensitivity of pension liability to judgemental assumptions</w:t>
      </w:r>
    </w:p>
    <w:tbl>
      <w:tblPr>
        <w:tblStyle w:val="TableGrid"/>
        <w:tblW w:w="9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706"/>
        <w:gridCol w:w="1075"/>
        <w:gridCol w:w="1075"/>
        <w:gridCol w:w="1075"/>
      </w:tblGrid>
      <w:tr w:rsidR="00773F7B" w14:paraId="01A64C62" w14:textId="77777777" w:rsidTr="005B3BEE">
        <w:trPr>
          <w:jc w:val="center"/>
        </w:trPr>
        <w:tc>
          <w:tcPr>
            <w:tcW w:w="1842" w:type="dxa"/>
            <w:vAlign w:val="bottom"/>
          </w:tcPr>
          <w:p w14:paraId="42DA03F4" w14:textId="77777777" w:rsidR="00773F7B" w:rsidRPr="00E31429" w:rsidRDefault="00773F7B" w:rsidP="00773F7B">
            <w:pPr>
              <w:pStyle w:val="T2"/>
              <w:jc w:val="left"/>
            </w:pPr>
          </w:p>
        </w:tc>
        <w:tc>
          <w:tcPr>
            <w:tcW w:w="4706" w:type="dxa"/>
            <w:vAlign w:val="bottom"/>
          </w:tcPr>
          <w:p w14:paraId="40D6914A" w14:textId="77777777" w:rsidR="00773F7B" w:rsidRPr="00E31429" w:rsidRDefault="00773F7B" w:rsidP="00773F7B">
            <w:pPr>
              <w:pStyle w:val="T2"/>
              <w:jc w:val="left"/>
            </w:pPr>
          </w:p>
        </w:tc>
        <w:tc>
          <w:tcPr>
            <w:tcW w:w="3225" w:type="dxa"/>
            <w:gridSpan w:val="3"/>
          </w:tcPr>
          <w:p w14:paraId="7D3EEC08" w14:textId="29CD1D9B" w:rsidR="00FB661E" w:rsidRDefault="00773F7B" w:rsidP="00773F7B">
            <w:pPr>
              <w:pStyle w:val="T2"/>
              <w:rPr>
                <w:b/>
              </w:rPr>
            </w:pPr>
            <w:r w:rsidRPr="003F23F5">
              <w:rPr>
                <w:b/>
              </w:rPr>
              <w:t>Increase</w:t>
            </w:r>
            <w:r w:rsidR="00FB661E">
              <w:rPr>
                <w:b/>
              </w:rPr>
              <w:t>/</w:t>
            </w:r>
            <w:r w:rsidR="00FC5866">
              <w:rPr>
                <w:b/>
              </w:rPr>
              <w:t>(</w:t>
            </w:r>
            <w:r w:rsidR="00FB661E">
              <w:rPr>
                <w:b/>
              </w:rPr>
              <w:t>decrease</w:t>
            </w:r>
            <w:r w:rsidR="00FC5866">
              <w:rPr>
                <w:b/>
              </w:rPr>
              <w:t>)</w:t>
            </w:r>
            <w:r w:rsidRPr="003F23F5">
              <w:rPr>
                <w:b/>
              </w:rPr>
              <w:t xml:space="preserve"> </w:t>
            </w:r>
          </w:p>
          <w:p w14:paraId="0290A212" w14:textId="2DE675B8" w:rsidR="00773F7B" w:rsidRPr="003F23F5" w:rsidRDefault="00773F7B" w:rsidP="00773F7B">
            <w:pPr>
              <w:pStyle w:val="T2"/>
              <w:rPr>
                <w:b/>
              </w:rPr>
            </w:pPr>
            <w:r w:rsidRPr="003F23F5">
              <w:rPr>
                <w:b/>
              </w:rPr>
              <w:t>in Scheme Liabilities</w:t>
            </w:r>
          </w:p>
        </w:tc>
      </w:tr>
      <w:tr w:rsidR="00773F7B" w14:paraId="5E607DC2" w14:textId="77777777" w:rsidTr="00BA73B5">
        <w:trPr>
          <w:jc w:val="center"/>
        </w:trPr>
        <w:tc>
          <w:tcPr>
            <w:tcW w:w="1842" w:type="dxa"/>
            <w:tcBorders>
              <w:bottom w:val="single" w:sz="2" w:space="0" w:color="auto"/>
            </w:tcBorders>
            <w:vAlign w:val="bottom"/>
          </w:tcPr>
          <w:p w14:paraId="63CCF5C9" w14:textId="77777777" w:rsidR="00773F7B" w:rsidRPr="00422360" w:rsidRDefault="00773F7B" w:rsidP="00773F7B">
            <w:pPr>
              <w:pStyle w:val="T2"/>
              <w:jc w:val="left"/>
              <w:rPr>
                <w:b/>
              </w:rPr>
            </w:pPr>
            <w:r w:rsidRPr="00422360">
              <w:rPr>
                <w:b/>
              </w:rPr>
              <w:t>Assumption</w:t>
            </w:r>
          </w:p>
        </w:tc>
        <w:tc>
          <w:tcPr>
            <w:tcW w:w="4706" w:type="dxa"/>
            <w:tcBorders>
              <w:bottom w:val="single" w:sz="2" w:space="0" w:color="auto"/>
            </w:tcBorders>
            <w:vAlign w:val="bottom"/>
          </w:tcPr>
          <w:p w14:paraId="48FE1AF9" w14:textId="77777777" w:rsidR="00773F7B" w:rsidRPr="00422360" w:rsidRDefault="00773F7B" w:rsidP="00773F7B">
            <w:pPr>
              <w:pStyle w:val="T2"/>
              <w:jc w:val="left"/>
              <w:rPr>
                <w:b/>
              </w:rPr>
            </w:pPr>
            <w:r w:rsidRPr="00422360">
              <w:rPr>
                <w:b/>
              </w:rPr>
              <w:t>Change in assumption</w:t>
            </w:r>
          </w:p>
        </w:tc>
        <w:tc>
          <w:tcPr>
            <w:tcW w:w="1075" w:type="dxa"/>
            <w:tcBorders>
              <w:bottom w:val="single" w:sz="2" w:space="0" w:color="auto"/>
            </w:tcBorders>
            <w:vAlign w:val="bottom"/>
          </w:tcPr>
          <w:p w14:paraId="575D8BF6" w14:textId="77777777" w:rsidR="00773F7B" w:rsidRDefault="00773F7B" w:rsidP="00773F7B">
            <w:pPr>
              <w:pStyle w:val="T2"/>
              <w:jc w:val="right"/>
              <w:rPr>
                <w:b/>
              </w:rPr>
            </w:pPr>
            <w:r w:rsidRPr="00422360">
              <w:rPr>
                <w:b/>
              </w:rPr>
              <w:t xml:space="preserve">UK </w:t>
            </w:r>
          </w:p>
          <w:p w14:paraId="3ACF3D7A"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3B763462" w14:textId="77777777" w:rsidR="00773F7B" w:rsidRDefault="00773F7B" w:rsidP="00773F7B">
            <w:pPr>
              <w:pStyle w:val="T2"/>
              <w:jc w:val="right"/>
              <w:rPr>
                <w:b/>
              </w:rPr>
            </w:pPr>
            <w:r w:rsidRPr="00422360">
              <w:rPr>
                <w:b/>
              </w:rPr>
              <w:t xml:space="preserve">Irish </w:t>
            </w:r>
          </w:p>
          <w:p w14:paraId="40C45CE2"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482C164E" w14:textId="77777777" w:rsidR="00773F7B" w:rsidRPr="00422360" w:rsidRDefault="00773F7B" w:rsidP="00773F7B">
            <w:pPr>
              <w:pStyle w:val="T2"/>
              <w:jc w:val="right"/>
              <w:rPr>
                <w:b/>
              </w:rPr>
            </w:pPr>
            <w:r w:rsidRPr="00422360">
              <w:rPr>
                <w:b/>
              </w:rPr>
              <w:t>Total</w:t>
            </w:r>
          </w:p>
        </w:tc>
      </w:tr>
      <w:tr w:rsidR="00802C8B" w14:paraId="19018F2C" w14:textId="77777777" w:rsidTr="00802C8B">
        <w:trPr>
          <w:jc w:val="center"/>
        </w:trPr>
        <w:tc>
          <w:tcPr>
            <w:tcW w:w="1842" w:type="dxa"/>
            <w:vMerge w:val="restart"/>
            <w:tcBorders>
              <w:top w:val="single" w:sz="2" w:space="0" w:color="auto"/>
            </w:tcBorders>
            <w:vAlign w:val="center"/>
          </w:tcPr>
          <w:p w14:paraId="36C569FF" w14:textId="77777777" w:rsidR="00802C8B" w:rsidRPr="00422360" w:rsidRDefault="00802C8B" w:rsidP="00802C8B">
            <w:pPr>
              <w:pStyle w:val="T2"/>
              <w:jc w:val="left"/>
            </w:pPr>
            <w:r w:rsidRPr="00422360">
              <w:t>Discount rate</w:t>
            </w:r>
          </w:p>
        </w:tc>
        <w:tc>
          <w:tcPr>
            <w:tcW w:w="4706" w:type="dxa"/>
            <w:tcBorders>
              <w:top w:val="single" w:sz="2" w:space="0" w:color="auto"/>
            </w:tcBorders>
            <w:vAlign w:val="bottom"/>
          </w:tcPr>
          <w:p w14:paraId="4E803267" w14:textId="47044426" w:rsidR="00802C8B" w:rsidRPr="00422360" w:rsidRDefault="00802C8B" w:rsidP="00802C8B">
            <w:pPr>
              <w:pStyle w:val="T2"/>
              <w:jc w:val="left"/>
            </w:pPr>
            <w:r>
              <w:t>In</w:t>
            </w:r>
            <w:r w:rsidRPr="00422360">
              <w:t>crease by 0.5%</w:t>
            </w:r>
          </w:p>
        </w:tc>
        <w:tc>
          <w:tcPr>
            <w:tcW w:w="1075" w:type="dxa"/>
            <w:tcBorders>
              <w:top w:val="single" w:sz="2" w:space="0" w:color="auto"/>
            </w:tcBorders>
          </w:tcPr>
          <w:p w14:paraId="271A804C" w14:textId="22C36B86" w:rsidR="00802C8B" w:rsidRPr="00BA73B5" w:rsidRDefault="00802C8B" w:rsidP="00802C8B">
            <w:pPr>
              <w:pStyle w:val="T2"/>
              <w:jc w:val="right"/>
              <w:rPr>
                <w:b/>
                <w:bCs/>
                <w:highlight w:val="yellow"/>
              </w:rPr>
            </w:pPr>
            <w:r w:rsidRPr="00BA73B5">
              <w:rPr>
                <w:b/>
                <w:bCs/>
              </w:rPr>
              <w:t>(24.4)</w:t>
            </w:r>
          </w:p>
        </w:tc>
        <w:tc>
          <w:tcPr>
            <w:tcW w:w="1075" w:type="dxa"/>
            <w:tcBorders>
              <w:top w:val="single" w:sz="2" w:space="0" w:color="auto"/>
            </w:tcBorders>
          </w:tcPr>
          <w:p w14:paraId="3EB8A625" w14:textId="3EEAA3B9" w:rsidR="00802C8B" w:rsidRPr="00BA73B5" w:rsidRDefault="00802C8B" w:rsidP="00802C8B">
            <w:pPr>
              <w:pStyle w:val="T2"/>
              <w:jc w:val="right"/>
              <w:rPr>
                <w:b/>
                <w:bCs/>
                <w:highlight w:val="yellow"/>
              </w:rPr>
            </w:pPr>
            <w:r w:rsidRPr="00BA73B5">
              <w:rPr>
                <w:b/>
                <w:bCs/>
              </w:rPr>
              <w:t>(9.5)</w:t>
            </w:r>
          </w:p>
        </w:tc>
        <w:tc>
          <w:tcPr>
            <w:tcW w:w="1075" w:type="dxa"/>
            <w:tcBorders>
              <w:top w:val="single" w:sz="2" w:space="0" w:color="auto"/>
            </w:tcBorders>
          </w:tcPr>
          <w:p w14:paraId="4CCABEAB" w14:textId="3BA2265E" w:rsidR="00802C8B" w:rsidRPr="00BA73B5" w:rsidRDefault="00802C8B" w:rsidP="00802C8B">
            <w:pPr>
              <w:pStyle w:val="T2"/>
              <w:jc w:val="right"/>
              <w:rPr>
                <w:b/>
                <w:bCs/>
                <w:highlight w:val="yellow"/>
              </w:rPr>
            </w:pPr>
            <w:r w:rsidRPr="00BA73B5">
              <w:rPr>
                <w:b/>
                <w:bCs/>
              </w:rPr>
              <w:t>(33.9)</w:t>
            </w:r>
          </w:p>
        </w:tc>
      </w:tr>
      <w:tr w:rsidR="00802C8B" w14:paraId="7D03C31F" w14:textId="77777777" w:rsidTr="00BA73B5">
        <w:trPr>
          <w:jc w:val="center"/>
        </w:trPr>
        <w:tc>
          <w:tcPr>
            <w:tcW w:w="1842" w:type="dxa"/>
            <w:vMerge/>
            <w:tcBorders>
              <w:bottom w:val="single" w:sz="2" w:space="0" w:color="auto"/>
            </w:tcBorders>
            <w:vAlign w:val="bottom"/>
          </w:tcPr>
          <w:p w14:paraId="4FC6F701" w14:textId="77777777" w:rsidR="00802C8B" w:rsidRPr="00422360" w:rsidRDefault="00802C8B" w:rsidP="00802C8B">
            <w:pPr>
              <w:pStyle w:val="T2"/>
              <w:jc w:val="left"/>
            </w:pPr>
          </w:p>
        </w:tc>
        <w:tc>
          <w:tcPr>
            <w:tcW w:w="4706" w:type="dxa"/>
            <w:tcBorders>
              <w:bottom w:val="single" w:sz="2" w:space="0" w:color="auto"/>
            </w:tcBorders>
            <w:vAlign w:val="bottom"/>
          </w:tcPr>
          <w:p w14:paraId="1EFEBEA7" w14:textId="6AD5B2D3" w:rsidR="00802C8B" w:rsidRPr="00422360" w:rsidRDefault="00802C8B" w:rsidP="00802C8B">
            <w:pPr>
              <w:pStyle w:val="T2"/>
              <w:jc w:val="left"/>
            </w:pPr>
            <w:r w:rsidRPr="00422360">
              <w:t>Decrease by 0.5%</w:t>
            </w:r>
          </w:p>
        </w:tc>
        <w:tc>
          <w:tcPr>
            <w:tcW w:w="1075" w:type="dxa"/>
            <w:tcBorders>
              <w:bottom w:val="single" w:sz="2" w:space="0" w:color="auto"/>
            </w:tcBorders>
          </w:tcPr>
          <w:p w14:paraId="2DE4C59D" w14:textId="574633E6" w:rsidR="00802C8B" w:rsidRPr="00BA73B5" w:rsidRDefault="00802C8B" w:rsidP="00802C8B">
            <w:pPr>
              <w:pStyle w:val="T2"/>
              <w:jc w:val="right"/>
              <w:rPr>
                <w:b/>
                <w:bCs/>
                <w:highlight w:val="yellow"/>
              </w:rPr>
            </w:pPr>
            <w:r w:rsidRPr="00BA73B5">
              <w:rPr>
                <w:b/>
                <w:bCs/>
              </w:rPr>
              <w:t>27.6</w:t>
            </w:r>
          </w:p>
        </w:tc>
        <w:tc>
          <w:tcPr>
            <w:tcW w:w="1075" w:type="dxa"/>
            <w:tcBorders>
              <w:bottom w:val="single" w:sz="2" w:space="0" w:color="auto"/>
            </w:tcBorders>
          </w:tcPr>
          <w:p w14:paraId="3C7DF3AC" w14:textId="68D803B2" w:rsidR="00802C8B" w:rsidRPr="00BA73B5" w:rsidRDefault="00802C8B" w:rsidP="00802C8B">
            <w:pPr>
              <w:pStyle w:val="T2"/>
              <w:jc w:val="right"/>
              <w:rPr>
                <w:b/>
                <w:bCs/>
                <w:highlight w:val="yellow"/>
              </w:rPr>
            </w:pPr>
            <w:r w:rsidRPr="00BA73B5">
              <w:rPr>
                <w:b/>
                <w:bCs/>
              </w:rPr>
              <w:t>10.1</w:t>
            </w:r>
          </w:p>
        </w:tc>
        <w:tc>
          <w:tcPr>
            <w:tcW w:w="1075" w:type="dxa"/>
            <w:tcBorders>
              <w:bottom w:val="single" w:sz="2" w:space="0" w:color="auto"/>
            </w:tcBorders>
          </w:tcPr>
          <w:p w14:paraId="46F9ECF1" w14:textId="63BD5B28" w:rsidR="00802C8B" w:rsidRPr="00BA73B5" w:rsidRDefault="00802C8B" w:rsidP="00802C8B">
            <w:pPr>
              <w:pStyle w:val="T2"/>
              <w:jc w:val="right"/>
              <w:rPr>
                <w:b/>
                <w:bCs/>
                <w:highlight w:val="yellow"/>
              </w:rPr>
            </w:pPr>
            <w:r w:rsidRPr="00BA73B5">
              <w:rPr>
                <w:b/>
                <w:bCs/>
              </w:rPr>
              <w:t>37.7</w:t>
            </w:r>
          </w:p>
        </w:tc>
      </w:tr>
      <w:tr w:rsidR="00802C8B" w14:paraId="7132C6B2" w14:textId="77777777" w:rsidTr="00BA73B5">
        <w:trPr>
          <w:jc w:val="center"/>
        </w:trPr>
        <w:tc>
          <w:tcPr>
            <w:tcW w:w="1842" w:type="dxa"/>
            <w:vMerge w:val="restart"/>
            <w:tcBorders>
              <w:top w:val="single" w:sz="2" w:space="0" w:color="auto"/>
            </w:tcBorders>
            <w:vAlign w:val="center"/>
          </w:tcPr>
          <w:p w14:paraId="6BDE57C9" w14:textId="77777777" w:rsidR="00802C8B" w:rsidRPr="00422360" w:rsidRDefault="00802C8B" w:rsidP="00802C8B">
            <w:pPr>
              <w:pStyle w:val="T2"/>
              <w:jc w:val="left"/>
            </w:pPr>
            <w:r w:rsidRPr="00422360">
              <w:t>Rate of inflation</w:t>
            </w:r>
          </w:p>
        </w:tc>
        <w:tc>
          <w:tcPr>
            <w:tcW w:w="4706" w:type="dxa"/>
            <w:tcBorders>
              <w:top w:val="single" w:sz="2" w:space="0" w:color="auto"/>
            </w:tcBorders>
            <w:vAlign w:val="bottom"/>
          </w:tcPr>
          <w:p w14:paraId="4BDA9AD4" w14:textId="77777777" w:rsidR="00802C8B" w:rsidRPr="00422360" w:rsidRDefault="00802C8B" w:rsidP="00802C8B">
            <w:pPr>
              <w:pStyle w:val="T2"/>
              <w:jc w:val="left"/>
            </w:pPr>
            <w:r w:rsidRPr="00422360">
              <w:t>Increase by 0.5%</w:t>
            </w:r>
          </w:p>
        </w:tc>
        <w:tc>
          <w:tcPr>
            <w:tcW w:w="1075" w:type="dxa"/>
            <w:tcBorders>
              <w:top w:val="single" w:sz="2" w:space="0" w:color="auto"/>
            </w:tcBorders>
          </w:tcPr>
          <w:p w14:paraId="1C728492" w14:textId="40A4F93E" w:rsidR="00802C8B" w:rsidRPr="00BA73B5" w:rsidRDefault="00802C8B" w:rsidP="00802C8B">
            <w:pPr>
              <w:pStyle w:val="T2"/>
              <w:jc w:val="right"/>
              <w:rPr>
                <w:b/>
                <w:bCs/>
                <w:highlight w:val="yellow"/>
              </w:rPr>
            </w:pPr>
            <w:r w:rsidRPr="00BA73B5">
              <w:rPr>
                <w:b/>
                <w:bCs/>
              </w:rPr>
              <w:t>18.7</w:t>
            </w:r>
          </w:p>
        </w:tc>
        <w:tc>
          <w:tcPr>
            <w:tcW w:w="1075" w:type="dxa"/>
            <w:tcBorders>
              <w:top w:val="single" w:sz="2" w:space="0" w:color="auto"/>
            </w:tcBorders>
          </w:tcPr>
          <w:p w14:paraId="70548870" w14:textId="0CBB3A6A" w:rsidR="00802C8B" w:rsidRPr="00BA73B5" w:rsidRDefault="00802C8B" w:rsidP="00802C8B">
            <w:pPr>
              <w:pStyle w:val="T2"/>
              <w:jc w:val="right"/>
              <w:rPr>
                <w:b/>
                <w:bCs/>
                <w:highlight w:val="yellow"/>
              </w:rPr>
            </w:pPr>
            <w:r w:rsidRPr="00BA73B5">
              <w:rPr>
                <w:b/>
                <w:bCs/>
              </w:rPr>
              <w:t>3.7</w:t>
            </w:r>
          </w:p>
        </w:tc>
        <w:tc>
          <w:tcPr>
            <w:tcW w:w="1075" w:type="dxa"/>
            <w:tcBorders>
              <w:top w:val="single" w:sz="2" w:space="0" w:color="auto"/>
            </w:tcBorders>
          </w:tcPr>
          <w:p w14:paraId="760321C0" w14:textId="30AACA0C" w:rsidR="00802C8B" w:rsidRPr="00BA73B5" w:rsidRDefault="00802C8B" w:rsidP="00802C8B">
            <w:pPr>
              <w:pStyle w:val="T2"/>
              <w:jc w:val="right"/>
              <w:rPr>
                <w:b/>
                <w:bCs/>
                <w:highlight w:val="yellow"/>
              </w:rPr>
            </w:pPr>
            <w:r w:rsidRPr="00BA73B5">
              <w:rPr>
                <w:b/>
                <w:bCs/>
              </w:rPr>
              <w:t>22.4</w:t>
            </w:r>
          </w:p>
        </w:tc>
      </w:tr>
      <w:tr w:rsidR="00802C8B" w14:paraId="79748F8D" w14:textId="77777777" w:rsidTr="00BA73B5">
        <w:trPr>
          <w:jc w:val="center"/>
        </w:trPr>
        <w:tc>
          <w:tcPr>
            <w:tcW w:w="1842" w:type="dxa"/>
            <w:vMerge/>
            <w:tcBorders>
              <w:bottom w:val="single" w:sz="2" w:space="0" w:color="auto"/>
            </w:tcBorders>
            <w:vAlign w:val="bottom"/>
          </w:tcPr>
          <w:p w14:paraId="64E43406" w14:textId="77777777" w:rsidR="00802C8B" w:rsidRPr="00422360" w:rsidRDefault="00802C8B" w:rsidP="00802C8B">
            <w:pPr>
              <w:pStyle w:val="T2"/>
              <w:jc w:val="left"/>
            </w:pPr>
          </w:p>
        </w:tc>
        <w:tc>
          <w:tcPr>
            <w:tcW w:w="4706" w:type="dxa"/>
            <w:tcBorders>
              <w:bottom w:val="single" w:sz="2" w:space="0" w:color="auto"/>
            </w:tcBorders>
            <w:vAlign w:val="bottom"/>
          </w:tcPr>
          <w:p w14:paraId="21ACA538" w14:textId="6A4204B8" w:rsidR="00802C8B" w:rsidRPr="00422360" w:rsidRDefault="00802C8B" w:rsidP="00802C8B">
            <w:pPr>
              <w:pStyle w:val="T2"/>
              <w:jc w:val="left"/>
            </w:pPr>
            <w:r>
              <w:t>Decrease by 0.5%</w:t>
            </w:r>
          </w:p>
        </w:tc>
        <w:tc>
          <w:tcPr>
            <w:tcW w:w="1075" w:type="dxa"/>
            <w:tcBorders>
              <w:bottom w:val="single" w:sz="2" w:space="0" w:color="auto"/>
            </w:tcBorders>
          </w:tcPr>
          <w:p w14:paraId="774B236A" w14:textId="2025941D" w:rsidR="00802C8B" w:rsidRPr="00BA73B5" w:rsidRDefault="00802C8B" w:rsidP="00802C8B">
            <w:pPr>
              <w:pStyle w:val="T2"/>
              <w:jc w:val="right"/>
              <w:rPr>
                <w:b/>
                <w:bCs/>
                <w:highlight w:val="yellow"/>
              </w:rPr>
            </w:pPr>
            <w:r w:rsidRPr="00BA73B5">
              <w:rPr>
                <w:b/>
                <w:bCs/>
              </w:rPr>
              <w:t>(19.3)</w:t>
            </w:r>
          </w:p>
        </w:tc>
        <w:tc>
          <w:tcPr>
            <w:tcW w:w="1075" w:type="dxa"/>
            <w:tcBorders>
              <w:bottom w:val="single" w:sz="2" w:space="0" w:color="auto"/>
            </w:tcBorders>
          </w:tcPr>
          <w:p w14:paraId="189AA40E" w14:textId="5CAFE763" w:rsidR="00802C8B" w:rsidRPr="00BA73B5" w:rsidRDefault="00802C8B" w:rsidP="00802C8B">
            <w:pPr>
              <w:pStyle w:val="T2"/>
              <w:jc w:val="right"/>
              <w:rPr>
                <w:b/>
                <w:bCs/>
                <w:highlight w:val="yellow"/>
              </w:rPr>
            </w:pPr>
            <w:r w:rsidRPr="00BA73B5">
              <w:rPr>
                <w:b/>
                <w:bCs/>
              </w:rPr>
              <w:t>(3.6)</w:t>
            </w:r>
          </w:p>
        </w:tc>
        <w:tc>
          <w:tcPr>
            <w:tcW w:w="1075" w:type="dxa"/>
            <w:tcBorders>
              <w:bottom w:val="single" w:sz="2" w:space="0" w:color="auto"/>
            </w:tcBorders>
          </w:tcPr>
          <w:p w14:paraId="7F945B03" w14:textId="634CAC69" w:rsidR="00802C8B" w:rsidRPr="00BA73B5" w:rsidRDefault="00802C8B" w:rsidP="00802C8B">
            <w:pPr>
              <w:pStyle w:val="T2"/>
              <w:jc w:val="right"/>
              <w:rPr>
                <w:b/>
                <w:bCs/>
                <w:highlight w:val="yellow"/>
              </w:rPr>
            </w:pPr>
            <w:r w:rsidRPr="00BA73B5">
              <w:rPr>
                <w:b/>
                <w:bCs/>
              </w:rPr>
              <w:t>(22.9)</w:t>
            </w:r>
          </w:p>
        </w:tc>
      </w:tr>
      <w:tr w:rsidR="00802C8B" w14:paraId="0A06F43A" w14:textId="77777777" w:rsidTr="00BA73B5">
        <w:trPr>
          <w:jc w:val="center"/>
        </w:trPr>
        <w:tc>
          <w:tcPr>
            <w:tcW w:w="1842" w:type="dxa"/>
            <w:tcBorders>
              <w:top w:val="single" w:sz="2" w:space="0" w:color="auto"/>
              <w:bottom w:val="single" w:sz="2" w:space="0" w:color="auto"/>
            </w:tcBorders>
            <w:vAlign w:val="bottom"/>
          </w:tcPr>
          <w:p w14:paraId="43FD95EC" w14:textId="77777777" w:rsidR="00802C8B" w:rsidRPr="00422360" w:rsidRDefault="00802C8B" w:rsidP="00802C8B">
            <w:pPr>
              <w:pStyle w:val="T2"/>
              <w:jc w:val="left"/>
            </w:pPr>
            <w:r w:rsidRPr="00422360">
              <w:t>Rate of mortality</w:t>
            </w:r>
          </w:p>
        </w:tc>
        <w:tc>
          <w:tcPr>
            <w:tcW w:w="4706" w:type="dxa"/>
            <w:tcBorders>
              <w:top w:val="single" w:sz="2" w:space="0" w:color="auto"/>
              <w:bottom w:val="single" w:sz="2" w:space="0" w:color="auto"/>
            </w:tcBorders>
            <w:vAlign w:val="bottom"/>
          </w:tcPr>
          <w:p w14:paraId="726D50EE" w14:textId="77777777" w:rsidR="00802C8B" w:rsidRPr="00422360" w:rsidRDefault="00802C8B" w:rsidP="00802C8B">
            <w:pPr>
              <w:pStyle w:val="T2"/>
              <w:jc w:val="left"/>
            </w:pPr>
            <w:r w:rsidRPr="00422360">
              <w:t>Members assumed to live 1 year longer</w:t>
            </w:r>
          </w:p>
        </w:tc>
        <w:tc>
          <w:tcPr>
            <w:tcW w:w="1075" w:type="dxa"/>
            <w:tcBorders>
              <w:top w:val="single" w:sz="2" w:space="0" w:color="auto"/>
              <w:bottom w:val="single" w:sz="2" w:space="0" w:color="auto"/>
            </w:tcBorders>
          </w:tcPr>
          <w:p w14:paraId="66C69E43" w14:textId="1B9962ED" w:rsidR="00802C8B" w:rsidRPr="00BA73B5" w:rsidRDefault="00802C8B" w:rsidP="00802C8B">
            <w:pPr>
              <w:pStyle w:val="T2"/>
              <w:jc w:val="right"/>
              <w:rPr>
                <w:b/>
                <w:bCs/>
                <w:highlight w:val="yellow"/>
              </w:rPr>
            </w:pPr>
            <w:r w:rsidRPr="00BA73B5">
              <w:rPr>
                <w:b/>
                <w:bCs/>
              </w:rPr>
              <w:t>9.9</w:t>
            </w:r>
          </w:p>
        </w:tc>
        <w:tc>
          <w:tcPr>
            <w:tcW w:w="1075" w:type="dxa"/>
            <w:tcBorders>
              <w:top w:val="single" w:sz="2" w:space="0" w:color="auto"/>
              <w:bottom w:val="single" w:sz="2" w:space="0" w:color="auto"/>
            </w:tcBorders>
          </w:tcPr>
          <w:p w14:paraId="6CB26E71" w14:textId="2A8D4698" w:rsidR="00802C8B" w:rsidRPr="00BA73B5" w:rsidRDefault="00802C8B" w:rsidP="00802C8B">
            <w:pPr>
              <w:pStyle w:val="T2"/>
              <w:jc w:val="right"/>
              <w:rPr>
                <w:b/>
                <w:bCs/>
                <w:highlight w:val="yellow"/>
              </w:rPr>
            </w:pPr>
            <w:r w:rsidRPr="00BA73B5">
              <w:rPr>
                <w:b/>
                <w:bCs/>
              </w:rPr>
              <w:t>4.3</w:t>
            </w:r>
          </w:p>
        </w:tc>
        <w:tc>
          <w:tcPr>
            <w:tcW w:w="1075" w:type="dxa"/>
            <w:tcBorders>
              <w:top w:val="single" w:sz="2" w:space="0" w:color="auto"/>
              <w:bottom w:val="single" w:sz="2" w:space="0" w:color="auto"/>
            </w:tcBorders>
          </w:tcPr>
          <w:p w14:paraId="1443D9CB" w14:textId="2D27EAA9" w:rsidR="00802C8B" w:rsidRPr="00BA73B5" w:rsidRDefault="00802C8B" w:rsidP="00802C8B">
            <w:pPr>
              <w:pStyle w:val="T2"/>
              <w:jc w:val="right"/>
              <w:rPr>
                <w:b/>
                <w:bCs/>
                <w:highlight w:val="yellow"/>
              </w:rPr>
            </w:pPr>
            <w:r w:rsidRPr="00BA73B5">
              <w:rPr>
                <w:b/>
                <w:bCs/>
              </w:rPr>
              <w:t>14.2</w:t>
            </w:r>
          </w:p>
        </w:tc>
      </w:tr>
      <w:tr w:rsidR="00773F7B" w14:paraId="38E3E9DA" w14:textId="77777777" w:rsidTr="005B3BEE">
        <w:trPr>
          <w:jc w:val="center"/>
        </w:trPr>
        <w:tc>
          <w:tcPr>
            <w:tcW w:w="6548" w:type="dxa"/>
            <w:gridSpan w:val="2"/>
            <w:tcBorders>
              <w:top w:val="single" w:sz="2" w:space="0" w:color="auto"/>
            </w:tcBorders>
            <w:vAlign w:val="bottom"/>
          </w:tcPr>
          <w:p w14:paraId="47D40061" w14:textId="77777777" w:rsidR="00773F7B" w:rsidRPr="00422360" w:rsidRDefault="00773F7B" w:rsidP="00773F7B">
            <w:pPr>
              <w:pStyle w:val="T2"/>
              <w:ind w:left="-108"/>
              <w:jc w:val="left"/>
              <w:rPr>
                <w:b/>
              </w:rPr>
            </w:pPr>
            <w:r w:rsidRPr="00422360">
              <w:br/>
            </w:r>
            <w:r w:rsidRPr="00422360">
              <w:rPr>
                <w:b/>
              </w:rPr>
              <w:t>Sensitivity of pension scheme assets to yield movements</w:t>
            </w:r>
          </w:p>
        </w:tc>
        <w:tc>
          <w:tcPr>
            <w:tcW w:w="1075" w:type="dxa"/>
            <w:tcBorders>
              <w:top w:val="single" w:sz="2" w:space="0" w:color="auto"/>
            </w:tcBorders>
          </w:tcPr>
          <w:p w14:paraId="2B1F62A1" w14:textId="77777777" w:rsidR="00773F7B" w:rsidRPr="00422360" w:rsidRDefault="00773F7B" w:rsidP="00773F7B">
            <w:pPr>
              <w:pStyle w:val="T2"/>
            </w:pPr>
          </w:p>
        </w:tc>
        <w:tc>
          <w:tcPr>
            <w:tcW w:w="1075" w:type="dxa"/>
            <w:tcBorders>
              <w:top w:val="single" w:sz="2" w:space="0" w:color="auto"/>
            </w:tcBorders>
          </w:tcPr>
          <w:p w14:paraId="6E1788B6" w14:textId="77777777" w:rsidR="00773F7B" w:rsidRPr="00422360" w:rsidRDefault="00773F7B" w:rsidP="00773F7B">
            <w:pPr>
              <w:pStyle w:val="T2"/>
            </w:pPr>
          </w:p>
        </w:tc>
        <w:tc>
          <w:tcPr>
            <w:tcW w:w="1075" w:type="dxa"/>
            <w:tcBorders>
              <w:top w:val="single" w:sz="2" w:space="0" w:color="auto"/>
            </w:tcBorders>
          </w:tcPr>
          <w:p w14:paraId="17E4A03C" w14:textId="77777777" w:rsidR="00773F7B" w:rsidRPr="00422360" w:rsidRDefault="00773F7B" w:rsidP="00773F7B">
            <w:pPr>
              <w:pStyle w:val="T2"/>
            </w:pPr>
          </w:p>
        </w:tc>
      </w:tr>
      <w:tr w:rsidR="00773F7B" w14:paraId="155943E1" w14:textId="77777777" w:rsidTr="005B3BEE">
        <w:trPr>
          <w:jc w:val="center"/>
        </w:trPr>
        <w:tc>
          <w:tcPr>
            <w:tcW w:w="1842" w:type="dxa"/>
            <w:vAlign w:val="bottom"/>
          </w:tcPr>
          <w:p w14:paraId="1A8F11AF" w14:textId="77777777" w:rsidR="00773F7B" w:rsidRPr="00422360" w:rsidRDefault="00773F7B" w:rsidP="00773F7B">
            <w:pPr>
              <w:pStyle w:val="T2"/>
              <w:jc w:val="left"/>
            </w:pPr>
          </w:p>
        </w:tc>
        <w:tc>
          <w:tcPr>
            <w:tcW w:w="4706" w:type="dxa"/>
            <w:vAlign w:val="bottom"/>
          </w:tcPr>
          <w:p w14:paraId="7DA636F8" w14:textId="77777777" w:rsidR="00773F7B" w:rsidRPr="00422360" w:rsidRDefault="00773F7B" w:rsidP="00773F7B">
            <w:pPr>
              <w:pStyle w:val="T2"/>
              <w:jc w:val="left"/>
            </w:pPr>
          </w:p>
        </w:tc>
        <w:tc>
          <w:tcPr>
            <w:tcW w:w="3225" w:type="dxa"/>
            <w:gridSpan w:val="3"/>
          </w:tcPr>
          <w:p w14:paraId="6C97C479" w14:textId="77777777" w:rsidR="00773F7B" w:rsidRPr="00422360" w:rsidRDefault="00773F7B" w:rsidP="00773F7B">
            <w:pPr>
              <w:pStyle w:val="T2"/>
              <w:rPr>
                <w:b/>
              </w:rPr>
            </w:pPr>
            <w:r w:rsidRPr="00422360">
              <w:rPr>
                <w:b/>
              </w:rPr>
              <w:t>Increase in Scheme Assets</w:t>
            </w:r>
          </w:p>
        </w:tc>
      </w:tr>
      <w:tr w:rsidR="00773F7B" w14:paraId="39B23277" w14:textId="77777777" w:rsidTr="005B3BEE">
        <w:trPr>
          <w:jc w:val="center"/>
        </w:trPr>
        <w:tc>
          <w:tcPr>
            <w:tcW w:w="1842" w:type="dxa"/>
            <w:tcBorders>
              <w:bottom w:val="single" w:sz="2" w:space="0" w:color="auto"/>
            </w:tcBorders>
            <w:vAlign w:val="bottom"/>
          </w:tcPr>
          <w:p w14:paraId="1C8DD433" w14:textId="77777777" w:rsidR="00773F7B" w:rsidRPr="00422360" w:rsidRDefault="00773F7B" w:rsidP="00773F7B">
            <w:pPr>
              <w:pStyle w:val="T2"/>
              <w:jc w:val="left"/>
              <w:rPr>
                <w:b/>
              </w:rPr>
            </w:pPr>
            <w:r w:rsidRPr="00422360">
              <w:rPr>
                <w:b/>
              </w:rPr>
              <w:t>Assumption</w:t>
            </w:r>
          </w:p>
        </w:tc>
        <w:tc>
          <w:tcPr>
            <w:tcW w:w="4706" w:type="dxa"/>
            <w:tcBorders>
              <w:bottom w:val="single" w:sz="2" w:space="0" w:color="auto"/>
            </w:tcBorders>
            <w:vAlign w:val="bottom"/>
          </w:tcPr>
          <w:p w14:paraId="08126A9E" w14:textId="77777777" w:rsidR="00773F7B" w:rsidRPr="00422360" w:rsidRDefault="00773F7B" w:rsidP="00773F7B">
            <w:pPr>
              <w:pStyle w:val="T2"/>
              <w:jc w:val="left"/>
              <w:rPr>
                <w:b/>
              </w:rPr>
            </w:pPr>
            <w:r w:rsidRPr="00422360">
              <w:rPr>
                <w:b/>
              </w:rPr>
              <w:t>Change in assumption</w:t>
            </w:r>
          </w:p>
        </w:tc>
        <w:tc>
          <w:tcPr>
            <w:tcW w:w="1075" w:type="dxa"/>
            <w:tcBorders>
              <w:bottom w:val="single" w:sz="2" w:space="0" w:color="auto"/>
            </w:tcBorders>
            <w:vAlign w:val="bottom"/>
          </w:tcPr>
          <w:p w14:paraId="4590EAD1" w14:textId="77777777" w:rsidR="00773F7B" w:rsidRDefault="00773F7B" w:rsidP="00773F7B">
            <w:pPr>
              <w:pStyle w:val="T2"/>
              <w:jc w:val="right"/>
              <w:rPr>
                <w:b/>
              </w:rPr>
            </w:pPr>
            <w:r w:rsidRPr="00422360">
              <w:rPr>
                <w:b/>
              </w:rPr>
              <w:t xml:space="preserve">UK </w:t>
            </w:r>
          </w:p>
          <w:p w14:paraId="638D2F56"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3A5DE729" w14:textId="77777777" w:rsidR="00773F7B" w:rsidRDefault="00773F7B" w:rsidP="00773F7B">
            <w:pPr>
              <w:pStyle w:val="T2"/>
              <w:jc w:val="right"/>
              <w:rPr>
                <w:b/>
              </w:rPr>
            </w:pPr>
            <w:r w:rsidRPr="00422360">
              <w:rPr>
                <w:b/>
              </w:rPr>
              <w:t xml:space="preserve">Irish </w:t>
            </w:r>
          </w:p>
          <w:p w14:paraId="3F79DF78" w14:textId="77777777" w:rsidR="00773F7B" w:rsidRPr="00422360" w:rsidRDefault="00773F7B" w:rsidP="00773F7B">
            <w:pPr>
              <w:pStyle w:val="T2"/>
              <w:jc w:val="right"/>
              <w:rPr>
                <w:b/>
              </w:rPr>
            </w:pPr>
            <w:r w:rsidRPr="00422360">
              <w:rPr>
                <w:b/>
              </w:rPr>
              <w:t>Schemes</w:t>
            </w:r>
          </w:p>
        </w:tc>
        <w:tc>
          <w:tcPr>
            <w:tcW w:w="1075" w:type="dxa"/>
            <w:tcBorders>
              <w:bottom w:val="single" w:sz="2" w:space="0" w:color="auto"/>
            </w:tcBorders>
            <w:vAlign w:val="bottom"/>
          </w:tcPr>
          <w:p w14:paraId="417ED4B0" w14:textId="77777777" w:rsidR="00773F7B" w:rsidRPr="00422360" w:rsidRDefault="00773F7B" w:rsidP="00773F7B">
            <w:pPr>
              <w:pStyle w:val="T2"/>
              <w:jc w:val="right"/>
              <w:rPr>
                <w:b/>
              </w:rPr>
            </w:pPr>
            <w:r w:rsidRPr="00422360">
              <w:rPr>
                <w:b/>
              </w:rPr>
              <w:t xml:space="preserve"> Total </w:t>
            </w:r>
          </w:p>
        </w:tc>
      </w:tr>
      <w:tr w:rsidR="000948AD" w14:paraId="3392695B" w14:textId="77777777" w:rsidTr="00592BB5">
        <w:trPr>
          <w:jc w:val="center"/>
        </w:trPr>
        <w:tc>
          <w:tcPr>
            <w:tcW w:w="1842" w:type="dxa"/>
            <w:tcBorders>
              <w:top w:val="single" w:sz="2" w:space="0" w:color="auto"/>
              <w:bottom w:val="single" w:sz="4" w:space="0" w:color="auto"/>
            </w:tcBorders>
            <w:vAlign w:val="bottom"/>
          </w:tcPr>
          <w:p w14:paraId="0446C07F" w14:textId="77777777" w:rsidR="000948AD" w:rsidRPr="00422360" w:rsidRDefault="000948AD" w:rsidP="000948AD">
            <w:pPr>
              <w:pStyle w:val="T2"/>
              <w:jc w:val="left"/>
            </w:pPr>
            <w:r w:rsidRPr="00422360">
              <w:t>Change in bond yields</w:t>
            </w:r>
          </w:p>
        </w:tc>
        <w:tc>
          <w:tcPr>
            <w:tcW w:w="4706" w:type="dxa"/>
            <w:tcBorders>
              <w:top w:val="single" w:sz="2" w:space="0" w:color="auto"/>
              <w:bottom w:val="single" w:sz="4" w:space="0" w:color="auto"/>
            </w:tcBorders>
            <w:vAlign w:val="bottom"/>
          </w:tcPr>
          <w:p w14:paraId="295383A2" w14:textId="77777777" w:rsidR="000948AD" w:rsidRPr="00422360" w:rsidRDefault="000948AD" w:rsidP="000948AD">
            <w:pPr>
              <w:pStyle w:val="T2"/>
              <w:jc w:val="left"/>
            </w:pPr>
            <w:r w:rsidRPr="00422360">
              <w:t>Decrease by 0.5%</w:t>
            </w:r>
          </w:p>
        </w:tc>
        <w:tc>
          <w:tcPr>
            <w:tcW w:w="1075" w:type="dxa"/>
            <w:tcBorders>
              <w:top w:val="single" w:sz="2" w:space="0" w:color="auto"/>
              <w:bottom w:val="single" w:sz="4" w:space="0" w:color="auto"/>
            </w:tcBorders>
          </w:tcPr>
          <w:p w14:paraId="03ED99E0" w14:textId="77777777" w:rsidR="000948AD" w:rsidRPr="00802C8B" w:rsidRDefault="00FD7ED5" w:rsidP="000948AD">
            <w:pPr>
              <w:pStyle w:val="T2"/>
              <w:jc w:val="right"/>
            </w:pPr>
            <w:r w:rsidRPr="00802C8B">
              <w:rPr>
                <w:b/>
                <w:bCs/>
              </w:rPr>
              <w:t>23.0</w:t>
            </w:r>
          </w:p>
        </w:tc>
        <w:tc>
          <w:tcPr>
            <w:tcW w:w="1075" w:type="dxa"/>
            <w:tcBorders>
              <w:top w:val="single" w:sz="2" w:space="0" w:color="auto"/>
              <w:bottom w:val="single" w:sz="4" w:space="0" w:color="auto"/>
            </w:tcBorders>
          </w:tcPr>
          <w:p w14:paraId="4D34C672" w14:textId="45302C6D" w:rsidR="000948AD" w:rsidRPr="00802C8B" w:rsidRDefault="00802C8B" w:rsidP="000948AD">
            <w:pPr>
              <w:pStyle w:val="T2"/>
              <w:jc w:val="right"/>
            </w:pPr>
            <w:r w:rsidRPr="00802C8B">
              <w:rPr>
                <w:b/>
                <w:bCs/>
              </w:rPr>
              <w:t>8.8</w:t>
            </w:r>
          </w:p>
        </w:tc>
        <w:tc>
          <w:tcPr>
            <w:tcW w:w="1075" w:type="dxa"/>
            <w:tcBorders>
              <w:top w:val="single" w:sz="2" w:space="0" w:color="auto"/>
              <w:bottom w:val="single" w:sz="4" w:space="0" w:color="auto"/>
            </w:tcBorders>
          </w:tcPr>
          <w:p w14:paraId="7CADD35C" w14:textId="79EFB3B8" w:rsidR="000948AD" w:rsidRPr="00802C8B" w:rsidRDefault="00802C8B" w:rsidP="000948AD">
            <w:pPr>
              <w:pStyle w:val="T2"/>
              <w:jc w:val="right"/>
            </w:pPr>
            <w:r w:rsidRPr="00802C8B">
              <w:rPr>
                <w:b/>
                <w:bCs/>
              </w:rPr>
              <w:t>31</w:t>
            </w:r>
            <w:r w:rsidR="00B41C0F" w:rsidRPr="00802C8B">
              <w:rPr>
                <w:b/>
                <w:bCs/>
              </w:rPr>
              <w:t>.</w:t>
            </w:r>
            <w:r w:rsidR="00BA73B5">
              <w:rPr>
                <w:b/>
                <w:bCs/>
              </w:rPr>
              <w:t>8</w:t>
            </w:r>
          </w:p>
        </w:tc>
      </w:tr>
    </w:tbl>
    <w:p w14:paraId="0B2F9B4B" w14:textId="77777777" w:rsidR="00200886" w:rsidRDefault="00200886" w:rsidP="002902F4">
      <w:pPr>
        <w:tabs>
          <w:tab w:val="left" w:pos="1180"/>
        </w:tabs>
        <w:spacing w:after="0" w:line="240" w:lineRule="auto"/>
        <w:rPr>
          <w:b/>
          <w:sz w:val="18"/>
          <w:szCs w:val="18"/>
        </w:rPr>
      </w:pPr>
    </w:p>
    <w:p w14:paraId="1DF752C5" w14:textId="7D14D9E9" w:rsidR="00773F7B" w:rsidRPr="00313181" w:rsidRDefault="00773F7B" w:rsidP="005B3BEE">
      <w:pPr>
        <w:pStyle w:val="SectionH3"/>
      </w:pPr>
      <w:r w:rsidRPr="00313181">
        <w:t>1</w:t>
      </w:r>
      <w:r w:rsidR="002675EF">
        <w:t>5</w:t>
      </w:r>
      <w:r w:rsidRPr="00313181">
        <w:t>.</w:t>
      </w:r>
      <w:r w:rsidR="001D4796">
        <w:tab/>
      </w:r>
      <w:r w:rsidRPr="00451D3D">
        <w:t>Contingencies</w:t>
      </w:r>
    </w:p>
    <w:p w14:paraId="342F188C" w14:textId="77777777" w:rsidR="00773F7B" w:rsidRDefault="00773F7B" w:rsidP="005B3BEE">
      <w:pPr>
        <w:spacing w:after="120" w:line="240" w:lineRule="auto"/>
        <w:jc w:val="both"/>
        <w:rPr>
          <w:sz w:val="18"/>
          <w:szCs w:val="18"/>
        </w:rPr>
      </w:pPr>
      <w:r w:rsidRPr="00F91BA7">
        <w:rPr>
          <w:sz w:val="18"/>
          <w:szCs w:val="18"/>
        </w:rPr>
        <w:t>The Company and certain subsidiaries have given guarantees in respect of borrowings and other obligations arising in the ordinary course of business of the Company and other Group undertakings. The Company and other Group undertakings consider these guarantees to be insurance contracts and account for them as such. The Company treats these guarantee contracts as contingent liabilities until such time as it becomes probable that a payment will be required under such guarantees.</w:t>
      </w:r>
    </w:p>
    <w:p w14:paraId="0DCD898E" w14:textId="77777777" w:rsidR="00773F7B" w:rsidRDefault="00773F7B" w:rsidP="005B3BEE">
      <w:pPr>
        <w:spacing w:after="120" w:line="240" w:lineRule="auto"/>
        <w:jc w:val="both"/>
        <w:rPr>
          <w:sz w:val="18"/>
          <w:szCs w:val="18"/>
        </w:rPr>
      </w:pPr>
      <w:r w:rsidRPr="00F91BA7">
        <w:rPr>
          <w:sz w:val="18"/>
          <w:szCs w:val="18"/>
        </w:rPr>
        <w:t>The Group and certain of its subsidiaries continue to be subject to various legal proceedings relating to its current and former activities. Provisions for anticipated settlement costs and associated expenses arising from legal and other disputes are made where a reliable estimate can be made of the probable outcome of the proceedings.</w:t>
      </w:r>
    </w:p>
    <w:p w14:paraId="2122C622" w14:textId="421B2297" w:rsidR="006E683D" w:rsidRDefault="006E683D" w:rsidP="006E683D">
      <w:pPr>
        <w:spacing w:after="120" w:line="240" w:lineRule="auto"/>
        <w:jc w:val="both"/>
        <w:rPr>
          <w:sz w:val="18"/>
          <w:szCs w:val="18"/>
        </w:rPr>
      </w:pPr>
      <w:r w:rsidRPr="00F91BA7">
        <w:rPr>
          <w:sz w:val="18"/>
          <w:szCs w:val="18"/>
        </w:rPr>
        <w:t xml:space="preserve">The </w:t>
      </w:r>
      <w:r>
        <w:rPr>
          <w:sz w:val="18"/>
          <w:szCs w:val="18"/>
        </w:rPr>
        <w:t>G</w:t>
      </w:r>
      <w:r w:rsidRPr="00F91BA7">
        <w:rPr>
          <w:sz w:val="18"/>
          <w:szCs w:val="18"/>
        </w:rPr>
        <w:t xml:space="preserve">roup has provided bank guarantees to </w:t>
      </w:r>
      <w:r w:rsidRPr="00CF7576">
        <w:rPr>
          <w:sz w:val="18"/>
          <w:szCs w:val="18"/>
        </w:rPr>
        <w:t>the</w:t>
      </w:r>
      <w:r>
        <w:rPr>
          <w:sz w:val="18"/>
          <w:szCs w:val="18"/>
        </w:rPr>
        <w:t xml:space="preserve"> Group’s insurance providers </w:t>
      </w:r>
      <w:r w:rsidRPr="00F91BA7">
        <w:rPr>
          <w:sz w:val="18"/>
          <w:szCs w:val="18"/>
        </w:rPr>
        <w:t xml:space="preserve">for </w:t>
      </w:r>
      <w:r w:rsidRPr="00802C8B">
        <w:rPr>
          <w:sz w:val="18"/>
          <w:szCs w:val="18"/>
        </w:rPr>
        <w:t>an amount of £</w:t>
      </w:r>
      <w:r w:rsidR="00802C8B" w:rsidRPr="00802C8B">
        <w:rPr>
          <w:sz w:val="18"/>
          <w:szCs w:val="18"/>
        </w:rPr>
        <w:t>4.6</w:t>
      </w:r>
      <w:r w:rsidR="00237D17" w:rsidRPr="00802C8B">
        <w:rPr>
          <w:sz w:val="18"/>
          <w:szCs w:val="18"/>
        </w:rPr>
        <w:t>m</w:t>
      </w:r>
      <w:r w:rsidRPr="00CF7576">
        <w:rPr>
          <w:sz w:val="18"/>
          <w:szCs w:val="18"/>
        </w:rPr>
        <w:t xml:space="preserve"> </w:t>
      </w:r>
      <w:r>
        <w:rPr>
          <w:sz w:val="18"/>
          <w:szCs w:val="18"/>
        </w:rPr>
        <w:t>(Sept</w:t>
      </w:r>
      <w:r w:rsidR="003176F7">
        <w:rPr>
          <w:sz w:val="18"/>
          <w:szCs w:val="18"/>
        </w:rPr>
        <w:t>ember</w:t>
      </w:r>
      <w:r>
        <w:rPr>
          <w:sz w:val="18"/>
          <w:szCs w:val="18"/>
        </w:rPr>
        <w:t xml:space="preserve"> 202</w:t>
      </w:r>
      <w:r w:rsidR="00237D17">
        <w:rPr>
          <w:sz w:val="18"/>
          <w:szCs w:val="18"/>
        </w:rPr>
        <w:t>1</w:t>
      </w:r>
      <w:r w:rsidRPr="00F91BA7">
        <w:rPr>
          <w:sz w:val="18"/>
          <w:szCs w:val="18"/>
        </w:rPr>
        <w:t>: £</w:t>
      </w:r>
      <w:r w:rsidR="00237D17">
        <w:rPr>
          <w:sz w:val="18"/>
          <w:szCs w:val="18"/>
        </w:rPr>
        <w:t>5.8</w:t>
      </w:r>
      <w:r w:rsidRPr="00F91BA7">
        <w:rPr>
          <w:sz w:val="18"/>
          <w:szCs w:val="18"/>
        </w:rPr>
        <w:t>m).</w:t>
      </w:r>
    </w:p>
    <w:p w14:paraId="777B4325" w14:textId="187C0075" w:rsidR="009603AB" w:rsidRDefault="009603AB" w:rsidP="005B3BEE">
      <w:pPr>
        <w:rPr>
          <w:rFonts w:ascii="Calibri" w:eastAsia="Calibri" w:hAnsi="Calibri" w:cs="Arial"/>
          <w:b/>
          <w:bCs/>
          <w:sz w:val="18"/>
          <w:szCs w:val="18"/>
          <w:lang w:val="en-US" w:eastAsia="en-GB" w:bidi="en-GB"/>
        </w:rPr>
      </w:pPr>
    </w:p>
    <w:p w14:paraId="056C866C" w14:textId="179A2ED7" w:rsidR="003176F7" w:rsidRDefault="003176F7" w:rsidP="00CB6147">
      <w:pPr>
        <w:jc w:val="both"/>
        <w:rPr>
          <w:rFonts w:ascii="Calibri" w:eastAsia="Calibri" w:hAnsi="Calibri" w:cs="Arial"/>
          <w:b/>
          <w:bCs/>
          <w:sz w:val="18"/>
          <w:szCs w:val="18"/>
          <w:lang w:val="en-US" w:eastAsia="en-GB" w:bidi="en-GB"/>
        </w:rPr>
      </w:pPr>
      <w:r>
        <w:rPr>
          <w:rFonts w:ascii="Calibri" w:eastAsia="Calibri" w:hAnsi="Calibri" w:cs="Arial"/>
          <w:b/>
          <w:bCs/>
          <w:sz w:val="18"/>
          <w:szCs w:val="18"/>
          <w:lang w:val="en-US" w:eastAsia="en-GB" w:bidi="en-GB"/>
        </w:rPr>
        <w:t>1</w:t>
      </w:r>
      <w:r w:rsidR="002675EF">
        <w:rPr>
          <w:rFonts w:ascii="Calibri" w:eastAsia="Calibri" w:hAnsi="Calibri" w:cs="Arial"/>
          <w:b/>
          <w:bCs/>
          <w:sz w:val="18"/>
          <w:szCs w:val="18"/>
          <w:lang w:val="en-US" w:eastAsia="en-GB" w:bidi="en-GB"/>
        </w:rPr>
        <w:t>6</w:t>
      </w:r>
      <w:r>
        <w:rPr>
          <w:rFonts w:ascii="Calibri" w:eastAsia="Calibri" w:hAnsi="Calibri" w:cs="Arial"/>
          <w:b/>
          <w:bCs/>
          <w:sz w:val="18"/>
          <w:szCs w:val="18"/>
          <w:lang w:val="en-US" w:eastAsia="en-GB" w:bidi="en-GB"/>
        </w:rPr>
        <w:t xml:space="preserve">. </w:t>
      </w:r>
      <w:r>
        <w:rPr>
          <w:rFonts w:ascii="Calibri" w:eastAsia="Calibri" w:hAnsi="Calibri" w:cs="Arial"/>
          <w:b/>
          <w:bCs/>
          <w:sz w:val="18"/>
          <w:szCs w:val="18"/>
          <w:lang w:val="en-US" w:eastAsia="en-GB" w:bidi="en-GB"/>
        </w:rPr>
        <w:tab/>
        <w:t>Related party transactions</w:t>
      </w:r>
    </w:p>
    <w:p w14:paraId="52DE5641" w14:textId="4C33A670" w:rsidR="003176F7" w:rsidRPr="004B6C20" w:rsidRDefault="003176F7" w:rsidP="00CB6147">
      <w:pPr>
        <w:jc w:val="both"/>
        <w:rPr>
          <w:rFonts w:ascii="Calibri" w:eastAsia="Calibri" w:hAnsi="Calibri" w:cs="Arial"/>
          <w:sz w:val="18"/>
          <w:szCs w:val="18"/>
          <w:lang w:val="en-US" w:eastAsia="en-GB" w:bidi="en-GB"/>
        </w:rPr>
      </w:pPr>
      <w:r w:rsidRPr="004B6C20">
        <w:rPr>
          <w:rFonts w:ascii="Calibri" w:eastAsia="Calibri" w:hAnsi="Calibri" w:cs="Arial"/>
          <w:sz w:val="18"/>
          <w:szCs w:val="18"/>
          <w:lang w:val="en-US" w:eastAsia="en-GB" w:bidi="en-GB"/>
        </w:rPr>
        <w:t>T</w:t>
      </w:r>
      <w:r>
        <w:rPr>
          <w:rFonts w:ascii="Calibri" w:eastAsia="Calibri" w:hAnsi="Calibri" w:cs="Arial"/>
          <w:sz w:val="18"/>
          <w:szCs w:val="18"/>
          <w:lang w:val="en-US" w:eastAsia="en-GB" w:bidi="en-GB"/>
        </w:rPr>
        <w:t>here have been no related party transactions or changes in the nature and scale of the related party transactions described in the FY21 Annual Report that could have a material impact on the financial position or performance of the Group in the period ended 25 March 2022.</w:t>
      </w:r>
    </w:p>
    <w:p w14:paraId="19190A82" w14:textId="77777777" w:rsidR="003176F7" w:rsidRDefault="003176F7" w:rsidP="00CB6147">
      <w:pPr>
        <w:jc w:val="both"/>
        <w:rPr>
          <w:rFonts w:ascii="Calibri" w:eastAsia="Calibri" w:hAnsi="Calibri" w:cs="Arial"/>
          <w:b/>
          <w:bCs/>
          <w:sz w:val="18"/>
          <w:szCs w:val="18"/>
          <w:lang w:val="en-US" w:eastAsia="en-GB" w:bidi="en-GB"/>
        </w:rPr>
      </w:pPr>
    </w:p>
    <w:p w14:paraId="55B335AC" w14:textId="23F8B86E" w:rsidR="00131E58" w:rsidRDefault="00131E58" w:rsidP="00CB6147">
      <w:pPr>
        <w:jc w:val="both"/>
        <w:rPr>
          <w:rFonts w:ascii="Calibri" w:eastAsia="Calibri" w:hAnsi="Calibri" w:cs="Arial"/>
          <w:b/>
          <w:bCs/>
          <w:sz w:val="18"/>
          <w:szCs w:val="18"/>
          <w:lang w:val="en-US" w:eastAsia="en-GB" w:bidi="en-GB"/>
        </w:rPr>
      </w:pPr>
      <w:r>
        <w:rPr>
          <w:rFonts w:ascii="Calibri" w:eastAsia="Calibri" w:hAnsi="Calibri" w:cs="Arial"/>
          <w:b/>
          <w:bCs/>
          <w:sz w:val="18"/>
          <w:szCs w:val="18"/>
          <w:lang w:val="en-US" w:eastAsia="en-GB" w:bidi="en-GB"/>
        </w:rPr>
        <w:t>1</w:t>
      </w:r>
      <w:r w:rsidR="002675EF">
        <w:rPr>
          <w:rFonts w:ascii="Calibri" w:eastAsia="Calibri" w:hAnsi="Calibri" w:cs="Arial"/>
          <w:b/>
          <w:bCs/>
          <w:sz w:val="18"/>
          <w:szCs w:val="18"/>
          <w:lang w:val="en-US" w:eastAsia="en-GB" w:bidi="en-GB"/>
        </w:rPr>
        <w:t>7</w:t>
      </w:r>
      <w:r>
        <w:rPr>
          <w:rFonts w:ascii="Calibri" w:eastAsia="Calibri" w:hAnsi="Calibri" w:cs="Arial"/>
          <w:b/>
          <w:bCs/>
          <w:sz w:val="18"/>
          <w:szCs w:val="18"/>
          <w:lang w:val="en-US" w:eastAsia="en-GB" w:bidi="en-GB"/>
        </w:rPr>
        <w:t xml:space="preserve">. </w:t>
      </w:r>
      <w:r>
        <w:rPr>
          <w:rFonts w:ascii="Calibri" w:eastAsia="Calibri" w:hAnsi="Calibri" w:cs="Arial"/>
          <w:b/>
          <w:bCs/>
          <w:sz w:val="18"/>
          <w:szCs w:val="18"/>
          <w:lang w:val="en-US" w:eastAsia="en-GB" w:bidi="en-GB"/>
        </w:rPr>
        <w:tab/>
        <w:t>Subsequent Events</w:t>
      </w:r>
    </w:p>
    <w:p w14:paraId="65F25EC5" w14:textId="0E4C5010" w:rsidR="00131E58" w:rsidRPr="00FB661E" w:rsidRDefault="00131E58" w:rsidP="00385EA9">
      <w:pPr>
        <w:jc w:val="both"/>
        <w:rPr>
          <w:rFonts w:ascii="Calibri" w:eastAsia="Calibri" w:hAnsi="Calibri" w:cs="Arial"/>
          <w:b/>
          <w:bCs/>
          <w:sz w:val="18"/>
          <w:szCs w:val="18"/>
          <w:lang w:val="en-US" w:eastAsia="en-GB" w:bidi="en-GB"/>
        </w:rPr>
      </w:pPr>
      <w:r w:rsidRPr="00FB661E">
        <w:rPr>
          <w:rFonts w:ascii="Calibri" w:eastAsia="Calibri" w:hAnsi="Calibri" w:cs="Arial"/>
          <w:b/>
          <w:bCs/>
          <w:sz w:val="18"/>
          <w:szCs w:val="18"/>
          <w:lang w:val="en-US" w:eastAsia="en-GB" w:bidi="en-GB"/>
        </w:rPr>
        <w:t>Appointment of Chief Executive Officer</w:t>
      </w:r>
    </w:p>
    <w:p w14:paraId="4D399EEB" w14:textId="249BA2D4" w:rsidR="00131E58" w:rsidRDefault="00131E58" w:rsidP="00385EA9">
      <w:pPr>
        <w:jc w:val="both"/>
        <w:rPr>
          <w:rFonts w:ascii="Calibri" w:eastAsia="Calibri" w:hAnsi="Calibri" w:cs="Arial"/>
          <w:sz w:val="18"/>
          <w:szCs w:val="18"/>
          <w:lang w:val="en-US" w:eastAsia="en-GB" w:bidi="en-GB"/>
        </w:rPr>
      </w:pPr>
      <w:r>
        <w:rPr>
          <w:rFonts w:ascii="Calibri" w:eastAsia="Calibri" w:hAnsi="Calibri" w:cs="Arial"/>
          <w:sz w:val="18"/>
          <w:szCs w:val="18"/>
          <w:lang w:val="en-US" w:eastAsia="en-GB" w:bidi="en-GB"/>
        </w:rPr>
        <w:t xml:space="preserve">On 30 March 2022, Patrick Coveney officially stepped down from his role of Director and Chief Executive Officer. </w:t>
      </w:r>
      <w:r w:rsidR="00341704">
        <w:rPr>
          <w:rFonts w:ascii="Calibri" w:eastAsia="Calibri" w:hAnsi="Calibri" w:cs="Arial"/>
          <w:sz w:val="18"/>
          <w:szCs w:val="18"/>
          <w:lang w:val="en-US" w:eastAsia="en-GB" w:bidi="en-GB"/>
        </w:rPr>
        <w:t>On 13 May 2022 it was announced that Dalton Phillips</w:t>
      </w:r>
      <w:r>
        <w:rPr>
          <w:rFonts w:ascii="Calibri" w:eastAsia="Calibri" w:hAnsi="Calibri" w:cs="Arial"/>
          <w:sz w:val="18"/>
          <w:szCs w:val="18"/>
          <w:lang w:val="en-US" w:eastAsia="en-GB" w:bidi="en-GB"/>
        </w:rPr>
        <w:t xml:space="preserve"> </w:t>
      </w:r>
      <w:r w:rsidR="00341704">
        <w:rPr>
          <w:rFonts w:ascii="Calibri" w:eastAsia="Calibri" w:hAnsi="Calibri" w:cs="Arial"/>
          <w:sz w:val="18"/>
          <w:szCs w:val="18"/>
          <w:lang w:val="en-US" w:eastAsia="en-GB" w:bidi="en-GB"/>
        </w:rPr>
        <w:t xml:space="preserve">will take up the position of </w:t>
      </w:r>
      <w:r w:rsidR="00BA73B5">
        <w:rPr>
          <w:rFonts w:ascii="Calibri" w:eastAsia="Calibri" w:hAnsi="Calibri" w:cs="Arial"/>
          <w:sz w:val="18"/>
          <w:szCs w:val="18"/>
          <w:lang w:val="en-US" w:eastAsia="en-GB" w:bidi="en-GB"/>
        </w:rPr>
        <w:t>Chief Executive Officer of the Group</w:t>
      </w:r>
      <w:r w:rsidR="00127B99">
        <w:rPr>
          <w:rFonts w:ascii="Calibri" w:eastAsia="Calibri" w:hAnsi="Calibri" w:cs="Arial"/>
          <w:sz w:val="18"/>
          <w:szCs w:val="18"/>
          <w:lang w:val="en-US" w:eastAsia="en-GB" w:bidi="en-GB"/>
        </w:rPr>
        <w:t xml:space="preserve"> on 26 September 2022</w:t>
      </w:r>
      <w:r w:rsidR="00BA73B5">
        <w:rPr>
          <w:rFonts w:ascii="Calibri" w:eastAsia="Calibri" w:hAnsi="Calibri" w:cs="Arial"/>
          <w:sz w:val="18"/>
          <w:szCs w:val="18"/>
          <w:lang w:val="en-US" w:eastAsia="en-GB" w:bidi="en-GB"/>
        </w:rPr>
        <w:t xml:space="preserve">. </w:t>
      </w:r>
      <w:r w:rsidR="00341704">
        <w:rPr>
          <w:rFonts w:ascii="Calibri" w:eastAsia="Calibri" w:hAnsi="Calibri" w:cs="Arial"/>
          <w:sz w:val="18"/>
          <w:szCs w:val="18"/>
          <w:lang w:val="en-US" w:eastAsia="en-GB" w:bidi="en-GB"/>
        </w:rPr>
        <w:t xml:space="preserve">Until that time Gary Kennedy and Kevin Moore will continue in their roles as Executive Chairman and Deputy Chief Executive Officer of the Group. </w:t>
      </w:r>
    </w:p>
    <w:p w14:paraId="21B548CE" w14:textId="77777777" w:rsidR="00A5477F" w:rsidRDefault="00A5477F" w:rsidP="00385EA9">
      <w:pPr>
        <w:jc w:val="both"/>
        <w:rPr>
          <w:rFonts w:ascii="Calibri" w:eastAsia="Calibri" w:hAnsi="Calibri" w:cs="Arial"/>
          <w:b/>
          <w:bCs/>
          <w:sz w:val="18"/>
          <w:szCs w:val="18"/>
          <w:lang w:val="en-US" w:eastAsia="en-GB" w:bidi="en-GB"/>
        </w:rPr>
      </w:pPr>
    </w:p>
    <w:p w14:paraId="0220AA96" w14:textId="17C8264F" w:rsidR="00773F7B" w:rsidRPr="005B3BEE" w:rsidRDefault="00773F7B" w:rsidP="00385EA9">
      <w:pPr>
        <w:jc w:val="both"/>
        <w:rPr>
          <w:rFonts w:ascii="Calibri" w:eastAsia="Calibri" w:hAnsi="Calibri" w:cs="Arial"/>
          <w:b/>
          <w:bCs/>
          <w:sz w:val="18"/>
          <w:szCs w:val="18"/>
          <w:lang w:val="en-US" w:eastAsia="en-GB" w:bidi="en-GB"/>
        </w:rPr>
      </w:pPr>
      <w:r w:rsidRPr="005B3BEE">
        <w:rPr>
          <w:rFonts w:ascii="Calibri" w:eastAsia="Calibri" w:hAnsi="Calibri" w:cs="Arial"/>
          <w:b/>
          <w:bCs/>
          <w:sz w:val="18"/>
          <w:szCs w:val="18"/>
          <w:lang w:val="en-US" w:eastAsia="en-GB" w:bidi="en-GB"/>
        </w:rPr>
        <w:t>1</w:t>
      </w:r>
      <w:r w:rsidR="002675EF">
        <w:rPr>
          <w:rFonts w:ascii="Calibri" w:eastAsia="Calibri" w:hAnsi="Calibri" w:cs="Arial"/>
          <w:b/>
          <w:bCs/>
          <w:sz w:val="18"/>
          <w:szCs w:val="18"/>
          <w:lang w:val="en-US" w:eastAsia="en-GB" w:bidi="en-GB"/>
        </w:rPr>
        <w:t>8</w:t>
      </w:r>
      <w:r w:rsidRPr="005B3BEE">
        <w:rPr>
          <w:rFonts w:ascii="Calibri" w:eastAsia="Calibri" w:hAnsi="Calibri" w:cs="Arial"/>
          <w:b/>
          <w:bCs/>
          <w:sz w:val="18"/>
          <w:szCs w:val="18"/>
          <w:lang w:val="en-US" w:eastAsia="en-GB" w:bidi="en-GB"/>
        </w:rPr>
        <w:t>.</w:t>
      </w:r>
      <w:r w:rsidR="001D4796" w:rsidRPr="005B3BEE">
        <w:rPr>
          <w:rFonts w:ascii="Calibri" w:eastAsia="Calibri" w:hAnsi="Calibri" w:cs="Arial"/>
          <w:b/>
          <w:bCs/>
          <w:sz w:val="18"/>
          <w:szCs w:val="18"/>
          <w:lang w:val="en-US" w:eastAsia="en-GB" w:bidi="en-GB"/>
        </w:rPr>
        <w:tab/>
      </w:r>
      <w:r w:rsidRPr="005B3BEE">
        <w:rPr>
          <w:rFonts w:ascii="Calibri" w:eastAsia="Calibri" w:hAnsi="Calibri" w:cs="Arial"/>
          <w:b/>
          <w:bCs/>
          <w:sz w:val="18"/>
          <w:szCs w:val="18"/>
          <w:lang w:val="en-US" w:eastAsia="en-GB" w:bidi="en-GB"/>
        </w:rPr>
        <w:t>Information</w:t>
      </w:r>
    </w:p>
    <w:p w14:paraId="3A3CDC56" w14:textId="62A213A6" w:rsidR="00773F7B" w:rsidRDefault="00773F7B" w:rsidP="00385EA9">
      <w:pPr>
        <w:spacing w:after="120" w:line="240" w:lineRule="auto"/>
        <w:jc w:val="both"/>
        <w:rPr>
          <w:sz w:val="18"/>
          <w:szCs w:val="18"/>
        </w:rPr>
      </w:pPr>
      <w:r w:rsidRPr="00DD4291">
        <w:rPr>
          <w:sz w:val="18"/>
          <w:szCs w:val="18"/>
        </w:rPr>
        <w:t xml:space="preserve">Copies of the </w:t>
      </w:r>
      <w:r w:rsidR="00D9430C">
        <w:rPr>
          <w:sz w:val="18"/>
          <w:szCs w:val="18"/>
        </w:rPr>
        <w:t>Interim</w:t>
      </w:r>
      <w:r w:rsidRPr="00DD4291">
        <w:rPr>
          <w:sz w:val="18"/>
          <w:szCs w:val="18"/>
        </w:rPr>
        <w:t xml:space="preserve"> Financial Report are available for download from the Group's website at </w:t>
      </w:r>
      <w:hyperlink r:id="rId8" w:history="1">
        <w:r w:rsidR="007D7CEB" w:rsidRPr="009230DC">
          <w:rPr>
            <w:rStyle w:val="Hyperlink"/>
            <w:rFonts w:cstheme="minorBidi"/>
            <w:sz w:val="18"/>
            <w:szCs w:val="18"/>
          </w:rPr>
          <w:t>www.greencore.com</w:t>
        </w:r>
      </w:hyperlink>
      <w:r w:rsidRPr="00DD4291">
        <w:rPr>
          <w:sz w:val="18"/>
          <w:szCs w:val="18"/>
        </w:rPr>
        <w:t>.</w:t>
      </w:r>
    </w:p>
    <w:p w14:paraId="2C755033" w14:textId="77777777" w:rsidR="007D7CEB" w:rsidRDefault="007D7CEB" w:rsidP="00385EA9">
      <w:pPr>
        <w:spacing w:after="120" w:line="240" w:lineRule="auto"/>
        <w:jc w:val="both"/>
        <w:rPr>
          <w:sz w:val="18"/>
          <w:szCs w:val="18"/>
        </w:rPr>
      </w:pPr>
    </w:p>
    <w:p w14:paraId="13B1B42F" w14:textId="77777777" w:rsidR="007D7CEB" w:rsidRPr="001B258F" w:rsidRDefault="007D7CEB" w:rsidP="007D7CEB">
      <w:pPr>
        <w:pStyle w:val="Heading2"/>
      </w:pPr>
      <w:r w:rsidRPr="002E0E9E">
        <w:t xml:space="preserve">APPENDIX: </w:t>
      </w:r>
      <w:r>
        <w:t>ALTERNATIVE PERFORMANCE MEASURES</w:t>
      </w:r>
    </w:p>
    <w:p w14:paraId="12CEC63F" w14:textId="190E8619" w:rsidR="00773F7B" w:rsidRDefault="00773F7B" w:rsidP="00773F7B">
      <w:pPr>
        <w:spacing w:before="160" w:after="0" w:line="240" w:lineRule="auto"/>
        <w:jc w:val="both"/>
        <w:rPr>
          <w:sz w:val="18"/>
          <w:szCs w:val="18"/>
        </w:rPr>
      </w:pPr>
      <w:r w:rsidRPr="00196436">
        <w:rPr>
          <w:sz w:val="18"/>
          <w:szCs w:val="18"/>
        </w:rPr>
        <w:lastRenderedPageBreak/>
        <w:t>The Group uses the following Alternative Performance Measures (‘APMs’) which are non</w:t>
      </w:r>
      <w:r>
        <w:rPr>
          <w:sz w:val="18"/>
          <w:szCs w:val="18"/>
        </w:rPr>
        <w:t>–</w:t>
      </w:r>
      <w:r w:rsidRPr="00196436">
        <w:rPr>
          <w:sz w:val="18"/>
          <w:szCs w:val="18"/>
        </w:rPr>
        <w:t xml:space="preserve">IFRS measures to monitor the performance of its operations and of the Group as a whole: Pro Forma Sales Growth, Adjusted EBITDA, Adjusted Operating Profit, Adjusted Operating Margin, Adjusted Profit before Tax (‘PBT’), Adjusted Earnings, Adjusted Earnings per Share, Maintenance and Strategic Capital Expenditure, </w:t>
      </w:r>
      <w:r>
        <w:rPr>
          <w:sz w:val="18"/>
          <w:szCs w:val="18"/>
        </w:rPr>
        <w:t>Free Cash Flow, Free Cash Flow Conversion</w:t>
      </w:r>
      <w:r w:rsidRPr="00196436">
        <w:rPr>
          <w:sz w:val="18"/>
          <w:szCs w:val="18"/>
        </w:rPr>
        <w:t>, Net Debt</w:t>
      </w:r>
      <w:r>
        <w:rPr>
          <w:sz w:val="18"/>
          <w:szCs w:val="18"/>
        </w:rPr>
        <w:t>, Net Debt excluding lease</w:t>
      </w:r>
      <w:r w:rsidR="0068359D">
        <w:rPr>
          <w:sz w:val="18"/>
          <w:szCs w:val="18"/>
        </w:rPr>
        <w:t xml:space="preserve"> liabilities</w:t>
      </w:r>
      <w:r w:rsidRPr="00196436">
        <w:rPr>
          <w:sz w:val="18"/>
          <w:szCs w:val="18"/>
        </w:rPr>
        <w:t xml:space="preserve"> and Return on Invested Capital (‘ROIC’). </w:t>
      </w:r>
      <w:r w:rsidR="001D2A7F">
        <w:rPr>
          <w:sz w:val="18"/>
          <w:szCs w:val="18"/>
        </w:rPr>
        <w:t>There have been no adjustments made to existing APMs being reported</w:t>
      </w:r>
      <w:r w:rsidR="001D2A7F" w:rsidRPr="00CF5708">
        <w:rPr>
          <w:sz w:val="18"/>
          <w:szCs w:val="18"/>
        </w:rPr>
        <w:t>.</w:t>
      </w:r>
      <w:r w:rsidR="001D2A7F">
        <w:rPr>
          <w:sz w:val="18"/>
          <w:szCs w:val="18"/>
        </w:rPr>
        <w:t xml:space="preserve"> </w:t>
      </w:r>
      <w:r w:rsidR="00D9430C">
        <w:rPr>
          <w:sz w:val="18"/>
          <w:szCs w:val="18"/>
        </w:rPr>
        <w:t xml:space="preserve">Free Cashflow Conversion </w:t>
      </w:r>
      <w:r w:rsidR="00AD6A35">
        <w:rPr>
          <w:sz w:val="18"/>
          <w:szCs w:val="18"/>
        </w:rPr>
        <w:t>in prior periods has</w:t>
      </w:r>
      <w:r w:rsidR="00D9430C">
        <w:rPr>
          <w:sz w:val="18"/>
          <w:szCs w:val="18"/>
        </w:rPr>
        <w:t xml:space="preserve"> </w:t>
      </w:r>
      <w:r w:rsidR="00AD6A35">
        <w:rPr>
          <w:sz w:val="18"/>
          <w:szCs w:val="18"/>
        </w:rPr>
        <w:t xml:space="preserve">been </w:t>
      </w:r>
      <w:r w:rsidR="00D9430C">
        <w:rPr>
          <w:sz w:val="18"/>
          <w:szCs w:val="18"/>
        </w:rPr>
        <w:t>measured and reported on an annual basis at year end</w:t>
      </w:r>
      <w:r w:rsidR="00AD6A35">
        <w:rPr>
          <w:sz w:val="18"/>
          <w:szCs w:val="18"/>
        </w:rPr>
        <w:t xml:space="preserve"> only however the below APMs have now included this on a rolling cash flow basis</w:t>
      </w:r>
      <w:r w:rsidR="00D9430C">
        <w:rPr>
          <w:sz w:val="18"/>
          <w:szCs w:val="18"/>
        </w:rPr>
        <w:t>.</w:t>
      </w:r>
      <w:r w:rsidR="001D2A7F">
        <w:rPr>
          <w:sz w:val="18"/>
          <w:szCs w:val="18"/>
        </w:rPr>
        <w:t xml:space="preserve"> The APMs used provide a fair review of the development and performance of the business and of the position regarding the financial position, cash flows </w:t>
      </w:r>
      <w:r w:rsidR="009B1032">
        <w:rPr>
          <w:sz w:val="18"/>
          <w:szCs w:val="18"/>
        </w:rPr>
        <w:t>and</w:t>
      </w:r>
      <w:r w:rsidR="001D2A7F">
        <w:rPr>
          <w:sz w:val="18"/>
          <w:szCs w:val="18"/>
        </w:rPr>
        <w:t xml:space="preserve"> financial performance. </w:t>
      </w:r>
    </w:p>
    <w:p w14:paraId="617591EC" w14:textId="77777777" w:rsidR="00773F7B" w:rsidRDefault="00773F7B" w:rsidP="00773F7B">
      <w:pPr>
        <w:spacing w:before="160" w:after="0" w:line="240" w:lineRule="auto"/>
        <w:jc w:val="both"/>
        <w:rPr>
          <w:b/>
          <w:sz w:val="18"/>
          <w:szCs w:val="18"/>
        </w:rPr>
      </w:pPr>
      <w:r w:rsidRPr="007870A7">
        <w:rPr>
          <w:b/>
          <w:sz w:val="18"/>
          <w:szCs w:val="18"/>
        </w:rPr>
        <w:t>PRO</w:t>
      </w:r>
      <w:r>
        <w:rPr>
          <w:b/>
          <w:sz w:val="18"/>
          <w:szCs w:val="18"/>
        </w:rPr>
        <w:t xml:space="preserve"> </w:t>
      </w:r>
      <w:r w:rsidRPr="007870A7">
        <w:rPr>
          <w:b/>
          <w:sz w:val="18"/>
          <w:szCs w:val="18"/>
        </w:rPr>
        <w:t>FORMA REVENUE GROWTH</w:t>
      </w:r>
      <w:r>
        <w:rPr>
          <w:b/>
          <w:sz w:val="18"/>
          <w:szCs w:val="18"/>
        </w:rPr>
        <w:t xml:space="preserve"> </w:t>
      </w:r>
    </w:p>
    <w:p w14:paraId="3999BC12" w14:textId="65FA66C6" w:rsidR="00D56E11" w:rsidRPr="00D56E11" w:rsidRDefault="00D56E11" w:rsidP="00773F7B">
      <w:pPr>
        <w:spacing w:before="160" w:after="0" w:line="240" w:lineRule="auto"/>
        <w:jc w:val="both"/>
        <w:rPr>
          <w:b/>
          <w:bCs/>
          <w:sz w:val="18"/>
          <w:szCs w:val="18"/>
        </w:rPr>
      </w:pPr>
      <w:r w:rsidRPr="00D56E11">
        <w:rPr>
          <w:b/>
          <w:bCs/>
          <w:sz w:val="18"/>
          <w:szCs w:val="18"/>
        </w:rPr>
        <w:t>Pro Forma Revenue Growth (versus FY21)</w:t>
      </w:r>
    </w:p>
    <w:p w14:paraId="766BF25B" w14:textId="436FF869" w:rsidR="00773F7B" w:rsidRDefault="00773F7B" w:rsidP="00773F7B">
      <w:pPr>
        <w:spacing w:before="160" w:after="0" w:line="240" w:lineRule="auto"/>
        <w:jc w:val="both"/>
        <w:rPr>
          <w:sz w:val="18"/>
          <w:szCs w:val="18"/>
        </w:rPr>
      </w:pPr>
      <w:r w:rsidRPr="003A6352">
        <w:rPr>
          <w:sz w:val="18"/>
          <w:szCs w:val="18"/>
        </w:rPr>
        <w:t xml:space="preserve">The Group uses Pro Forma Revenue Growth as a supplemental measure of its performance. The Group believes that Pro Forma Revenue Growth provides a more accurate guide to underlying revenue </w:t>
      </w:r>
      <w:r w:rsidRPr="005C7C70">
        <w:rPr>
          <w:sz w:val="18"/>
          <w:szCs w:val="18"/>
        </w:rPr>
        <w:t xml:space="preserve">performance. </w:t>
      </w:r>
    </w:p>
    <w:p w14:paraId="263D9548" w14:textId="17C5C697" w:rsidR="00773F7B" w:rsidRDefault="00773F7B" w:rsidP="00773F7B">
      <w:pPr>
        <w:spacing w:before="160" w:after="0" w:line="240" w:lineRule="auto"/>
        <w:jc w:val="both"/>
        <w:rPr>
          <w:sz w:val="18"/>
          <w:szCs w:val="18"/>
        </w:rPr>
      </w:pPr>
      <w:r w:rsidRPr="003A6352">
        <w:rPr>
          <w:sz w:val="18"/>
          <w:szCs w:val="18"/>
        </w:rPr>
        <w:t xml:space="preserve">Pro Forma Revenue Growth adjusts </w:t>
      </w:r>
      <w:r w:rsidRPr="00196436">
        <w:rPr>
          <w:sz w:val="18"/>
          <w:szCs w:val="18"/>
        </w:rPr>
        <w:t xml:space="preserve">reported revenue to reflect the </w:t>
      </w:r>
      <w:r w:rsidR="00BC71DA">
        <w:rPr>
          <w:sz w:val="18"/>
          <w:szCs w:val="18"/>
        </w:rPr>
        <w:t xml:space="preserve">disposal of Premier Molasses </w:t>
      </w:r>
      <w:r w:rsidR="00B41C0F">
        <w:rPr>
          <w:sz w:val="18"/>
          <w:szCs w:val="18"/>
        </w:rPr>
        <w:t xml:space="preserve">Company </w:t>
      </w:r>
      <w:r w:rsidR="00BC71DA">
        <w:rPr>
          <w:sz w:val="18"/>
          <w:szCs w:val="18"/>
        </w:rPr>
        <w:t xml:space="preserve">Limited </w:t>
      </w:r>
      <w:r w:rsidRPr="00196436">
        <w:rPr>
          <w:sz w:val="18"/>
          <w:szCs w:val="18"/>
        </w:rPr>
        <w:t xml:space="preserve">for the period </w:t>
      </w:r>
      <w:r w:rsidR="00BC479E">
        <w:rPr>
          <w:sz w:val="18"/>
          <w:szCs w:val="18"/>
        </w:rPr>
        <w:t xml:space="preserve">in FY21 up </w:t>
      </w:r>
      <w:r w:rsidR="002A76A7">
        <w:rPr>
          <w:sz w:val="18"/>
          <w:szCs w:val="18"/>
        </w:rPr>
        <w:t xml:space="preserve">to </w:t>
      </w:r>
      <w:r w:rsidR="00BC71DA">
        <w:rPr>
          <w:sz w:val="18"/>
          <w:szCs w:val="18"/>
        </w:rPr>
        <w:t>the date of disposal</w:t>
      </w:r>
      <w:r w:rsidRPr="00196436">
        <w:rPr>
          <w:sz w:val="18"/>
          <w:szCs w:val="18"/>
        </w:rPr>
        <w:t xml:space="preserve">. It also presents the </w:t>
      </w:r>
      <w:r w:rsidR="00AB30A2">
        <w:rPr>
          <w:sz w:val="18"/>
          <w:szCs w:val="18"/>
        </w:rPr>
        <w:t xml:space="preserve">revenue </w:t>
      </w:r>
      <w:r w:rsidRPr="00196436">
        <w:rPr>
          <w:sz w:val="18"/>
          <w:szCs w:val="18"/>
        </w:rPr>
        <w:t>on a constant currency basis</w:t>
      </w:r>
      <w:r w:rsidR="00BC479E">
        <w:rPr>
          <w:sz w:val="18"/>
          <w:szCs w:val="18"/>
        </w:rPr>
        <w:t xml:space="preserve"> utilising FY21 FX rates on FY22 reported revenue</w:t>
      </w:r>
      <w:r>
        <w:rPr>
          <w:sz w:val="18"/>
          <w:szCs w:val="18"/>
        </w:rPr>
        <w:t>.</w:t>
      </w:r>
    </w:p>
    <w:p w14:paraId="2394A753" w14:textId="77777777" w:rsidR="00BC71DA" w:rsidRPr="00196436" w:rsidRDefault="00BC71DA" w:rsidP="00773F7B">
      <w:pPr>
        <w:spacing w:before="160" w:after="0" w:line="240" w:lineRule="auto"/>
        <w:jc w:val="both"/>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134"/>
        <w:gridCol w:w="1134"/>
        <w:gridCol w:w="2081"/>
      </w:tblGrid>
      <w:tr w:rsidR="00773F7B" w14:paraId="34E41A34" w14:textId="77777777" w:rsidTr="00773F7B">
        <w:tc>
          <w:tcPr>
            <w:tcW w:w="5387" w:type="dxa"/>
          </w:tcPr>
          <w:p w14:paraId="18E3EF86" w14:textId="77777777" w:rsidR="00773F7B" w:rsidRPr="00931330" w:rsidRDefault="00773F7B" w:rsidP="00773F7B">
            <w:pPr>
              <w:pStyle w:val="T2"/>
            </w:pPr>
          </w:p>
        </w:tc>
        <w:tc>
          <w:tcPr>
            <w:tcW w:w="1134" w:type="dxa"/>
          </w:tcPr>
          <w:p w14:paraId="7B68AF62" w14:textId="77777777" w:rsidR="00773F7B" w:rsidRPr="00931330" w:rsidRDefault="00773F7B" w:rsidP="00773F7B">
            <w:pPr>
              <w:pStyle w:val="T2"/>
              <w:rPr>
                <w:b/>
              </w:rPr>
            </w:pPr>
          </w:p>
        </w:tc>
        <w:tc>
          <w:tcPr>
            <w:tcW w:w="1134" w:type="dxa"/>
          </w:tcPr>
          <w:p w14:paraId="7A1D3C48" w14:textId="77777777" w:rsidR="00773F7B" w:rsidRPr="00931330" w:rsidRDefault="00773F7B" w:rsidP="00773F7B">
            <w:pPr>
              <w:pStyle w:val="T2"/>
              <w:rPr>
                <w:b/>
              </w:rPr>
            </w:pPr>
          </w:p>
        </w:tc>
        <w:tc>
          <w:tcPr>
            <w:tcW w:w="2081" w:type="dxa"/>
          </w:tcPr>
          <w:p w14:paraId="4E9E95C2" w14:textId="56F129C1" w:rsidR="00773F7B" w:rsidRPr="00931330" w:rsidRDefault="008A4891" w:rsidP="000948AD">
            <w:pPr>
              <w:pStyle w:val="T2"/>
              <w:jc w:val="right"/>
              <w:rPr>
                <w:b/>
              </w:rPr>
            </w:pPr>
            <w:r>
              <w:rPr>
                <w:b/>
              </w:rPr>
              <w:t>Half year 2022</w:t>
            </w:r>
          </w:p>
        </w:tc>
      </w:tr>
      <w:tr w:rsidR="00773F7B" w14:paraId="49F03FDF" w14:textId="77777777" w:rsidTr="00773F7B">
        <w:tc>
          <w:tcPr>
            <w:tcW w:w="5387" w:type="dxa"/>
          </w:tcPr>
          <w:p w14:paraId="2DCE17DB" w14:textId="77777777" w:rsidR="00773F7B" w:rsidRPr="00931330" w:rsidRDefault="00773F7B" w:rsidP="00773F7B">
            <w:pPr>
              <w:pStyle w:val="T2"/>
            </w:pPr>
          </w:p>
        </w:tc>
        <w:tc>
          <w:tcPr>
            <w:tcW w:w="1134" w:type="dxa"/>
            <w:vAlign w:val="bottom"/>
          </w:tcPr>
          <w:p w14:paraId="5675F3AA" w14:textId="77777777" w:rsidR="00773F7B" w:rsidRPr="00931330" w:rsidRDefault="00773F7B" w:rsidP="00773F7B">
            <w:pPr>
              <w:pStyle w:val="T2"/>
              <w:jc w:val="right"/>
              <w:rPr>
                <w:b/>
              </w:rPr>
            </w:pPr>
          </w:p>
        </w:tc>
        <w:tc>
          <w:tcPr>
            <w:tcW w:w="1134" w:type="dxa"/>
            <w:vAlign w:val="bottom"/>
          </w:tcPr>
          <w:p w14:paraId="0611A910" w14:textId="77777777" w:rsidR="00773F7B" w:rsidRPr="00931330" w:rsidRDefault="00773F7B" w:rsidP="00773F7B">
            <w:pPr>
              <w:pStyle w:val="T2"/>
              <w:jc w:val="right"/>
              <w:rPr>
                <w:b/>
              </w:rPr>
            </w:pPr>
          </w:p>
        </w:tc>
        <w:tc>
          <w:tcPr>
            <w:tcW w:w="2081" w:type="dxa"/>
            <w:vAlign w:val="bottom"/>
          </w:tcPr>
          <w:p w14:paraId="6E8F784B" w14:textId="5E26336C" w:rsidR="00773F7B" w:rsidRDefault="00773F7B" w:rsidP="00773F7B">
            <w:pPr>
              <w:pStyle w:val="T2"/>
              <w:jc w:val="right"/>
              <w:rPr>
                <w:b/>
              </w:rPr>
            </w:pPr>
            <w:r>
              <w:rPr>
                <w:b/>
              </w:rPr>
              <w:t>Convenience Foods</w:t>
            </w:r>
          </w:p>
          <w:p w14:paraId="1106B8E7" w14:textId="77777777" w:rsidR="00773F7B" w:rsidRPr="00931330" w:rsidRDefault="00773F7B" w:rsidP="00773F7B">
            <w:pPr>
              <w:pStyle w:val="T2"/>
              <w:jc w:val="right"/>
              <w:rPr>
                <w:b/>
              </w:rPr>
            </w:pPr>
            <w:r>
              <w:rPr>
                <w:b/>
              </w:rPr>
              <w:t>UK &amp; Ireland</w:t>
            </w:r>
          </w:p>
        </w:tc>
      </w:tr>
      <w:tr w:rsidR="00773F7B" w14:paraId="4E94DB71" w14:textId="77777777" w:rsidTr="00773F7B">
        <w:tc>
          <w:tcPr>
            <w:tcW w:w="5387" w:type="dxa"/>
            <w:tcBorders>
              <w:bottom w:val="single" w:sz="2" w:space="0" w:color="auto"/>
            </w:tcBorders>
          </w:tcPr>
          <w:p w14:paraId="20CF3291" w14:textId="77777777" w:rsidR="00773F7B" w:rsidRPr="00931330" w:rsidRDefault="00773F7B" w:rsidP="00773F7B">
            <w:pPr>
              <w:pStyle w:val="T2"/>
            </w:pPr>
          </w:p>
        </w:tc>
        <w:tc>
          <w:tcPr>
            <w:tcW w:w="1134" w:type="dxa"/>
            <w:tcBorders>
              <w:bottom w:val="single" w:sz="2" w:space="0" w:color="auto"/>
            </w:tcBorders>
            <w:vAlign w:val="bottom"/>
          </w:tcPr>
          <w:p w14:paraId="47D3B560" w14:textId="77777777" w:rsidR="00773F7B" w:rsidRPr="00931330" w:rsidRDefault="00773F7B" w:rsidP="00773F7B">
            <w:pPr>
              <w:pStyle w:val="T2"/>
              <w:jc w:val="right"/>
              <w:rPr>
                <w:b/>
              </w:rPr>
            </w:pPr>
          </w:p>
        </w:tc>
        <w:tc>
          <w:tcPr>
            <w:tcW w:w="1134" w:type="dxa"/>
            <w:tcBorders>
              <w:bottom w:val="single" w:sz="2" w:space="0" w:color="auto"/>
            </w:tcBorders>
            <w:vAlign w:val="bottom"/>
          </w:tcPr>
          <w:p w14:paraId="1FE1EF68" w14:textId="77777777" w:rsidR="00773F7B" w:rsidRPr="00931330" w:rsidRDefault="00773F7B" w:rsidP="00773F7B">
            <w:pPr>
              <w:pStyle w:val="T2"/>
              <w:jc w:val="right"/>
              <w:rPr>
                <w:b/>
              </w:rPr>
            </w:pPr>
          </w:p>
        </w:tc>
        <w:tc>
          <w:tcPr>
            <w:tcW w:w="2081" w:type="dxa"/>
            <w:tcBorders>
              <w:bottom w:val="single" w:sz="2" w:space="0" w:color="auto"/>
            </w:tcBorders>
            <w:vAlign w:val="bottom"/>
          </w:tcPr>
          <w:p w14:paraId="39AA1FDB" w14:textId="77777777" w:rsidR="00773F7B" w:rsidRPr="00931330" w:rsidRDefault="00773F7B" w:rsidP="00773F7B">
            <w:pPr>
              <w:pStyle w:val="T2"/>
              <w:jc w:val="right"/>
              <w:rPr>
                <w:b/>
              </w:rPr>
            </w:pPr>
            <w:r w:rsidRPr="00931330">
              <w:rPr>
                <w:b/>
              </w:rPr>
              <w:t>%</w:t>
            </w:r>
          </w:p>
        </w:tc>
      </w:tr>
      <w:tr w:rsidR="00BC479E" w14:paraId="5E93721A" w14:textId="77777777" w:rsidTr="00592BB5">
        <w:tc>
          <w:tcPr>
            <w:tcW w:w="5387" w:type="dxa"/>
            <w:tcBorders>
              <w:top w:val="single" w:sz="2" w:space="0" w:color="auto"/>
            </w:tcBorders>
            <w:vAlign w:val="bottom"/>
          </w:tcPr>
          <w:p w14:paraId="3FB35172" w14:textId="77777777" w:rsidR="00BC479E" w:rsidRPr="00931330" w:rsidRDefault="00BC479E" w:rsidP="00BC479E">
            <w:pPr>
              <w:pStyle w:val="T2"/>
              <w:jc w:val="left"/>
            </w:pPr>
            <w:r w:rsidRPr="00931330">
              <w:t>Reported revenue</w:t>
            </w:r>
          </w:p>
        </w:tc>
        <w:tc>
          <w:tcPr>
            <w:tcW w:w="1134" w:type="dxa"/>
            <w:tcBorders>
              <w:top w:val="single" w:sz="2" w:space="0" w:color="auto"/>
            </w:tcBorders>
            <w:vAlign w:val="bottom"/>
          </w:tcPr>
          <w:p w14:paraId="5D48629F" w14:textId="77777777" w:rsidR="00BC479E" w:rsidRPr="00931330" w:rsidRDefault="00BC479E" w:rsidP="00BC479E">
            <w:pPr>
              <w:pStyle w:val="T2"/>
              <w:jc w:val="right"/>
            </w:pPr>
          </w:p>
        </w:tc>
        <w:tc>
          <w:tcPr>
            <w:tcW w:w="1134" w:type="dxa"/>
            <w:tcBorders>
              <w:top w:val="single" w:sz="2" w:space="0" w:color="auto"/>
            </w:tcBorders>
            <w:vAlign w:val="bottom"/>
          </w:tcPr>
          <w:p w14:paraId="3CFC504B" w14:textId="77777777" w:rsidR="00BC479E" w:rsidRPr="00931330" w:rsidRDefault="00BC479E" w:rsidP="00BC479E">
            <w:pPr>
              <w:pStyle w:val="T2"/>
              <w:jc w:val="right"/>
            </w:pPr>
          </w:p>
        </w:tc>
        <w:tc>
          <w:tcPr>
            <w:tcW w:w="2081" w:type="dxa"/>
            <w:tcBorders>
              <w:top w:val="single" w:sz="2" w:space="0" w:color="auto"/>
            </w:tcBorders>
          </w:tcPr>
          <w:p w14:paraId="36A1219E" w14:textId="349C23EC" w:rsidR="00BC479E" w:rsidRPr="003A6352" w:rsidRDefault="00AA57C6" w:rsidP="00BC479E">
            <w:pPr>
              <w:pStyle w:val="T2"/>
              <w:jc w:val="right"/>
              <w:rPr>
                <w:b/>
              </w:rPr>
            </w:pPr>
            <w:r>
              <w:rPr>
                <w:b/>
              </w:rPr>
              <w:t>33.6</w:t>
            </w:r>
            <w:r w:rsidR="003B0DF4">
              <w:rPr>
                <w:b/>
              </w:rPr>
              <w:t>%</w:t>
            </w:r>
          </w:p>
        </w:tc>
      </w:tr>
      <w:tr w:rsidR="00BC479E" w14:paraId="2ED4EE1F" w14:textId="77777777" w:rsidTr="00592BB5">
        <w:tc>
          <w:tcPr>
            <w:tcW w:w="5387" w:type="dxa"/>
            <w:vAlign w:val="bottom"/>
          </w:tcPr>
          <w:p w14:paraId="598D4921" w14:textId="77777777" w:rsidR="00BC479E" w:rsidRPr="00931330" w:rsidRDefault="00BC479E" w:rsidP="00BC479E">
            <w:pPr>
              <w:pStyle w:val="T2"/>
              <w:jc w:val="left"/>
            </w:pPr>
            <w:r w:rsidRPr="00931330">
              <w:t xml:space="preserve">Impact of </w:t>
            </w:r>
            <w:r>
              <w:t xml:space="preserve">disposals </w:t>
            </w:r>
          </w:p>
        </w:tc>
        <w:tc>
          <w:tcPr>
            <w:tcW w:w="1134" w:type="dxa"/>
            <w:vAlign w:val="bottom"/>
          </w:tcPr>
          <w:p w14:paraId="1C3B503B" w14:textId="77777777" w:rsidR="00BC479E" w:rsidRPr="00931330" w:rsidRDefault="00BC479E" w:rsidP="00BC479E">
            <w:pPr>
              <w:pStyle w:val="T2"/>
              <w:jc w:val="right"/>
            </w:pPr>
          </w:p>
        </w:tc>
        <w:tc>
          <w:tcPr>
            <w:tcW w:w="1134" w:type="dxa"/>
            <w:vAlign w:val="bottom"/>
          </w:tcPr>
          <w:p w14:paraId="2A81A7B9" w14:textId="77777777" w:rsidR="00BC479E" w:rsidRPr="00931330" w:rsidRDefault="00BC479E" w:rsidP="00BC479E">
            <w:pPr>
              <w:pStyle w:val="T2"/>
              <w:jc w:val="right"/>
            </w:pPr>
          </w:p>
        </w:tc>
        <w:tc>
          <w:tcPr>
            <w:tcW w:w="2081" w:type="dxa"/>
          </w:tcPr>
          <w:p w14:paraId="4B0C3834" w14:textId="651AE641" w:rsidR="00BC479E" w:rsidRPr="003A6352" w:rsidRDefault="00AA57C6" w:rsidP="00BC479E">
            <w:pPr>
              <w:pStyle w:val="T2"/>
              <w:jc w:val="right"/>
              <w:rPr>
                <w:b/>
              </w:rPr>
            </w:pPr>
            <w:r>
              <w:rPr>
                <w:b/>
              </w:rPr>
              <w:t>1.0</w:t>
            </w:r>
            <w:r w:rsidR="003B0DF4">
              <w:rPr>
                <w:b/>
              </w:rPr>
              <w:t>%</w:t>
            </w:r>
          </w:p>
        </w:tc>
      </w:tr>
      <w:tr w:rsidR="00BC479E" w14:paraId="3E584B5F" w14:textId="77777777" w:rsidTr="00592BB5">
        <w:tc>
          <w:tcPr>
            <w:tcW w:w="5387" w:type="dxa"/>
            <w:tcBorders>
              <w:bottom w:val="single" w:sz="4" w:space="0" w:color="auto"/>
            </w:tcBorders>
            <w:vAlign w:val="bottom"/>
          </w:tcPr>
          <w:p w14:paraId="39BFDCD3" w14:textId="77777777" w:rsidR="00BC479E" w:rsidRPr="00931330" w:rsidRDefault="00BC479E" w:rsidP="00BC479E">
            <w:pPr>
              <w:pStyle w:val="T2"/>
              <w:jc w:val="left"/>
            </w:pPr>
            <w:r w:rsidRPr="00931330">
              <w:t>Impact of currency</w:t>
            </w:r>
          </w:p>
        </w:tc>
        <w:tc>
          <w:tcPr>
            <w:tcW w:w="1134" w:type="dxa"/>
            <w:tcBorders>
              <w:bottom w:val="single" w:sz="4" w:space="0" w:color="auto"/>
            </w:tcBorders>
            <w:vAlign w:val="bottom"/>
          </w:tcPr>
          <w:p w14:paraId="10876206" w14:textId="77777777" w:rsidR="00BC479E" w:rsidRPr="00931330" w:rsidRDefault="00BC479E" w:rsidP="00BC479E">
            <w:pPr>
              <w:pStyle w:val="T2"/>
              <w:jc w:val="right"/>
            </w:pPr>
          </w:p>
        </w:tc>
        <w:tc>
          <w:tcPr>
            <w:tcW w:w="1134" w:type="dxa"/>
            <w:tcBorders>
              <w:bottom w:val="single" w:sz="4" w:space="0" w:color="auto"/>
            </w:tcBorders>
            <w:vAlign w:val="bottom"/>
          </w:tcPr>
          <w:p w14:paraId="34C82BB7" w14:textId="77777777" w:rsidR="00BC479E" w:rsidRPr="00931330" w:rsidRDefault="00BC479E" w:rsidP="00BC479E">
            <w:pPr>
              <w:pStyle w:val="T2"/>
              <w:jc w:val="right"/>
            </w:pPr>
          </w:p>
        </w:tc>
        <w:tc>
          <w:tcPr>
            <w:tcW w:w="2081" w:type="dxa"/>
            <w:tcBorders>
              <w:bottom w:val="single" w:sz="4" w:space="0" w:color="auto"/>
            </w:tcBorders>
          </w:tcPr>
          <w:p w14:paraId="7E41D368" w14:textId="54003D6E" w:rsidR="00BC479E" w:rsidRPr="003A6352" w:rsidRDefault="00AA57C6" w:rsidP="00BC479E">
            <w:pPr>
              <w:pStyle w:val="T2"/>
              <w:jc w:val="right"/>
              <w:rPr>
                <w:b/>
              </w:rPr>
            </w:pPr>
            <w:r>
              <w:rPr>
                <w:b/>
              </w:rPr>
              <w:t>0.3</w:t>
            </w:r>
            <w:r w:rsidR="003B0DF4">
              <w:rPr>
                <w:b/>
              </w:rPr>
              <w:t>%</w:t>
            </w:r>
          </w:p>
        </w:tc>
      </w:tr>
      <w:tr w:rsidR="00BC479E" w14:paraId="24707FB6" w14:textId="77777777" w:rsidTr="00592BB5">
        <w:tc>
          <w:tcPr>
            <w:tcW w:w="5387" w:type="dxa"/>
            <w:tcBorders>
              <w:top w:val="single" w:sz="4" w:space="0" w:color="auto"/>
              <w:bottom w:val="single" w:sz="8" w:space="0" w:color="auto"/>
            </w:tcBorders>
            <w:vAlign w:val="bottom"/>
          </w:tcPr>
          <w:p w14:paraId="5C504876" w14:textId="77777777" w:rsidR="00BC479E" w:rsidRPr="00931330" w:rsidRDefault="00BC479E" w:rsidP="00BC479E">
            <w:pPr>
              <w:pStyle w:val="T2"/>
              <w:jc w:val="left"/>
              <w:rPr>
                <w:b/>
              </w:rPr>
            </w:pPr>
            <w:r w:rsidRPr="00931330">
              <w:rPr>
                <w:b/>
              </w:rPr>
              <w:t>Pro</w:t>
            </w:r>
            <w:r>
              <w:rPr>
                <w:b/>
              </w:rPr>
              <w:t xml:space="preserve"> F</w:t>
            </w:r>
            <w:r w:rsidRPr="00931330">
              <w:rPr>
                <w:b/>
              </w:rPr>
              <w:t xml:space="preserve">orma </w:t>
            </w:r>
            <w:r>
              <w:rPr>
                <w:b/>
              </w:rPr>
              <w:t>R</w:t>
            </w:r>
            <w:r w:rsidRPr="00931330">
              <w:rPr>
                <w:b/>
              </w:rPr>
              <w:t>evenue</w:t>
            </w:r>
            <w:r>
              <w:rPr>
                <w:b/>
              </w:rPr>
              <w:t xml:space="preserve"> Growth (%)</w:t>
            </w:r>
          </w:p>
        </w:tc>
        <w:tc>
          <w:tcPr>
            <w:tcW w:w="1134" w:type="dxa"/>
            <w:tcBorders>
              <w:top w:val="single" w:sz="4" w:space="0" w:color="auto"/>
              <w:bottom w:val="single" w:sz="8" w:space="0" w:color="auto"/>
            </w:tcBorders>
            <w:vAlign w:val="bottom"/>
          </w:tcPr>
          <w:p w14:paraId="0EF8C59D" w14:textId="77777777" w:rsidR="00BC479E" w:rsidRPr="00931330" w:rsidRDefault="00BC479E" w:rsidP="00BC479E">
            <w:pPr>
              <w:pStyle w:val="T2"/>
              <w:jc w:val="right"/>
              <w:rPr>
                <w:b/>
              </w:rPr>
            </w:pPr>
          </w:p>
        </w:tc>
        <w:tc>
          <w:tcPr>
            <w:tcW w:w="1134" w:type="dxa"/>
            <w:tcBorders>
              <w:top w:val="single" w:sz="4" w:space="0" w:color="auto"/>
              <w:bottom w:val="single" w:sz="8" w:space="0" w:color="auto"/>
            </w:tcBorders>
            <w:vAlign w:val="bottom"/>
          </w:tcPr>
          <w:p w14:paraId="78C1DD57" w14:textId="77777777" w:rsidR="00BC479E" w:rsidRPr="00931330" w:rsidRDefault="00BC479E" w:rsidP="00BC479E">
            <w:pPr>
              <w:pStyle w:val="T2"/>
              <w:jc w:val="right"/>
              <w:rPr>
                <w:b/>
              </w:rPr>
            </w:pPr>
          </w:p>
        </w:tc>
        <w:tc>
          <w:tcPr>
            <w:tcW w:w="2081" w:type="dxa"/>
            <w:tcBorders>
              <w:top w:val="single" w:sz="4" w:space="0" w:color="auto"/>
              <w:bottom w:val="single" w:sz="8" w:space="0" w:color="auto"/>
            </w:tcBorders>
          </w:tcPr>
          <w:p w14:paraId="4055537C" w14:textId="28417B6E" w:rsidR="00BC479E" w:rsidRPr="00931330" w:rsidRDefault="00AA57C6" w:rsidP="00BC479E">
            <w:pPr>
              <w:pStyle w:val="T2"/>
              <w:jc w:val="right"/>
              <w:rPr>
                <w:b/>
              </w:rPr>
            </w:pPr>
            <w:r>
              <w:rPr>
                <w:b/>
              </w:rPr>
              <w:t>34.9</w:t>
            </w:r>
            <w:r w:rsidR="003B0DF4">
              <w:rPr>
                <w:b/>
              </w:rPr>
              <w:t>%</w:t>
            </w:r>
          </w:p>
        </w:tc>
      </w:tr>
    </w:tbl>
    <w:p w14:paraId="0AE01D6C" w14:textId="77777777" w:rsidR="00773F7B" w:rsidRDefault="0068359D" w:rsidP="00BC71DA">
      <w:pPr>
        <w:spacing w:before="160" w:after="0" w:line="240" w:lineRule="auto"/>
        <w:jc w:val="both"/>
        <w:rPr>
          <w:sz w:val="18"/>
          <w:szCs w:val="18"/>
        </w:rPr>
      </w:pPr>
      <w:r>
        <w:rPr>
          <w:sz w:val="18"/>
          <w:szCs w:val="18"/>
        </w:rPr>
        <w:t xml:space="preserve">The table below shows the Pro Forma Revenue split by food to go categories and other convenience categories. This is in line with the disclosure requirements in IFRS 15 </w:t>
      </w:r>
      <w:r w:rsidRPr="00543F57">
        <w:rPr>
          <w:i/>
          <w:sz w:val="18"/>
          <w:szCs w:val="18"/>
        </w:rPr>
        <w:t xml:space="preserve">Revenue from </w:t>
      </w:r>
      <w:r>
        <w:rPr>
          <w:i/>
          <w:sz w:val="18"/>
          <w:szCs w:val="18"/>
        </w:rPr>
        <w:t xml:space="preserve">Contracts </w:t>
      </w:r>
      <w:r w:rsidRPr="00543F57">
        <w:rPr>
          <w:i/>
          <w:sz w:val="18"/>
          <w:szCs w:val="18"/>
        </w:rPr>
        <w:t xml:space="preserve">with </w:t>
      </w:r>
      <w:r>
        <w:rPr>
          <w:i/>
          <w:sz w:val="18"/>
          <w:szCs w:val="18"/>
        </w:rPr>
        <w:t>C</w:t>
      </w:r>
      <w:r w:rsidRPr="00543F57">
        <w:rPr>
          <w:i/>
          <w:sz w:val="18"/>
          <w:szCs w:val="18"/>
        </w:rPr>
        <w:t>ustomers</w:t>
      </w:r>
      <w:r>
        <w:rPr>
          <w:sz w:val="18"/>
          <w:szCs w:val="18"/>
        </w:rPr>
        <w:t xml:space="preserve"> requiring revenue to be disaggregated.</w:t>
      </w:r>
    </w:p>
    <w:p w14:paraId="52D56378" w14:textId="77777777" w:rsidR="00BC71DA" w:rsidRDefault="00BC71DA" w:rsidP="00BC71DA">
      <w:pPr>
        <w:spacing w:before="160" w:after="0" w:line="240" w:lineRule="auto"/>
        <w:jc w:val="both"/>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134"/>
        <w:gridCol w:w="1417"/>
        <w:gridCol w:w="1798"/>
      </w:tblGrid>
      <w:tr w:rsidR="00773F7B" w14:paraId="278AEDD9" w14:textId="77777777" w:rsidTr="00773F7B">
        <w:tc>
          <w:tcPr>
            <w:tcW w:w="5387" w:type="dxa"/>
          </w:tcPr>
          <w:p w14:paraId="5F55C503" w14:textId="77777777" w:rsidR="00773F7B" w:rsidRPr="00931330" w:rsidRDefault="00773F7B" w:rsidP="00773F7B">
            <w:pPr>
              <w:pStyle w:val="T2"/>
            </w:pPr>
          </w:p>
        </w:tc>
        <w:tc>
          <w:tcPr>
            <w:tcW w:w="1134" w:type="dxa"/>
          </w:tcPr>
          <w:p w14:paraId="7873FCCC" w14:textId="77777777" w:rsidR="00773F7B" w:rsidRPr="00931330" w:rsidRDefault="00773F7B" w:rsidP="00773F7B">
            <w:pPr>
              <w:pStyle w:val="T2"/>
              <w:rPr>
                <w:b/>
              </w:rPr>
            </w:pPr>
          </w:p>
        </w:tc>
        <w:tc>
          <w:tcPr>
            <w:tcW w:w="3215" w:type="dxa"/>
            <w:gridSpan w:val="2"/>
          </w:tcPr>
          <w:p w14:paraId="14B60FDA" w14:textId="13879550" w:rsidR="00773F7B" w:rsidRPr="00931330" w:rsidRDefault="008A4891" w:rsidP="00773F7B">
            <w:pPr>
              <w:pStyle w:val="T2"/>
              <w:rPr>
                <w:b/>
              </w:rPr>
            </w:pPr>
            <w:r>
              <w:rPr>
                <w:b/>
              </w:rPr>
              <w:t>Half year 2022</w:t>
            </w:r>
          </w:p>
        </w:tc>
      </w:tr>
      <w:tr w:rsidR="00773F7B" w14:paraId="17937C1F" w14:textId="77777777" w:rsidTr="00773F7B">
        <w:tc>
          <w:tcPr>
            <w:tcW w:w="5387" w:type="dxa"/>
          </w:tcPr>
          <w:p w14:paraId="17D35488" w14:textId="77777777" w:rsidR="00773F7B" w:rsidRPr="00931330" w:rsidRDefault="00773F7B" w:rsidP="00773F7B">
            <w:pPr>
              <w:pStyle w:val="T2"/>
            </w:pPr>
          </w:p>
        </w:tc>
        <w:tc>
          <w:tcPr>
            <w:tcW w:w="1134" w:type="dxa"/>
            <w:vAlign w:val="bottom"/>
          </w:tcPr>
          <w:p w14:paraId="215EAFD0" w14:textId="77777777" w:rsidR="00773F7B" w:rsidRPr="00931330" w:rsidRDefault="00773F7B" w:rsidP="00773F7B">
            <w:pPr>
              <w:pStyle w:val="T2"/>
              <w:jc w:val="right"/>
              <w:rPr>
                <w:b/>
              </w:rPr>
            </w:pPr>
          </w:p>
        </w:tc>
        <w:tc>
          <w:tcPr>
            <w:tcW w:w="1417" w:type="dxa"/>
            <w:vAlign w:val="bottom"/>
          </w:tcPr>
          <w:p w14:paraId="488B8033" w14:textId="77777777" w:rsidR="00773F7B" w:rsidRDefault="00773F7B" w:rsidP="00773F7B">
            <w:pPr>
              <w:pStyle w:val="T2"/>
              <w:jc w:val="right"/>
              <w:rPr>
                <w:b/>
              </w:rPr>
            </w:pPr>
            <w:r w:rsidRPr="00931330">
              <w:rPr>
                <w:b/>
              </w:rPr>
              <w:t xml:space="preserve">Food to </w:t>
            </w:r>
            <w:r>
              <w:rPr>
                <w:b/>
              </w:rPr>
              <w:t>g</w:t>
            </w:r>
            <w:r w:rsidRPr="00931330">
              <w:rPr>
                <w:b/>
              </w:rPr>
              <w:t xml:space="preserve">o </w:t>
            </w:r>
          </w:p>
          <w:p w14:paraId="2AC202DD" w14:textId="77777777" w:rsidR="00773F7B" w:rsidRPr="00931330" w:rsidRDefault="00773F7B" w:rsidP="00773F7B">
            <w:pPr>
              <w:pStyle w:val="T2"/>
              <w:jc w:val="right"/>
              <w:rPr>
                <w:b/>
              </w:rPr>
            </w:pPr>
            <w:r w:rsidRPr="00931330">
              <w:rPr>
                <w:b/>
              </w:rPr>
              <w:t>categories</w:t>
            </w:r>
          </w:p>
        </w:tc>
        <w:tc>
          <w:tcPr>
            <w:tcW w:w="1798" w:type="dxa"/>
            <w:vAlign w:val="bottom"/>
          </w:tcPr>
          <w:p w14:paraId="6FF4A60F" w14:textId="2D56776E" w:rsidR="00773F7B" w:rsidRPr="00931330" w:rsidRDefault="00773F7B" w:rsidP="00773F7B">
            <w:pPr>
              <w:pStyle w:val="T2"/>
              <w:jc w:val="right"/>
              <w:rPr>
                <w:b/>
              </w:rPr>
            </w:pPr>
            <w:r w:rsidRPr="00931330">
              <w:rPr>
                <w:b/>
              </w:rPr>
              <w:t>Other</w:t>
            </w:r>
            <w:r>
              <w:rPr>
                <w:b/>
              </w:rPr>
              <w:t xml:space="preserve"> convenience</w:t>
            </w:r>
            <w:r w:rsidR="002F1ED7">
              <w:rPr>
                <w:b/>
              </w:rPr>
              <w:t xml:space="preserve"> </w:t>
            </w:r>
            <w:r w:rsidRPr="00931330">
              <w:rPr>
                <w:b/>
              </w:rPr>
              <w:t>categories</w:t>
            </w:r>
          </w:p>
        </w:tc>
      </w:tr>
      <w:tr w:rsidR="00773F7B" w14:paraId="14A94BBF" w14:textId="77777777" w:rsidTr="00773F7B">
        <w:tc>
          <w:tcPr>
            <w:tcW w:w="5387" w:type="dxa"/>
            <w:tcBorders>
              <w:bottom w:val="single" w:sz="2" w:space="0" w:color="auto"/>
            </w:tcBorders>
          </w:tcPr>
          <w:p w14:paraId="100D6FAE" w14:textId="77777777" w:rsidR="00773F7B" w:rsidRPr="00931330" w:rsidRDefault="00773F7B" w:rsidP="00773F7B">
            <w:pPr>
              <w:pStyle w:val="T2"/>
            </w:pPr>
          </w:p>
        </w:tc>
        <w:tc>
          <w:tcPr>
            <w:tcW w:w="1134" w:type="dxa"/>
            <w:tcBorders>
              <w:bottom w:val="single" w:sz="2" w:space="0" w:color="auto"/>
            </w:tcBorders>
            <w:vAlign w:val="bottom"/>
          </w:tcPr>
          <w:p w14:paraId="6E822573" w14:textId="77777777" w:rsidR="00773F7B" w:rsidRPr="00931330" w:rsidRDefault="00773F7B" w:rsidP="00773F7B">
            <w:pPr>
              <w:pStyle w:val="T2"/>
              <w:jc w:val="right"/>
              <w:rPr>
                <w:b/>
              </w:rPr>
            </w:pPr>
          </w:p>
        </w:tc>
        <w:tc>
          <w:tcPr>
            <w:tcW w:w="1417" w:type="dxa"/>
            <w:tcBorders>
              <w:bottom w:val="single" w:sz="2" w:space="0" w:color="auto"/>
            </w:tcBorders>
            <w:vAlign w:val="bottom"/>
          </w:tcPr>
          <w:p w14:paraId="11E3924F" w14:textId="77777777" w:rsidR="00773F7B" w:rsidRPr="00931330" w:rsidRDefault="00773F7B" w:rsidP="00773F7B">
            <w:pPr>
              <w:pStyle w:val="T2"/>
              <w:jc w:val="right"/>
              <w:rPr>
                <w:b/>
              </w:rPr>
            </w:pPr>
            <w:r w:rsidRPr="00931330">
              <w:rPr>
                <w:b/>
              </w:rPr>
              <w:t>%</w:t>
            </w:r>
          </w:p>
        </w:tc>
        <w:tc>
          <w:tcPr>
            <w:tcW w:w="1798" w:type="dxa"/>
            <w:tcBorders>
              <w:bottom w:val="single" w:sz="2" w:space="0" w:color="auto"/>
            </w:tcBorders>
            <w:vAlign w:val="bottom"/>
          </w:tcPr>
          <w:p w14:paraId="627098F8" w14:textId="77777777" w:rsidR="00773F7B" w:rsidRPr="00931330" w:rsidRDefault="00773F7B" w:rsidP="00773F7B">
            <w:pPr>
              <w:pStyle w:val="T2"/>
              <w:jc w:val="right"/>
              <w:rPr>
                <w:b/>
              </w:rPr>
            </w:pPr>
            <w:r w:rsidRPr="00931330">
              <w:rPr>
                <w:b/>
              </w:rPr>
              <w:t>%</w:t>
            </w:r>
          </w:p>
        </w:tc>
      </w:tr>
      <w:tr w:rsidR="00BC479E" w14:paraId="5DC71A86" w14:textId="77777777" w:rsidTr="00592BB5">
        <w:tc>
          <w:tcPr>
            <w:tcW w:w="5387" w:type="dxa"/>
            <w:tcBorders>
              <w:top w:val="single" w:sz="2" w:space="0" w:color="auto"/>
            </w:tcBorders>
            <w:vAlign w:val="bottom"/>
          </w:tcPr>
          <w:p w14:paraId="3DCB9635" w14:textId="77777777" w:rsidR="00BC479E" w:rsidRPr="00931330" w:rsidRDefault="00BC479E" w:rsidP="00BC479E">
            <w:pPr>
              <w:pStyle w:val="T2"/>
              <w:jc w:val="left"/>
            </w:pPr>
            <w:r w:rsidRPr="00931330">
              <w:t>Reported revenue</w:t>
            </w:r>
          </w:p>
        </w:tc>
        <w:tc>
          <w:tcPr>
            <w:tcW w:w="1134" w:type="dxa"/>
            <w:tcBorders>
              <w:top w:val="single" w:sz="2" w:space="0" w:color="auto"/>
            </w:tcBorders>
            <w:vAlign w:val="bottom"/>
          </w:tcPr>
          <w:p w14:paraId="464E5575" w14:textId="77777777" w:rsidR="00BC479E" w:rsidRPr="00931330" w:rsidRDefault="00BC479E" w:rsidP="00BC479E">
            <w:pPr>
              <w:pStyle w:val="T2"/>
              <w:jc w:val="right"/>
            </w:pPr>
          </w:p>
        </w:tc>
        <w:tc>
          <w:tcPr>
            <w:tcW w:w="1417" w:type="dxa"/>
            <w:tcBorders>
              <w:top w:val="single" w:sz="2" w:space="0" w:color="auto"/>
            </w:tcBorders>
          </w:tcPr>
          <w:p w14:paraId="46313A0D" w14:textId="7328F5F6" w:rsidR="00BC479E" w:rsidRPr="003A6352" w:rsidRDefault="00AA57C6" w:rsidP="00BC479E">
            <w:pPr>
              <w:pStyle w:val="T2"/>
              <w:jc w:val="right"/>
              <w:rPr>
                <w:b/>
              </w:rPr>
            </w:pPr>
            <w:r>
              <w:rPr>
                <w:b/>
              </w:rPr>
              <w:t>48.0</w:t>
            </w:r>
            <w:r w:rsidR="003B0DF4">
              <w:rPr>
                <w:b/>
              </w:rPr>
              <w:t>%</w:t>
            </w:r>
          </w:p>
        </w:tc>
        <w:tc>
          <w:tcPr>
            <w:tcW w:w="1798" w:type="dxa"/>
            <w:tcBorders>
              <w:top w:val="single" w:sz="2" w:space="0" w:color="auto"/>
            </w:tcBorders>
          </w:tcPr>
          <w:p w14:paraId="698CE8AD" w14:textId="6B1A3350" w:rsidR="00BC479E" w:rsidRPr="003A6352" w:rsidRDefault="00AA57C6" w:rsidP="00BC479E">
            <w:pPr>
              <w:pStyle w:val="T2"/>
              <w:jc w:val="right"/>
              <w:rPr>
                <w:b/>
              </w:rPr>
            </w:pPr>
            <w:r>
              <w:rPr>
                <w:b/>
              </w:rPr>
              <w:t>12.9</w:t>
            </w:r>
            <w:r w:rsidR="003B0DF4">
              <w:rPr>
                <w:b/>
              </w:rPr>
              <w:t>%</w:t>
            </w:r>
          </w:p>
        </w:tc>
      </w:tr>
      <w:tr w:rsidR="00BC479E" w14:paraId="382B1929" w14:textId="77777777" w:rsidTr="00592BB5">
        <w:tc>
          <w:tcPr>
            <w:tcW w:w="5387" w:type="dxa"/>
            <w:vAlign w:val="bottom"/>
          </w:tcPr>
          <w:p w14:paraId="3A51732D" w14:textId="77777777" w:rsidR="00BC479E" w:rsidRPr="00931330" w:rsidRDefault="00BC479E" w:rsidP="00BC479E">
            <w:pPr>
              <w:pStyle w:val="T2"/>
              <w:jc w:val="left"/>
            </w:pPr>
            <w:r w:rsidRPr="00931330">
              <w:t xml:space="preserve">Impact of </w:t>
            </w:r>
            <w:r>
              <w:t>d</w:t>
            </w:r>
            <w:r w:rsidRPr="00931330">
              <w:t>isposals</w:t>
            </w:r>
          </w:p>
        </w:tc>
        <w:tc>
          <w:tcPr>
            <w:tcW w:w="1134" w:type="dxa"/>
            <w:vAlign w:val="bottom"/>
          </w:tcPr>
          <w:p w14:paraId="61BC5FC9" w14:textId="77777777" w:rsidR="00BC479E" w:rsidRPr="00931330" w:rsidRDefault="00BC479E" w:rsidP="00BC479E">
            <w:pPr>
              <w:pStyle w:val="T2"/>
              <w:jc w:val="right"/>
            </w:pPr>
          </w:p>
        </w:tc>
        <w:tc>
          <w:tcPr>
            <w:tcW w:w="1417" w:type="dxa"/>
          </w:tcPr>
          <w:p w14:paraId="12B38514" w14:textId="33AF1E98" w:rsidR="00BC479E" w:rsidRPr="003A6352" w:rsidRDefault="00BC479E" w:rsidP="00BC479E">
            <w:pPr>
              <w:pStyle w:val="T2"/>
              <w:jc w:val="right"/>
              <w:rPr>
                <w:b/>
              </w:rPr>
            </w:pPr>
            <w:r w:rsidRPr="00C15650">
              <w:rPr>
                <w:b/>
              </w:rPr>
              <w:t>–</w:t>
            </w:r>
          </w:p>
        </w:tc>
        <w:tc>
          <w:tcPr>
            <w:tcW w:w="1798" w:type="dxa"/>
          </w:tcPr>
          <w:p w14:paraId="0C0508B1" w14:textId="3D792200" w:rsidR="00BC479E" w:rsidRPr="003A6352" w:rsidRDefault="00AA57C6" w:rsidP="00BC479E">
            <w:pPr>
              <w:pStyle w:val="T2"/>
              <w:jc w:val="right"/>
              <w:rPr>
                <w:b/>
              </w:rPr>
            </w:pPr>
            <w:r>
              <w:rPr>
                <w:b/>
              </w:rPr>
              <w:t>2.0</w:t>
            </w:r>
            <w:r w:rsidR="003B0DF4">
              <w:rPr>
                <w:b/>
              </w:rPr>
              <w:t>%</w:t>
            </w:r>
          </w:p>
        </w:tc>
      </w:tr>
      <w:tr w:rsidR="00BC479E" w14:paraId="006A5000" w14:textId="77777777" w:rsidTr="00592BB5">
        <w:tc>
          <w:tcPr>
            <w:tcW w:w="5387" w:type="dxa"/>
            <w:tcBorders>
              <w:bottom w:val="single" w:sz="4" w:space="0" w:color="auto"/>
            </w:tcBorders>
            <w:vAlign w:val="bottom"/>
          </w:tcPr>
          <w:p w14:paraId="68710FD6" w14:textId="77777777" w:rsidR="00BC479E" w:rsidRPr="00931330" w:rsidRDefault="00BC479E" w:rsidP="00BC479E">
            <w:pPr>
              <w:pStyle w:val="T2"/>
              <w:jc w:val="left"/>
            </w:pPr>
            <w:r w:rsidRPr="00931330">
              <w:t>Impact of currency</w:t>
            </w:r>
          </w:p>
        </w:tc>
        <w:tc>
          <w:tcPr>
            <w:tcW w:w="1134" w:type="dxa"/>
            <w:tcBorders>
              <w:bottom w:val="single" w:sz="4" w:space="0" w:color="auto"/>
            </w:tcBorders>
            <w:vAlign w:val="bottom"/>
          </w:tcPr>
          <w:p w14:paraId="54796BB1" w14:textId="77777777" w:rsidR="00BC479E" w:rsidRPr="00931330" w:rsidRDefault="00BC479E" w:rsidP="00BC479E">
            <w:pPr>
              <w:pStyle w:val="T2"/>
              <w:jc w:val="right"/>
            </w:pPr>
          </w:p>
        </w:tc>
        <w:tc>
          <w:tcPr>
            <w:tcW w:w="1417" w:type="dxa"/>
            <w:tcBorders>
              <w:bottom w:val="single" w:sz="4" w:space="0" w:color="auto"/>
            </w:tcBorders>
          </w:tcPr>
          <w:p w14:paraId="5125552B" w14:textId="7D973522" w:rsidR="00BC479E" w:rsidRPr="003A6352" w:rsidRDefault="00BC479E" w:rsidP="00BC479E">
            <w:pPr>
              <w:pStyle w:val="T2"/>
              <w:jc w:val="right"/>
              <w:rPr>
                <w:b/>
              </w:rPr>
            </w:pPr>
            <w:r w:rsidRPr="00C15650">
              <w:rPr>
                <w:b/>
              </w:rPr>
              <w:t>–</w:t>
            </w:r>
          </w:p>
        </w:tc>
        <w:tc>
          <w:tcPr>
            <w:tcW w:w="1798" w:type="dxa"/>
            <w:tcBorders>
              <w:bottom w:val="single" w:sz="4" w:space="0" w:color="auto"/>
            </w:tcBorders>
          </w:tcPr>
          <w:p w14:paraId="204133BB" w14:textId="25AB7375" w:rsidR="00BC479E" w:rsidRPr="003A6352" w:rsidRDefault="00AA57C6" w:rsidP="00BC479E">
            <w:pPr>
              <w:pStyle w:val="T2"/>
              <w:jc w:val="right"/>
              <w:rPr>
                <w:b/>
              </w:rPr>
            </w:pPr>
            <w:r>
              <w:rPr>
                <w:b/>
              </w:rPr>
              <w:t>0.9</w:t>
            </w:r>
            <w:r w:rsidR="003B0DF4">
              <w:rPr>
                <w:b/>
              </w:rPr>
              <w:t>%</w:t>
            </w:r>
          </w:p>
        </w:tc>
      </w:tr>
      <w:tr w:rsidR="00BC479E" w14:paraId="29B21D09" w14:textId="77777777" w:rsidTr="00592BB5">
        <w:tc>
          <w:tcPr>
            <w:tcW w:w="5387" w:type="dxa"/>
            <w:tcBorders>
              <w:top w:val="single" w:sz="4" w:space="0" w:color="auto"/>
              <w:bottom w:val="single" w:sz="8" w:space="0" w:color="auto"/>
            </w:tcBorders>
            <w:vAlign w:val="bottom"/>
          </w:tcPr>
          <w:p w14:paraId="098BB2EC" w14:textId="77777777" w:rsidR="00BC479E" w:rsidRPr="00931330" w:rsidRDefault="00BC479E" w:rsidP="00BC479E">
            <w:pPr>
              <w:pStyle w:val="T2"/>
              <w:jc w:val="left"/>
              <w:rPr>
                <w:b/>
              </w:rPr>
            </w:pPr>
            <w:r w:rsidRPr="00931330">
              <w:rPr>
                <w:b/>
              </w:rPr>
              <w:t>Pro</w:t>
            </w:r>
            <w:r>
              <w:rPr>
                <w:b/>
              </w:rPr>
              <w:t xml:space="preserve"> F</w:t>
            </w:r>
            <w:r w:rsidRPr="00931330">
              <w:rPr>
                <w:b/>
              </w:rPr>
              <w:t xml:space="preserve">orma </w:t>
            </w:r>
            <w:r>
              <w:rPr>
                <w:b/>
              </w:rPr>
              <w:t>R</w:t>
            </w:r>
            <w:r w:rsidRPr="00931330">
              <w:rPr>
                <w:b/>
              </w:rPr>
              <w:t>evenue</w:t>
            </w:r>
            <w:r>
              <w:rPr>
                <w:b/>
              </w:rPr>
              <w:t xml:space="preserve"> Growth (%)</w:t>
            </w:r>
          </w:p>
        </w:tc>
        <w:tc>
          <w:tcPr>
            <w:tcW w:w="1134" w:type="dxa"/>
            <w:tcBorders>
              <w:top w:val="single" w:sz="4" w:space="0" w:color="auto"/>
              <w:bottom w:val="single" w:sz="8" w:space="0" w:color="auto"/>
            </w:tcBorders>
            <w:vAlign w:val="bottom"/>
          </w:tcPr>
          <w:p w14:paraId="4F5BAD93" w14:textId="77777777" w:rsidR="00BC479E" w:rsidRPr="00931330" w:rsidRDefault="00BC479E" w:rsidP="00BC479E">
            <w:pPr>
              <w:pStyle w:val="T2"/>
              <w:jc w:val="right"/>
              <w:rPr>
                <w:b/>
              </w:rPr>
            </w:pPr>
          </w:p>
        </w:tc>
        <w:tc>
          <w:tcPr>
            <w:tcW w:w="1417" w:type="dxa"/>
            <w:tcBorders>
              <w:top w:val="single" w:sz="4" w:space="0" w:color="auto"/>
              <w:bottom w:val="single" w:sz="8" w:space="0" w:color="auto"/>
            </w:tcBorders>
          </w:tcPr>
          <w:p w14:paraId="0B1EBB55" w14:textId="0570D7C1" w:rsidR="00BC479E" w:rsidRPr="00931330" w:rsidRDefault="00AA57C6" w:rsidP="00BC479E">
            <w:pPr>
              <w:pStyle w:val="T2"/>
              <w:jc w:val="right"/>
              <w:rPr>
                <w:b/>
              </w:rPr>
            </w:pPr>
            <w:r>
              <w:rPr>
                <w:b/>
              </w:rPr>
              <w:t>48.0</w:t>
            </w:r>
            <w:r w:rsidR="003B0DF4">
              <w:rPr>
                <w:b/>
              </w:rPr>
              <w:t>%</w:t>
            </w:r>
          </w:p>
        </w:tc>
        <w:tc>
          <w:tcPr>
            <w:tcW w:w="1798" w:type="dxa"/>
            <w:tcBorders>
              <w:top w:val="single" w:sz="4" w:space="0" w:color="auto"/>
              <w:bottom w:val="single" w:sz="8" w:space="0" w:color="auto"/>
            </w:tcBorders>
          </w:tcPr>
          <w:p w14:paraId="35055C49" w14:textId="5511C47B" w:rsidR="00BC479E" w:rsidRPr="00931330" w:rsidRDefault="00AA57C6" w:rsidP="00BC479E">
            <w:pPr>
              <w:pStyle w:val="T2"/>
              <w:jc w:val="right"/>
              <w:rPr>
                <w:b/>
              </w:rPr>
            </w:pPr>
            <w:r>
              <w:rPr>
                <w:b/>
              </w:rPr>
              <w:t>15.8</w:t>
            </w:r>
            <w:r w:rsidR="003B0DF4">
              <w:rPr>
                <w:b/>
              </w:rPr>
              <w:t>%</w:t>
            </w:r>
          </w:p>
        </w:tc>
      </w:tr>
    </w:tbl>
    <w:p w14:paraId="3110A4CF" w14:textId="45864823" w:rsidR="00773F7B" w:rsidRDefault="00773F7B" w:rsidP="00773F7B">
      <w:pPr>
        <w:rPr>
          <w:b/>
          <w:sz w:val="18"/>
          <w:szCs w:val="18"/>
        </w:rPr>
      </w:pPr>
    </w:p>
    <w:p w14:paraId="13B883CB" w14:textId="6137CBE1" w:rsidR="00D56E11" w:rsidRPr="00D56E11" w:rsidRDefault="00D56E11" w:rsidP="00D56E11">
      <w:pPr>
        <w:spacing w:before="160" w:after="0" w:line="240" w:lineRule="auto"/>
        <w:jc w:val="both"/>
        <w:rPr>
          <w:b/>
          <w:bCs/>
          <w:sz w:val="18"/>
          <w:szCs w:val="18"/>
        </w:rPr>
      </w:pPr>
      <w:r w:rsidRPr="00D56E11">
        <w:rPr>
          <w:b/>
          <w:bCs/>
          <w:sz w:val="18"/>
          <w:szCs w:val="18"/>
        </w:rPr>
        <w:t>Pro Forma Revenue Growth (versus FY</w:t>
      </w:r>
      <w:r>
        <w:rPr>
          <w:b/>
          <w:bCs/>
          <w:sz w:val="18"/>
          <w:szCs w:val="18"/>
        </w:rPr>
        <w:t>19</w:t>
      </w:r>
      <w:r w:rsidRPr="00D56E11">
        <w:rPr>
          <w:b/>
          <w:bCs/>
          <w:sz w:val="18"/>
          <w:szCs w:val="18"/>
        </w:rPr>
        <w:t>)</w:t>
      </w:r>
    </w:p>
    <w:p w14:paraId="62014FC0" w14:textId="2641DDD7" w:rsidR="00D56E11" w:rsidRDefault="00D56E11" w:rsidP="00D56E11">
      <w:pPr>
        <w:spacing w:before="160" w:after="0" w:line="240" w:lineRule="auto"/>
        <w:jc w:val="both"/>
        <w:rPr>
          <w:sz w:val="18"/>
          <w:szCs w:val="18"/>
        </w:rPr>
      </w:pPr>
      <w:r w:rsidRPr="003A6352">
        <w:rPr>
          <w:sz w:val="18"/>
          <w:szCs w:val="18"/>
        </w:rPr>
        <w:t xml:space="preserve">Pro Forma Revenue Growth adjusts </w:t>
      </w:r>
      <w:r w:rsidRPr="00196436">
        <w:rPr>
          <w:sz w:val="18"/>
          <w:szCs w:val="18"/>
        </w:rPr>
        <w:t xml:space="preserve">reported </w:t>
      </w:r>
      <w:r w:rsidRPr="00AA57C6">
        <w:rPr>
          <w:sz w:val="18"/>
          <w:szCs w:val="18"/>
        </w:rPr>
        <w:t>revenue (</w:t>
      </w:r>
      <w:r w:rsidR="00AA57C6" w:rsidRPr="00AA57C6">
        <w:rPr>
          <w:sz w:val="18"/>
          <w:szCs w:val="18"/>
        </w:rPr>
        <w:t>+9.9</w:t>
      </w:r>
      <w:r w:rsidRPr="00AA57C6">
        <w:rPr>
          <w:sz w:val="18"/>
          <w:szCs w:val="18"/>
        </w:rPr>
        <w:t xml:space="preserve">%) to reflect the </w:t>
      </w:r>
      <w:r w:rsidR="00AA57C6" w:rsidRPr="00AA57C6">
        <w:rPr>
          <w:sz w:val="18"/>
          <w:szCs w:val="18"/>
        </w:rPr>
        <w:t xml:space="preserve">impact of disposals and exits of manufacturing lines </w:t>
      </w:r>
      <w:r w:rsidRPr="00AA57C6">
        <w:rPr>
          <w:sz w:val="18"/>
          <w:szCs w:val="18"/>
        </w:rPr>
        <w:t>(</w:t>
      </w:r>
      <w:r w:rsidR="00AA57C6" w:rsidRPr="00AA57C6">
        <w:rPr>
          <w:sz w:val="18"/>
          <w:szCs w:val="18"/>
        </w:rPr>
        <w:t>+2.</w:t>
      </w:r>
      <w:r w:rsidR="001A57E6">
        <w:rPr>
          <w:sz w:val="18"/>
          <w:szCs w:val="18"/>
        </w:rPr>
        <w:t>6</w:t>
      </w:r>
      <w:r w:rsidRPr="00AA57C6">
        <w:rPr>
          <w:sz w:val="18"/>
          <w:szCs w:val="18"/>
        </w:rPr>
        <w:t xml:space="preserve">%), </w:t>
      </w:r>
      <w:r w:rsidR="002A295A">
        <w:rPr>
          <w:sz w:val="18"/>
          <w:szCs w:val="18"/>
        </w:rPr>
        <w:t xml:space="preserve">and </w:t>
      </w:r>
      <w:r w:rsidRPr="00AA57C6">
        <w:rPr>
          <w:sz w:val="18"/>
          <w:szCs w:val="18"/>
        </w:rPr>
        <w:t>the acquisition of Freshtime UK Limited in FY19 (</w:t>
      </w:r>
      <w:r w:rsidR="00AA57C6" w:rsidRPr="00AA57C6">
        <w:rPr>
          <w:sz w:val="18"/>
          <w:szCs w:val="18"/>
        </w:rPr>
        <w:t>-2.</w:t>
      </w:r>
      <w:r w:rsidR="001A57E6">
        <w:rPr>
          <w:sz w:val="18"/>
          <w:szCs w:val="18"/>
        </w:rPr>
        <w:t>9</w:t>
      </w:r>
      <w:r w:rsidRPr="00AA57C6">
        <w:rPr>
          <w:sz w:val="18"/>
          <w:szCs w:val="18"/>
        </w:rPr>
        <w:t>%). It also presents the revenue on a constant currency basis utilising FY19 FX rates on FY22 reported revenue</w:t>
      </w:r>
      <w:r w:rsidR="00AA57C6" w:rsidRPr="00AA57C6">
        <w:rPr>
          <w:sz w:val="18"/>
          <w:szCs w:val="18"/>
        </w:rPr>
        <w:t xml:space="preserve"> (+0.2%)</w:t>
      </w:r>
      <w:r w:rsidRPr="00AA57C6">
        <w:rPr>
          <w:sz w:val="18"/>
          <w:szCs w:val="18"/>
        </w:rPr>
        <w:t>.</w:t>
      </w:r>
      <w:r w:rsidR="00AA57C6" w:rsidRPr="00AA57C6">
        <w:rPr>
          <w:sz w:val="18"/>
          <w:szCs w:val="18"/>
        </w:rPr>
        <w:t xml:space="preserve"> Total</w:t>
      </w:r>
      <w:r w:rsidR="00AA57C6">
        <w:rPr>
          <w:sz w:val="18"/>
          <w:szCs w:val="18"/>
        </w:rPr>
        <w:t xml:space="preserve"> Pro Forma Revenue Growth versus FY19 is </w:t>
      </w:r>
      <w:r w:rsidR="001A57E6">
        <w:rPr>
          <w:sz w:val="18"/>
          <w:szCs w:val="18"/>
        </w:rPr>
        <w:t>9.8</w:t>
      </w:r>
      <w:r w:rsidR="00AA57C6">
        <w:rPr>
          <w:sz w:val="18"/>
          <w:szCs w:val="18"/>
        </w:rPr>
        <w:t>%.</w:t>
      </w:r>
    </w:p>
    <w:p w14:paraId="4B8A4CFE" w14:textId="77777777" w:rsidR="00D56E11" w:rsidRDefault="00D56E11" w:rsidP="00773F7B">
      <w:pPr>
        <w:rPr>
          <w:b/>
          <w:sz w:val="18"/>
          <w:szCs w:val="18"/>
        </w:rPr>
      </w:pPr>
    </w:p>
    <w:p w14:paraId="668F5810" w14:textId="77777777" w:rsidR="00773F7B" w:rsidRPr="00775F03" w:rsidRDefault="00773F7B" w:rsidP="00773F7B">
      <w:pPr>
        <w:pStyle w:val="Paragraph"/>
        <w:rPr>
          <w:b/>
        </w:rPr>
      </w:pPr>
      <w:r w:rsidRPr="00775F03">
        <w:rPr>
          <w:b/>
        </w:rPr>
        <w:t>ADJUSTED EBITDA, ADJUSTED OPERATING PROFIT AND ADJUSTED OPERATING MARGIN</w:t>
      </w:r>
    </w:p>
    <w:p w14:paraId="243246DD" w14:textId="77777777" w:rsidR="00773F7B" w:rsidRDefault="00773F7B" w:rsidP="00773F7B">
      <w:pPr>
        <w:pStyle w:val="Paragraph"/>
        <w:jc w:val="both"/>
      </w:pPr>
      <w:r w:rsidRPr="00775F03">
        <w:t>Adjusted EBITDA, Adjusted Operating Profit and Adjusted Operating Margin are used by the Group to measure the underlying and ongoing operating performance of each business</w:t>
      </w:r>
      <w:r>
        <w:t xml:space="preserve"> </w:t>
      </w:r>
      <w:r w:rsidRPr="00775F03">
        <w:t>and of the Group as a whole.</w:t>
      </w:r>
    </w:p>
    <w:p w14:paraId="37D55916" w14:textId="77777777" w:rsidR="00773F7B" w:rsidRDefault="00773F7B" w:rsidP="00773F7B">
      <w:pPr>
        <w:pStyle w:val="Paragraph"/>
        <w:jc w:val="both"/>
      </w:pPr>
      <w:r w:rsidRPr="00775F03">
        <w:t xml:space="preserve">The Group calculates Adjusted Operating Profit as operating profit </w:t>
      </w:r>
      <w:r w:rsidR="009B1032">
        <w:t xml:space="preserve">before </w:t>
      </w:r>
      <w:r w:rsidRPr="00775F03">
        <w:t xml:space="preserve">acquisition related </w:t>
      </w:r>
      <w:r w:rsidR="009B1032">
        <w:t xml:space="preserve">amortisation </w:t>
      </w:r>
      <w:r w:rsidRPr="00775F03">
        <w:t>and exceptional charges. Adjusted EBITDA is calculated as Adjusted Operating Profit plus depreciation and amortisation</w:t>
      </w:r>
      <w:r>
        <w:t xml:space="preserve"> of intangible assets</w:t>
      </w:r>
      <w:r w:rsidRPr="00775F03">
        <w:t>. Adjusted Operating Margin is calculated as Adjusted Operating Profit divided by reported revenue.</w:t>
      </w:r>
    </w:p>
    <w:p w14:paraId="0EC781CE" w14:textId="51BE4421" w:rsidR="00773F7B" w:rsidRDefault="00773F7B" w:rsidP="00773F7B">
      <w:pPr>
        <w:pStyle w:val="Paragraph"/>
        <w:jc w:val="both"/>
      </w:pPr>
      <w:r w:rsidRPr="00775F03">
        <w:t xml:space="preserve">The following table sets forth a reconciliation from the Group’s </w:t>
      </w:r>
      <w:r>
        <w:t>p</w:t>
      </w:r>
      <w:r w:rsidRPr="00775F03">
        <w:t>rofit for the financial year to Adjusted Operating Profit, Adjusted EBITDA and Adjusted Operating Margin:</w:t>
      </w:r>
    </w:p>
    <w:p w14:paraId="1FB84057" w14:textId="77777777" w:rsidR="009737A8" w:rsidRDefault="009737A8" w:rsidP="00AE497B">
      <w:pPr>
        <w:pStyle w:val="Paragraph"/>
        <w:rPr>
          <w:b/>
        </w:rPr>
      </w:pP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25"/>
        <w:gridCol w:w="486"/>
        <w:gridCol w:w="963"/>
        <w:gridCol w:w="537"/>
        <w:gridCol w:w="1276"/>
        <w:gridCol w:w="1134"/>
      </w:tblGrid>
      <w:tr w:rsidR="00773F7B" w14:paraId="456681DA" w14:textId="77777777" w:rsidTr="008323E9">
        <w:trPr>
          <w:trHeight w:val="379"/>
        </w:trPr>
        <w:tc>
          <w:tcPr>
            <w:tcW w:w="4962" w:type="dxa"/>
            <w:vAlign w:val="bottom"/>
          </w:tcPr>
          <w:p w14:paraId="61EF37A7" w14:textId="77777777" w:rsidR="00773F7B" w:rsidRPr="00775F03" w:rsidRDefault="00773F7B" w:rsidP="00773F7B">
            <w:pPr>
              <w:pStyle w:val="T2"/>
              <w:jc w:val="left"/>
            </w:pPr>
          </w:p>
        </w:tc>
        <w:tc>
          <w:tcPr>
            <w:tcW w:w="425" w:type="dxa"/>
            <w:vAlign w:val="bottom"/>
          </w:tcPr>
          <w:p w14:paraId="3136EED7" w14:textId="77777777" w:rsidR="00773F7B" w:rsidRPr="00E61418" w:rsidRDefault="00773F7B" w:rsidP="00BC71DA">
            <w:pPr>
              <w:pStyle w:val="T2"/>
              <w:jc w:val="right"/>
              <w:rPr>
                <w:b/>
              </w:rPr>
            </w:pPr>
          </w:p>
        </w:tc>
        <w:tc>
          <w:tcPr>
            <w:tcW w:w="486" w:type="dxa"/>
            <w:vAlign w:val="bottom"/>
          </w:tcPr>
          <w:p w14:paraId="23757A89" w14:textId="77777777" w:rsidR="00773F7B" w:rsidRPr="00E61418" w:rsidRDefault="00773F7B" w:rsidP="00BC71DA">
            <w:pPr>
              <w:pStyle w:val="T2"/>
              <w:jc w:val="right"/>
              <w:rPr>
                <w:b/>
              </w:rPr>
            </w:pPr>
          </w:p>
        </w:tc>
        <w:tc>
          <w:tcPr>
            <w:tcW w:w="963" w:type="dxa"/>
            <w:vAlign w:val="bottom"/>
          </w:tcPr>
          <w:p w14:paraId="6CEA97BC" w14:textId="77777777" w:rsidR="00773F7B" w:rsidRPr="00E61418" w:rsidRDefault="00773F7B" w:rsidP="00BC71DA">
            <w:pPr>
              <w:pStyle w:val="T2"/>
              <w:jc w:val="right"/>
              <w:rPr>
                <w:b/>
              </w:rPr>
            </w:pPr>
          </w:p>
        </w:tc>
        <w:tc>
          <w:tcPr>
            <w:tcW w:w="537" w:type="dxa"/>
            <w:vAlign w:val="bottom"/>
          </w:tcPr>
          <w:p w14:paraId="7ECBE973" w14:textId="77777777" w:rsidR="00773F7B" w:rsidRPr="00775F03" w:rsidRDefault="00773F7B" w:rsidP="00BC71DA">
            <w:pPr>
              <w:pStyle w:val="T2"/>
              <w:jc w:val="right"/>
            </w:pPr>
          </w:p>
        </w:tc>
        <w:tc>
          <w:tcPr>
            <w:tcW w:w="1276" w:type="dxa"/>
            <w:vAlign w:val="bottom"/>
          </w:tcPr>
          <w:p w14:paraId="6FC7DF2E" w14:textId="77777777" w:rsidR="009B1032" w:rsidRDefault="009B1032" w:rsidP="00BC71DA">
            <w:pPr>
              <w:pStyle w:val="T2"/>
              <w:jc w:val="right"/>
              <w:rPr>
                <w:b/>
              </w:rPr>
            </w:pPr>
          </w:p>
          <w:p w14:paraId="61C9D208" w14:textId="77777777" w:rsidR="00DA6313" w:rsidRDefault="000948AD" w:rsidP="00BC71DA">
            <w:pPr>
              <w:pStyle w:val="T2"/>
              <w:jc w:val="right"/>
              <w:rPr>
                <w:b/>
              </w:rPr>
            </w:pPr>
            <w:r>
              <w:rPr>
                <w:b/>
              </w:rPr>
              <w:t xml:space="preserve">Half Year </w:t>
            </w:r>
          </w:p>
          <w:p w14:paraId="168B7385" w14:textId="13B64663" w:rsidR="00773F7B" w:rsidRPr="000948AD" w:rsidRDefault="000948AD" w:rsidP="00BC71DA">
            <w:pPr>
              <w:pStyle w:val="T2"/>
              <w:jc w:val="right"/>
              <w:rPr>
                <w:b/>
              </w:rPr>
            </w:pPr>
            <w:r>
              <w:rPr>
                <w:b/>
              </w:rPr>
              <w:t>202</w:t>
            </w:r>
            <w:r w:rsidR="00BC479E">
              <w:rPr>
                <w:b/>
              </w:rPr>
              <w:t>2</w:t>
            </w:r>
          </w:p>
        </w:tc>
        <w:tc>
          <w:tcPr>
            <w:tcW w:w="1134" w:type="dxa"/>
            <w:vAlign w:val="bottom"/>
          </w:tcPr>
          <w:p w14:paraId="7EDB7D65" w14:textId="616BA667" w:rsidR="00773F7B" w:rsidRPr="004F4EB9" w:rsidRDefault="008A4891" w:rsidP="00BC71DA">
            <w:pPr>
              <w:pStyle w:val="T2"/>
              <w:jc w:val="right"/>
            </w:pPr>
            <w:r>
              <w:t>Half year 2021</w:t>
            </w:r>
          </w:p>
        </w:tc>
      </w:tr>
      <w:tr w:rsidR="00773F7B" w14:paraId="6FE4C559" w14:textId="77777777" w:rsidTr="008323E9">
        <w:trPr>
          <w:trHeight w:val="208"/>
        </w:trPr>
        <w:tc>
          <w:tcPr>
            <w:tcW w:w="4962" w:type="dxa"/>
            <w:tcBorders>
              <w:bottom w:val="single" w:sz="2" w:space="0" w:color="auto"/>
            </w:tcBorders>
            <w:vAlign w:val="bottom"/>
          </w:tcPr>
          <w:p w14:paraId="08907346" w14:textId="77777777" w:rsidR="00773F7B" w:rsidRPr="00775F03" w:rsidRDefault="00773F7B" w:rsidP="00773F7B">
            <w:pPr>
              <w:pStyle w:val="T2"/>
              <w:jc w:val="left"/>
            </w:pPr>
          </w:p>
        </w:tc>
        <w:tc>
          <w:tcPr>
            <w:tcW w:w="425" w:type="dxa"/>
            <w:tcBorders>
              <w:bottom w:val="single" w:sz="2" w:space="0" w:color="auto"/>
            </w:tcBorders>
          </w:tcPr>
          <w:p w14:paraId="28A2E733" w14:textId="77777777" w:rsidR="00773F7B" w:rsidRPr="007E6155" w:rsidRDefault="00773F7B" w:rsidP="00773F7B">
            <w:pPr>
              <w:pStyle w:val="T2"/>
              <w:jc w:val="right"/>
              <w:rPr>
                <w:b/>
              </w:rPr>
            </w:pPr>
          </w:p>
        </w:tc>
        <w:tc>
          <w:tcPr>
            <w:tcW w:w="486" w:type="dxa"/>
            <w:tcBorders>
              <w:bottom w:val="single" w:sz="2" w:space="0" w:color="auto"/>
            </w:tcBorders>
          </w:tcPr>
          <w:p w14:paraId="0C8C4DCC" w14:textId="77777777" w:rsidR="00773F7B" w:rsidRPr="007E6155" w:rsidRDefault="00773F7B" w:rsidP="00773F7B">
            <w:pPr>
              <w:pStyle w:val="T2"/>
              <w:jc w:val="right"/>
              <w:rPr>
                <w:b/>
              </w:rPr>
            </w:pPr>
          </w:p>
        </w:tc>
        <w:tc>
          <w:tcPr>
            <w:tcW w:w="963" w:type="dxa"/>
            <w:tcBorders>
              <w:bottom w:val="single" w:sz="2" w:space="0" w:color="auto"/>
            </w:tcBorders>
            <w:vAlign w:val="bottom"/>
          </w:tcPr>
          <w:p w14:paraId="7D913C69" w14:textId="77777777" w:rsidR="00773F7B" w:rsidRPr="007E6155" w:rsidRDefault="00773F7B" w:rsidP="00773F7B">
            <w:pPr>
              <w:pStyle w:val="T2"/>
              <w:jc w:val="right"/>
              <w:rPr>
                <w:b/>
              </w:rPr>
            </w:pPr>
          </w:p>
        </w:tc>
        <w:tc>
          <w:tcPr>
            <w:tcW w:w="537" w:type="dxa"/>
            <w:tcBorders>
              <w:bottom w:val="single" w:sz="2" w:space="0" w:color="auto"/>
            </w:tcBorders>
            <w:vAlign w:val="bottom"/>
          </w:tcPr>
          <w:p w14:paraId="47C775EA" w14:textId="77777777" w:rsidR="00773F7B" w:rsidRPr="00775F03" w:rsidRDefault="00773F7B" w:rsidP="00773F7B">
            <w:pPr>
              <w:pStyle w:val="T2"/>
              <w:jc w:val="right"/>
            </w:pPr>
          </w:p>
        </w:tc>
        <w:tc>
          <w:tcPr>
            <w:tcW w:w="1276" w:type="dxa"/>
            <w:tcBorders>
              <w:bottom w:val="single" w:sz="2" w:space="0" w:color="auto"/>
            </w:tcBorders>
          </w:tcPr>
          <w:p w14:paraId="4A036FE5" w14:textId="77777777" w:rsidR="00773F7B" w:rsidRPr="000948AD" w:rsidRDefault="00773F7B" w:rsidP="00773F7B">
            <w:pPr>
              <w:pStyle w:val="T2"/>
              <w:jc w:val="right"/>
              <w:rPr>
                <w:b/>
              </w:rPr>
            </w:pPr>
            <w:r w:rsidRPr="000948AD">
              <w:rPr>
                <w:b/>
              </w:rPr>
              <w:t>£m</w:t>
            </w:r>
          </w:p>
        </w:tc>
        <w:tc>
          <w:tcPr>
            <w:tcW w:w="1134" w:type="dxa"/>
            <w:tcBorders>
              <w:bottom w:val="single" w:sz="2" w:space="0" w:color="auto"/>
            </w:tcBorders>
          </w:tcPr>
          <w:p w14:paraId="00E86E86" w14:textId="77777777" w:rsidR="00773F7B" w:rsidRPr="00775F03" w:rsidRDefault="00773F7B" w:rsidP="00773F7B">
            <w:pPr>
              <w:pStyle w:val="T2"/>
              <w:jc w:val="right"/>
            </w:pPr>
            <w:r w:rsidRPr="00775F03">
              <w:t>£m</w:t>
            </w:r>
          </w:p>
        </w:tc>
      </w:tr>
      <w:tr w:rsidR="00BC479E" w14:paraId="6E94BFD4" w14:textId="77777777" w:rsidTr="008323E9">
        <w:trPr>
          <w:trHeight w:val="198"/>
        </w:trPr>
        <w:tc>
          <w:tcPr>
            <w:tcW w:w="4962" w:type="dxa"/>
            <w:tcBorders>
              <w:top w:val="single" w:sz="2" w:space="0" w:color="auto"/>
              <w:bottom w:val="single" w:sz="2" w:space="0" w:color="auto"/>
            </w:tcBorders>
            <w:vAlign w:val="bottom"/>
          </w:tcPr>
          <w:p w14:paraId="3673C9CA" w14:textId="52201CBA" w:rsidR="00BC479E" w:rsidRPr="003A6352" w:rsidRDefault="00BC479E" w:rsidP="00BC479E">
            <w:pPr>
              <w:pStyle w:val="T2"/>
              <w:jc w:val="left"/>
              <w:rPr>
                <w:b/>
              </w:rPr>
            </w:pPr>
            <w:r w:rsidRPr="003A6352">
              <w:rPr>
                <w:b/>
              </w:rPr>
              <w:t xml:space="preserve">Profit for the financial </w:t>
            </w:r>
            <w:r w:rsidR="004C5695">
              <w:rPr>
                <w:b/>
              </w:rPr>
              <w:t>period</w:t>
            </w:r>
          </w:p>
        </w:tc>
        <w:tc>
          <w:tcPr>
            <w:tcW w:w="425" w:type="dxa"/>
            <w:tcBorders>
              <w:top w:val="single" w:sz="2" w:space="0" w:color="auto"/>
              <w:bottom w:val="single" w:sz="2" w:space="0" w:color="auto"/>
            </w:tcBorders>
          </w:tcPr>
          <w:p w14:paraId="13112353" w14:textId="77777777" w:rsidR="00BC479E" w:rsidRPr="00FC568F" w:rsidRDefault="00BC479E" w:rsidP="00BC479E">
            <w:pPr>
              <w:pStyle w:val="T2"/>
              <w:jc w:val="right"/>
              <w:rPr>
                <w:b/>
                <w:bCs/>
              </w:rPr>
            </w:pPr>
          </w:p>
        </w:tc>
        <w:tc>
          <w:tcPr>
            <w:tcW w:w="486" w:type="dxa"/>
            <w:tcBorders>
              <w:top w:val="single" w:sz="2" w:space="0" w:color="auto"/>
              <w:bottom w:val="single" w:sz="2" w:space="0" w:color="auto"/>
            </w:tcBorders>
          </w:tcPr>
          <w:p w14:paraId="1384F1EF" w14:textId="77777777" w:rsidR="00BC479E" w:rsidRPr="00FC568F" w:rsidRDefault="00BC479E" w:rsidP="00BC479E">
            <w:pPr>
              <w:pStyle w:val="T2"/>
              <w:jc w:val="right"/>
              <w:rPr>
                <w:b/>
                <w:bCs/>
              </w:rPr>
            </w:pPr>
          </w:p>
        </w:tc>
        <w:tc>
          <w:tcPr>
            <w:tcW w:w="963" w:type="dxa"/>
            <w:tcBorders>
              <w:top w:val="single" w:sz="2" w:space="0" w:color="auto"/>
              <w:bottom w:val="single" w:sz="2" w:space="0" w:color="auto"/>
            </w:tcBorders>
          </w:tcPr>
          <w:p w14:paraId="6E421BF0" w14:textId="77777777" w:rsidR="00BC479E" w:rsidRPr="00FC568F" w:rsidRDefault="00BC479E" w:rsidP="00BC479E">
            <w:pPr>
              <w:pStyle w:val="T2"/>
              <w:jc w:val="right"/>
              <w:rPr>
                <w:b/>
                <w:bCs/>
              </w:rPr>
            </w:pPr>
          </w:p>
        </w:tc>
        <w:tc>
          <w:tcPr>
            <w:tcW w:w="537" w:type="dxa"/>
            <w:tcBorders>
              <w:top w:val="single" w:sz="2" w:space="0" w:color="auto"/>
              <w:bottom w:val="single" w:sz="2" w:space="0" w:color="auto"/>
            </w:tcBorders>
            <w:vAlign w:val="bottom"/>
          </w:tcPr>
          <w:p w14:paraId="7936B647" w14:textId="77777777" w:rsidR="00BC479E" w:rsidRPr="00775F03" w:rsidRDefault="00BC479E" w:rsidP="00BC479E">
            <w:pPr>
              <w:pStyle w:val="T2"/>
              <w:jc w:val="right"/>
            </w:pPr>
          </w:p>
        </w:tc>
        <w:tc>
          <w:tcPr>
            <w:tcW w:w="1276" w:type="dxa"/>
            <w:tcBorders>
              <w:top w:val="single" w:sz="2" w:space="0" w:color="auto"/>
              <w:bottom w:val="single" w:sz="2" w:space="0" w:color="auto"/>
            </w:tcBorders>
          </w:tcPr>
          <w:p w14:paraId="42FBB7CE" w14:textId="4EA43A25" w:rsidR="00BC479E" w:rsidRPr="0096767F" w:rsidRDefault="00AA57C6" w:rsidP="00BC479E">
            <w:pPr>
              <w:pStyle w:val="T2"/>
              <w:jc w:val="right"/>
              <w:rPr>
                <w:bCs/>
              </w:rPr>
            </w:pPr>
            <w:r>
              <w:rPr>
                <w:b/>
                <w:bCs/>
              </w:rPr>
              <w:t>0.8</w:t>
            </w:r>
          </w:p>
        </w:tc>
        <w:tc>
          <w:tcPr>
            <w:tcW w:w="1134" w:type="dxa"/>
            <w:tcBorders>
              <w:top w:val="single" w:sz="2" w:space="0" w:color="auto"/>
              <w:bottom w:val="single" w:sz="2" w:space="0" w:color="auto"/>
            </w:tcBorders>
          </w:tcPr>
          <w:p w14:paraId="4DC736F9" w14:textId="1F8A00DB" w:rsidR="00BC479E" w:rsidRPr="00BC479E" w:rsidRDefault="00BC479E" w:rsidP="00BC479E">
            <w:pPr>
              <w:pStyle w:val="T2"/>
              <w:jc w:val="right"/>
            </w:pPr>
            <w:r w:rsidRPr="00BC479E">
              <w:t>0.4</w:t>
            </w:r>
          </w:p>
        </w:tc>
      </w:tr>
      <w:tr w:rsidR="00BC479E" w14:paraId="166E3D2B" w14:textId="77777777" w:rsidTr="008323E9">
        <w:trPr>
          <w:trHeight w:val="175"/>
        </w:trPr>
        <w:tc>
          <w:tcPr>
            <w:tcW w:w="4962" w:type="dxa"/>
            <w:tcBorders>
              <w:top w:val="single" w:sz="2" w:space="0" w:color="auto"/>
            </w:tcBorders>
            <w:vAlign w:val="bottom"/>
          </w:tcPr>
          <w:p w14:paraId="5B900BE5" w14:textId="77777777" w:rsidR="00BC479E" w:rsidRPr="00775F03" w:rsidRDefault="00BC479E" w:rsidP="00BC479E">
            <w:pPr>
              <w:pStyle w:val="T2"/>
              <w:jc w:val="left"/>
            </w:pPr>
            <w:r w:rsidRPr="00775F03">
              <w:lastRenderedPageBreak/>
              <w:t>Taxation</w:t>
            </w:r>
            <w:r w:rsidRPr="00775F03">
              <w:rPr>
                <w:vertAlign w:val="superscript"/>
              </w:rPr>
              <w:t>(A)</w:t>
            </w:r>
          </w:p>
        </w:tc>
        <w:tc>
          <w:tcPr>
            <w:tcW w:w="425" w:type="dxa"/>
            <w:tcBorders>
              <w:top w:val="single" w:sz="2" w:space="0" w:color="auto"/>
            </w:tcBorders>
          </w:tcPr>
          <w:p w14:paraId="40252EFA" w14:textId="77777777" w:rsidR="00BC479E" w:rsidRPr="00FC568F" w:rsidRDefault="00BC479E" w:rsidP="00BC479E">
            <w:pPr>
              <w:pStyle w:val="T2"/>
              <w:jc w:val="right"/>
              <w:rPr>
                <w:b/>
                <w:bCs/>
              </w:rPr>
            </w:pPr>
          </w:p>
        </w:tc>
        <w:tc>
          <w:tcPr>
            <w:tcW w:w="486" w:type="dxa"/>
            <w:tcBorders>
              <w:top w:val="single" w:sz="2" w:space="0" w:color="auto"/>
            </w:tcBorders>
          </w:tcPr>
          <w:p w14:paraId="6D87FE0A" w14:textId="77777777" w:rsidR="00BC479E" w:rsidRPr="005D0EFF" w:rsidRDefault="00BC479E" w:rsidP="00BC479E">
            <w:pPr>
              <w:pStyle w:val="T2"/>
              <w:jc w:val="right"/>
              <w:rPr>
                <w:bCs/>
              </w:rPr>
            </w:pPr>
          </w:p>
        </w:tc>
        <w:tc>
          <w:tcPr>
            <w:tcW w:w="963" w:type="dxa"/>
            <w:tcBorders>
              <w:top w:val="single" w:sz="2" w:space="0" w:color="auto"/>
            </w:tcBorders>
          </w:tcPr>
          <w:p w14:paraId="1529C1F1" w14:textId="77777777" w:rsidR="00BC479E" w:rsidRPr="005D0EFF" w:rsidRDefault="00BC479E" w:rsidP="00BC479E">
            <w:pPr>
              <w:pStyle w:val="T2"/>
              <w:jc w:val="right"/>
              <w:rPr>
                <w:bCs/>
              </w:rPr>
            </w:pPr>
          </w:p>
        </w:tc>
        <w:tc>
          <w:tcPr>
            <w:tcW w:w="537" w:type="dxa"/>
            <w:tcBorders>
              <w:top w:val="single" w:sz="2" w:space="0" w:color="auto"/>
            </w:tcBorders>
            <w:vAlign w:val="bottom"/>
          </w:tcPr>
          <w:p w14:paraId="7E01FB36" w14:textId="77777777" w:rsidR="00BC479E" w:rsidRPr="00775F03" w:rsidRDefault="00BC479E" w:rsidP="00BC479E">
            <w:pPr>
              <w:pStyle w:val="T2"/>
              <w:jc w:val="right"/>
            </w:pPr>
          </w:p>
        </w:tc>
        <w:tc>
          <w:tcPr>
            <w:tcW w:w="1276" w:type="dxa"/>
            <w:tcBorders>
              <w:top w:val="single" w:sz="2" w:space="0" w:color="auto"/>
            </w:tcBorders>
          </w:tcPr>
          <w:p w14:paraId="2D0F3D74" w14:textId="43C77964" w:rsidR="00BC479E" w:rsidRPr="0096767F" w:rsidRDefault="00AA57C6" w:rsidP="00BC479E">
            <w:pPr>
              <w:pStyle w:val="T2"/>
              <w:jc w:val="right"/>
              <w:rPr>
                <w:bCs/>
              </w:rPr>
            </w:pPr>
            <w:r>
              <w:rPr>
                <w:b/>
                <w:bCs/>
              </w:rPr>
              <w:t>0.2</w:t>
            </w:r>
          </w:p>
        </w:tc>
        <w:tc>
          <w:tcPr>
            <w:tcW w:w="1134" w:type="dxa"/>
            <w:tcBorders>
              <w:top w:val="single" w:sz="2" w:space="0" w:color="auto"/>
            </w:tcBorders>
          </w:tcPr>
          <w:p w14:paraId="3CB56847" w14:textId="6278B2E3" w:rsidR="00BC479E" w:rsidRPr="00BC479E" w:rsidRDefault="00BC479E" w:rsidP="00BC479E">
            <w:pPr>
              <w:pStyle w:val="T2"/>
              <w:jc w:val="right"/>
            </w:pPr>
            <w:r w:rsidRPr="00BC479E">
              <w:t>(2.2)</w:t>
            </w:r>
          </w:p>
        </w:tc>
      </w:tr>
      <w:tr w:rsidR="00BC479E" w14:paraId="2D0E708F" w14:textId="77777777" w:rsidTr="008323E9">
        <w:trPr>
          <w:trHeight w:val="208"/>
        </w:trPr>
        <w:tc>
          <w:tcPr>
            <w:tcW w:w="4962" w:type="dxa"/>
            <w:vAlign w:val="bottom"/>
          </w:tcPr>
          <w:p w14:paraId="1E2D5824" w14:textId="77777777" w:rsidR="00BC479E" w:rsidRPr="00775F03" w:rsidRDefault="00BC479E" w:rsidP="00BC479E">
            <w:pPr>
              <w:pStyle w:val="T2"/>
              <w:jc w:val="left"/>
            </w:pPr>
            <w:r w:rsidRPr="00775F03">
              <w:t>Net finance costs</w:t>
            </w:r>
            <w:r w:rsidRPr="00775F03">
              <w:rPr>
                <w:vertAlign w:val="superscript"/>
              </w:rPr>
              <w:t>(B)</w:t>
            </w:r>
          </w:p>
        </w:tc>
        <w:tc>
          <w:tcPr>
            <w:tcW w:w="425" w:type="dxa"/>
          </w:tcPr>
          <w:p w14:paraId="4C9B156C" w14:textId="77777777" w:rsidR="00BC479E" w:rsidRPr="00FC568F" w:rsidRDefault="00BC479E" w:rsidP="00BC479E">
            <w:pPr>
              <w:pStyle w:val="T2"/>
              <w:jc w:val="right"/>
              <w:rPr>
                <w:b/>
                <w:bCs/>
              </w:rPr>
            </w:pPr>
          </w:p>
        </w:tc>
        <w:tc>
          <w:tcPr>
            <w:tcW w:w="486" w:type="dxa"/>
          </w:tcPr>
          <w:p w14:paraId="7491C0D9" w14:textId="77777777" w:rsidR="00BC479E" w:rsidRPr="005D0EFF" w:rsidRDefault="00BC479E" w:rsidP="00BC479E">
            <w:pPr>
              <w:pStyle w:val="T2"/>
              <w:jc w:val="right"/>
              <w:rPr>
                <w:bCs/>
              </w:rPr>
            </w:pPr>
          </w:p>
        </w:tc>
        <w:tc>
          <w:tcPr>
            <w:tcW w:w="963" w:type="dxa"/>
          </w:tcPr>
          <w:p w14:paraId="16A04543" w14:textId="77777777" w:rsidR="00BC479E" w:rsidRPr="005D0EFF" w:rsidRDefault="00BC479E" w:rsidP="00BC479E">
            <w:pPr>
              <w:pStyle w:val="T2"/>
              <w:jc w:val="right"/>
              <w:rPr>
                <w:bCs/>
              </w:rPr>
            </w:pPr>
          </w:p>
        </w:tc>
        <w:tc>
          <w:tcPr>
            <w:tcW w:w="537" w:type="dxa"/>
            <w:vAlign w:val="bottom"/>
          </w:tcPr>
          <w:p w14:paraId="1D8DDBB5" w14:textId="77777777" w:rsidR="00BC479E" w:rsidRPr="00775F03" w:rsidRDefault="00BC479E" w:rsidP="00BC479E">
            <w:pPr>
              <w:pStyle w:val="T2"/>
              <w:jc w:val="right"/>
            </w:pPr>
          </w:p>
        </w:tc>
        <w:tc>
          <w:tcPr>
            <w:tcW w:w="1276" w:type="dxa"/>
          </w:tcPr>
          <w:p w14:paraId="6632635A" w14:textId="1640578E" w:rsidR="00BC479E" w:rsidRPr="0096767F" w:rsidRDefault="00AA57C6" w:rsidP="00BC479E">
            <w:pPr>
              <w:pStyle w:val="T2"/>
              <w:jc w:val="right"/>
              <w:rPr>
                <w:bCs/>
              </w:rPr>
            </w:pPr>
            <w:r>
              <w:rPr>
                <w:b/>
                <w:bCs/>
              </w:rPr>
              <w:t>6.2</w:t>
            </w:r>
          </w:p>
        </w:tc>
        <w:tc>
          <w:tcPr>
            <w:tcW w:w="1134" w:type="dxa"/>
          </w:tcPr>
          <w:p w14:paraId="361A612B" w14:textId="2CF2CAF9" w:rsidR="00BC479E" w:rsidRPr="00BC479E" w:rsidRDefault="00BC479E" w:rsidP="00BC479E">
            <w:pPr>
              <w:pStyle w:val="T2"/>
              <w:jc w:val="right"/>
            </w:pPr>
            <w:r w:rsidRPr="00BC479E">
              <w:t>9.7</w:t>
            </w:r>
          </w:p>
        </w:tc>
      </w:tr>
      <w:tr w:rsidR="00BC479E" w14:paraId="5483470D" w14:textId="77777777" w:rsidTr="008323E9">
        <w:trPr>
          <w:trHeight w:val="208"/>
        </w:trPr>
        <w:tc>
          <w:tcPr>
            <w:tcW w:w="4962" w:type="dxa"/>
            <w:tcBorders>
              <w:bottom w:val="single" w:sz="4" w:space="0" w:color="auto"/>
            </w:tcBorders>
            <w:vAlign w:val="bottom"/>
          </w:tcPr>
          <w:p w14:paraId="1BEE1A83" w14:textId="77777777" w:rsidR="00BC479E" w:rsidRPr="00775F03" w:rsidRDefault="00BC479E" w:rsidP="00BC479E">
            <w:pPr>
              <w:pStyle w:val="T2"/>
              <w:jc w:val="left"/>
            </w:pPr>
            <w:r>
              <w:t>Profit on disposal of associates (exceptional)</w:t>
            </w:r>
          </w:p>
        </w:tc>
        <w:tc>
          <w:tcPr>
            <w:tcW w:w="425" w:type="dxa"/>
            <w:tcBorders>
              <w:bottom w:val="single" w:sz="4" w:space="0" w:color="auto"/>
            </w:tcBorders>
          </w:tcPr>
          <w:p w14:paraId="187BC62B" w14:textId="77777777" w:rsidR="00BC479E" w:rsidRPr="00FC568F" w:rsidRDefault="00BC479E" w:rsidP="00BC479E">
            <w:pPr>
              <w:pStyle w:val="T2"/>
              <w:jc w:val="right"/>
              <w:rPr>
                <w:b/>
                <w:bCs/>
              </w:rPr>
            </w:pPr>
          </w:p>
        </w:tc>
        <w:tc>
          <w:tcPr>
            <w:tcW w:w="486" w:type="dxa"/>
            <w:tcBorders>
              <w:bottom w:val="single" w:sz="4" w:space="0" w:color="auto"/>
            </w:tcBorders>
          </w:tcPr>
          <w:p w14:paraId="5F6E2A66" w14:textId="77777777" w:rsidR="00BC479E" w:rsidRPr="005D0EFF" w:rsidRDefault="00BC479E" w:rsidP="00BC479E">
            <w:pPr>
              <w:pStyle w:val="T2"/>
              <w:jc w:val="right"/>
              <w:rPr>
                <w:bCs/>
              </w:rPr>
            </w:pPr>
          </w:p>
        </w:tc>
        <w:tc>
          <w:tcPr>
            <w:tcW w:w="963" w:type="dxa"/>
            <w:tcBorders>
              <w:bottom w:val="single" w:sz="4" w:space="0" w:color="auto"/>
            </w:tcBorders>
          </w:tcPr>
          <w:p w14:paraId="205D6F89" w14:textId="77777777" w:rsidR="00BC479E" w:rsidRPr="005D0EFF" w:rsidRDefault="00BC479E" w:rsidP="00BC479E">
            <w:pPr>
              <w:pStyle w:val="T2"/>
              <w:jc w:val="right"/>
              <w:rPr>
                <w:bCs/>
              </w:rPr>
            </w:pPr>
          </w:p>
        </w:tc>
        <w:tc>
          <w:tcPr>
            <w:tcW w:w="537" w:type="dxa"/>
            <w:tcBorders>
              <w:bottom w:val="single" w:sz="4" w:space="0" w:color="auto"/>
            </w:tcBorders>
            <w:vAlign w:val="bottom"/>
          </w:tcPr>
          <w:p w14:paraId="3B8CA480" w14:textId="77777777" w:rsidR="00BC479E" w:rsidRPr="00775F03" w:rsidRDefault="00BC479E" w:rsidP="00BC479E">
            <w:pPr>
              <w:pStyle w:val="T2"/>
              <w:jc w:val="right"/>
            </w:pPr>
          </w:p>
        </w:tc>
        <w:tc>
          <w:tcPr>
            <w:tcW w:w="1276" w:type="dxa"/>
            <w:tcBorders>
              <w:bottom w:val="single" w:sz="4" w:space="0" w:color="auto"/>
            </w:tcBorders>
          </w:tcPr>
          <w:p w14:paraId="1D8F9227" w14:textId="49E5272A" w:rsidR="00BC479E" w:rsidRDefault="00BC479E" w:rsidP="00BC479E">
            <w:pPr>
              <w:pStyle w:val="T2"/>
              <w:jc w:val="right"/>
              <w:rPr>
                <w:b/>
                <w:bCs/>
              </w:rPr>
            </w:pPr>
            <w:r w:rsidRPr="009D6CC4">
              <w:rPr>
                <w:b/>
                <w:bCs/>
              </w:rPr>
              <w:t>–</w:t>
            </w:r>
          </w:p>
        </w:tc>
        <w:tc>
          <w:tcPr>
            <w:tcW w:w="1134" w:type="dxa"/>
            <w:tcBorders>
              <w:bottom w:val="single" w:sz="4" w:space="0" w:color="auto"/>
            </w:tcBorders>
          </w:tcPr>
          <w:p w14:paraId="27E698DE" w14:textId="624D26C2" w:rsidR="00BC479E" w:rsidRPr="00BC479E" w:rsidRDefault="00BC479E" w:rsidP="00BC479E">
            <w:pPr>
              <w:pStyle w:val="T2"/>
              <w:jc w:val="right"/>
            </w:pPr>
            <w:r w:rsidRPr="00BC479E">
              <w:t>(4.0)</w:t>
            </w:r>
          </w:p>
        </w:tc>
      </w:tr>
      <w:tr w:rsidR="00BC479E" w14:paraId="7F51B6AE" w14:textId="77777777" w:rsidTr="008323E9">
        <w:trPr>
          <w:trHeight w:val="208"/>
        </w:trPr>
        <w:tc>
          <w:tcPr>
            <w:tcW w:w="4962" w:type="dxa"/>
            <w:tcBorders>
              <w:top w:val="single" w:sz="4" w:space="0" w:color="auto"/>
            </w:tcBorders>
            <w:vAlign w:val="bottom"/>
          </w:tcPr>
          <w:p w14:paraId="4B49A5B9" w14:textId="60C575B5" w:rsidR="00BC479E" w:rsidRPr="001F1616" w:rsidRDefault="00BC479E" w:rsidP="00BC479E">
            <w:pPr>
              <w:pStyle w:val="T2"/>
              <w:jc w:val="left"/>
              <w:rPr>
                <w:b/>
              </w:rPr>
            </w:pPr>
            <w:r w:rsidRPr="001F1616">
              <w:rPr>
                <w:b/>
              </w:rPr>
              <w:t xml:space="preserve">Group </w:t>
            </w:r>
            <w:r w:rsidR="00B8267F">
              <w:rPr>
                <w:b/>
              </w:rPr>
              <w:t>O</w:t>
            </w:r>
            <w:r w:rsidRPr="001F1616">
              <w:rPr>
                <w:b/>
              </w:rPr>
              <w:t xml:space="preserve">perating </w:t>
            </w:r>
            <w:r w:rsidR="00B8267F">
              <w:rPr>
                <w:b/>
              </w:rPr>
              <w:t>P</w:t>
            </w:r>
            <w:r w:rsidRPr="001F1616">
              <w:rPr>
                <w:b/>
              </w:rPr>
              <w:t>rofit</w:t>
            </w:r>
          </w:p>
        </w:tc>
        <w:tc>
          <w:tcPr>
            <w:tcW w:w="425" w:type="dxa"/>
            <w:tcBorders>
              <w:top w:val="single" w:sz="4" w:space="0" w:color="auto"/>
            </w:tcBorders>
          </w:tcPr>
          <w:p w14:paraId="6367888A" w14:textId="77777777" w:rsidR="00BC479E" w:rsidRPr="00FC568F" w:rsidRDefault="00BC479E" w:rsidP="00BC479E">
            <w:pPr>
              <w:pStyle w:val="T2"/>
              <w:jc w:val="right"/>
              <w:rPr>
                <w:b/>
                <w:bCs/>
              </w:rPr>
            </w:pPr>
          </w:p>
        </w:tc>
        <w:tc>
          <w:tcPr>
            <w:tcW w:w="486" w:type="dxa"/>
            <w:tcBorders>
              <w:top w:val="single" w:sz="4" w:space="0" w:color="auto"/>
            </w:tcBorders>
          </w:tcPr>
          <w:p w14:paraId="15EE0A46" w14:textId="77777777" w:rsidR="00BC479E" w:rsidRPr="005D0EFF" w:rsidRDefault="00BC479E" w:rsidP="00BC479E">
            <w:pPr>
              <w:pStyle w:val="T2"/>
              <w:jc w:val="right"/>
              <w:rPr>
                <w:bCs/>
              </w:rPr>
            </w:pPr>
          </w:p>
        </w:tc>
        <w:tc>
          <w:tcPr>
            <w:tcW w:w="963" w:type="dxa"/>
            <w:tcBorders>
              <w:top w:val="single" w:sz="4" w:space="0" w:color="auto"/>
            </w:tcBorders>
          </w:tcPr>
          <w:p w14:paraId="680CE7BC" w14:textId="77777777" w:rsidR="00BC479E" w:rsidRPr="005D0EFF" w:rsidRDefault="00BC479E" w:rsidP="00BC479E">
            <w:pPr>
              <w:pStyle w:val="T2"/>
              <w:jc w:val="right"/>
              <w:rPr>
                <w:bCs/>
              </w:rPr>
            </w:pPr>
          </w:p>
        </w:tc>
        <w:tc>
          <w:tcPr>
            <w:tcW w:w="537" w:type="dxa"/>
            <w:tcBorders>
              <w:top w:val="single" w:sz="4" w:space="0" w:color="auto"/>
            </w:tcBorders>
            <w:vAlign w:val="bottom"/>
          </w:tcPr>
          <w:p w14:paraId="5222FC00" w14:textId="77777777" w:rsidR="00BC479E" w:rsidRPr="00775F03" w:rsidRDefault="00BC479E" w:rsidP="00BC479E">
            <w:pPr>
              <w:pStyle w:val="T2"/>
              <w:jc w:val="right"/>
            </w:pPr>
          </w:p>
        </w:tc>
        <w:tc>
          <w:tcPr>
            <w:tcW w:w="1276" w:type="dxa"/>
            <w:tcBorders>
              <w:top w:val="single" w:sz="4" w:space="0" w:color="auto"/>
            </w:tcBorders>
          </w:tcPr>
          <w:p w14:paraId="232A6AA3" w14:textId="3FD0DDBF" w:rsidR="00BC479E" w:rsidRDefault="00AA57C6" w:rsidP="00BC479E">
            <w:pPr>
              <w:pStyle w:val="T2"/>
              <w:jc w:val="right"/>
              <w:rPr>
                <w:b/>
                <w:bCs/>
              </w:rPr>
            </w:pPr>
            <w:r>
              <w:rPr>
                <w:b/>
                <w:bCs/>
              </w:rPr>
              <w:t>7.2</w:t>
            </w:r>
          </w:p>
        </w:tc>
        <w:tc>
          <w:tcPr>
            <w:tcW w:w="1134" w:type="dxa"/>
            <w:tcBorders>
              <w:top w:val="single" w:sz="4" w:space="0" w:color="auto"/>
            </w:tcBorders>
          </w:tcPr>
          <w:p w14:paraId="2D49B280" w14:textId="35324B17" w:rsidR="00BC479E" w:rsidRPr="00BC479E" w:rsidRDefault="00BC479E" w:rsidP="00BC479E">
            <w:pPr>
              <w:pStyle w:val="T2"/>
              <w:jc w:val="right"/>
            </w:pPr>
            <w:r w:rsidRPr="00BC479E">
              <w:t>3.9</w:t>
            </w:r>
          </w:p>
        </w:tc>
      </w:tr>
      <w:tr w:rsidR="00BC479E" w14:paraId="4C2F48BA" w14:textId="77777777" w:rsidTr="008323E9">
        <w:trPr>
          <w:trHeight w:val="208"/>
        </w:trPr>
        <w:tc>
          <w:tcPr>
            <w:tcW w:w="4962" w:type="dxa"/>
            <w:vAlign w:val="bottom"/>
          </w:tcPr>
          <w:p w14:paraId="7CDA3DC6" w14:textId="77777777" w:rsidR="00BC479E" w:rsidRPr="00775F03" w:rsidRDefault="00BC479E" w:rsidP="00BC479E">
            <w:pPr>
              <w:pStyle w:val="T2"/>
              <w:jc w:val="left"/>
            </w:pPr>
            <w:r w:rsidRPr="00775F03">
              <w:t>Exceptional items</w:t>
            </w:r>
          </w:p>
        </w:tc>
        <w:tc>
          <w:tcPr>
            <w:tcW w:w="425" w:type="dxa"/>
          </w:tcPr>
          <w:p w14:paraId="5B80CBD7" w14:textId="77777777" w:rsidR="00BC479E" w:rsidRPr="00FC568F" w:rsidRDefault="00BC479E" w:rsidP="00BC479E">
            <w:pPr>
              <w:pStyle w:val="T2"/>
              <w:jc w:val="right"/>
              <w:rPr>
                <w:b/>
                <w:bCs/>
              </w:rPr>
            </w:pPr>
          </w:p>
        </w:tc>
        <w:tc>
          <w:tcPr>
            <w:tcW w:w="486" w:type="dxa"/>
          </w:tcPr>
          <w:p w14:paraId="7718DB22" w14:textId="77777777" w:rsidR="00BC479E" w:rsidRPr="005D0EFF" w:rsidRDefault="00BC479E" w:rsidP="00BC479E">
            <w:pPr>
              <w:pStyle w:val="T2"/>
              <w:jc w:val="right"/>
              <w:rPr>
                <w:bCs/>
              </w:rPr>
            </w:pPr>
          </w:p>
        </w:tc>
        <w:tc>
          <w:tcPr>
            <w:tcW w:w="963" w:type="dxa"/>
          </w:tcPr>
          <w:p w14:paraId="0F9B9400" w14:textId="77777777" w:rsidR="00BC479E" w:rsidRPr="005D0EFF" w:rsidRDefault="00BC479E" w:rsidP="00BC479E">
            <w:pPr>
              <w:pStyle w:val="T2"/>
              <w:jc w:val="right"/>
              <w:rPr>
                <w:bCs/>
              </w:rPr>
            </w:pPr>
          </w:p>
        </w:tc>
        <w:tc>
          <w:tcPr>
            <w:tcW w:w="537" w:type="dxa"/>
            <w:vAlign w:val="bottom"/>
          </w:tcPr>
          <w:p w14:paraId="5E898629" w14:textId="77777777" w:rsidR="00BC479E" w:rsidRPr="00775F03" w:rsidRDefault="00BC479E" w:rsidP="00BC479E">
            <w:pPr>
              <w:pStyle w:val="T2"/>
              <w:jc w:val="right"/>
            </w:pPr>
          </w:p>
        </w:tc>
        <w:tc>
          <w:tcPr>
            <w:tcW w:w="1276" w:type="dxa"/>
          </w:tcPr>
          <w:p w14:paraId="5CECBBA5" w14:textId="3708383C" w:rsidR="00BC479E" w:rsidRPr="0096767F" w:rsidRDefault="009A42E5" w:rsidP="00BC479E">
            <w:pPr>
              <w:pStyle w:val="T2"/>
              <w:jc w:val="right"/>
              <w:rPr>
                <w:bCs/>
              </w:rPr>
            </w:pPr>
            <w:r>
              <w:rPr>
                <w:b/>
                <w:bCs/>
              </w:rPr>
              <w:t>8.0</w:t>
            </w:r>
          </w:p>
        </w:tc>
        <w:tc>
          <w:tcPr>
            <w:tcW w:w="1134" w:type="dxa"/>
          </w:tcPr>
          <w:p w14:paraId="00E7803D" w14:textId="36F88544" w:rsidR="00BC479E" w:rsidRPr="00BC479E" w:rsidRDefault="00BC479E" w:rsidP="00BC479E">
            <w:pPr>
              <w:pStyle w:val="T2"/>
              <w:jc w:val="right"/>
            </w:pPr>
            <w:r w:rsidRPr="00BC479E">
              <w:t>(5.7)</w:t>
            </w:r>
          </w:p>
        </w:tc>
      </w:tr>
      <w:tr w:rsidR="00BC479E" w14:paraId="2ADF4E8A" w14:textId="77777777" w:rsidTr="008323E9">
        <w:trPr>
          <w:trHeight w:val="208"/>
        </w:trPr>
        <w:tc>
          <w:tcPr>
            <w:tcW w:w="4962" w:type="dxa"/>
            <w:tcBorders>
              <w:bottom w:val="single" w:sz="2" w:space="0" w:color="auto"/>
            </w:tcBorders>
            <w:vAlign w:val="bottom"/>
          </w:tcPr>
          <w:p w14:paraId="4D05D3A0" w14:textId="77777777" w:rsidR="00BC479E" w:rsidRPr="00775F03" w:rsidRDefault="00BC479E" w:rsidP="00BC479E">
            <w:pPr>
              <w:pStyle w:val="T2"/>
              <w:jc w:val="left"/>
            </w:pPr>
            <w:r w:rsidRPr="00775F03">
              <w:t>Amortisation of acquisition related intangibles</w:t>
            </w:r>
          </w:p>
        </w:tc>
        <w:tc>
          <w:tcPr>
            <w:tcW w:w="425" w:type="dxa"/>
            <w:tcBorders>
              <w:bottom w:val="single" w:sz="2" w:space="0" w:color="auto"/>
            </w:tcBorders>
          </w:tcPr>
          <w:p w14:paraId="73946E13" w14:textId="77777777" w:rsidR="00BC479E" w:rsidRPr="00FC568F" w:rsidRDefault="00BC479E" w:rsidP="00BC479E">
            <w:pPr>
              <w:pStyle w:val="T2"/>
              <w:jc w:val="right"/>
              <w:rPr>
                <w:b/>
                <w:bCs/>
              </w:rPr>
            </w:pPr>
          </w:p>
        </w:tc>
        <w:tc>
          <w:tcPr>
            <w:tcW w:w="486" w:type="dxa"/>
            <w:tcBorders>
              <w:bottom w:val="single" w:sz="2" w:space="0" w:color="auto"/>
            </w:tcBorders>
          </w:tcPr>
          <w:p w14:paraId="204FBDA6" w14:textId="77777777" w:rsidR="00BC479E" w:rsidRPr="005D0EFF" w:rsidRDefault="00BC479E" w:rsidP="00BC479E">
            <w:pPr>
              <w:pStyle w:val="T2"/>
              <w:jc w:val="right"/>
              <w:rPr>
                <w:bCs/>
              </w:rPr>
            </w:pPr>
          </w:p>
        </w:tc>
        <w:tc>
          <w:tcPr>
            <w:tcW w:w="963" w:type="dxa"/>
            <w:tcBorders>
              <w:bottom w:val="single" w:sz="2" w:space="0" w:color="auto"/>
            </w:tcBorders>
          </w:tcPr>
          <w:p w14:paraId="2E2B4EC4" w14:textId="77777777" w:rsidR="00BC479E" w:rsidRPr="005D0EFF" w:rsidRDefault="00BC479E" w:rsidP="00BC479E">
            <w:pPr>
              <w:pStyle w:val="T2"/>
              <w:jc w:val="right"/>
              <w:rPr>
                <w:bCs/>
              </w:rPr>
            </w:pPr>
          </w:p>
        </w:tc>
        <w:tc>
          <w:tcPr>
            <w:tcW w:w="537" w:type="dxa"/>
            <w:tcBorders>
              <w:bottom w:val="single" w:sz="2" w:space="0" w:color="auto"/>
            </w:tcBorders>
            <w:vAlign w:val="bottom"/>
          </w:tcPr>
          <w:p w14:paraId="4E79774A" w14:textId="77777777" w:rsidR="00BC479E" w:rsidRPr="00775F03" w:rsidRDefault="00BC479E" w:rsidP="00BC479E">
            <w:pPr>
              <w:pStyle w:val="T2"/>
              <w:jc w:val="right"/>
            </w:pPr>
          </w:p>
        </w:tc>
        <w:tc>
          <w:tcPr>
            <w:tcW w:w="1276" w:type="dxa"/>
            <w:tcBorders>
              <w:bottom w:val="single" w:sz="2" w:space="0" w:color="auto"/>
            </w:tcBorders>
          </w:tcPr>
          <w:p w14:paraId="24E233AB" w14:textId="08934AA3" w:rsidR="00BC479E" w:rsidRPr="0096767F" w:rsidRDefault="009A42E5" w:rsidP="00BC479E">
            <w:pPr>
              <w:pStyle w:val="T2"/>
              <w:jc w:val="right"/>
              <w:rPr>
                <w:bCs/>
              </w:rPr>
            </w:pPr>
            <w:r>
              <w:rPr>
                <w:b/>
                <w:bCs/>
              </w:rPr>
              <w:t>2.0</w:t>
            </w:r>
          </w:p>
        </w:tc>
        <w:tc>
          <w:tcPr>
            <w:tcW w:w="1134" w:type="dxa"/>
            <w:tcBorders>
              <w:bottom w:val="single" w:sz="2" w:space="0" w:color="auto"/>
            </w:tcBorders>
          </w:tcPr>
          <w:p w14:paraId="14E4DC2C" w14:textId="3C873295" w:rsidR="00BC479E" w:rsidRPr="00BC479E" w:rsidRDefault="00BC479E" w:rsidP="00BC479E">
            <w:pPr>
              <w:pStyle w:val="T2"/>
              <w:jc w:val="right"/>
            </w:pPr>
            <w:r w:rsidRPr="00BC479E">
              <w:t>2.0</w:t>
            </w:r>
          </w:p>
        </w:tc>
      </w:tr>
      <w:tr w:rsidR="00BC479E" w14:paraId="1D02AF5E" w14:textId="77777777" w:rsidTr="008323E9">
        <w:trPr>
          <w:trHeight w:val="198"/>
        </w:trPr>
        <w:tc>
          <w:tcPr>
            <w:tcW w:w="4962" w:type="dxa"/>
            <w:tcBorders>
              <w:top w:val="single" w:sz="2" w:space="0" w:color="auto"/>
            </w:tcBorders>
            <w:vAlign w:val="bottom"/>
          </w:tcPr>
          <w:p w14:paraId="53D4D3B5" w14:textId="77777777" w:rsidR="00BC479E" w:rsidRPr="002C40EB" w:rsidRDefault="00BC479E" w:rsidP="00BC479E">
            <w:pPr>
              <w:pStyle w:val="T2"/>
              <w:jc w:val="left"/>
              <w:rPr>
                <w:b/>
              </w:rPr>
            </w:pPr>
            <w:r w:rsidRPr="002C40EB">
              <w:rPr>
                <w:b/>
              </w:rPr>
              <w:t>Adjusted Operating Profit</w:t>
            </w:r>
          </w:p>
        </w:tc>
        <w:tc>
          <w:tcPr>
            <w:tcW w:w="425" w:type="dxa"/>
            <w:tcBorders>
              <w:top w:val="single" w:sz="2" w:space="0" w:color="auto"/>
            </w:tcBorders>
          </w:tcPr>
          <w:p w14:paraId="26CA9CD9" w14:textId="77777777" w:rsidR="00BC479E" w:rsidRPr="00FC568F" w:rsidRDefault="00BC479E" w:rsidP="00BC479E">
            <w:pPr>
              <w:pStyle w:val="T2"/>
              <w:jc w:val="right"/>
              <w:rPr>
                <w:b/>
                <w:bCs/>
              </w:rPr>
            </w:pPr>
          </w:p>
        </w:tc>
        <w:tc>
          <w:tcPr>
            <w:tcW w:w="486" w:type="dxa"/>
            <w:tcBorders>
              <w:top w:val="single" w:sz="2" w:space="0" w:color="auto"/>
            </w:tcBorders>
          </w:tcPr>
          <w:p w14:paraId="45EFFF5B" w14:textId="77777777" w:rsidR="00BC479E" w:rsidRPr="005D0EFF" w:rsidRDefault="00BC479E" w:rsidP="00BC479E">
            <w:pPr>
              <w:pStyle w:val="T2"/>
              <w:jc w:val="right"/>
              <w:rPr>
                <w:bCs/>
              </w:rPr>
            </w:pPr>
          </w:p>
        </w:tc>
        <w:tc>
          <w:tcPr>
            <w:tcW w:w="963" w:type="dxa"/>
            <w:tcBorders>
              <w:top w:val="single" w:sz="2" w:space="0" w:color="auto"/>
            </w:tcBorders>
          </w:tcPr>
          <w:p w14:paraId="23242DB0" w14:textId="77777777" w:rsidR="00BC479E" w:rsidRPr="005D0EFF" w:rsidRDefault="00BC479E" w:rsidP="00BC479E">
            <w:pPr>
              <w:pStyle w:val="T2"/>
              <w:jc w:val="right"/>
              <w:rPr>
                <w:bCs/>
              </w:rPr>
            </w:pPr>
          </w:p>
        </w:tc>
        <w:tc>
          <w:tcPr>
            <w:tcW w:w="537" w:type="dxa"/>
            <w:tcBorders>
              <w:top w:val="single" w:sz="2" w:space="0" w:color="auto"/>
            </w:tcBorders>
            <w:vAlign w:val="bottom"/>
          </w:tcPr>
          <w:p w14:paraId="3DF9746E" w14:textId="77777777" w:rsidR="00BC479E" w:rsidRPr="00775F03" w:rsidRDefault="00BC479E" w:rsidP="00BC479E">
            <w:pPr>
              <w:pStyle w:val="T2"/>
              <w:jc w:val="right"/>
            </w:pPr>
          </w:p>
        </w:tc>
        <w:tc>
          <w:tcPr>
            <w:tcW w:w="1276" w:type="dxa"/>
            <w:tcBorders>
              <w:top w:val="single" w:sz="2" w:space="0" w:color="auto"/>
            </w:tcBorders>
          </w:tcPr>
          <w:p w14:paraId="25F48258" w14:textId="5EF318ED" w:rsidR="00BC479E" w:rsidRPr="0096767F" w:rsidRDefault="009A42E5" w:rsidP="00BC479E">
            <w:pPr>
              <w:pStyle w:val="T2"/>
              <w:jc w:val="right"/>
              <w:rPr>
                <w:bCs/>
              </w:rPr>
            </w:pPr>
            <w:r>
              <w:rPr>
                <w:b/>
                <w:bCs/>
              </w:rPr>
              <w:t>17.2</w:t>
            </w:r>
          </w:p>
        </w:tc>
        <w:tc>
          <w:tcPr>
            <w:tcW w:w="1134" w:type="dxa"/>
            <w:tcBorders>
              <w:top w:val="single" w:sz="2" w:space="0" w:color="auto"/>
            </w:tcBorders>
          </w:tcPr>
          <w:p w14:paraId="30393067" w14:textId="52D1A11C" w:rsidR="00BC479E" w:rsidRPr="00BC479E" w:rsidRDefault="00BC479E" w:rsidP="00BC479E">
            <w:pPr>
              <w:pStyle w:val="T2"/>
              <w:jc w:val="right"/>
            </w:pPr>
            <w:r w:rsidRPr="00BC479E">
              <w:t>0.2</w:t>
            </w:r>
          </w:p>
        </w:tc>
      </w:tr>
      <w:tr w:rsidR="00BC479E" w14:paraId="2BA94D67" w14:textId="77777777" w:rsidTr="008323E9">
        <w:trPr>
          <w:trHeight w:val="208"/>
        </w:trPr>
        <w:tc>
          <w:tcPr>
            <w:tcW w:w="4962" w:type="dxa"/>
            <w:tcBorders>
              <w:bottom w:val="single" w:sz="2" w:space="0" w:color="auto"/>
            </w:tcBorders>
            <w:vAlign w:val="bottom"/>
          </w:tcPr>
          <w:p w14:paraId="0B0E7BB9" w14:textId="77777777" w:rsidR="00BC479E" w:rsidRPr="00775F03" w:rsidRDefault="00BC479E" w:rsidP="00BC479E">
            <w:pPr>
              <w:pStyle w:val="T2"/>
              <w:jc w:val="left"/>
            </w:pPr>
            <w:r w:rsidRPr="00775F03">
              <w:t xml:space="preserve">Depreciation and amortisation </w:t>
            </w:r>
            <w:r w:rsidRPr="00775F03">
              <w:rPr>
                <w:vertAlign w:val="superscript"/>
              </w:rPr>
              <w:t>(</w:t>
            </w:r>
            <w:r>
              <w:rPr>
                <w:vertAlign w:val="superscript"/>
              </w:rPr>
              <w:t>C</w:t>
            </w:r>
            <w:r w:rsidRPr="00775F03">
              <w:rPr>
                <w:vertAlign w:val="superscript"/>
              </w:rPr>
              <w:t>)</w:t>
            </w:r>
          </w:p>
        </w:tc>
        <w:tc>
          <w:tcPr>
            <w:tcW w:w="425" w:type="dxa"/>
            <w:tcBorders>
              <w:bottom w:val="single" w:sz="2" w:space="0" w:color="auto"/>
            </w:tcBorders>
          </w:tcPr>
          <w:p w14:paraId="45AD2220" w14:textId="77777777" w:rsidR="00BC479E" w:rsidRPr="00FC568F" w:rsidRDefault="00BC479E" w:rsidP="00BC479E">
            <w:pPr>
              <w:pStyle w:val="T2"/>
              <w:jc w:val="right"/>
              <w:rPr>
                <w:b/>
                <w:bCs/>
              </w:rPr>
            </w:pPr>
          </w:p>
        </w:tc>
        <w:tc>
          <w:tcPr>
            <w:tcW w:w="486" w:type="dxa"/>
            <w:tcBorders>
              <w:bottom w:val="single" w:sz="2" w:space="0" w:color="auto"/>
            </w:tcBorders>
          </w:tcPr>
          <w:p w14:paraId="1E030F20" w14:textId="77777777" w:rsidR="00BC479E" w:rsidRPr="005D0EFF" w:rsidRDefault="00BC479E" w:rsidP="00BC479E">
            <w:pPr>
              <w:pStyle w:val="T2"/>
              <w:jc w:val="right"/>
              <w:rPr>
                <w:bCs/>
              </w:rPr>
            </w:pPr>
          </w:p>
        </w:tc>
        <w:tc>
          <w:tcPr>
            <w:tcW w:w="963" w:type="dxa"/>
            <w:tcBorders>
              <w:bottom w:val="single" w:sz="2" w:space="0" w:color="auto"/>
            </w:tcBorders>
          </w:tcPr>
          <w:p w14:paraId="76680EDF" w14:textId="77777777" w:rsidR="00BC479E" w:rsidRPr="005D0EFF" w:rsidRDefault="00BC479E" w:rsidP="00BC479E">
            <w:pPr>
              <w:pStyle w:val="T2"/>
              <w:jc w:val="right"/>
              <w:rPr>
                <w:bCs/>
              </w:rPr>
            </w:pPr>
          </w:p>
        </w:tc>
        <w:tc>
          <w:tcPr>
            <w:tcW w:w="537" w:type="dxa"/>
            <w:tcBorders>
              <w:bottom w:val="single" w:sz="2" w:space="0" w:color="auto"/>
            </w:tcBorders>
            <w:vAlign w:val="bottom"/>
          </w:tcPr>
          <w:p w14:paraId="110F6F76" w14:textId="77777777" w:rsidR="00BC479E" w:rsidRPr="00775F03" w:rsidRDefault="00BC479E" w:rsidP="00BC479E">
            <w:pPr>
              <w:pStyle w:val="T2"/>
              <w:jc w:val="right"/>
            </w:pPr>
          </w:p>
        </w:tc>
        <w:tc>
          <w:tcPr>
            <w:tcW w:w="1276" w:type="dxa"/>
            <w:tcBorders>
              <w:bottom w:val="single" w:sz="2" w:space="0" w:color="auto"/>
            </w:tcBorders>
          </w:tcPr>
          <w:p w14:paraId="1833AB75" w14:textId="0724A37E" w:rsidR="00BC479E" w:rsidRPr="0096767F" w:rsidRDefault="009A42E5" w:rsidP="00BC479E">
            <w:pPr>
              <w:pStyle w:val="T2"/>
              <w:jc w:val="right"/>
              <w:rPr>
                <w:bCs/>
              </w:rPr>
            </w:pPr>
            <w:r>
              <w:rPr>
                <w:b/>
                <w:bCs/>
              </w:rPr>
              <w:t>26.6</w:t>
            </w:r>
          </w:p>
        </w:tc>
        <w:tc>
          <w:tcPr>
            <w:tcW w:w="1134" w:type="dxa"/>
            <w:tcBorders>
              <w:bottom w:val="single" w:sz="2" w:space="0" w:color="auto"/>
            </w:tcBorders>
          </w:tcPr>
          <w:p w14:paraId="114553B7" w14:textId="64D3A338" w:rsidR="00BC479E" w:rsidRPr="00BC479E" w:rsidRDefault="00BC479E" w:rsidP="00BC479E">
            <w:pPr>
              <w:pStyle w:val="T2"/>
              <w:jc w:val="right"/>
            </w:pPr>
            <w:r w:rsidRPr="00BC479E">
              <w:t>26.3</w:t>
            </w:r>
          </w:p>
        </w:tc>
      </w:tr>
      <w:tr w:rsidR="00BC479E" w14:paraId="3CC14F45" w14:textId="77777777" w:rsidTr="008323E9">
        <w:trPr>
          <w:trHeight w:val="208"/>
        </w:trPr>
        <w:tc>
          <w:tcPr>
            <w:tcW w:w="4962" w:type="dxa"/>
            <w:tcBorders>
              <w:top w:val="single" w:sz="2" w:space="0" w:color="auto"/>
              <w:bottom w:val="single" w:sz="8" w:space="0" w:color="auto"/>
            </w:tcBorders>
            <w:vAlign w:val="bottom"/>
          </w:tcPr>
          <w:p w14:paraId="190B2B8E" w14:textId="77777777" w:rsidR="00BC479E" w:rsidRPr="002C40EB" w:rsidRDefault="00BC479E" w:rsidP="00BC479E">
            <w:pPr>
              <w:pStyle w:val="T2"/>
              <w:jc w:val="left"/>
              <w:rPr>
                <w:b/>
              </w:rPr>
            </w:pPr>
            <w:r w:rsidRPr="002C40EB">
              <w:rPr>
                <w:b/>
              </w:rPr>
              <w:t>Adjusted EBITDA</w:t>
            </w:r>
          </w:p>
        </w:tc>
        <w:tc>
          <w:tcPr>
            <w:tcW w:w="425" w:type="dxa"/>
            <w:tcBorders>
              <w:top w:val="single" w:sz="2" w:space="0" w:color="auto"/>
              <w:bottom w:val="single" w:sz="8" w:space="0" w:color="auto"/>
            </w:tcBorders>
          </w:tcPr>
          <w:p w14:paraId="5C92B6D5" w14:textId="77777777" w:rsidR="00BC479E" w:rsidRPr="00FC568F" w:rsidRDefault="00BC479E" w:rsidP="00BC479E">
            <w:pPr>
              <w:pStyle w:val="T2"/>
              <w:jc w:val="right"/>
              <w:rPr>
                <w:b/>
                <w:bCs/>
              </w:rPr>
            </w:pPr>
          </w:p>
        </w:tc>
        <w:tc>
          <w:tcPr>
            <w:tcW w:w="486" w:type="dxa"/>
            <w:tcBorders>
              <w:top w:val="single" w:sz="2" w:space="0" w:color="auto"/>
              <w:bottom w:val="single" w:sz="8" w:space="0" w:color="auto"/>
            </w:tcBorders>
          </w:tcPr>
          <w:p w14:paraId="037CF7D4" w14:textId="77777777" w:rsidR="00BC479E" w:rsidRPr="005D0EFF" w:rsidRDefault="00BC479E" w:rsidP="00BC479E">
            <w:pPr>
              <w:pStyle w:val="T2"/>
              <w:jc w:val="right"/>
              <w:rPr>
                <w:bCs/>
              </w:rPr>
            </w:pPr>
          </w:p>
        </w:tc>
        <w:tc>
          <w:tcPr>
            <w:tcW w:w="963" w:type="dxa"/>
            <w:tcBorders>
              <w:top w:val="single" w:sz="2" w:space="0" w:color="auto"/>
              <w:bottom w:val="single" w:sz="8" w:space="0" w:color="auto"/>
            </w:tcBorders>
          </w:tcPr>
          <w:p w14:paraId="6C3C2973" w14:textId="77777777" w:rsidR="00BC479E" w:rsidRPr="005D0EFF" w:rsidRDefault="00BC479E" w:rsidP="00BC479E">
            <w:pPr>
              <w:pStyle w:val="T2"/>
              <w:jc w:val="right"/>
              <w:rPr>
                <w:bCs/>
              </w:rPr>
            </w:pPr>
          </w:p>
        </w:tc>
        <w:tc>
          <w:tcPr>
            <w:tcW w:w="537" w:type="dxa"/>
            <w:tcBorders>
              <w:top w:val="single" w:sz="2" w:space="0" w:color="auto"/>
              <w:bottom w:val="single" w:sz="8" w:space="0" w:color="auto"/>
            </w:tcBorders>
            <w:vAlign w:val="bottom"/>
          </w:tcPr>
          <w:p w14:paraId="5B0F0BC6" w14:textId="77777777" w:rsidR="00BC479E" w:rsidRPr="00775F03" w:rsidRDefault="00BC479E" w:rsidP="00BC479E">
            <w:pPr>
              <w:pStyle w:val="T2"/>
              <w:jc w:val="right"/>
            </w:pPr>
          </w:p>
        </w:tc>
        <w:tc>
          <w:tcPr>
            <w:tcW w:w="1276" w:type="dxa"/>
            <w:tcBorders>
              <w:top w:val="single" w:sz="2" w:space="0" w:color="auto"/>
              <w:bottom w:val="single" w:sz="8" w:space="0" w:color="auto"/>
            </w:tcBorders>
          </w:tcPr>
          <w:p w14:paraId="6B439374" w14:textId="2C09CE36" w:rsidR="00BC479E" w:rsidRPr="0096767F" w:rsidRDefault="009A42E5" w:rsidP="00BC479E">
            <w:pPr>
              <w:pStyle w:val="T2"/>
              <w:jc w:val="right"/>
              <w:rPr>
                <w:bCs/>
              </w:rPr>
            </w:pPr>
            <w:r>
              <w:rPr>
                <w:b/>
                <w:bCs/>
              </w:rPr>
              <w:t>43.8</w:t>
            </w:r>
          </w:p>
        </w:tc>
        <w:tc>
          <w:tcPr>
            <w:tcW w:w="1134" w:type="dxa"/>
            <w:tcBorders>
              <w:top w:val="single" w:sz="2" w:space="0" w:color="auto"/>
              <w:bottom w:val="single" w:sz="8" w:space="0" w:color="auto"/>
            </w:tcBorders>
          </w:tcPr>
          <w:p w14:paraId="1A7CB1E5" w14:textId="251E9D16" w:rsidR="00BC479E" w:rsidRPr="00BC479E" w:rsidRDefault="00BC479E" w:rsidP="00BC479E">
            <w:pPr>
              <w:pStyle w:val="T2"/>
              <w:jc w:val="right"/>
            </w:pPr>
            <w:r w:rsidRPr="00BC479E">
              <w:t>26.5</w:t>
            </w:r>
          </w:p>
        </w:tc>
      </w:tr>
      <w:tr w:rsidR="00BC479E" w14:paraId="51AFBF74" w14:textId="77777777" w:rsidTr="008323E9">
        <w:trPr>
          <w:trHeight w:val="208"/>
        </w:trPr>
        <w:tc>
          <w:tcPr>
            <w:tcW w:w="4962" w:type="dxa"/>
            <w:tcBorders>
              <w:top w:val="single" w:sz="8" w:space="0" w:color="auto"/>
              <w:bottom w:val="single" w:sz="8" w:space="0" w:color="auto"/>
            </w:tcBorders>
            <w:vAlign w:val="bottom"/>
          </w:tcPr>
          <w:p w14:paraId="5F0AE2EE" w14:textId="77777777" w:rsidR="00BC479E" w:rsidRPr="002C40EB" w:rsidRDefault="00BC479E" w:rsidP="00BC479E">
            <w:pPr>
              <w:pStyle w:val="T2"/>
              <w:jc w:val="left"/>
              <w:rPr>
                <w:b/>
              </w:rPr>
            </w:pPr>
            <w:r w:rsidRPr="002C40EB">
              <w:rPr>
                <w:b/>
              </w:rPr>
              <w:t xml:space="preserve">Adjusted Operating Margin (%) </w:t>
            </w:r>
          </w:p>
        </w:tc>
        <w:tc>
          <w:tcPr>
            <w:tcW w:w="425" w:type="dxa"/>
            <w:tcBorders>
              <w:top w:val="single" w:sz="8" w:space="0" w:color="auto"/>
              <w:bottom w:val="single" w:sz="8" w:space="0" w:color="auto"/>
            </w:tcBorders>
          </w:tcPr>
          <w:p w14:paraId="3FB0AEA2" w14:textId="77777777" w:rsidR="00BC479E" w:rsidRPr="00FC568F" w:rsidRDefault="00BC479E" w:rsidP="00BC479E">
            <w:pPr>
              <w:pStyle w:val="T2"/>
              <w:jc w:val="right"/>
              <w:rPr>
                <w:b/>
                <w:bCs/>
              </w:rPr>
            </w:pPr>
          </w:p>
        </w:tc>
        <w:tc>
          <w:tcPr>
            <w:tcW w:w="486" w:type="dxa"/>
            <w:tcBorders>
              <w:top w:val="single" w:sz="8" w:space="0" w:color="auto"/>
              <w:bottom w:val="single" w:sz="8" w:space="0" w:color="auto"/>
            </w:tcBorders>
          </w:tcPr>
          <w:p w14:paraId="78286573" w14:textId="77777777" w:rsidR="00BC479E" w:rsidRPr="005D0EFF" w:rsidRDefault="00BC479E" w:rsidP="00BC479E">
            <w:pPr>
              <w:pStyle w:val="T2"/>
              <w:jc w:val="right"/>
              <w:rPr>
                <w:bCs/>
              </w:rPr>
            </w:pPr>
          </w:p>
        </w:tc>
        <w:tc>
          <w:tcPr>
            <w:tcW w:w="963" w:type="dxa"/>
            <w:tcBorders>
              <w:top w:val="single" w:sz="8" w:space="0" w:color="auto"/>
              <w:bottom w:val="single" w:sz="8" w:space="0" w:color="auto"/>
            </w:tcBorders>
          </w:tcPr>
          <w:p w14:paraId="40C8DC7F" w14:textId="77777777" w:rsidR="00BC479E" w:rsidRPr="005D0EFF" w:rsidRDefault="00BC479E" w:rsidP="00BC479E">
            <w:pPr>
              <w:pStyle w:val="T2"/>
              <w:jc w:val="right"/>
              <w:rPr>
                <w:bCs/>
              </w:rPr>
            </w:pPr>
          </w:p>
        </w:tc>
        <w:tc>
          <w:tcPr>
            <w:tcW w:w="537" w:type="dxa"/>
            <w:tcBorders>
              <w:top w:val="single" w:sz="8" w:space="0" w:color="auto"/>
              <w:bottom w:val="single" w:sz="8" w:space="0" w:color="auto"/>
            </w:tcBorders>
            <w:vAlign w:val="bottom"/>
          </w:tcPr>
          <w:p w14:paraId="74BFC761" w14:textId="77777777" w:rsidR="00BC479E" w:rsidRPr="00775F03" w:rsidRDefault="00BC479E" w:rsidP="00BC479E">
            <w:pPr>
              <w:pStyle w:val="T2"/>
              <w:jc w:val="right"/>
            </w:pPr>
          </w:p>
        </w:tc>
        <w:tc>
          <w:tcPr>
            <w:tcW w:w="1276" w:type="dxa"/>
            <w:tcBorders>
              <w:top w:val="single" w:sz="8" w:space="0" w:color="auto"/>
              <w:bottom w:val="single" w:sz="8" w:space="0" w:color="auto"/>
            </w:tcBorders>
          </w:tcPr>
          <w:p w14:paraId="7C50CCDF" w14:textId="482B90E2" w:rsidR="00BC479E" w:rsidRPr="0096767F" w:rsidRDefault="009A42E5" w:rsidP="00BC479E">
            <w:pPr>
              <w:pStyle w:val="T2"/>
              <w:jc w:val="right"/>
              <w:rPr>
                <w:bCs/>
              </w:rPr>
            </w:pPr>
            <w:r>
              <w:rPr>
                <w:b/>
                <w:bCs/>
              </w:rPr>
              <w:t>2.2</w:t>
            </w:r>
            <w:r w:rsidR="00BC479E">
              <w:rPr>
                <w:b/>
                <w:bCs/>
              </w:rPr>
              <w:t>%</w:t>
            </w:r>
          </w:p>
        </w:tc>
        <w:tc>
          <w:tcPr>
            <w:tcW w:w="1134" w:type="dxa"/>
            <w:tcBorders>
              <w:top w:val="single" w:sz="8" w:space="0" w:color="auto"/>
              <w:bottom w:val="single" w:sz="8" w:space="0" w:color="auto"/>
            </w:tcBorders>
          </w:tcPr>
          <w:p w14:paraId="42D071EF" w14:textId="3352E2E7" w:rsidR="00BC479E" w:rsidRPr="00BC479E" w:rsidRDefault="00BC479E" w:rsidP="00BC479E">
            <w:pPr>
              <w:pStyle w:val="T2"/>
              <w:jc w:val="right"/>
            </w:pPr>
            <w:r w:rsidRPr="00BC479E">
              <w:t>0.0%</w:t>
            </w:r>
          </w:p>
        </w:tc>
      </w:tr>
    </w:tbl>
    <w:p w14:paraId="5E50B8FA" w14:textId="77777777" w:rsidR="00773F7B" w:rsidRDefault="00773F7B" w:rsidP="00773F7B">
      <w:pPr>
        <w:pStyle w:val="Paragraph"/>
        <w:spacing w:before="0"/>
        <w:ind w:left="714"/>
        <w:rPr>
          <w:sz w:val="16"/>
          <w:szCs w:val="16"/>
        </w:rPr>
      </w:pPr>
    </w:p>
    <w:p w14:paraId="59D547FA" w14:textId="56127C60" w:rsidR="00773F7B" w:rsidRPr="0095437C" w:rsidRDefault="00773F7B" w:rsidP="00F55D04">
      <w:pPr>
        <w:pStyle w:val="Paragraph"/>
        <w:numPr>
          <w:ilvl w:val="0"/>
          <w:numId w:val="4"/>
        </w:numPr>
        <w:spacing w:before="0"/>
        <w:ind w:left="714" w:hanging="357"/>
        <w:rPr>
          <w:sz w:val="15"/>
          <w:szCs w:val="15"/>
        </w:rPr>
      </w:pPr>
      <w:r w:rsidRPr="0095437C">
        <w:rPr>
          <w:sz w:val="15"/>
          <w:szCs w:val="15"/>
        </w:rPr>
        <w:t>Includes tax cre</w:t>
      </w:r>
      <w:r w:rsidR="00646771" w:rsidRPr="0095437C">
        <w:rPr>
          <w:sz w:val="15"/>
          <w:szCs w:val="15"/>
        </w:rPr>
        <w:t xml:space="preserve">dit on exceptional items </w:t>
      </w:r>
      <w:r w:rsidR="00646771" w:rsidRPr="00403C56">
        <w:rPr>
          <w:sz w:val="15"/>
          <w:szCs w:val="15"/>
        </w:rPr>
        <w:t>of £</w:t>
      </w:r>
      <w:r w:rsidR="009A42E5" w:rsidRPr="00403C56">
        <w:rPr>
          <w:sz w:val="15"/>
          <w:szCs w:val="15"/>
        </w:rPr>
        <w:t>1.5</w:t>
      </w:r>
      <w:r w:rsidRPr="00403C56">
        <w:rPr>
          <w:sz w:val="15"/>
          <w:szCs w:val="15"/>
        </w:rPr>
        <w:t>m (20</w:t>
      </w:r>
      <w:r w:rsidR="00DA6313" w:rsidRPr="00403C56">
        <w:rPr>
          <w:sz w:val="15"/>
          <w:szCs w:val="15"/>
        </w:rPr>
        <w:t>2</w:t>
      </w:r>
      <w:r w:rsidR="00BC479E" w:rsidRPr="00403C56">
        <w:rPr>
          <w:sz w:val="15"/>
          <w:szCs w:val="15"/>
        </w:rPr>
        <w:t>1</w:t>
      </w:r>
      <w:r w:rsidRPr="0095437C">
        <w:rPr>
          <w:sz w:val="15"/>
          <w:szCs w:val="15"/>
        </w:rPr>
        <w:t>: £0.</w:t>
      </w:r>
      <w:r w:rsidR="00BC479E">
        <w:rPr>
          <w:sz w:val="15"/>
          <w:szCs w:val="15"/>
        </w:rPr>
        <w:t>2</w:t>
      </w:r>
      <w:r w:rsidRPr="0095437C">
        <w:rPr>
          <w:sz w:val="15"/>
          <w:szCs w:val="15"/>
        </w:rPr>
        <w:t>m)</w:t>
      </w:r>
    </w:p>
    <w:p w14:paraId="66373702" w14:textId="77777777" w:rsidR="00773F7B" w:rsidRPr="0095437C" w:rsidRDefault="00773F7B" w:rsidP="00F55D04">
      <w:pPr>
        <w:pStyle w:val="Paragraph"/>
        <w:numPr>
          <w:ilvl w:val="0"/>
          <w:numId w:val="4"/>
        </w:numPr>
        <w:spacing w:before="0"/>
        <w:ind w:left="714" w:hanging="357"/>
        <w:rPr>
          <w:sz w:val="15"/>
          <w:szCs w:val="15"/>
        </w:rPr>
      </w:pPr>
      <w:r w:rsidRPr="0095437C">
        <w:rPr>
          <w:sz w:val="15"/>
          <w:szCs w:val="15"/>
        </w:rPr>
        <w:t xml:space="preserve">Finance costs less finance income </w:t>
      </w:r>
    </w:p>
    <w:p w14:paraId="6F4624DC" w14:textId="77777777" w:rsidR="00773F7B" w:rsidRPr="0095437C" w:rsidRDefault="00773F7B" w:rsidP="00F55D04">
      <w:pPr>
        <w:pStyle w:val="Paragraph"/>
        <w:numPr>
          <w:ilvl w:val="0"/>
          <w:numId w:val="4"/>
        </w:numPr>
        <w:spacing w:before="0"/>
        <w:ind w:hanging="357"/>
        <w:rPr>
          <w:sz w:val="15"/>
          <w:szCs w:val="15"/>
        </w:rPr>
      </w:pPr>
      <w:r w:rsidRPr="0095437C">
        <w:rPr>
          <w:sz w:val="15"/>
          <w:szCs w:val="15"/>
        </w:rPr>
        <w:t>Excludes amortisation of acquisition related intangibles</w:t>
      </w:r>
      <w:r w:rsidR="00B41E40" w:rsidRPr="0095437C">
        <w:rPr>
          <w:sz w:val="15"/>
          <w:szCs w:val="15"/>
        </w:rPr>
        <w:t xml:space="preserve"> </w:t>
      </w:r>
    </w:p>
    <w:p w14:paraId="710103A8" w14:textId="77777777" w:rsidR="00773F7B" w:rsidRDefault="00773F7B" w:rsidP="00773F7B">
      <w:pPr>
        <w:pStyle w:val="Paragraph"/>
        <w:rPr>
          <w:b/>
        </w:rPr>
      </w:pPr>
      <w:r w:rsidRPr="00BE3FBD">
        <w:rPr>
          <w:b/>
        </w:rPr>
        <w:t xml:space="preserve">ADJUSTED PROFIT BEFORE TAX ('PBT') </w:t>
      </w:r>
    </w:p>
    <w:p w14:paraId="4EF6280F" w14:textId="77777777" w:rsidR="00773F7B" w:rsidRDefault="00773F7B" w:rsidP="00773F7B">
      <w:pPr>
        <w:pStyle w:val="Paragraph"/>
        <w:jc w:val="both"/>
      </w:pPr>
      <w:r w:rsidRPr="00BE3FBD">
        <w:t>Adjusted PBT is used as a measure by the Group to measure overall performance before associated tax charge and exceptional items.</w:t>
      </w:r>
    </w:p>
    <w:p w14:paraId="546BB42B" w14:textId="77777777" w:rsidR="00773F7B" w:rsidRDefault="00773F7B" w:rsidP="00773F7B">
      <w:pPr>
        <w:pStyle w:val="Paragraph"/>
        <w:jc w:val="both"/>
      </w:pPr>
      <w:r w:rsidRPr="00BE3FBD">
        <w:t>The Group calculates Adjusted PBT as profit before taxation, excluding tax on share of profit of associates and before exceptional items, pension finance items, amortisation of acquisition related intangibles, FX on inter</w:t>
      </w:r>
      <w:r>
        <w:t>–</w:t>
      </w:r>
      <w:r w:rsidRPr="00BE3FBD">
        <w:t>company and certain external balances and the movement on the fair value of all derivative financial instruments and related debt adjustments.</w:t>
      </w:r>
    </w:p>
    <w:p w14:paraId="42EBC4F7" w14:textId="77777777" w:rsidR="00773F7B" w:rsidRDefault="00773F7B" w:rsidP="00773F7B">
      <w:pPr>
        <w:pStyle w:val="Paragraph"/>
        <w:jc w:val="both"/>
      </w:pPr>
      <w:r w:rsidRPr="005638C0">
        <w:t>The following table sets out the calculation of Adjusted PBT:</w:t>
      </w:r>
    </w:p>
    <w:tbl>
      <w:tblPr>
        <w:tblStyle w:val="TableGrid"/>
        <w:tblW w:w="9844" w:type="dxa"/>
        <w:tblInd w:w="-108" w:type="dxa"/>
        <w:tblLook w:val="04A0" w:firstRow="1" w:lastRow="0" w:firstColumn="1" w:lastColumn="0" w:noHBand="0" w:noVBand="1"/>
      </w:tblPr>
      <w:tblGrid>
        <w:gridCol w:w="108"/>
        <w:gridCol w:w="7371"/>
        <w:gridCol w:w="1276"/>
        <w:gridCol w:w="981"/>
        <w:gridCol w:w="108"/>
      </w:tblGrid>
      <w:tr w:rsidR="00773F7B" w14:paraId="49410F65" w14:textId="77777777" w:rsidTr="00592BB5">
        <w:trPr>
          <w:gridBefore w:val="1"/>
          <w:wBefore w:w="108" w:type="dxa"/>
        </w:trPr>
        <w:tc>
          <w:tcPr>
            <w:tcW w:w="7371" w:type="dxa"/>
            <w:tcBorders>
              <w:top w:val="nil"/>
              <w:left w:val="nil"/>
              <w:bottom w:val="nil"/>
              <w:right w:val="nil"/>
            </w:tcBorders>
          </w:tcPr>
          <w:p w14:paraId="69F00E6C" w14:textId="77777777" w:rsidR="00773F7B" w:rsidRPr="004F4EB9" w:rsidRDefault="00773F7B" w:rsidP="00773F7B">
            <w:pPr>
              <w:pStyle w:val="T2"/>
            </w:pPr>
          </w:p>
        </w:tc>
        <w:tc>
          <w:tcPr>
            <w:tcW w:w="1276" w:type="dxa"/>
            <w:tcBorders>
              <w:top w:val="nil"/>
              <w:left w:val="nil"/>
              <w:bottom w:val="nil"/>
              <w:right w:val="nil"/>
            </w:tcBorders>
            <w:vAlign w:val="bottom"/>
          </w:tcPr>
          <w:p w14:paraId="39662525" w14:textId="77777777" w:rsidR="009B1032" w:rsidRDefault="009B1032" w:rsidP="000948AD">
            <w:pPr>
              <w:pStyle w:val="T2"/>
              <w:jc w:val="right"/>
              <w:rPr>
                <w:b/>
              </w:rPr>
            </w:pPr>
          </w:p>
          <w:p w14:paraId="1EABC31A" w14:textId="6A96AADA" w:rsidR="00773F7B" w:rsidRPr="004F4EB9" w:rsidRDefault="00773F7B" w:rsidP="000948AD">
            <w:pPr>
              <w:pStyle w:val="T2"/>
              <w:jc w:val="right"/>
              <w:rPr>
                <w:b/>
              </w:rPr>
            </w:pPr>
            <w:r w:rsidRPr="004F4EB9">
              <w:rPr>
                <w:b/>
              </w:rPr>
              <w:t xml:space="preserve">Half year </w:t>
            </w:r>
            <w:r w:rsidRPr="004F4EB9">
              <w:rPr>
                <w:b/>
              </w:rPr>
              <w:br/>
              <w:t>20</w:t>
            </w:r>
            <w:r>
              <w:rPr>
                <w:b/>
              </w:rPr>
              <w:t>2</w:t>
            </w:r>
            <w:r w:rsidR="00BC479E">
              <w:rPr>
                <w:b/>
              </w:rPr>
              <w:t>2</w:t>
            </w:r>
          </w:p>
        </w:tc>
        <w:tc>
          <w:tcPr>
            <w:tcW w:w="1089" w:type="dxa"/>
            <w:gridSpan w:val="2"/>
            <w:tcBorders>
              <w:top w:val="nil"/>
              <w:left w:val="nil"/>
              <w:bottom w:val="nil"/>
              <w:right w:val="nil"/>
            </w:tcBorders>
            <w:vAlign w:val="bottom"/>
          </w:tcPr>
          <w:p w14:paraId="3E687AF0" w14:textId="02DFFF5F" w:rsidR="00773F7B" w:rsidRPr="004F4EB9" w:rsidRDefault="00773F7B" w:rsidP="000948AD">
            <w:pPr>
              <w:pStyle w:val="T2"/>
              <w:jc w:val="right"/>
            </w:pPr>
            <w:r w:rsidRPr="004F4EB9">
              <w:t xml:space="preserve">Half year </w:t>
            </w:r>
            <w:r w:rsidRPr="004F4EB9">
              <w:br/>
              <w:t>20</w:t>
            </w:r>
            <w:r w:rsidR="000948AD">
              <w:t>2</w:t>
            </w:r>
            <w:r w:rsidR="00BC479E">
              <w:t>1</w:t>
            </w:r>
            <w:r w:rsidRPr="004F4EB9">
              <w:t xml:space="preserve"> </w:t>
            </w:r>
          </w:p>
        </w:tc>
      </w:tr>
      <w:tr w:rsidR="00773F7B" w14:paraId="675D4DBC" w14:textId="77777777" w:rsidTr="00592BB5">
        <w:trPr>
          <w:gridBefore w:val="1"/>
          <w:wBefore w:w="108" w:type="dxa"/>
        </w:trPr>
        <w:tc>
          <w:tcPr>
            <w:tcW w:w="7371" w:type="dxa"/>
            <w:tcBorders>
              <w:top w:val="nil"/>
              <w:left w:val="nil"/>
              <w:bottom w:val="single" w:sz="2" w:space="0" w:color="auto"/>
              <w:right w:val="nil"/>
            </w:tcBorders>
            <w:vAlign w:val="bottom"/>
          </w:tcPr>
          <w:p w14:paraId="5FF87719" w14:textId="77777777" w:rsidR="00773F7B" w:rsidRPr="000D1D55" w:rsidRDefault="00773F7B" w:rsidP="00773F7B">
            <w:pPr>
              <w:pStyle w:val="T2"/>
              <w:jc w:val="left"/>
            </w:pPr>
          </w:p>
        </w:tc>
        <w:tc>
          <w:tcPr>
            <w:tcW w:w="1276" w:type="dxa"/>
            <w:tcBorders>
              <w:top w:val="nil"/>
              <w:left w:val="nil"/>
              <w:bottom w:val="single" w:sz="2" w:space="0" w:color="auto"/>
              <w:right w:val="nil"/>
            </w:tcBorders>
            <w:vAlign w:val="bottom"/>
          </w:tcPr>
          <w:p w14:paraId="59FDD904" w14:textId="77777777" w:rsidR="00773F7B" w:rsidRPr="004F4EB9" w:rsidRDefault="00773F7B" w:rsidP="00773F7B">
            <w:pPr>
              <w:pStyle w:val="T2"/>
              <w:jc w:val="right"/>
              <w:rPr>
                <w:b/>
              </w:rPr>
            </w:pPr>
            <w:r w:rsidRPr="004F4EB9">
              <w:rPr>
                <w:b/>
              </w:rPr>
              <w:t>£m</w:t>
            </w:r>
          </w:p>
        </w:tc>
        <w:tc>
          <w:tcPr>
            <w:tcW w:w="1089" w:type="dxa"/>
            <w:gridSpan w:val="2"/>
            <w:tcBorders>
              <w:top w:val="nil"/>
              <w:left w:val="nil"/>
              <w:bottom w:val="single" w:sz="2" w:space="0" w:color="auto"/>
              <w:right w:val="nil"/>
            </w:tcBorders>
            <w:vAlign w:val="bottom"/>
          </w:tcPr>
          <w:p w14:paraId="7A7B4D9C" w14:textId="77777777" w:rsidR="00773F7B" w:rsidRPr="004F4EB9" w:rsidRDefault="00773F7B" w:rsidP="00773F7B">
            <w:pPr>
              <w:pStyle w:val="T2"/>
              <w:jc w:val="right"/>
            </w:pPr>
            <w:r w:rsidRPr="004F4EB9">
              <w:t>£m</w:t>
            </w:r>
          </w:p>
        </w:tc>
      </w:tr>
      <w:tr w:rsidR="00BC479E" w14:paraId="1037E081" w14:textId="77777777" w:rsidTr="00125AF5">
        <w:trPr>
          <w:gridBefore w:val="1"/>
          <w:wBefore w:w="108" w:type="dxa"/>
        </w:trPr>
        <w:tc>
          <w:tcPr>
            <w:tcW w:w="7371" w:type="dxa"/>
            <w:tcBorders>
              <w:top w:val="single" w:sz="2" w:space="0" w:color="auto"/>
              <w:left w:val="nil"/>
              <w:bottom w:val="nil"/>
              <w:right w:val="nil"/>
            </w:tcBorders>
            <w:vAlign w:val="bottom"/>
          </w:tcPr>
          <w:p w14:paraId="017C0D14" w14:textId="799A9FC6" w:rsidR="00BC479E" w:rsidRPr="003479B7" w:rsidRDefault="009A42E5" w:rsidP="00BC479E">
            <w:pPr>
              <w:pStyle w:val="T2"/>
              <w:jc w:val="left"/>
              <w:rPr>
                <w:b/>
              </w:rPr>
            </w:pPr>
            <w:r>
              <w:rPr>
                <w:b/>
              </w:rPr>
              <w:t>P</w:t>
            </w:r>
            <w:r w:rsidR="00BC479E" w:rsidRPr="003479B7">
              <w:rPr>
                <w:b/>
              </w:rPr>
              <w:t>rofit</w:t>
            </w:r>
            <w:r>
              <w:rPr>
                <w:b/>
              </w:rPr>
              <w:t>/(loss)</w:t>
            </w:r>
            <w:r w:rsidR="00BC479E" w:rsidRPr="003479B7">
              <w:rPr>
                <w:b/>
              </w:rPr>
              <w:t xml:space="preserve"> before taxation </w:t>
            </w:r>
          </w:p>
        </w:tc>
        <w:tc>
          <w:tcPr>
            <w:tcW w:w="1276" w:type="dxa"/>
            <w:tcBorders>
              <w:top w:val="single" w:sz="2" w:space="0" w:color="auto"/>
              <w:left w:val="nil"/>
              <w:bottom w:val="nil"/>
              <w:right w:val="nil"/>
            </w:tcBorders>
          </w:tcPr>
          <w:p w14:paraId="0F0E5B56" w14:textId="226DDF45" w:rsidR="00BC479E" w:rsidRPr="000948AD" w:rsidRDefault="009A42E5" w:rsidP="00BC479E">
            <w:pPr>
              <w:jc w:val="right"/>
              <w:rPr>
                <w:b/>
                <w:bCs/>
                <w:sz w:val="18"/>
                <w:szCs w:val="18"/>
              </w:rPr>
            </w:pPr>
            <w:r>
              <w:rPr>
                <w:b/>
                <w:bCs/>
                <w:sz w:val="18"/>
                <w:szCs w:val="18"/>
              </w:rPr>
              <w:t>1.0</w:t>
            </w:r>
          </w:p>
        </w:tc>
        <w:tc>
          <w:tcPr>
            <w:tcW w:w="1089" w:type="dxa"/>
            <w:gridSpan w:val="2"/>
            <w:tcBorders>
              <w:top w:val="single" w:sz="2" w:space="0" w:color="auto"/>
              <w:left w:val="nil"/>
              <w:bottom w:val="nil"/>
              <w:right w:val="nil"/>
            </w:tcBorders>
          </w:tcPr>
          <w:p w14:paraId="34D2A605" w14:textId="1325FF41" w:rsidR="00BC479E" w:rsidRPr="00BC479E" w:rsidRDefault="00BC479E" w:rsidP="00BC479E">
            <w:pPr>
              <w:pStyle w:val="T2"/>
              <w:jc w:val="right"/>
            </w:pPr>
            <w:r w:rsidRPr="00BC479E">
              <w:t>(1.8)</w:t>
            </w:r>
          </w:p>
        </w:tc>
      </w:tr>
      <w:tr w:rsidR="00BC479E" w14:paraId="733659EF" w14:textId="77777777" w:rsidTr="00125AF5">
        <w:trPr>
          <w:gridBefore w:val="1"/>
          <w:wBefore w:w="108" w:type="dxa"/>
        </w:trPr>
        <w:tc>
          <w:tcPr>
            <w:tcW w:w="7371" w:type="dxa"/>
            <w:tcBorders>
              <w:top w:val="nil"/>
              <w:left w:val="nil"/>
              <w:bottom w:val="nil"/>
              <w:right w:val="nil"/>
            </w:tcBorders>
            <w:vAlign w:val="bottom"/>
          </w:tcPr>
          <w:p w14:paraId="5223A106" w14:textId="77777777" w:rsidR="00BC479E" w:rsidRPr="000D1D55" w:rsidRDefault="00BC479E" w:rsidP="00BC479E">
            <w:pPr>
              <w:pStyle w:val="T2"/>
              <w:jc w:val="left"/>
            </w:pPr>
            <w:r w:rsidRPr="000D1D55">
              <w:t xml:space="preserve">Exceptional items </w:t>
            </w:r>
          </w:p>
        </w:tc>
        <w:tc>
          <w:tcPr>
            <w:tcW w:w="1276" w:type="dxa"/>
            <w:tcBorders>
              <w:top w:val="nil"/>
              <w:left w:val="nil"/>
              <w:bottom w:val="nil"/>
              <w:right w:val="nil"/>
            </w:tcBorders>
          </w:tcPr>
          <w:p w14:paraId="3BE550CD" w14:textId="48070F3E" w:rsidR="00BC479E" w:rsidRPr="000948AD" w:rsidRDefault="009A42E5" w:rsidP="00BC479E">
            <w:pPr>
              <w:jc w:val="right"/>
              <w:rPr>
                <w:b/>
                <w:bCs/>
                <w:sz w:val="18"/>
                <w:szCs w:val="18"/>
              </w:rPr>
            </w:pPr>
            <w:r>
              <w:rPr>
                <w:b/>
                <w:bCs/>
                <w:sz w:val="18"/>
                <w:szCs w:val="18"/>
              </w:rPr>
              <w:t>8.0</w:t>
            </w:r>
          </w:p>
        </w:tc>
        <w:tc>
          <w:tcPr>
            <w:tcW w:w="1089" w:type="dxa"/>
            <w:gridSpan w:val="2"/>
            <w:tcBorders>
              <w:top w:val="nil"/>
              <w:left w:val="nil"/>
              <w:bottom w:val="nil"/>
              <w:right w:val="nil"/>
            </w:tcBorders>
          </w:tcPr>
          <w:p w14:paraId="67599858" w14:textId="209D7ADA" w:rsidR="00BC479E" w:rsidRPr="00BC479E" w:rsidRDefault="00BC479E" w:rsidP="00BC479E">
            <w:pPr>
              <w:pStyle w:val="T2"/>
              <w:jc w:val="right"/>
            </w:pPr>
            <w:r w:rsidRPr="00BC479E">
              <w:t>(9.7)</w:t>
            </w:r>
          </w:p>
        </w:tc>
      </w:tr>
      <w:tr w:rsidR="00BC479E" w14:paraId="63C93682" w14:textId="77777777" w:rsidTr="00125AF5">
        <w:trPr>
          <w:gridBefore w:val="1"/>
          <w:wBefore w:w="108" w:type="dxa"/>
        </w:trPr>
        <w:tc>
          <w:tcPr>
            <w:tcW w:w="7371" w:type="dxa"/>
            <w:tcBorders>
              <w:top w:val="nil"/>
              <w:left w:val="nil"/>
              <w:bottom w:val="nil"/>
              <w:right w:val="nil"/>
            </w:tcBorders>
            <w:vAlign w:val="bottom"/>
          </w:tcPr>
          <w:p w14:paraId="07250A3B" w14:textId="77777777" w:rsidR="00BC479E" w:rsidRPr="000D1D55" w:rsidRDefault="00BC479E" w:rsidP="00BC479E">
            <w:pPr>
              <w:pStyle w:val="T2"/>
              <w:jc w:val="left"/>
            </w:pPr>
            <w:r w:rsidRPr="000D1D55">
              <w:t xml:space="preserve">Pension finance items </w:t>
            </w:r>
          </w:p>
        </w:tc>
        <w:tc>
          <w:tcPr>
            <w:tcW w:w="1276" w:type="dxa"/>
            <w:tcBorders>
              <w:top w:val="nil"/>
              <w:left w:val="nil"/>
              <w:bottom w:val="nil"/>
              <w:right w:val="nil"/>
            </w:tcBorders>
          </w:tcPr>
          <w:p w14:paraId="33063C32" w14:textId="330FE3BC" w:rsidR="00BC479E" w:rsidRPr="000948AD" w:rsidRDefault="009A42E5" w:rsidP="00BC479E">
            <w:pPr>
              <w:jc w:val="right"/>
              <w:rPr>
                <w:b/>
                <w:bCs/>
                <w:sz w:val="18"/>
                <w:szCs w:val="18"/>
              </w:rPr>
            </w:pPr>
            <w:r>
              <w:rPr>
                <w:b/>
                <w:bCs/>
                <w:sz w:val="18"/>
                <w:szCs w:val="18"/>
              </w:rPr>
              <w:t>0.6</w:t>
            </w:r>
          </w:p>
        </w:tc>
        <w:tc>
          <w:tcPr>
            <w:tcW w:w="1089" w:type="dxa"/>
            <w:gridSpan w:val="2"/>
            <w:tcBorders>
              <w:top w:val="nil"/>
              <w:left w:val="nil"/>
              <w:bottom w:val="nil"/>
              <w:right w:val="nil"/>
            </w:tcBorders>
          </w:tcPr>
          <w:p w14:paraId="11401DF0" w14:textId="2031CFC6" w:rsidR="00BC479E" w:rsidRPr="00BC479E" w:rsidRDefault="00BC479E" w:rsidP="00BC479E">
            <w:pPr>
              <w:pStyle w:val="T2"/>
              <w:jc w:val="right"/>
            </w:pPr>
            <w:r w:rsidRPr="00BC479E">
              <w:t>0.9</w:t>
            </w:r>
          </w:p>
        </w:tc>
      </w:tr>
      <w:tr w:rsidR="00BC479E" w14:paraId="4180DAA9" w14:textId="77777777" w:rsidTr="00125AF5">
        <w:trPr>
          <w:gridBefore w:val="1"/>
          <w:wBefore w:w="108" w:type="dxa"/>
        </w:trPr>
        <w:tc>
          <w:tcPr>
            <w:tcW w:w="7371" w:type="dxa"/>
            <w:tcBorders>
              <w:top w:val="nil"/>
              <w:left w:val="nil"/>
              <w:bottom w:val="nil"/>
              <w:right w:val="nil"/>
            </w:tcBorders>
            <w:vAlign w:val="bottom"/>
          </w:tcPr>
          <w:p w14:paraId="393D0D84" w14:textId="77777777" w:rsidR="00BC479E" w:rsidRPr="000D1D55" w:rsidRDefault="00BC479E" w:rsidP="00BC479E">
            <w:pPr>
              <w:pStyle w:val="T2"/>
              <w:jc w:val="left"/>
            </w:pPr>
            <w:r w:rsidRPr="000D1D55">
              <w:t xml:space="preserve">Amortisation of acquisition related intangibles </w:t>
            </w:r>
          </w:p>
        </w:tc>
        <w:tc>
          <w:tcPr>
            <w:tcW w:w="1276" w:type="dxa"/>
            <w:tcBorders>
              <w:top w:val="nil"/>
              <w:left w:val="nil"/>
              <w:bottom w:val="nil"/>
              <w:right w:val="nil"/>
            </w:tcBorders>
          </w:tcPr>
          <w:p w14:paraId="763C5731" w14:textId="0B5364E2" w:rsidR="00BC479E" w:rsidRPr="000948AD" w:rsidRDefault="009A42E5" w:rsidP="00BC479E">
            <w:pPr>
              <w:jc w:val="right"/>
              <w:rPr>
                <w:b/>
                <w:bCs/>
                <w:sz w:val="18"/>
                <w:szCs w:val="18"/>
              </w:rPr>
            </w:pPr>
            <w:r>
              <w:rPr>
                <w:b/>
                <w:bCs/>
                <w:sz w:val="18"/>
                <w:szCs w:val="18"/>
              </w:rPr>
              <w:t>2.0</w:t>
            </w:r>
          </w:p>
        </w:tc>
        <w:tc>
          <w:tcPr>
            <w:tcW w:w="1089" w:type="dxa"/>
            <w:gridSpan w:val="2"/>
            <w:tcBorders>
              <w:top w:val="nil"/>
              <w:left w:val="nil"/>
              <w:bottom w:val="nil"/>
              <w:right w:val="nil"/>
            </w:tcBorders>
          </w:tcPr>
          <w:p w14:paraId="03E9F5A1" w14:textId="4269A75E" w:rsidR="00BC479E" w:rsidRPr="00BC479E" w:rsidRDefault="00BC479E" w:rsidP="00BC479E">
            <w:pPr>
              <w:pStyle w:val="T2"/>
              <w:jc w:val="right"/>
            </w:pPr>
            <w:r w:rsidRPr="00BC479E">
              <w:t>2.0</w:t>
            </w:r>
          </w:p>
        </w:tc>
      </w:tr>
      <w:tr w:rsidR="00BC479E" w14:paraId="2A517D65" w14:textId="77777777" w:rsidTr="00125AF5">
        <w:trPr>
          <w:gridBefore w:val="1"/>
          <w:wBefore w:w="108" w:type="dxa"/>
        </w:trPr>
        <w:tc>
          <w:tcPr>
            <w:tcW w:w="7371" w:type="dxa"/>
            <w:tcBorders>
              <w:top w:val="nil"/>
              <w:left w:val="nil"/>
              <w:bottom w:val="single" w:sz="2" w:space="0" w:color="auto"/>
              <w:right w:val="nil"/>
            </w:tcBorders>
            <w:vAlign w:val="bottom"/>
          </w:tcPr>
          <w:p w14:paraId="07514F94" w14:textId="77777777" w:rsidR="00BC479E" w:rsidRPr="000D1D55" w:rsidRDefault="00BC479E" w:rsidP="00BC479E">
            <w:pPr>
              <w:pStyle w:val="T2"/>
              <w:jc w:val="left"/>
            </w:pPr>
            <w:r w:rsidRPr="000D1D55">
              <w:t>FX and fair value movements</w:t>
            </w:r>
            <w:r w:rsidRPr="005C6269">
              <w:rPr>
                <w:vertAlign w:val="superscript"/>
              </w:rPr>
              <w:t>(A)</w:t>
            </w:r>
            <w:r w:rsidRPr="000D1D55">
              <w:t xml:space="preserve"> </w:t>
            </w:r>
          </w:p>
        </w:tc>
        <w:tc>
          <w:tcPr>
            <w:tcW w:w="1276" w:type="dxa"/>
            <w:tcBorders>
              <w:top w:val="nil"/>
              <w:left w:val="nil"/>
              <w:bottom w:val="single" w:sz="2" w:space="0" w:color="auto"/>
              <w:right w:val="nil"/>
            </w:tcBorders>
          </w:tcPr>
          <w:p w14:paraId="55668D7F" w14:textId="6A1807B4" w:rsidR="00BC479E" w:rsidRPr="000948AD" w:rsidRDefault="009A42E5" w:rsidP="00BC479E">
            <w:pPr>
              <w:jc w:val="right"/>
              <w:rPr>
                <w:b/>
                <w:bCs/>
                <w:sz w:val="18"/>
                <w:szCs w:val="18"/>
              </w:rPr>
            </w:pPr>
            <w:r>
              <w:rPr>
                <w:b/>
                <w:bCs/>
                <w:sz w:val="18"/>
                <w:szCs w:val="18"/>
              </w:rPr>
              <w:t>0.1</w:t>
            </w:r>
          </w:p>
        </w:tc>
        <w:tc>
          <w:tcPr>
            <w:tcW w:w="1089" w:type="dxa"/>
            <w:gridSpan w:val="2"/>
            <w:tcBorders>
              <w:top w:val="nil"/>
              <w:left w:val="nil"/>
              <w:bottom w:val="single" w:sz="2" w:space="0" w:color="auto"/>
              <w:right w:val="nil"/>
            </w:tcBorders>
          </w:tcPr>
          <w:p w14:paraId="5A4F2BD5" w14:textId="2F75C773" w:rsidR="00BC479E" w:rsidRPr="00BC479E" w:rsidRDefault="00BC479E" w:rsidP="00BC479E">
            <w:pPr>
              <w:pStyle w:val="T2"/>
              <w:jc w:val="right"/>
            </w:pPr>
            <w:r w:rsidRPr="00BC479E">
              <w:t>0.7</w:t>
            </w:r>
          </w:p>
        </w:tc>
      </w:tr>
      <w:tr w:rsidR="00BC479E" w14:paraId="02345467" w14:textId="77777777" w:rsidTr="00125AF5">
        <w:trPr>
          <w:gridBefore w:val="1"/>
          <w:wBefore w:w="108" w:type="dxa"/>
        </w:trPr>
        <w:tc>
          <w:tcPr>
            <w:tcW w:w="7371" w:type="dxa"/>
            <w:tcBorders>
              <w:top w:val="single" w:sz="2" w:space="0" w:color="auto"/>
              <w:left w:val="nil"/>
              <w:bottom w:val="single" w:sz="8" w:space="0" w:color="auto"/>
              <w:right w:val="nil"/>
            </w:tcBorders>
            <w:vAlign w:val="bottom"/>
          </w:tcPr>
          <w:p w14:paraId="13445E91" w14:textId="38AE182D" w:rsidR="00BC479E" w:rsidRPr="003479B7" w:rsidRDefault="00BC479E" w:rsidP="00BC479E">
            <w:pPr>
              <w:pStyle w:val="T2"/>
              <w:jc w:val="left"/>
              <w:rPr>
                <w:b/>
              </w:rPr>
            </w:pPr>
            <w:r w:rsidRPr="003479B7">
              <w:rPr>
                <w:b/>
              </w:rPr>
              <w:t>Adjusted Profit</w:t>
            </w:r>
            <w:r w:rsidR="009A42E5">
              <w:rPr>
                <w:b/>
              </w:rPr>
              <w:t>/(Loss)</w:t>
            </w:r>
            <w:r w:rsidRPr="003479B7">
              <w:rPr>
                <w:b/>
              </w:rPr>
              <w:t xml:space="preserve"> Before Tax </w:t>
            </w:r>
          </w:p>
        </w:tc>
        <w:tc>
          <w:tcPr>
            <w:tcW w:w="1276" w:type="dxa"/>
            <w:tcBorders>
              <w:top w:val="single" w:sz="2" w:space="0" w:color="auto"/>
              <w:left w:val="nil"/>
              <w:bottom w:val="single" w:sz="8" w:space="0" w:color="auto"/>
              <w:right w:val="nil"/>
            </w:tcBorders>
          </w:tcPr>
          <w:p w14:paraId="40EC901B" w14:textId="7E3AEEE2" w:rsidR="00BC479E" w:rsidRPr="000948AD" w:rsidRDefault="009A42E5" w:rsidP="00BC479E">
            <w:pPr>
              <w:jc w:val="right"/>
              <w:rPr>
                <w:b/>
                <w:bCs/>
                <w:sz w:val="18"/>
                <w:szCs w:val="18"/>
              </w:rPr>
            </w:pPr>
            <w:r>
              <w:rPr>
                <w:b/>
                <w:bCs/>
                <w:sz w:val="18"/>
                <w:szCs w:val="18"/>
              </w:rPr>
              <w:t>11.7</w:t>
            </w:r>
          </w:p>
        </w:tc>
        <w:tc>
          <w:tcPr>
            <w:tcW w:w="1089" w:type="dxa"/>
            <w:gridSpan w:val="2"/>
            <w:tcBorders>
              <w:top w:val="single" w:sz="2" w:space="0" w:color="auto"/>
              <w:left w:val="nil"/>
              <w:bottom w:val="single" w:sz="8" w:space="0" w:color="auto"/>
              <w:right w:val="nil"/>
            </w:tcBorders>
          </w:tcPr>
          <w:p w14:paraId="4E6134D3" w14:textId="198C41FE" w:rsidR="00BC479E" w:rsidRPr="00BC479E" w:rsidRDefault="00BC479E" w:rsidP="00BC479E">
            <w:pPr>
              <w:pStyle w:val="T2"/>
              <w:jc w:val="right"/>
            </w:pPr>
            <w:r w:rsidRPr="00BC479E">
              <w:t>(7.9)</w:t>
            </w:r>
          </w:p>
        </w:tc>
      </w:tr>
      <w:tr w:rsidR="000948AD" w14:paraId="091DBB2B" w14:textId="77777777" w:rsidTr="005B3BEE">
        <w:trPr>
          <w:gridAfter w:val="1"/>
          <w:wAfter w:w="108" w:type="dxa"/>
        </w:trPr>
        <w:tc>
          <w:tcPr>
            <w:tcW w:w="9736" w:type="dxa"/>
            <w:gridSpan w:val="4"/>
            <w:tcBorders>
              <w:top w:val="single" w:sz="8" w:space="0" w:color="auto"/>
              <w:left w:val="nil"/>
              <w:bottom w:val="nil"/>
              <w:right w:val="nil"/>
            </w:tcBorders>
            <w:vAlign w:val="center"/>
          </w:tcPr>
          <w:p w14:paraId="2C96AD6A" w14:textId="77777777" w:rsidR="000948AD" w:rsidRDefault="000948AD" w:rsidP="000948AD">
            <w:pPr>
              <w:pStyle w:val="T2"/>
              <w:ind w:left="176"/>
              <w:jc w:val="left"/>
              <w:rPr>
                <w:sz w:val="15"/>
                <w:szCs w:val="15"/>
              </w:rPr>
            </w:pPr>
          </w:p>
          <w:p w14:paraId="2B87859E" w14:textId="7A12626B" w:rsidR="000948AD" w:rsidRPr="005B3BEE" w:rsidRDefault="000948AD" w:rsidP="006B25B9">
            <w:pPr>
              <w:pStyle w:val="T2"/>
              <w:numPr>
                <w:ilvl w:val="0"/>
                <w:numId w:val="6"/>
              </w:numPr>
              <w:jc w:val="left"/>
              <w:rPr>
                <w:sz w:val="15"/>
                <w:szCs w:val="15"/>
              </w:rPr>
            </w:pPr>
            <w:r>
              <w:rPr>
                <w:sz w:val="15"/>
                <w:szCs w:val="15"/>
              </w:rPr>
              <w:t xml:space="preserve"> </w:t>
            </w:r>
            <w:r w:rsidRPr="005B3BEE">
              <w:rPr>
                <w:sz w:val="15"/>
                <w:szCs w:val="15"/>
              </w:rPr>
              <w:t>FX on inter–company and certain external balances and the movement in the fair value of all derivative financial instruments and related debt</w:t>
            </w:r>
            <w:r w:rsidR="008323E9">
              <w:rPr>
                <w:sz w:val="15"/>
                <w:szCs w:val="15"/>
              </w:rPr>
              <w:t xml:space="preserve"> </w:t>
            </w:r>
            <w:r w:rsidRPr="005B3BEE">
              <w:rPr>
                <w:sz w:val="15"/>
                <w:szCs w:val="15"/>
              </w:rPr>
              <w:t>adjustments</w:t>
            </w:r>
          </w:p>
        </w:tc>
      </w:tr>
    </w:tbl>
    <w:p w14:paraId="54A22002" w14:textId="77777777" w:rsidR="00773F7B" w:rsidRDefault="00773F7B" w:rsidP="00773F7B">
      <w:pPr>
        <w:pStyle w:val="Paragraph"/>
        <w:rPr>
          <w:b/>
        </w:rPr>
      </w:pPr>
      <w:r w:rsidRPr="00B8126A">
        <w:rPr>
          <w:b/>
        </w:rPr>
        <w:t>ADJUSTED EARNINGS PER SHARE ('EPS')</w:t>
      </w:r>
    </w:p>
    <w:p w14:paraId="6AB2E030" w14:textId="77777777" w:rsidR="00773F7B" w:rsidRDefault="00773F7B" w:rsidP="00773F7B">
      <w:pPr>
        <w:pStyle w:val="Paragraph"/>
        <w:jc w:val="both"/>
      </w:pPr>
      <w:r>
        <w:t>The Group uses Adjusted Earnings and Adjusted EPS as key measures of the overall underlying performance of the Group and returns generated for each share.</w:t>
      </w:r>
    </w:p>
    <w:p w14:paraId="6B4F8E1E" w14:textId="77777777" w:rsidR="00773F7B" w:rsidRDefault="00773F7B" w:rsidP="00773F7B">
      <w:pPr>
        <w:pStyle w:val="Paragraph"/>
        <w:jc w:val="both"/>
      </w:pPr>
      <w:r>
        <w:t>Adjusted Earnings is calculated as Profit attributable to equity holders (as shown on the Group’s Income Statement) adjusted to exclude exceptional items (net of tax), the effect of foreign exchange (FX) on inter–company and external balances where hedge accounting is not applied, the movement in the fair value of all derivative financial instruments and related debt adjustments, the amortisation of acquisition related intangible assets (net of tax) and the interest expense relating to legacy defined benefit pension liabilities (net of tax). Adjusted EPS is calculated by dividing Adjusted Earnings by the weighted average number of Ordinary Shares in issue during the year, excluding Ordinary Shares purchased by Greencore and held in trust in respect of the Annual Bonus Plan and the Performance Share Plan. Adjusted EPS described as an APM here is Adjusted Basic EPS.</w:t>
      </w:r>
    </w:p>
    <w:p w14:paraId="660BF854" w14:textId="77777777" w:rsidR="00773F7B" w:rsidRDefault="00773F7B" w:rsidP="00773F7B">
      <w:pPr>
        <w:pStyle w:val="Paragraph"/>
        <w:jc w:val="both"/>
      </w:pPr>
      <w:r w:rsidRPr="00B8126A">
        <w:t xml:space="preserve">The following table sets forth a reconciliation of the Group’s Profit attributable to equity holders of </w:t>
      </w:r>
      <w:r>
        <w:t>the Company</w:t>
      </w:r>
      <w:r w:rsidRPr="00B8126A">
        <w:t xml:space="preserve"> to its Adjusted Earnings for the financial years indicated.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65"/>
        <w:gridCol w:w="1282"/>
        <w:gridCol w:w="1099"/>
      </w:tblGrid>
      <w:tr w:rsidR="00773F7B" w14:paraId="1B46DAE8" w14:textId="77777777" w:rsidTr="00773F7B">
        <w:tc>
          <w:tcPr>
            <w:tcW w:w="7365" w:type="dxa"/>
            <w:vAlign w:val="bottom"/>
          </w:tcPr>
          <w:p w14:paraId="5D221149" w14:textId="77777777" w:rsidR="00773F7B" w:rsidRPr="00E5128C" w:rsidRDefault="00773F7B" w:rsidP="00773F7B">
            <w:pPr>
              <w:pStyle w:val="T2"/>
              <w:jc w:val="left"/>
            </w:pPr>
          </w:p>
        </w:tc>
        <w:tc>
          <w:tcPr>
            <w:tcW w:w="1282" w:type="dxa"/>
            <w:vAlign w:val="bottom"/>
          </w:tcPr>
          <w:p w14:paraId="7EFE012C" w14:textId="77777777" w:rsidR="00AE497B" w:rsidRDefault="00AE497B" w:rsidP="005D0B94">
            <w:pPr>
              <w:pStyle w:val="T2"/>
              <w:jc w:val="right"/>
              <w:rPr>
                <w:b/>
              </w:rPr>
            </w:pPr>
          </w:p>
          <w:p w14:paraId="717FE526" w14:textId="7EE8873F" w:rsidR="00773F7B" w:rsidRPr="003A5223" w:rsidRDefault="00773F7B" w:rsidP="005D0B94">
            <w:pPr>
              <w:pStyle w:val="T2"/>
              <w:jc w:val="right"/>
              <w:rPr>
                <w:b/>
              </w:rPr>
            </w:pPr>
            <w:r w:rsidRPr="003A5223">
              <w:rPr>
                <w:b/>
              </w:rPr>
              <w:t>Half year</w:t>
            </w:r>
            <w:r w:rsidRPr="003A5223">
              <w:rPr>
                <w:b/>
              </w:rPr>
              <w:br/>
              <w:t>20</w:t>
            </w:r>
            <w:r>
              <w:rPr>
                <w:b/>
              </w:rPr>
              <w:t>2</w:t>
            </w:r>
            <w:r w:rsidR="00BC479E">
              <w:rPr>
                <w:b/>
              </w:rPr>
              <w:t>2</w:t>
            </w:r>
          </w:p>
        </w:tc>
        <w:tc>
          <w:tcPr>
            <w:tcW w:w="1099" w:type="dxa"/>
            <w:vAlign w:val="bottom"/>
          </w:tcPr>
          <w:p w14:paraId="5286DFDC" w14:textId="514E43B0" w:rsidR="00773F7B" w:rsidRPr="00E5128C" w:rsidRDefault="00773F7B" w:rsidP="000948AD">
            <w:pPr>
              <w:pStyle w:val="T2"/>
              <w:jc w:val="right"/>
            </w:pPr>
            <w:r w:rsidRPr="00E5128C">
              <w:t>Half year</w:t>
            </w:r>
            <w:r w:rsidRPr="00E5128C">
              <w:br/>
              <w:t>20</w:t>
            </w:r>
            <w:r w:rsidR="000948AD">
              <w:t>2</w:t>
            </w:r>
            <w:r w:rsidR="00BC479E">
              <w:t>1</w:t>
            </w:r>
          </w:p>
        </w:tc>
      </w:tr>
      <w:tr w:rsidR="00773F7B" w14:paraId="46277328" w14:textId="77777777" w:rsidTr="00773F7B">
        <w:tc>
          <w:tcPr>
            <w:tcW w:w="7365" w:type="dxa"/>
            <w:tcBorders>
              <w:bottom w:val="single" w:sz="2" w:space="0" w:color="auto"/>
            </w:tcBorders>
            <w:vAlign w:val="bottom"/>
          </w:tcPr>
          <w:p w14:paraId="0848C3E9" w14:textId="77777777" w:rsidR="00773F7B" w:rsidRPr="00E5128C" w:rsidRDefault="00773F7B" w:rsidP="00773F7B">
            <w:pPr>
              <w:pStyle w:val="T2"/>
              <w:jc w:val="left"/>
            </w:pPr>
          </w:p>
        </w:tc>
        <w:tc>
          <w:tcPr>
            <w:tcW w:w="1282" w:type="dxa"/>
            <w:tcBorders>
              <w:bottom w:val="single" w:sz="2" w:space="0" w:color="auto"/>
            </w:tcBorders>
            <w:vAlign w:val="bottom"/>
          </w:tcPr>
          <w:p w14:paraId="6A907C03" w14:textId="77777777" w:rsidR="00773F7B" w:rsidRPr="003A5223" w:rsidRDefault="00773F7B" w:rsidP="00773F7B">
            <w:pPr>
              <w:pStyle w:val="T2"/>
              <w:jc w:val="right"/>
              <w:rPr>
                <w:b/>
              </w:rPr>
            </w:pPr>
            <w:r w:rsidRPr="003A5223">
              <w:rPr>
                <w:b/>
              </w:rPr>
              <w:t>£m</w:t>
            </w:r>
          </w:p>
        </w:tc>
        <w:tc>
          <w:tcPr>
            <w:tcW w:w="1099" w:type="dxa"/>
            <w:tcBorders>
              <w:bottom w:val="single" w:sz="2" w:space="0" w:color="auto"/>
            </w:tcBorders>
            <w:vAlign w:val="bottom"/>
          </w:tcPr>
          <w:p w14:paraId="43F26C09" w14:textId="77777777" w:rsidR="00773F7B" w:rsidRPr="00E5128C" w:rsidRDefault="00773F7B" w:rsidP="00773F7B">
            <w:pPr>
              <w:pStyle w:val="T2"/>
              <w:jc w:val="right"/>
            </w:pPr>
            <w:r w:rsidRPr="00E5128C">
              <w:t>£m</w:t>
            </w:r>
          </w:p>
        </w:tc>
      </w:tr>
      <w:tr w:rsidR="00BC479E" w14:paraId="3BAA965B" w14:textId="77777777" w:rsidTr="00175663">
        <w:tc>
          <w:tcPr>
            <w:tcW w:w="7365" w:type="dxa"/>
            <w:tcBorders>
              <w:top w:val="single" w:sz="2" w:space="0" w:color="auto"/>
            </w:tcBorders>
            <w:vAlign w:val="bottom"/>
          </w:tcPr>
          <w:p w14:paraId="72798FDB" w14:textId="77777777" w:rsidR="00BC479E" w:rsidRPr="003A5223" w:rsidRDefault="00BC479E" w:rsidP="00BC479E">
            <w:pPr>
              <w:pStyle w:val="T2"/>
              <w:jc w:val="left"/>
              <w:rPr>
                <w:b/>
              </w:rPr>
            </w:pPr>
            <w:r w:rsidRPr="003A5223">
              <w:rPr>
                <w:b/>
              </w:rPr>
              <w:t xml:space="preserve">Profit attributable to equity holders of </w:t>
            </w:r>
            <w:r>
              <w:rPr>
                <w:b/>
              </w:rPr>
              <w:t>the Company</w:t>
            </w:r>
          </w:p>
        </w:tc>
        <w:tc>
          <w:tcPr>
            <w:tcW w:w="1282" w:type="dxa"/>
            <w:tcBorders>
              <w:top w:val="single" w:sz="2" w:space="0" w:color="auto"/>
            </w:tcBorders>
          </w:tcPr>
          <w:p w14:paraId="3C90CBF4" w14:textId="4C73C799" w:rsidR="00BC479E" w:rsidRPr="005C6269" w:rsidRDefault="009A42E5" w:rsidP="00BC479E">
            <w:pPr>
              <w:jc w:val="right"/>
              <w:rPr>
                <w:b/>
                <w:sz w:val="18"/>
                <w:szCs w:val="18"/>
              </w:rPr>
            </w:pPr>
            <w:r>
              <w:rPr>
                <w:b/>
                <w:bCs/>
                <w:sz w:val="18"/>
                <w:szCs w:val="18"/>
              </w:rPr>
              <w:t>0.8</w:t>
            </w:r>
          </w:p>
        </w:tc>
        <w:tc>
          <w:tcPr>
            <w:tcW w:w="1099" w:type="dxa"/>
            <w:tcBorders>
              <w:top w:val="single" w:sz="2" w:space="0" w:color="auto"/>
            </w:tcBorders>
          </w:tcPr>
          <w:p w14:paraId="19ED322D" w14:textId="4A702437" w:rsidR="00BC479E" w:rsidRPr="00BC479E" w:rsidRDefault="00BC479E" w:rsidP="00BC479E">
            <w:pPr>
              <w:pStyle w:val="T2"/>
              <w:jc w:val="right"/>
              <w:rPr>
                <w:bCs/>
              </w:rPr>
            </w:pPr>
            <w:r w:rsidRPr="00BC479E">
              <w:rPr>
                <w:bCs/>
              </w:rPr>
              <w:t>0.1</w:t>
            </w:r>
          </w:p>
        </w:tc>
      </w:tr>
      <w:tr w:rsidR="00BC479E" w14:paraId="43520106" w14:textId="77777777" w:rsidTr="00175663">
        <w:tc>
          <w:tcPr>
            <w:tcW w:w="7365" w:type="dxa"/>
            <w:vAlign w:val="bottom"/>
          </w:tcPr>
          <w:p w14:paraId="1A56E8C5" w14:textId="77777777" w:rsidR="00BC479E" w:rsidRPr="00E5128C" w:rsidRDefault="00BC479E" w:rsidP="00BC479E">
            <w:pPr>
              <w:pStyle w:val="T2"/>
              <w:jc w:val="left"/>
            </w:pPr>
            <w:r w:rsidRPr="00E5128C">
              <w:t>Exceptional items (net of tax)</w:t>
            </w:r>
          </w:p>
        </w:tc>
        <w:tc>
          <w:tcPr>
            <w:tcW w:w="1282" w:type="dxa"/>
          </w:tcPr>
          <w:p w14:paraId="132C7A87" w14:textId="176DE77E" w:rsidR="00BC479E" w:rsidRPr="005C6269" w:rsidRDefault="009A42E5" w:rsidP="00BC479E">
            <w:pPr>
              <w:jc w:val="right"/>
              <w:rPr>
                <w:b/>
                <w:sz w:val="18"/>
                <w:szCs w:val="18"/>
              </w:rPr>
            </w:pPr>
            <w:r>
              <w:rPr>
                <w:b/>
                <w:bCs/>
                <w:sz w:val="18"/>
                <w:szCs w:val="18"/>
              </w:rPr>
              <w:t>6.5</w:t>
            </w:r>
          </w:p>
        </w:tc>
        <w:tc>
          <w:tcPr>
            <w:tcW w:w="1099" w:type="dxa"/>
          </w:tcPr>
          <w:p w14:paraId="2C653FEC" w14:textId="2AA976EE" w:rsidR="00BC479E" w:rsidRPr="00BC479E" w:rsidRDefault="00BC479E" w:rsidP="00BC479E">
            <w:pPr>
              <w:pStyle w:val="T2"/>
              <w:jc w:val="right"/>
              <w:rPr>
                <w:bCs/>
              </w:rPr>
            </w:pPr>
            <w:r w:rsidRPr="00BC479E">
              <w:rPr>
                <w:bCs/>
              </w:rPr>
              <w:t>(9.9)</w:t>
            </w:r>
          </w:p>
        </w:tc>
      </w:tr>
      <w:tr w:rsidR="00BC479E" w14:paraId="2EAE44E2" w14:textId="77777777" w:rsidTr="00175663">
        <w:tc>
          <w:tcPr>
            <w:tcW w:w="7365" w:type="dxa"/>
            <w:vAlign w:val="bottom"/>
          </w:tcPr>
          <w:p w14:paraId="3BFE172D" w14:textId="77777777" w:rsidR="00BC479E" w:rsidRPr="00E5128C" w:rsidRDefault="00BC479E" w:rsidP="00BC479E">
            <w:pPr>
              <w:pStyle w:val="T2"/>
              <w:jc w:val="left"/>
            </w:pPr>
            <w:r w:rsidRPr="00E5128C">
              <w:t>FX effect on inter</w:t>
            </w:r>
            <w:r>
              <w:t>–</w:t>
            </w:r>
            <w:r w:rsidRPr="00E5128C">
              <w:t>company and external balances where hedge accounting is not applied</w:t>
            </w:r>
          </w:p>
        </w:tc>
        <w:tc>
          <w:tcPr>
            <w:tcW w:w="1282" w:type="dxa"/>
          </w:tcPr>
          <w:p w14:paraId="1DCBE494" w14:textId="1F41BA29" w:rsidR="00BC479E" w:rsidRPr="005C6269" w:rsidRDefault="009A42E5" w:rsidP="00BC479E">
            <w:pPr>
              <w:jc w:val="right"/>
              <w:rPr>
                <w:b/>
                <w:sz w:val="18"/>
                <w:szCs w:val="18"/>
              </w:rPr>
            </w:pPr>
            <w:r>
              <w:rPr>
                <w:b/>
                <w:bCs/>
                <w:sz w:val="18"/>
                <w:szCs w:val="18"/>
              </w:rPr>
              <w:t>0.5</w:t>
            </w:r>
          </w:p>
        </w:tc>
        <w:tc>
          <w:tcPr>
            <w:tcW w:w="1099" w:type="dxa"/>
          </w:tcPr>
          <w:p w14:paraId="320CC354" w14:textId="522050CD" w:rsidR="00BC479E" w:rsidRPr="00BC479E" w:rsidRDefault="00BC479E" w:rsidP="00BC479E">
            <w:pPr>
              <w:pStyle w:val="T2"/>
              <w:jc w:val="right"/>
              <w:rPr>
                <w:bCs/>
              </w:rPr>
            </w:pPr>
            <w:r w:rsidRPr="00BC479E">
              <w:rPr>
                <w:bCs/>
              </w:rPr>
              <w:t>(0.4)</w:t>
            </w:r>
          </w:p>
        </w:tc>
      </w:tr>
      <w:tr w:rsidR="00BC479E" w14:paraId="217669E4" w14:textId="77777777" w:rsidTr="00175663">
        <w:tc>
          <w:tcPr>
            <w:tcW w:w="7365" w:type="dxa"/>
            <w:vAlign w:val="bottom"/>
          </w:tcPr>
          <w:p w14:paraId="6E9563FF" w14:textId="77777777" w:rsidR="00BC479E" w:rsidRPr="00E5128C" w:rsidRDefault="00BC479E" w:rsidP="00BC479E">
            <w:pPr>
              <w:pStyle w:val="T2"/>
              <w:jc w:val="left"/>
            </w:pPr>
            <w:r w:rsidRPr="00E5128C">
              <w:t>Movement in fair value of derivative financial instruments and related debt adjustments</w:t>
            </w:r>
          </w:p>
        </w:tc>
        <w:tc>
          <w:tcPr>
            <w:tcW w:w="1282" w:type="dxa"/>
          </w:tcPr>
          <w:p w14:paraId="742A1BEE" w14:textId="0F50E5BF" w:rsidR="00BC479E" w:rsidRPr="005C6269" w:rsidRDefault="009A42E5" w:rsidP="00BC479E">
            <w:pPr>
              <w:jc w:val="right"/>
              <w:rPr>
                <w:b/>
                <w:sz w:val="18"/>
                <w:szCs w:val="18"/>
              </w:rPr>
            </w:pPr>
            <w:r>
              <w:rPr>
                <w:b/>
                <w:bCs/>
                <w:sz w:val="18"/>
                <w:szCs w:val="18"/>
              </w:rPr>
              <w:t>(0.4)</w:t>
            </w:r>
          </w:p>
        </w:tc>
        <w:tc>
          <w:tcPr>
            <w:tcW w:w="1099" w:type="dxa"/>
          </w:tcPr>
          <w:p w14:paraId="0E7E61B1" w14:textId="7B2C8485" w:rsidR="00BC479E" w:rsidRPr="00BC479E" w:rsidRDefault="00BC479E" w:rsidP="00BC479E">
            <w:pPr>
              <w:pStyle w:val="T2"/>
              <w:jc w:val="right"/>
              <w:rPr>
                <w:bCs/>
              </w:rPr>
            </w:pPr>
            <w:r w:rsidRPr="00BC479E">
              <w:rPr>
                <w:bCs/>
              </w:rPr>
              <w:t>1.1</w:t>
            </w:r>
          </w:p>
        </w:tc>
      </w:tr>
      <w:tr w:rsidR="00BC479E" w14:paraId="0C24A4B3" w14:textId="77777777" w:rsidTr="00175663">
        <w:tc>
          <w:tcPr>
            <w:tcW w:w="7365" w:type="dxa"/>
            <w:vAlign w:val="bottom"/>
          </w:tcPr>
          <w:p w14:paraId="56C91835" w14:textId="77777777" w:rsidR="00BC479E" w:rsidRPr="00E5128C" w:rsidRDefault="00BC479E" w:rsidP="00BC479E">
            <w:pPr>
              <w:pStyle w:val="T2"/>
              <w:jc w:val="left"/>
            </w:pPr>
            <w:r w:rsidRPr="00E5128C">
              <w:t>Amortisation of acquisition related intangible assets (net of tax)</w:t>
            </w:r>
          </w:p>
        </w:tc>
        <w:tc>
          <w:tcPr>
            <w:tcW w:w="1282" w:type="dxa"/>
          </w:tcPr>
          <w:p w14:paraId="7BB294EC" w14:textId="75098E95" w:rsidR="00BC479E" w:rsidRPr="005C6269" w:rsidRDefault="009A42E5" w:rsidP="00BC479E">
            <w:pPr>
              <w:jc w:val="right"/>
              <w:rPr>
                <w:b/>
                <w:sz w:val="18"/>
                <w:szCs w:val="18"/>
              </w:rPr>
            </w:pPr>
            <w:r>
              <w:rPr>
                <w:b/>
                <w:bCs/>
                <w:sz w:val="18"/>
                <w:szCs w:val="18"/>
              </w:rPr>
              <w:t>1.</w:t>
            </w:r>
            <w:r w:rsidR="00403C56">
              <w:rPr>
                <w:b/>
                <w:bCs/>
                <w:sz w:val="18"/>
                <w:szCs w:val="18"/>
              </w:rPr>
              <w:t>5</w:t>
            </w:r>
          </w:p>
        </w:tc>
        <w:tc>
          <w:tcPr>
            <w:tcW w:w="1099" w:type="dxa"/>
          </w:tcPr>
          <w:p w14:paraId="0D08229D" w14:textId="684EA003" w:rsidR="00BC479E" w:rsidRPr="00BC479E" w:rsidRDefault="00BC479E" w:rsidP="00BC479E">
            <w:pPr>
              <w:pStyle w:val="T2"/>
              <w:jc w:val="right"/>
              <w:rPr>
                <w:bCs/>
              </w:rPr>
            </w:pPr>
            <w:r w:rsidRPr="00BC479E">
              <w:rPr>
                <w:bCs/>
              </w:rPr>
              <w:t>1.6</w:t>
            </w:r>
          </w:p>
        </w:tc>
      </w:tr>
      <w:tr w:rsidR="00BC479E" w14:paraId="738ADA38" w14:textId="77777777" w:rsidTr="00175663">
        <w:tc>
          <w:tcPr>
            <w:tcW w:w="7365" w:type="dxa"/>
            <w:tcBorders>
              <w:bottom w:val="single" w:sz="2" w:space="0" w:color="auto"/>
            </w:tcBorders>
            <w:vAlign w:val="bottom"/>
          </w:tcPr>
          <w:p w14:paraId="74CF1B53" w14:textId="77777777" w:rsidR="00BC479E" w:rsidRPr="00E5128C" w:rsidRDefault="00BC479E" w:rsidP="00BC479E">
            <w:pPr>
              <w:pStyle w:val="T2"/>
              <w:jc w:val="left"/>
            </w:pPr>
            <w:r w:rsidRPr="00E5128C">
              <w:t>Pension financing (net of tax)</w:t>
            </w:r>
          </w:p>
        </w:tc>
        <w:tc>
          <w:tcPr>
            <w:tcW w:w="1282" w:type="dxa"/>
            <w:tcBorders>
              <w:bottom w:val="single" w:sz="2" w:space="0" w:color="auto"/>
            </w:tcBorders>
          </w:tcPr>
          <w:p w14:paraId="4858371D" w14:textId="158D60F1" w:rsidR="00BC479E" w:rsidRPr="005C6269" w:rsidRDefault="009A42E5" w:rsidP="00BC479E">
            <w:pPr>
              <w:jc w:val="right"/>
              <w:rPr>
                <w:b/>
                <w:sz w:val="18"/>
                <w:szCs w:val="18"/>
              </w:rPr>
            </w:pPr>
            <w:r>
              <w:rPr>
                <w:b/>
                <w:bCs/>
                <w:sz w:val="18"/>
                <w:szCs w:val="18"/>
              </w:rPr>
              <w:t>0.</w:t>
            </w:r>
            <w:r w:rsidR="00403C56">
              <w:rPr>
                <w:b/>
                <w:bCs/>
                <w:sz w:val="18"/>
                <w:szCs w:val="18"/>
              </w:rPr>
              <w:t>5</w:t>
            </w:r>
          </w:p>
        </w:tc>
        <w:tc>
          <w:tcPr>
            <w:tcW w:w="1099" w:type="dxa"/>
            <w:tcBorders>
              <w:bottom w:val="single" w:sz="2" w:space="0" w:color="auto"/>
            </w:tcBorders>
          </w:tcPr>
          <w:p w14:paraId="7B472607" w14:textId="3ACF70A2" w:rsidR="00BC479E" w:rsidRPr="00BC479E" w:rsidRDefault="00BC479E" w:rsidP="00BC479E">
            <w:pPr>
              <w:pStyle w:val="T2"/>
              <w:jc w:val="right"/>
              <w:rPr>
                <w:bCs/>
              </w:rPr>
            </w:pPr>
            <w:r w:rsidRPr="00BC479E">
              <w:rPr>
                <w:bCs/>
              </w:rPr>
              <w:t>0.7</w:t>
            </w:r>
          </w:p>
        </w:tc>
      </w:tr>
      <w:tr w:rsidR="00BC479E" w14:paraId="31F44417" w14:textId="77777777" w:rsidTr="00175663">
        <w:tc>
          <w:tcPr>
            <w:tcW w:w="7365" w:type="dxa"/>
            <w:tcBorders>
              <w:top w:val="single" w:sz="2" w:space="0" w:color="auto"/>
              <w:bottom w:val="single" w:sz="2" w:space="0" w:color="auto"/>
            </w:tcBorders>
            <w:vAlign w:val="bottom"/>
          </w:tcPr>
          <w:p w14:paraId="30E283F7" w14:textId="70C4A1AC" w:rsidR="00BC479E" w:rsidRPr="003A5223" w:rsidRDefault="00BC479E" w:rsidP="00BC479E">
            <w:pPr>
              <w:pStyle w:val="T2"/>
              <w:jc w:val="left"/>
              <w:rPr>
                <w:b/>
              </w:rPr>
            </w:pPr>
            <w:r w:rsidRPr="003A5223">
              <w:rPr>
                <w:b/>
              </w:rPr>
              <w:t>Adjusted</w:t>
            </w:r>
            <w:r>
              <w:rPr>
                <w:b/>
              </w:rPr>
              <w:t xml:space="preserve"> </w:t>
            </w:r>
            <w:r w:rsidRPr="003A5223">
              <w:rPr>
                <w:b/>
              </w:rPr>
              <w:t>Earnings</w:t>
            </w:r>
            <w:r w:rsidR="009E3D18">
              <w:rPr>
                <w:b/>
              </w:rPr>
              <w:t>/(Loss)</w:t>
            </w:r>
          </w:p>
        </w:tc>
        <w:tc>
          <w:tcPr>
            <w:tcW w:w="1282" w:type="dxa"/>
            <w:tcBorders>
              <w:top w:val="single" w:sz="2" w:space="0" w:color="auto"/>
              <w:bottom w:val="single" w:sz="2" w:space="0" w:color="auto"/>
            </w:tcBorders>
          </w:tcPr>
          <w:p w14:paraId="7CED6AAD" w14:textId="5D596433" w:rsidR="00BC479E" w:rsidRPr="005C6269" w:rsidRDefault="009A42E5" w:rsidP="00BC479E">
            <w:pPr>
              <w:jc w:val="right"/>
              <w:rPr>
                <w:b/>
                <w:sz w:val="18"/>
                <w:szCs w:val="18"/>
              </w:rPr>
            </w:pPr>
            <w:r>
              <w:rPr>
                <w:b/>
                <w:bCs/>
                <w:sz w:val="18"/>
                <w:szCs w:val="18"/>
              </w:rPr>
              <w:t>9.</w:t>
            </w:r>
            <w:r w:rsidR="00403C56">
              <w:rPr>
                <w:b/>
                <w:bCs/>
                <w:sz w:val="18"/>
                <w:szCs w:val="18"/>
              </w:rPr>
              <w:t>4</w:t>
            </w:r>
          </w:p>
        </w:tc>
        <w:tc>
          <w:tcPr>
            <w:tcW w:w="1099" w:type="dxa"/>
            <w:tcBorders>
              <w:top w:val="single" w:sz="2" w:space="0" w:color="auto"/>
              <w:bottom w:val="single" w:sz="2" w:space="0" w:color="auto"/>
            </w:tcBorders>
          </w:tcPr>
          <w:p w14:paraId="3B2267C8" w14:textId="5B8E7802" w:rsidR="00BC479E" w:rsidRPr="00BC479E" w:rsidRDefault="00BC479E" w:rsidP="00BC479E">
            <w:pPr>
              <w:pStyle w:val="T2"/>
              <w:jc w:val="right"/>
              <w:rPr>
                <w:bCs/>
              </w:rPr>
            </w:pPr>
            <w:r w:rsidRPr="00BC479E">
              <w:rPr>
                <w:bCs/>
              </w:rPr>
              <w:t>(6.8)</w:t>
            </w:r>
          </w:p>
        </w:tc>
      </w:tr>
      <w:tr w:rsidR="00773F7B" w14:paraId="4C22BBDB" w14:textId="77777777" w:rsidTr="001F1616">
        <w:tc>
          <w:tcPr>
            <w:tcW w:w="7365" w:type="dxa"/>
            <w:tcBorders>
              <w:top w:val="single" w:sz="2" w:space="0" w:color="auto"/>
            </w:tcBorders>
            <w:vAlign w:val="bottom"/>
          </w:tcPr>
          <w:p w14:paraId="02E4F76F" w14:textId="77777777" w:rsidR="00773F7B" w:rsidRPr="00E5128C" w:rsidRDefault="00773F7B" w:rsidP="00773F7B">
            <w:pPr>
              <w:pStyle w:val="T2"/>
              <w:jc w:val="left"/>
            </w:pPr>
          </w:p>
        </w:tc>
        <w:tc>
          <w:tcPr>
            <w:tcW w:w="1282" w:type="dxa"/>
            <w:tcBorders>
              <w:top w:val="single" w:sz="2" w:space="0" w:color="auto"/>
            </w:tcBorders>
            <w:vAlign w:val="bottom"/>
          </w:tcPr>
          <w:p w14:paraId="24F4FEF8" w14:textId="77777777" w:rsidR="00773F7B" w:rsidRPr="003A5223" w:rsidRDefault="00773F7B" w:rsidP="00773F7B">
            <w:pPr>
              <w:jc w:val="right"/>
              <w:rPr>
                <w:b/>
              </w:rPr>
            </w:pPr>
          </w:p>
        </w:tc>
        <w:tc>
          <w:tcPr>
            <w:tcW w:w="1099" w:type="dxa"/>
            <w:tcBorders>
              <w:top w:val="single" w:sz="2" w:space="0" w:color="auto"/>
            </w:tcBorders>
            <w:vAlign w:val="bottom"/>
          </w:tcPr>
          <w:p w14:paraId="65E638ED" w14:textId="77777777" w:rsidR="00773F7B" w:rsidRPr="00E5128C" w:rsidRDefault="00773F7B" w:rsidP="00773F7B">
            <w:pPr>
              <w:pStyle w:val="T2"/>
              <w:jc w:val="right"/>
            </w:pPr>
          </w:p>
        </w:tc>
      </w:tr>
      <w:tr w:rsidR="00773F7B" w14:paraId="0180DDCA" w14:textId="77777777" w:rsidTr="00773F7B">
        <w:tc>
          <w:tcPr>
            <w:tcW w:w="7365" w:type="dxa"/>
            <w:vAlign w:val="bottom"/>
          </w:tcPr>
          <w:p w14:paraId="6B8D9FA4" w14:textId="77777777" w:rsidR="00773F7B" w:rsidRPr="00A934DC" w:rsidRDefault="00773F7B" w:rsidP="00773F7B">
            <w:pPr>
              <w:pStyle w:val="T2"/>
            </w:pPr>
          </w:p>
        </w:tc>
        <w:tc>
          <w:tcPr>
            <w:tcW w:w="1282" w:type="dxa"/>
            <w:vAlign w:val="bottom"/>
          </w:tcPr>
          <w:p w14:paraId="333243AD" w14:textId="08D38C1B" w:rsidR="00773F7B" w:rsidRPr="003A5223" w:rsidRDefault="00773F7B" w:rsidP="005D0B94">
            <w:pPr>
              <w:pStyle w:val="T2"/>
              <w:jc w:val="right"/>
              <w:rPr>
                <w:b/>
              </w:rPr>
            </w:pPr>
            <w:r w:rsidRPr="003A5223">
              <w:rPr>
                <w:b/>
              </w:rPr>
              <w:t>Half year</w:t>
            </w:r>
            <w:r w:rsidRPr="003A5223">
              <w:rPr>
                <w:b/>
              </w:rPr>
              <w:br/>
              <w:t>20</w:t>
            </w:r>
            <w:r>
              <w:rPr>
                <w:b/>
              </w:rPr>
              <w:t>2</w:t>
            </w:r>
            <w:r w:rsidR="009E3D18">
              <w:rPr>
                <w:b/>
              </w:rPr>
              <w:t>2</w:t>
            </w:r>
          </w:p>
        </w:tc>
        <w:tc>
          <w:tcPr>
            <w:tcW w:w="1099" w:type="dxa"/>
            <w:vAlign w:val="bottom"/>
          </w:tcPr>
          <w:p w14:paraId="2A5B094F" w14:textId="0857AC43" w:rsidR="00773F7B" w:rsidRPr="00A934DC" w:rsidRDefault="00773F7B" w:rsidP="000948AD">
            <w:pPr>
              <w:pStyle w:val="T2"/>
              <w:jc w:val="right"/>
            </w:pPr>
            <w:r w:rsidRPr="00A934DC">
              <w:t>Half year</w:t>
            </w:r>
            <w:r w:rsidRPr="00A934DC">
              <w:br/>
              <w:t>20</w:t>
            </w:r>
            <w:r w:rsidR="000948AD">
              <w:t>2</w:t>
            </w:r>
            <w:r w:rsidR="00AB4E31">
              <w:t>1</w:t>
            </w:r>
          </w:p>
        </w:tc>
      </w:tr>
      <w:tr w:rsidR="00773F7B" w14:paraId="7034669A" w14:textId="77777777" w:rsidTr="001F1616">
        <w:tc>
          <w:tcPr>
            <w:tcW w:w="7365" w:type="dxa"/>
            <w:tcBorders>
              <w:bottom w:val="single" w:sz="2" w:space="0" w:color="auto"/>
            </w:tcBorders>
            <w:vAlign w:val="bottom"/>
          </w:tcPr>
          <w:p w14:paraId="47C949CD" w14:textId="77777777" w:rsidR="00773F7B" w:rsidRPr="00A934DC" w:rsidRDefault="00773F7B" w:rsidP="00773F7B">
            <w:pPr>
              <w:pStyle w:val="T2"/>
            </w:pPr>
          </w:p>
        </w:tc>
        <w:tc>
          <w:tcPr>
            <w:tcW w:w="1282" w:type="dxa"/>
            <w:tcBorders>
              <w:bottom w:val="single" w:sz="2" w:space="0" w:color="auto"/>
            </w:tcBorders>
            <w:vAlign w:val="bottom"/>
          </w:tcPr>
          <w:p w14:paraId="102118E4" w14:textId="77777777" w:rsidR="00773F7B" w:rsidRPr="003A5223" w:rsidRDefault="00773F7B" w:rsidP="00773F7B">
            <w:pPr>
              <w:pStyle w:val="T2"/>
              <w:jc w:val="right"/>
              <w:rPr>
                <w:b/>
              </w:rPr>
            </w:pPr>
            <w:r w:rsidRPr="003A5223">
              <w:rPr>
                <w:b/>
              </w:rPr>
              <w:t>‘000</w:t>
            </w:r>
          </w:p>
        </w:tc>
        <w:tc>
          <w:tcPr>
            <w:tcW w:w="1099" w:type="dxa"/>
            <w:tcBorders>
              <w:bottom w:val="single" w:sz="2" w:space="0" w:color="auto"/>
            </w:tcBorders>
            <w:vAlign w:val="bottom"/>
          </w:tcPr>
          <w:p w14:paraId="60C4927B" w14:textId="77777777" w:rsidR="00773F7B" w:rsidRPr="00A934DC" w:rsidRDefault="00773F7B" w:rsidP="00773F7B">
            <w:pPr>
              <w:pStyle w:val="T2"/>
              <w:jc w:val="right"/>
            </w:pPr>
            <w:r w:rsidRPr="00A934DC">
              <w:t>‘000</w:t>
            </w:r>
          </w:p>
        </w:tc>
      </w:tr>
      <w:tr w:rsidR="00773F7B" w14:paraId="38EDE2C5" w14:textId="77777777" w:rsidTr="001F1616">
        <w:tc>
          <w:tcPr>
            <w:tcW w:w="7365" w:type="dxa"/>
            <w:tcBorders>
              <w:top w:val="single" w:sz="2" w:space="0" w:color="auto"/>
              <w:bottom w:val="single" w:sz="2" w:space="0" w:color="auto"/>
            </w:tcBorders>
            <w:vAlign w:val="bottom"/>
          </w:tcPr>
          <w:p w14:paraId="25510DB2" w14:textId="77777777" w:rsidR="00773F7B" w:rsidRPr="003A5223" w:rsidRDefault="00773F7B" w:rsidP="00773F7B">
            <w:pPr>
              <w:pStyle w:val="T2"/>
              <w:jc w:val="left"/>
              <w:rPr>
                <w:b/>
              </w:rPr>
            </w:pPr>
            <w:r w:rsidRPr="003A5223">
              <w:rPr>
                <w:b/>
              </w:rPr>
              <w:lastRenderedPageBreak/>
              <w:t>Weighted average number of ordinary shares in issue during the year</w:t>
            </w:r>
          </w:p>
        </w:tc>
        <w:tc>
          <w:tcPr>
            <w:tcW w:w="1282" w:type="dxa"/>
            <w:tcBorders>
              <w:top w:val="single" w:sz="2" w:space="0" w:color="auto"/>
              <w:bottom w:val="single" w:sz="2" w:space="0" w:color="auto"/>
            </w:tcBorders>
            <w:vAlign w:val="bottom"/>
          </w:tcPr>
          <w:p w14:paraId="318720EF" w14:textId="56FE2C94" w:rsidR="00773F7B" w:rsidRPr="00FC568F" w:rsidRDefault="009A42E5" w:rsidP="00773F7B">
            <w:pPr>
              <w:pStyle w:val="T2"/>
              <w:jc w:val="right"/>
              <w:rPr>
                <w:b/>
                <w:bCs/>
              </w:rPr>
            </w:pPr>
            <w:r>
              <w:rPr>
                <w:b/>
                <w:bCs/>
              </w:rPr>
              <w:t>524,756</w:t>
            </w:r>
          </w:p>
        </w:tc>
        <w:tc>
          <w:tcPr>
            <w:tcW w:w="1099" w:type="dxa"/>
            <w:tcBorders>
              <w:top w:val="single" w:sz="2" w:space="0" w:color="auto"/>
              <w:bottom w:val="single" w:sz="2" w:space="0" w:color="auto"/>
            </w:tcBorders>
            <w:vAlign w:val="bottom"/>
          </w:tcPr>
          <w:p w14:paraId="28073E4D" w14:textId="693080C3" w:rsidR="00773F7B" w:rsidRPr="009E3D18" w:rsidRDefault="009E3D18" w:rsidP="000948AD">
            <w:pPr>
              <w:pStyle w:val="T2"/>
              <w:jc w:val="right"/>
            </w:pPr>
            <w:r w:rsidRPr="009E3D18">
              <w:t>498,048</w:t>
            </w:r>
          </w:p>
        </w:tc>
      </w:tr>
      <w:tr w:rsidR="00773F7B" w14:paraId="0693CCD4" w14:textId="77777777" w:rsidTr="001F1616">
        <w:tc>
          <w:tcPr>
            <w:tcW w:w="7365" w:type="dxa"/>
            <w:tcBorders>
              <w:top w:val="single" w:sz="2" w:space="0" w:color="auto"/>
            </w:tcBorders>
            <w:vAlign w:val="bottom"/>
          </w:tcPr>
          <w:p w14:paraId="19216E65" w14:textId="77777777" w:rsidR="00773F7B" w:rsidRPr="00A934DC" w:rsidRDefault="00773F7B" w:rsidP="00773F7B">
            <w:pPr>
              <w:pStyle w:val="T2"/>
              <w:jc w:val="left"/>
            </w:pPr>
          </w:p>
        </w:tc>
        <w:tc>
          <w:tcPr>
            <w:tcW w:w="1282" w:type="dxa"/>
            <w:tcBorders>
              <w:top w:val="single" w:sz="2" w:space="0" w:color="auto"/>
            </w:tcBorders>
            <w:vAlign w:val="bottom"/>
          </w:tcPr>
          <w:p w14:paraId="3294CF77" w14:textId="77777777" w:rsidR="00773F7B" w:rsidRPr="005D0EFF" w:rsidRDefault="00773F7B" w:rsidP="00773F7B">
            <w:pPr>
              <w:pStyle w:val="T2"/>
              <w:jc w:val="right"/>
              <w:rPr>
                <w:bCs/>
              </w:rPr>
            </w:pPr>
          </w:p>
        </w:tc>
        <w:tc>
          <w:tcPr>
            <w:tcW w:w="1099" w:type="dxa"/>
            <w:tcBorders>
              <w:top w:val="single" w:sz="2" w:space="0" w:color="auto"/>
            </w:tcBorders>
            <w:vAlign w:val="bottom"/>
          </w:tcPr>
          <w:p w14:paraId="11E7D99B" w14:textId="77777777" w:rsidR="00773F7B" w:rsidRPr="00A934DC" w:rsidRDefault="00773F7B" w:rsidP="00773F7B">
            <w:pPr>
              <w:pStyle w:val="T2"/>
              <w:jc w:val="right"/>
            </w:pPr>
          </w:p>
        </w:tc>
      </w:tr>
      <w:tr w:rsidR="00773F7B" w14:paraId="0028CF1E" w14:textId="77777777" w:rsidTr="001F1616">
        <w:tc>
          <w:tcPr>
            <w:tcW w:w="7365" w:type="dxa"/>
            <w:tcBorders>
              <w:bottom w:val="single" w:sz="2" w:space="0" w:color="auto"/>
            </w:tcBorders>
            <w:vAlign w:val="bottom"/>
          </w:tcPr>
          <w:p w14:paraId="6F25995C" w14:textId="77777777" w:rsidR="00773F7B" w:rsidRPr="00A934DC" w:rsidRDefault="00773F7B" w:rsidP="00773F7B">
            <w:pPr>
              <w:pStyle w:val="T2"/>
              <w:jc w:val="left"/>
            </w:pPr>
          </w:p>
        </w:tc>
        <w:tc>
          <w:tcPr>
            <w:tcW w:w="1282" w:type="dxa"/>
            <w:tcBorders>
              <w:bottom w:val="single" w:sz="2" w:space="0" w:color="auto"/>
            </w:tcBorders>
            <w:vAlign w:val="bottom"/>
          </w:tcPr>
          <w:p w14:paraId="10794F0B" w14:textId="77777777" w:rsidR="00773F7B" w:rsidRPr="002E0E9E" w:rsidRDefault="00B41E40" w:rsidP="00773F7B">
            <w:pPr>
              <w:pStyle w:val="T2"/>
              <w:jc w:val="right"/>
              <w:rPr>
                <w:b/>
                <w:bCs/>
              </w:rPr>
            </w:pPr>
            <w:r w:rsidRPr="002E0E9E">
              <w:rPr>
                <w:b/>
                <w:bCs/>
              </w:rPr>
              <w:t>Pence</w:t>
            </w:r>
          </w:p>
        </w:tc>
        <w:tc>
          <w:tcPr>
            <w:tcW w:w="1099" w:type="dxa"/>
            <w:tcBorders>
              <w:bottom w:val="single" w:sz="2" w:space="0" w:color="auto"/>
            </w:tcBorders>
            <w:vAlign w:val="bottom"/>
          </w:tcPr>
          <w:p w14:paraId="18DA0CC6" w14:textId="77777777" w:rsidR="00773F7B" w:rsidRPr="00A934DC" w:rsidRDefault="00773F7B" w:rsidP="00773F7B">
            <w:pPr>
              <w:pStyle w:val="T2"/>
              <w:jc w:val="right"/>
            </w:pPr>
            <w:r w:rsidRPr="0096767F">
              <w:rPr>
                <w:bCs/>
              </w:rPr>
              <w:t>Pence</w:t>
            </w:r>
          </w:p>
        </w:tc>
      </w:tr>
      <w:tr w:rsidR="00773F7B" w14:paraId="57614FD1" w14:textId="77777777" w:rsidTr="001F1616">
        <w:tc>
          <w:tcPr>
            <w:tcW w:w="7365" w:type="dxa"/>
            <w:tcBorders>
              <w:top w:val="single" w:sz="2" w:space="0" w:color="auto"/>
              <w:bottom w:val="single" w:sz="2" w:space="0" w:color="auto"/>
            </w:tcBorders>
            <w:vAlign w:val="bottom"/>
          </w:tcPr>
          <w:p w14:paraId="389E5471" w14:textId="3033EA83" w:rsidR="00773F7B" w:rsidRPr="003A5223" w:rsidRDefault="00773F7B" w:rsidP="00773F7B">
            <w:pPr>
              <w:pStyle w:val="T2"/>
              <w:jc w:val="left"/>
              <w:rPr>
                <w:b/>
              </w:rPr>
            </w:pPr>
            <w:r w:rsidRPr="003A5223">
              <w:rPr>
                <w:b/>
              </w:rPr>
              <w:t>Adjusted Earnings</w:t>
            </w:r>
            <w:r w:rsidR="009E3D18">
              <w:rPr>
                <w:b/>
              </w:rPr>
              <w:t>/(Loss)</w:t>
            </w:r>
            <w:r w:rsidRPr="003A5223">
              <w:rPr>
                <w:b/>
              </w:rPr>
              <w:t xml:space="preserve"> Per Share</w:t>
            </w:r>
          </w:p>
        </w:tc>
        <w:tc>
          <w:tcPr>
            <w:tcW w:w="1282" w:type="dxa"/>
            <w:tcBorders>
              <w:top w:val="single" w:sz="2" w:space="0" w:color="auto"/>
              <w:bottom w:val="single" w:sz="2" w:space="0" w:color="auto"/>
            </w:tcBorders>
            <w:vAlign w:val="bottom"/>
          </w:tcPr>
          <w:p w14:paraId="2D1A42C7" w14:textId="428F28B0" w:rsidR="00773F7B" w:rsidRPr="00FC568F" w:rsidRDefault="009A42E5">
            <w:pPr>
              <w:pStyle w:val="T2"/>
              <w:jc w:val="right"/>
              <w:rPr>
                <w:b/>
                <w:bCs/>
              </w:rPr>
            </w:pPr>
            <w:r>
              <w:rPr>
                <w:b/>
                <w:bCs/>
              </w:rPr>
              <w:t>1.8</w:t>
            </w:r>
          </w:p>
        </w:tc>
        <w:tc>
          <w:tcPr>
            <w:tcW w:w="1099" w:type="dxa"/>
            <w:tcBorders>
              <w:top w:val="single" w:sz="2" w:space="0" w:color="auto"/>
              <w:bottom w:val="single" w:sz="2" w:space="0" w:color="auto"/>
            </w:tcBorders>
            <w:vAlign w:val="bottom"/>
          </w:tcPr>
          <w:p w14:paraId="63809858" w14:textId="21E911E3" w:rsidR="00773F7B" w:rsidRPr="00A934DC" w:rsidRDefault="009E3D18" w:rsidP="00773F7B">
            <w:pPr>
              <w:pStyle w:val="T2"/>
              <w:jc w:val="right"/>
            </w:pPr>
            <w:r>
              <w:rPr>
                <w:bCs/>
              </w:rPr>
              <w:t>(1.4)</w:t>
            </w:r>
          </w:p>
        </w:tc>
      </w:tr>
    </w:tbl>
    <w:p w14:paraId="4B3FFBB0" w14:textId="77777777" w:rsidR="00773F7B" w:rsidRDefault="00773F7B" w:rsidP="00773F7B">
      <w:pPr>
        <w:pStyle w:val="Paragraph"/>
        <w:rPr>
          <w:b/>
        </w:rPr>
      </w:pPr>
    </w:p>
    <w:p w14:paraId="70A764F4" w14:textId="77777777" w:rsidR="00773F7B" w:rsidRDefault="00773F7B" w:rsidP="00773F7B">
      <w:pPr>
        <w:pStyle w:val="Paragraph"/>
        <w:rPr>
          <w:b/>
        </w:rPr>
      </w:pPr>
      <w:r w:rsidRPr="00E743B0">
        <w:rPr>
          <w:b/>
        </w:rPr>
        <w:t>CAPITAL EXPENDITURE</w:t>
      </w:r>
    </w:p>
    <w:p w14:paraId="60D8D28F" w14:textId="77777777" w:rsidR="00773F7B" w:rsidRDefault="00773F7B" w:rsidP="00773F7B">
      <w:pPr>
        <w:pStyle w:val="Paragraph"/>
        <w:rPr>
          <w:b/>
        </w:rPr>
      </w:pPr>
      <w:r w:rsidRPr="00E743B0">
        <w:rPr>
          <w:b/>
        </w:rPr>
        <w:t>MAINTENANCE CAPITAL EXPENDITURE</w:t>
      </w:r>
    </w:p>
    <w:p w14:paraId="7912A3C5" w14:textId="77777777" w:rsidR="00773F7B" w:rsidRDefault="00773F7B" w:rsidP="00773F7B">
      <w:pPr>
        <w:pStyle w:val="Paragraph"/>
        <w:jc w:val="both"/>
      </w:pPr>
      <w:r w:rsidRPr="00E743B0">
        <w:t xml:space="preserve">The Group defines Maintenance Capital Expenditure as the expenditure required for the purpose of sustaining the operating capacity and asset base of the Group, and </w:t>
      </w:r>
      <w:r>
        <w:t xml:space="preserve">to </w:t>
      </w:r>
      <w:r w:rsidRPr="00E743B0">
        <w:t>comply with applicable laws and regulations. It includes continuous improvement projects of less than £1m that will generate additional returns for the Group.</w:t>
      </w:r>
    </w:p>
    <w:p w14:paraId="5B21A504" w14:textId="77777777" w:rsidR="00773F7B" w:rsidRDefault="00773F7B" w:rsidP="00773F7B">
      <w:pPr>
        <w:pStyle w:val="Paragraph"/>
        <w:jc w:val="both"/>
      </w:pPr>
      <w:r w:rsidRPr="007B035B">
        <w:rPr>
          <w:b/>
        </w:rPr>
        <w:t>STRATEGIC CAPITAL EXPENDITURE</w:t>
      </w:r>
    </w:p>
    <w:p w14:paraId="34C46C63" w14:textId="77777777" w:rsidR="00773F7B" w:rsidRDefault="00773F7B" w:rsidP="00773F7B">
      <w:pPr>
        <w:pStyle w:val="Paragraph"/>
        <w:jc w:val="both"/>
      </w:pPr>
      <w:r w:rsidRPr="007B035B">
        <w:t>The Group defines Strategic Capital Expenditure as the expenditure required for the purpose of facilitating growth and developing and enhancing relationships with existing and new customers. It includes continuous improvement projects of greater than £1m that will generate additional returns for the Group. Strategic Capital Expenditure is generally expansionary expenditure creating additional capacity beyond what is necessary to maintain the Group’s current competitive position and enables the Group to service new customers and/or contracts or to enter into new categories and/or new manufacturing competencies.</w:t>
      </w:r>
    </w:p>
    <w:p w14:paraId="6E7ED4F3" w14:textId="77777777" w:rsidR="000948AD" w:rsidRDefault="00773F7B" w:rsidP="00773F7B">
      <w:pPr>
        <w:pStyle w:val="Paragraph"/>
        <w:jc w:val="both"/>
      </w:pPr>
      <w:r w:rsidRPr="007B035B">
        <w:t>The following table sets forth the breakdown of the Group</w:t>
      </w:r>
      <w:r>
        <w:t>’</w:t>
      </w:r>
      <w:r w:rsidRPr="007B035B">
        <w:t>s purchase of property, plant and equipment and purchase of intangible assets between Strategic Capital Expenditure and Maintenance Capital Expenditure:</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850"/>
        <w:gridCol w:w="851"/>
        <w:gridCol w:w="850"/>
        <w:gridCol w:w="851"/>
        <w:gridCol w:w="1276"/>
        <w:gridCol w:w="1134"/>
      </w:tblGrid>
      <w:tr w:rsidR="00773F7B" w:rsidRPr="00D61AE9" w14:paraId="63D7D8CB" w14:textId="77777777" w:rsidTr="00592BB5">
        <w:trPr>
          <w:trHeight w:val="645"/>
        </w:trPr>
        <w:tc>
          <w:tcPr>
            <w:tcW w:w="3969" w:type="dxa"/>
            <w:vAlign w:val="bottom"/>
          </w:tcPr>
          <w:p w14:paraId="12BC56F5" w14:textId="77777777" w:rsidR="00773F7B" w:rsidRPr="00D61AE9" w:rsidRDefault="00773F7B" w:rsidP="00773F7B">
            <w:pPr>
              <w:pStyle w:val="T2"/>
              <w:rPr>
                <w:rFonts w:ascii="Calibri" w:hAnsi="Calibri" w:cs="Calibri"/>
              </w:rPr>
            </w:pPr>
            <w:bookmarkStart w:id="23" w:name="_Hlk101431355"/>
          </w:p>
        </w:tc>
        <w:tc>
          <w:tcPr>
            <w:tcW w:w="850" w:type="dxa"/>
            <w:vAlign w:val="bottom"/>
          </w:tcPr>
          <w:p w14:paraId="5E609F0A" w14:textId="77777777" w:rsidR="00773F7B" w:rsidRPr="00737A18" w:rsidRDefault="00773F7B" w:rsidP="00592BB5">
            <w:pPr>
              <w:pStyle w:val="T2"/>
              <w:jc w:val="right"/>
              <w:rPr>
                <w:b/>
              </w:rPr>
            </w:pPr>
          </w:p>
        </w:tc>
        <w:tc>
          <w:tcPr>
            <w:tcW w:w="851" w:type="dxa"/>
            <w:vAlign w:val="bottom"/>
          </w:tcPr>
          <w:p w14:paraId="3BC218A7" w14:textId="77777777" w:rsidR="00773F7B" w:rsidRPr="00737A18" w:rsidRDefault="00773F7B" w:rsidP="00592BB5">
            <w:pPr>
              <w:pStyle w:val="T2"/>
              <w:jc w:val="right"/>
              <w:rPr>
                <w:b/>
              </w:rPr>
            </w:pPr>
          </w:p>
        </w:tc>
        <w:tc>
          <w:tcPr>
            <w:tcW w:w="850" w:type="dxa"/>
            <w:vAlign w:val="bottom"/>
          </w:tcPr>
          <w:p w14:paraId="2038863A" w14:textId="77777777" w:rsidR="00773F7B" w:rsidRPr="00737A18" w:rsidRDefault="00773F7B" w:rsidP="00592BB5">
            <w:pPr>
              <w:pStyle w:val="T2"/>
              <w:jc w:val="right"/>
              <w:rPr>
                <w:b/>
              </w:rPr>
            </w:pPr>
          </w:p>
        </w:tc>
        <w:tc>
          <w:tcPr>
            <w:tcW w:w="851" w:type="dxa"/>
            <w:vAlign w:val="bottom"/>
          </w:tcPr>
          <w:p w14:paraId="33822474" w14:textId="77777777" w:rsidR="00773F7B" w:rsidRPr="00D61AE9" w:rsidRDefault="00773F7B" w:rsidP="00592BB5">
            <w:pPr>
              <w:pStyle w:val="T2"/>
              <w:jc w:val="right"/>
            </w:pPr>
          </w:p>
        </w:tc>
        <w:tc>
          <w:tcPr>
            <w:tcW w:w="1276" w:type="dxa"/>
            <w:vAlign w:val="bottom"/>
          </w:tcPr>
          <w:p w14:paraId="22BD57A0" w14:textId="39BC49A1" w:rsidR="00773F7B" w:rsidRPr="000948AD" w:rsidRDefault="008A4891" w:rsidP="000948AD">
            <w:pPr>
              <w:pStyle w:val="T2"/>
              <w:jc w:val="right"/>
              <w:rPr>
                <w:b/>
              </w:rPr>
            </w:pPr>
            <w:r>
              <w:rPr>
                <w:b/>
              </w:rPr>
              <w:t>Half year 2022</w:t>
            </w:r>
          </w:p>
        </w:tc>
        <w:tc>
          <w:tcPr>
            <w:tcW w:w="1134" w:type="dxa"/>
            <w:vAlign w:val="bottom"/>
          </w:tcPr>
          <w:p w14:paraId="54D754AA" w14:textId="7D7694E5" w:rsidR="00773F7B" w:rsidRPr="00E5128C" w:rsidRDefault="008A4891" w:rsidP="000948AD">
            <w:pPr>
              <w:pStyle w:val="T2"/>
              <w:jc w:val="right"/>
            </w:pPr>
            <w:r>
              <w:t>Half year 2021</w:t>
            </w:r>
          </w:p>
        </w:tc>
      </w:tr>
      <w:tr w:rsidR="00773F7B" w:rsidRPr="00D61AE9" w14:paraId="49448AA8" w14:textId="77777777" w:rsidTr="00592BB5">
        <w:trPr>
          <w:trHeight w:val="218"/>
        </w:trPr>
        <w:tc>
          <w:tcPr>
            <w:tcW w:w="3969" w:type="dxa"/>
            <w:tcBorders>
              <w:bottom w:val="single" w:sz="2" w:space="0" w:color="auto"/>
            </w:tcBorders>
            <w:vAlign w:val="bottom"/>
          </w:tcPr>
          <w:p w14:paraId="6AA4D82F" w14:textId="77777777" w:rsidR="00773F7B" w:rsidRPr="00D61AE9" w:rsidRDefault="00773F7B" w:rsidP="00773F7B">
            <w:pPr>
              <w:pStyle w:val="T2"/>
              <w:rPr>
                <w:rFonts w:ascii="Calibri" w:hAnsi="Calibri" w:cs="Calibri"/>
              </w:rPr>
            </w:pPr>
          </w:p>
        </w:tc>
        <w:tc>
          <w:tcPr>
            <w:tcW w:w="850" w:type="dxa"/>
            <w:tcBorders>
              <w:bottom w:val="single" w:sz="2" w:space="0" w:color="auto"/>
            </w:tcBorders>
            <w:vAlign w:val="bottom"/>
          </w:tcPr>
          <w:p w14:paraId="51066741" w14:textId="77777777" w:rsidR="00773F7B" w:rsidRPr="00737A18" w:rsidRDefault="00773F7B" w:rsidP="00592BB5">
            <w:pPr>
              <w:pStyle w:val="T2"/>
              <w:jc w:val="right"/>
            </w:pPr>
          </w:p>
        </w:tc>
        <w:tc>
          <w:tcPr>
            <w:tcW w:w="851" w:type="dxa"/>
            <w:tcBorders>
              <w:bottom w:val="single" w:sz="2" w:space="0" w:color="auto"/>
            </w:tcBorders>
            <w:vAlign w:val="bottom"/>
          </w:tcPr>
          <w:p w14:paraId="7DB3FCD4" w14:textId="77777777" w:rsidR="00773F7B" w:rsidRPr="00143344" w:rsidRDefault="00773F7B" w:rsidP="00592BB5">
            <w:pPr>
              <w:pStyle w:val="T2"/>
              <w:jc w:val="right"/>
              <w:rPr>
                <w:b/>
              </w:rPr>
            </w:pPr>
          </w:p>
        </w:tc>
        <w:tc>
          <w:tcPr>
            <w:tcW w:w="850" w:type="dxa"/>
            <w:tcBorders>
              <w:bottom w:val="single" w:sz="2" w:space="0" w:color="auto"/>
            </w:tcBorders>
            <w:vAlign w:val="bottom"/>
          </w:tcPr>
          <w:p w14:paraId="7CF75782" w14:textId="77777777" w:rsidR="00773F7B" w:rsidRPr="00143344" w:rsidRDefault="00773F7B" w:rsidP="00592BB5">
            <w:pPr>
              <w:pStyle w:val="T2"/>
              <w:jc w:val="right"/>
              <w:rPr>
                <w:b/>
              </w:rPr>
            </w:pPr>
          </w:p>
        </w:tc>
        <w:tc>
          <w:tcPr>
            <w:tcW w:w="851" w:type="dxa"/>
            <w:tcBorders>
              <w:bottom w:val="single" w:sz="2" w:space="0" w:color="auto"/>
            </w:tcBorders>
            <w:vAlign w:val="bottom"/>
          </w:tcPr>
          <w:p w14:paraId="37E5183A" w14:textId="77777777" w:rsidR="00773F7B" w:rsidRPr="00D61AE9" w:rsidRDefault="00773F7B" w:rsidP="00592BB5">
            <w:pPr>
              <w:pStyle w:val="T2"/>
              <w:jc w:val="right"/>
            </w:pPr>
          </w:p>
        </w:tc>
        <w:tc>
          <w:tcPr>
            <w:tcW w:w="1276" w:type="dxa"/>
            <w:tcBorders>
              <w:bottom w:val="single" w:sz="2" w:space="0" w:color="auto"/>
            </w:tcBorders>
          </w:tcPr>
          <w:p w14:paraId="6ADF489A" w14:textId="77777777" w:rsidR="00773F7B" w:rsidRPr="000948AD" w:rsidRDefault="00773F7B" w:rsidP="00773F7B">
            <w:pPr>
              <w:pStyle w:val="T2"/>
              <w:jc w:val="right"/>
              <w:rPr>
                <w:b/>
              </w:rPr>
            </w:pPr>
            <w:r w:rsidRPr="000948AD">
              <w:rPr>
                <w:b/>
              </w:rPr>
              <w:t>£m</w:t>
            </w:r>
          </w:p>
        </w:tc>
        <w:tc>
          <w:tcPr>
            <w:tcW w:w="1134" w:type="dxa"/>
            <w:tcBorders>
              <w:bottom w:val="single" w:sz="2" w:space="0" w:color="auto"/>
            </w:tcBorders>
          </w:tcPr>
          <w:p w14:paraId="12F12C7E" w14:textId="77777777" w:rsidR="00773F7B" w:rsidRPr="00D61AE9" w:rsidRDefault="00773F7B" w:rsidP="00773F7B">
            <w:pPr>
              <w:pStyle w:val="T2"/>
              <w:jc w:val="right"/>
            </w:pPr>
            <w:r w:rsidRPr="00D61AE9">
              <w:t>£m</w:t>
            </w:r>
          </w:p>
        </w:tc>
      </w:tr>
      <w:tr w:rsidR="009E3D18" w:rsidRPr="00D61AE9" w14:paraId="3F556FAB" w14:textId="77777777" w:rsidTr="00592BB5">
        <w:trPr>
          <w:trHeight w:val="174"/>
        </w:trPr>
        <w:tc>
          <w:tcPr>
            <w:tcW w:w="3969" w:type="dxa"/>
            <w:tcBorders>
              <w:top w:val="single" w:sz="2" w:space="0" w:color="auto"/>
            </w:tcBorders>
            <w:vAlign w:val="bottom"/>
          </w:tcPr>
          <w:p w14:paraId="6588214D" w14:textId="77777777" w:rsidR="009E3D18" w:rsidRPr="00D61AE9" w:rsidRDefault="009E3D18" w:rsidP="009E3D18">
            <w:pPr>
              <w:pStyle w:val="T2"/>
              <w:jc w:val="left"/>
              <w:rPr>
                <w:rFonts w:ascii="Calibri" w:hAnsi="Calibri" w:cs="Calibri"/>
              </w:rPr>
            </w:pPr>
            <w:r w:rsidRPr="00D61AE9">
              <w:rPr>
                <w:rFonts w:ascii="Calibri" w:hAnsi="Calibri" w:cs="Calibri"/>
              </w:rPr>
              <w:t>Purchase of property, plant and equipment</w:t>
            </w:r>
          </w:p>
        </w:tc>
        <w:tc>
          <w:tcPr>
            <w:tcW w:w="850" w:type="dxa"/>
            <w:tcBorders>
              <w:top w:val="single" w:sz="2" w:space="0" w:color="auto"/>
            </w:tcBorders>
            <w:vAlign w:val="bottom"/>
          </w:tcPr>
          <w:p w14:paraId="327271BF" w14:textId="77777777" w:rsidR="009E3D18" w:rsidRPr="00FC568F" w:rsidRDefault="009E3D18" w:rsidP="009E3D18">
            <w:pPr>
              <w:pStyle w:val="T2"/>
              <w:jc w:val="right"/>
              <w:rPr>
                <w:rFonts w:ascii="Calibri" w:hAnsi="Calibri" w:cs="Calibri"/>
                <w:b/>
              </w:rPr>
            </w:pPr>
          </w:p>
        </w:tc>
        <w:tc>
          <w:tcPr>
            <w:tcW w:w="851" w:type="dxa"/>
            <w:tcBorders>
              <w:top w:val="single" w:sz="2" w:space="0" w:color="auto"/>
            </w:tcBorders>
            <w:vAlign w:val="bottom"/>
          </w:tcPr>
          <w:p w14:paraId="6B828001" w14:textId="77777777" w:rsidR="009E3D18" w:rsidRPr="005D0EFF" w:rsidRDefault="009E3D18" w:rsidP="009E3D18">
            <w:pPr>
              <w:pStyle w:val="T2"/>
              <w:jc w:val="right"/>
              <w:rPr>
                <w:rFonts w:ascii="Calibri" w:hAnsi="Calibri" w:cs="Calibri"/>
              </w:rPr>
            </w:pPr>
          </w:p>
        </w:tc>
        <w:tc>
          <w:tcPr>
            <w:tcW w:w="850" w:type="dxa"/>
            <w:tcBorders>
              <w:top w:val="single" w:sz="2" w:space="0" w:color="auto"/>
            </w:tcBorders>
            <w:vAlign w:val="bottom"/>
          </w:tcPr>
          <w:p w14:paraId="08759B7B" w14:textId="77777777" w:rsidR="009E3D18" w:rsidRPr="00FC568F" w:rsidRDefault="009E3D18" w:rsidP="009E3D18">
            <w:pPr>
              <w:pStyle w:val="T2"/>
              <w:jc w:val="right"/>
              <w:rPr>
                <w:rFonts w:ascii="Calibri" w:hAnsi="Calibri" w:cs="Calibri"/>
                <w:b/>
              </w:rPr>
            </w:pPr>
          </w:p>
        </w:tc>
        <w:tc>
          <w:tcPr>
            <w:tcW w:w="851" w:type="dxa"/>
            <w:tcBorders>
              <w:top w:val="single" w:sz="2" w:space="0" w:color="auto"/>
            </w:tcBorders>
            <w:vAlign w:val="bottom"/>
          </w:tcPr>
          <w:p w14:paraId="22DA6D91" w14:textId="77777777" w:rsidR="009E3D18" w:rsidRPr="005C6269" w:rsidRDefault="009E3D18" w:rsidP="009E3D18">
            <w:pPr>
              <w:pStyle w:val="T2"/>
              <w:jc w:val="right"/>
              <w:rPr>
                <w:rFonts w:ascii="Calibri" w:hAnsi="Calibri" w:cs="Calibri"/>
              </w:rPr>
            </w:pPr>
          </w:p>
        </w:tc>
        <w:tc>
          <w:tcPr>
            <w:tcW w:w="1276" w:type="dxa"/>
            <w:tcBorders>
              <w:top w:val="single" w:sz="2" w:space="0" w:color="auto"/>
            </w:tcBorders>
          </w:tcPr>
          <w:p w14:paraId="30AA09C6" w14:textId="03F9F0E4" w:rsidR="009E3D18" w:rsidRPr="000948AD" w:rsidRDefault="009A42E5" w:rsidP="009E3D18">
            <w:pPr>
              <w:pStyle w:val="T2"/>
              <w:jc w:val="right"/>
              <w:rPr>
                <w:rFonts w:ascii="Calibri" w:hAnsi="Calibri" w:cs="Calibri"/>
                <w:b/>
              </w:rPr>
            </w:pPr>
            <w:r>
              <w:rPr>
                <w:b/>
                <w:bCs/>
              </w:rPr>
              <w:t>17.8</w:t>
            </w:r>
          </w:p>
        </w:tc>
        <w:tc>
          <w:tcPr>
            <w:tcW w:w="1134" w:type="dxa"/>
            <w:tcBorders>
              <w:top w:val="single" w:sz="2" w:space="0" w:color="auto"/>
            </w:tcBorders>
          </w:tcPr>
          <w:p w14:paraId="0645D051" w14:textId="784C677A" w:rsidR="009E3D18" w:rsidRPr="009E3D18" w:rsidRDefault="009E3D18" w:rsidP="009E3D18">
            <w:pPr>
              <w:pStyle w:val="T2"/>
              <w:jc w:val="right"/>
              <w:rPr>
                <w:rFonts w:ascii="Calibri" w:hAnsi="Calibri" w:cs="Calibri"/>
              </w:rPr>
            </w:pPr>
            <w:r w:rsidRPr="009E3D18">
              <w:t>15.0</w:t>
            </w:r>
          </w:p>
        </w:tc>
      </w:tr>
      <w:tr w:rsidR="009E3D18" w:rsidRPr="00D61AE9" w14:paraId="33576A0C" w14:textId="77777777" w:rsidTr="001F1616">
        <w:trPr>
          <w:trHeight w:val="218"/>
        </w:trPr>
        <w:tc>
          <w:tcPr>
            <w:tcW w:w="3969" w:type="dxa"/>
            <w:tcBorders>
              <w:bottom w:val="single" w:sz="2" w:space="0" w:color="auto"/>
            </w:tcBorders>
            <w:vAlign w:val="bottom"/>
          </w:tcPr>
          <w:p w14:paraId="4BA9CE75" w14:textId="77777777" w:rsidR="009E3D18" w:rsidRPr="00D61AE9" w:rsidRDefault="009E3D18" w:rsidP="009E3D18">
            <w:pPr>
              <w:pStyle w:val="T2"/>
              <w:jc w:val="left"/>
              <w:rPr>
                <w:rFonts w:ascii="Calibri" w:hAnsi="Calibri" w:cs="Calibri"/>
              </w:rPr>
            </w:pPr>
            <w:r w:rsidRPr="00D61AE9">
              <w:rPr>
                <w:rFonts w:ascii="Calibri" w:hAnsi="Calibri" w:cs="Calibri"/>
              </w:rPr>
              <w:t>Purchase of intangible assets</w:t>
            </w:r>
          </w:p>
        </w:tc>
        <w:tc>
          <w:tcPr>
            <w:tcW w:w="850" w:type="dxa"/>
            <w:tcBorders>
              <w:bottom w:val="single" w:sz="2" w:space="0" w:color="auto"/>
            </w:tcBorders>
            <w:vAlign w:val="bottom"/>
          </w:tcPr>
          <w:p w14:paraId="4C624874" w14:textId="77777777" w:rsidR="009E3D18" w:rsidRPr="00FC568F" w:rsidRDefault="009E3D18" w:rsidP="009E3D18">
            <w:pPr>
              <w:pStyle w:val="T2"/>
              <w:jc w:val="right"/>
              <w:rPr>
                <w:rFonts w:ascii="Calibri" w:hAnsi="Calibri" w:cs="Calibri"/>
                <w:b/>
              </w:rPr>
            </w:pPr>
          </w:p>
        </w:tc>
        <w:tc>
          <w:tcPr>
            <w:tcW w:w="851" w:type="dxa"/>
            <w:tcBorders>
              <w:bottom w:val="single" w:sz="2" w:space="0" w:color="auto"/>
            </w:tcBorders>
            <w:vAlign w:val="bottom"/>
          </w:tcPr>
          <w:p w14:paraId="71825DD5" w14:textId="77777777" w:rsidR="009E3D18" w:rsidRPr="005D0EFF" w:rsidRDefault="009E3D18" w:rsidP="009E3D18">
            <w:pPr>
              <w:pStyle w:val="T2"/>
              <w:jc w:val="right"/>
              <w:rPr>
                <w:rFonts w:ascii="Calibri" w:hAnsi="Calibri" w:cs="Calibri"/>
              </w:rPr>
            </w:pPr>
          </w:p>
        </w:tc>
        <w:tc>
          <w:tcPr>
            <w:tcW w:w="850" w:type="dxa"/>
            <w:tcBorders>
              <w:bottom w:val="single" w:sz="2" w:space="0" w:color="auto"/>
            </w:tcBorders>
            <w:vAlign w:val="bottom"/>
          </w:tcPr>
          <w:p w14:paraId="3156B076" w14:textId="77777777" w:rsidR="009E3D18" w:rsidRPr="00FC568F" w:rsidRDefault="009E3D18" w:rsidP="009E3D18">
            <w:pPr>
              <w:pStyle w:val="T2"/>
              <w:jc w:val="right"/>
              <w:rPr>
                <w:rFonts w:ascii="Calibri" w:hAnsi="Calibri" w:cs="Calibri"/>
                <w:b/>
              </w:rPr>
            </w:pPr>
          </w:p>
        </w:tc>
        <w:tc>
          <w:tcPr>
            <w:tcW w:w="851" w:type="dxa"/>
            <w:tcBorders>
              <w:bottom w:val="single" w:sz="2" w:space="0" w:color="auto"/>
            </w:tcBorders>
            <w:vAlign w:val="bottom"/>
          </w:tcPr>
          <w:p w14:paraId="65BC70E9" w14:textId="77777777" w:rsidR="009E3D18" w:rsidRPr="005C6269" w:rsidRDefault="009E3D18" w:rsidP="009E3D18">
            <w:pPr>
              <w:pStyle w:val="T2"/>
              <w:jc w:val="right"/>
              <w:rPr>
                <w:rFonts w:ascii="Calibri" w:hAnsi="Calibri" w:cs="Calibri"/>
              </w:rPr>
            </w:pPr>
          </w:p>
        </w:tc>
        <w:tc>
          <w:tcPr>
            <w:tcW w:w="1276" w:type="dxa"/>
            <w:tcBorders>
              <w:bottom w:val="single" w:sz="2" w:space="0" w:color="auto"/>
            </w:tcBorders>
          </w:tcPr>
          <w:p w14:paraId="094496E1" w14:textId="619BAF08" w:rsidR="009E3D18" w:rsidRPr="000948AD" w:rsidRDefault="009A42E5" w:rsidP="009E3D18">
            <w:pPr>
              <w:pStyle w:val="T2"/>
              <w:jc w:val="right"/>
              <w:rPr>
                <w:rFonts w:ascii="Calibri" w:hAnsi="Calibri" w:cs="Calibri"/>
                <w:b/>
              </w:rPr>
            </w:pPr>
            <w:r>
              <w:rPr>
                <w:b/>
                <w:bCs/>
              </w:rPr>
              <w:t>0.8</w:t>
            </w:r>
          </w:p>
        </w:tc>
        <w:tc>
          <w:tcPr>
            <w:tcW w:w="1134" w:type="dxa"/>
            <w:tcBorders>
              <w:bottom w:val="single" w:sz="2" w:space="0" w:color="auto"/>
            </w:tcBorders>
          </w:tcPr>
          <w:p w14:paraId="275CEF5C" w14:textId="4DC5FDFB" w:rsidR="009E3D18" w:rsidRPr="009E3D18" w:rsidRDefault="009E3D18" w:rsidP="009E3D18">
            <w:pPr>
              <w:pStyle w:val="T2"/>
              <w:jc w:val="right"/>
              <w:rPr>
                <w:rFonts w:ascii="Calibri" w:hAnsi="Calibri" w:cs="Calibri"/>
              </w:rPr>
            </w:pPr>
            <w:r w:rsidRPr="009E3D18">
              <w:rPr>
                <w:rFonts w:ascii="Calibri" w:hAnsi="Calibri" w:cs="Calibri"/>
              </w:rPr>
              <w:t>1.5</w:t>
            </w:r>
          </w:p>
        </w:tc>
      </w:tr>
      <w:tr w:rsidR="009E3D18" w:rsidRPr="00D61AE9" w14:paraId="3AFF1B42" w14:textId="77777777" w:rsidTr="001F1616">
        <w:trPr>
          <w:trHeight w:val="218"/>
        </w:trPr>
        <w:tc>
          <w:tcPr>
            <w:tcW w:w="3969" w:type="dxa"/>
            <w:tcBorders>
              <w:top w:val="single" w:sz="2" w:space="0" w:color="auto"/>
              <w:bottom w:val="single" w:sz="2" w:space="0" w:color="auto"/>
            </w:tcBorders>
            <w:vAlign w:val="bottom"/>
          </w:tcPr>
          <w:p w14:paraId="3B8C2F18" w14:textId="77777777" w:rsidR="009E3D18" w:rsidRPr="00D61AE9" w:rsidRDefault="009E3D18" w:rsidP="009E3D18">
            <w:pPr>
              <w:pStyle w:val="T2"/>
              <w:jc w:val="left"/>
              <w:rPr>
                <w:rFonts w:ascii="Calibri" w:hAnsi="Calibri" w:cs="Calibri"/>
                <w:b/>
                <w:bCs/>
              </w:rPr>
            </w:pPr>
            <w:r w:rsidRPr="00D61AE9">
              <w:rPr>
                <w:rFonts w:ascii="Calibri" w:hAnsi="Calibri" w:cs="Calibri"/>
                <w:b/>
                <w:bCs/>
              </w:rPr>
              <w:t>Net cash outflow from capital expenditure</w:t>
            </w:r>
          </w:p>
        </w:tc>
        <w:tc>
          <w:tcPr>
            <w:tcW w:w="850" w:type="dxa"/>
            <w:tcBorders>
              <w:top w:val="single" w:sz="2" w:space="0" w:color="auto"/>
              <w:bottom w:val="single" w:sz="2" w:space="0" w:color="auto"/>
            </w:tcBorders>
            <w:vAlign w:val="bottom"/>
          </w:tcPr>
          <w:p w14:paraId="0BF7724E" w14:textId="77777777" w:rsidR="009E3D18" w:rsidRPr="00FC568F" w:rsidRDefault="009E3D18" w:rsidP="009E3D18">
            <w:pPr>
              <w:pStyle w:val="T2"/>
              <w:jc w:val="right"/>
              <w:rPr>
                <w:rFonts w:ascii="Calibri" w:hAnsi="Calibri" w:cs="Calibri"/>
                <w:b/>
              </w:rPr>
            </w:pPr>
          </w:p>
        </w:tc>
        <w:tc>
          <w:tcPr>
            <w:tcW w:w="851" w:type="dxa"/>
            <w:tcBorders>
              <w:top w:val="single" w:sz="2" w:space="0" w:color="auto"/>
              <w:bottom w:val="single" w:sz="2" w:space="0" w:color="auto"/>
            </w:tcBorders>
            <w:vAlign w:val="bottom"/>
          </w:tcPr>
          <w:p w14:paraId="2EE8D1DC" w14:textId="77777777" w:rsidR="009E3D18" w:rsidRPr="005D0EFF" w:rsidRDefault="009E3D18" w:rsidP="009E3D18">
            <w:pPr>
              <w:pStyle w:val="T2"/>
              <w:jc w:val="right"/>
              <w:rPr>
                <w:rFonts w:ascii="Calibri" w:hAnsi="Calibri" w:cs="Calibri"/>
              </w:rPr>
            </w:pPr>
          </w:p>
        </w:tc>
        <w:tc>
          <w:tcPr>
            <w:tcW w:w="850" w:type="dxa"/>
            <w:tcBorders>
              <w:top w:val="single" w:sz="2" w:space="0" w:color="auto"/>
              <w:bottom w:val="single" w:sz="2" w:space="0" w:color="auto"/>
            </w:tcBorders>
            <w:vAlign w:val="bottom"/>
          </w:tcPr>
          <w:p w14:paraId="34C7AF40" w14:textId="77777777" w:rsidR="009E3D18" w:rsidRPr="00FC568F" w:rsidRDefault="009E3D18" w:rsidP="009E3D18">
            <w:pPr>
              <w:pStyle w:val="T2"/>
              <w:jc w:val="right"/>
              <w:rPr>
                <w:rFonts w:ascii="Calibri" w:hAnsi="Calibri" w:cs="Calibri"/>
                <w:b/>
              </w:rPr>
            </w:pPr>
          </w:p>
        </w:tc>
        <w:tc>
          <w:tcPr>
            <w:tcW w:w="851" w:type="dxa"/>
            <w:tcBorders>
              <w:top w:val="single" w:sz="2" w:space="0" w:color="auto"/>
              <w:bottom w:val="single" w:sz="2" w:space="0" w:color="auto"/>
            </w:tcBorders>
            <w:vAlign w:val="bottom"/>
          </w:tcPr>
          <w:p w14:paraId="6B9B0B48" w14:textId="77777777" w:rsidR="009E3D18" w:rsidRPr="005C6269" w:rsidRDefault="009E3D18" w:rsidP="009E3D18">
            <w:pPr>
              <w:pStyle w:val="T2"/>
              <w:jc w:val="right"/>
            </w:pPr>
          </w:p>
        </w:tc>
        <w:tc>
          <w:tcPr>
            <w:tcW w:w="1276" w:type="dxa"/>
            <w:tcBorders>
              <w:top w:val="single" w:sz="2" w:space="0" w:color="auto"/>
              <w:bottom w:val="single" w:sz="2" w:space="0" w:color="auto"/>
            </w:tcBorders>
          </w:tcPr>
          <w:p w14:paraId="360CAB9D" w14:textId="0426CB9F" w:rsidR="009E3D18" w:rsidRPr="000948AD" w:rsidRDefault="009A42E5" w:rsidP="009E3D18">
            <w:pPr>
              <w:pStyle w:val="T2"/>
              <w:jc w:val="right"/>
              <w:rPr>
                <w:rFonts w:ascii="Calibri" w:hAnsi="Calibri" w:cs="Calibri"/>
                <w:b/>
              </w:rPr>
            </w:pPr>
            <w:r>
              <w:rPr>
                <w:b/>
                <w:bCs/>
              </w:rPr>
              <w:t>18.6</w:t>
            </w:r>
          </w:p>
        </w:tc>
        <w:tc>
          <w:tcPr>
            <w:tcW w:w="1134" w:type="dxa"/>
            <w:tcBorders>
              <w:top w:val="single" w:sz="2" w:space="0" w:color="auto"/>
              <w:bottom w:val="single" w:sz="2" w:space="0" w:color="auto"/>
            </w:tcBorders>
          </w:tcPr>
          <w:p w14:paraId="1F207397" w14:textId="78D3BD27" w:rsidR="009E3D18" w:rsidRPr="009E3D18" w:rsidRDefault="009E3D18" w:rsidP="009E3D18">
            <w:pPr>
              <w:pStyle w:val="T2"/>
              <w:jc w:val="right"/>
              <w:rPr>
                <w:rFonts w:ascii="Calibri" w:hAnsi="Calibri" w:cs="Calibri"/>
              </w:rPr>
            </w:pPr>
            <w:r w:rsidRPr="009E3D18">
              <w:rPr>
                <w:rFonts w:ascii="Calibri" w:hAnsi="Calibri" w:cs="Calibri"/>
              </w:rPr>
              <w:t>16.5</w:t>
            </w:r>
          </w:p>
        </w:tc>
      </w:tr>
      <w:tr w:rsidR="00773F7B" w:rsidRPr="00D61AE9" w14:paraId="690130F9" w14:textId="77777777" w:rsidTr="001F1616">
        <w:trPr>
          <w:trHeight w:val="218"/>
        </w:trPr>
        <w:tc>
          <w:tcPr>
            <w:tcW w:w="3969" w:type="dxa"/>
            <w:tcBorders>
              <w:top w:val="single" w:sz="2" w:space="0" w:color="auto"/>
            </w:tcBorders>
            <w:vAlign w:val="bottom"/>
          </w:tcPr>
          <w:p w14:paraId="67C57DAE" w14:textId="77777777" w:rsidR="00773F7B" w:rsidRPr="00D61AE9" w:rsidRDefault="00773F7B" w:rsidP="00773F7B">
            <w:pPr>
              <w:pStyle w:val="T2"/>
              <w:jc w:val="left"/>
              <w:rPr>
                <w:rFonts w:ascii="Calibri" w:hAnsi="Calibri" w:cs="Calibri"/>
                <w:b/>
                <w:bCs/>
              </w:rPr>
            </w:pPr>
          </w:p>
        </w:tc>
        <w:tc>
          <w:tcPr>
            <w:tcW w:w="850" w:type="dxa"/>
            <w:tcBorders>
              <w:top w:val="single" w:sz="2" w:space="0" w:color="auto"/>
            </w:tcBorders>
            <w:vAlign w:val="bottom"/>
          </w:tcPr>
          <w:p w14:paraId="1E7359B9" w14:textId="77777777" w:rsidR="00773F7B" w:rsidRPr="00FC568F" w:rsidRDefault="00773F7B" w:rsidP="00592BB5">
            <w:pPr>
              <w:pStyle w:val="T2"/>
              <w:jc w:val="right"/>
              <w:rPr>
                <w:rFonts w:ascii="Calibri" w:hAnsi="Calibri" w:cs="Calibri"/>
                <w:b/>
              </w:rPr>
            </w:pPr>
          </w:p>
        </w:tc>
        <w:tc>
          <w:tcPr>
            <w:tcW w:w="851" w:type="dxa"/>
            <w:tcBorders>
              <w:top w:val="single" w:sz="2" w:space="0" w:color="auto"/>
            </w:tcBorders>
            <w:vAlign w:val="bottom"/>
          </w:tcPr>
          <w:p w14:paraId="4A45DC0F" w14:textId="77777777" w:rsidR="00773F7B" w:rsidRPr="005D0EFF" w:rsidRDefault="00773F7B" w:rsidP="00592BB5">
            <w:pPr>
              <w:pStyle w:val="T2"/>
              <w:jc w:val="right"/>
              <w:rPr>
                <w:rFonts w:ascii="Calibri" w:hAnsi="Calibri" w:cs="Calibri"/>
              </w:rPr>
            </w:pPr>
          </w:p>
        </w:tc>
        <w:tc>
          <w:tcPr>
            <w:tcW w:w="850" w:type="dxa"/>
            <w:tcBorders>
              <w:top w:val="single" w:sz="2" w:space="0" w:color="auto"/>
            </w:tcBorders>
            <w:vAlign w:val="bottom"/>
          </w:tcPr>
          <w:p w14:paraId="7517FAB8" w14:textId="77777777" w:rsidR="00773F7B" w:rsidRPr="00FC568F" w:rsidRDefault="00773F7B" w:rsidP="00592BB5">
            <w:pPr>
              <w:pStyle w:val="T2"/>
              <w:jc w:val="right"/>
              <w:rPr>
                <w:rFonts w:ascii="Calibri" w:hAnsi="Calibri" w:cs="Calibri"/>
                <w:b/>
              </w:rPr>
            </w:pPr>
          </w:p>
        </w:tc>
        <w:tc>
          <w:tcPr>
            <w:tcW w:w="851" w:type="dxa"/>
            <w:tcBorders>
              <w:top w:val="single" w:sz="2" w:space="0" w:color="auto"/>
            </w:tcBorders>
            <w:vAlign w:val="bottom"/>
          </w:tcPr>
          <w:p w14:paraId="33FA6BCA" w14:textId="77777777" w:rsidR="00773F7B" w:rsidRPr="005C6269" w:rsidRDefault="00773F7B" w:rsidP="00592BB5">
            <w:pPr>
              <w:pStyle w:val="T2"/>
              <w:jc w:val="right"/>
            </w:pPr>
          </w:p>
        </w:tc>
        <w:tc>
          <w:tcPr>
            <w:tcW w:w="1276" w:type="dxa"/>
            <w:tcBorders>
              <w:top w:val="single" w:sz="2" w:space="0" w:color="auto"/>
            </w:tcBorders>
          </w:tcPr>
          <w:p w14:paraId="29060378" w14:textId="77777777" w:rsidR="00773F7B" w:rsidRPr="000948AD" w:rsidRDefault="00773F7B" w:rsidP="00773F7B">
            <w:pPr>
              <w:pStyle w:val="T2"/>
              <w:jc w:val="right"/>
              <w:rPr>
                <w:b/>
              </w:rPr>
            </w:pPr>
          </w:p>
        </w:tc>
        <w:tc>
          <w:tcPr>
            <w:tcW w:w="1134" w:type="dxa"/>
            <w:tcBorders>
              <w:top w:val="single" w:sz="2" w:space="0" w:color="auto"/>
            </w:tcBorders>
          </w:tcPr>
          <w:p w14:paraId="66BFD953" w14:textId="77777777" w:rsidR="00773F7B" w:rsidRPr="005C6269" w:rsidRDefault="00773F7B" w:rsidP="00773F7B">
            <w:pPr>
              <w:pStyle w:val="T2"/>
              <w:jc w:val="right"/>
            </w:pPr>
          </w:p>
        </w:tc>
      </w:tr>
      <w:tr w:rsidR="009E3D18" w:rsidRPr="00D61AE9" w14:paraId="11B1448E" w14:textId="77777777" w:rsidTr="00592BB5">
        <w:trPr>
          <w:trHeight w:val="218"/>
        </w:trPr>
        <w:tc>
          <w:tcPr>
            <w:tcW w:w="3969" w:type="dxa"/>
            <w:vAlign w:val="bottom"/>
          </w:tcPr>
          <w:p w14:paraId="6DC0A8E8" w14:textId="77777777" w:rsidR="009E3D18" w:rsidRPr="00D61AE9" w:rsidRDefault="009E3D18" w:rsidP="009E3D18">
            <w:pPr>
              <w:pStyle w:val="T2"/>
              <w:jc w:val="left"/>
              <w:rPr>
                <w:rFonts w:ascii="Calibri" w:hAnsi="Calibri" w:cs="Calibri"/>
              </w:rPr>
            </w:pPr>
            <w:r w:rsidRPr="00D61AE9">
              <w:rPr>
                <w:rFonts w:ascii="Calibri" w:hAnsi="Calibri" w:cs="Calibri"/>
              </w:rPr>
              <w:t>Strategic Capital Expenditure</w:t>
            </w:r>
          </w:p>
        </w:tc>
        <w:tc>
          <w:tcPr>
            <w:tcW w:w="850" w:type="dxa"/>
            <w:vAlign w:val="bottom"/>
          </w:tcPr>
          <w:p w14:paraId="131CAE11" w14:textId="77777777" w:rsidR="009E3D18" w:rsidRPr="00FC568F" w:rsidRDefault="009E3D18" w:rsidP="009E3D18">
            <w:pPr>
              <w:pStyle w:val="T2"/>
              <w:jc w:val="right"/>
              <w:rPr>
                <w:rFonts w:ascii="Calibri" w:hAnsi="Calibri" w:cs="Calibri"/>
                <w:b/>
              </w:rPr>
            </w:pPr>
          </w:p>
        </w:tc>
        <w:tc>
          <w:tcPr>
            <w:tcW w:w="851" w:type="dxa"/>
            <w:vAlign w:val="bottom"/>
          </w:tcPr>
          <w:p w14:paraId="4E4E774D" w14:textId="77777777" w:rsidR="009E3D18" w:rsidRPr="005D0EFF" w:rsidRDefault="009E3D18" w:rsidP="009E3D18">
            <w:pPr>
              <w:pStyle w:val="T2"/>
              <w:jc w:val="right"/>
              <w:rPr>
                <w:rFonts w:ascii="Calibri" w:hAnsi="Calibri" w:cs="Calibri"/>
              </w:rPr>
            </w:pPr>
          </w:p>
        </w:tc>
        <w:tc>
          <w:tcPr>
            <w:tcW w:w="850" w:type="dxa"/>
            <w:vAlign w:val="bottom"/>
          </w:tcPr>
          <w:p w14:paraId="3343967F" w14:textId="77777777" w:rsidR="009E3D18" w:rsidRPr="00FC568F" w:rsidRDefault="009E3D18" w:rsidP="009E3D18">
            <w:pPr>
              <w:pStyle w:val="T2"/>
              <w:jc w:val="right"/>
              <w:rPr>
                <w:rFonts w:ascii="Calibri" w:hAnsi="Calibri" w:cs="Calibri"/>
                <w:b/>
              </w:rPr>
            </w:pPr>
          </w:p>
        </w:tc>
        <w:tc>
          <w:tcPr>
            <w:tcW w:w="851" w:type="dxa"/>
            <w:vAlign w:val="bottom"/>
          </w:tcPr>
          <w:p w14:paraId="42F15197" w14:textId="77777777" w:rsidR="009E3D18" w:rsidRPr="005C6269" w:rsidRDefault="009E3D18" w:rsidP="009E3D18">
            <w:pPr>
              <w:pStyle w:val="T2"/>
              <w:jc w:val="right"/>
              <w:rPr>
                <w:rFonts w:ascii="Calibri" w:hAnsi="Calibri" w:cs="Calibri"/>
              </w:rPr>
            </w:pPr>
          </w:p>
        </w:tc>
        <w:tc>
          <w:tcPr>
            <w:tcW w:w="1276" w:type="dxa"/>
          </w:tcPr>
          <w:p w14:paraId="3ED3E453" w14:textId="73B3A8BC" w:rsidR="009E3D18" w:rsidRPr="000948AD" w:rsidRDefault="00225DE1" w:rsidP="009E3D18">
            <w:pPr>
              <w:pStyle w:val="T2"/>
              <w:jc w:val="right"/>
              <w:rPr>
                <w:rFonts w:ascii="Calibri" w:hAnsi="Calibri" w:cs="Calibri"/>
                <w:b/>
              </w:rPr>
            </w:pPr>
            <w:r>
              <w:rPr>
                <w:b/>
                <w:bCs/>
              </w:rPr>
              <w:t>12</w:t>
            </w:r>
            <w:r w:rsidR="009A42E5">
              <w:rPr>
                <w:b/>
                <w:bCs/>
              </w:rPr>
              <w:t>.6</w:t>
            </w:r>
          </w:p>
        </w:tc>
        <w:tc>
          <w:tcPr>
            <w:tcW w:w="1134" w:type="dxa"/>
          </w:tcPr>
          <w:p w14:paraId="61EB0F27" w14:textId="748809AC" w:rsidR="009E3D18" w:rsidRPr="009E3D18" w:rsidRDefault="009E3D18" w:rsidP="009E3D18">
            <w:pPr>
              <w:pStyle w:val="T2"/>
              <w:jc w:val="right"/>
              <w:rPr>
                <w:rFonts w:ascii="Calibri" w:hAnsi="Calibri" w:cs="Calibri"/>
              </w:rPr>
            </w:pPr>
            <w:r w:rsidRPr="009E3D18">
              <w:t>8.6</w:t>
            </w:r>
          </w:p>
        </w:tc>
      </w:tr>
      <w:tr w:rsidR="009E3D18" w:rsidRPr="00D61AE9" w14:paraId="26A8D1D2" w14:textId="77777777" w:rsidTr="001F1616">
        <w:trPr>
          <w:trHeight w:val="218"/>
        </w:trPr>
        <w:tc>
          <w:tcPr>
            <w:tcW w:w="3969" w:type="dxa"/>
            <w:tcBorders>
              <w:bottom w:val="single" w:sz="2" w:space="0" w:color="auto"/>
            </w:tcBorders>
            <w:vAlign w:val="bottom"/>
          </w:tcPr>
          <w:p w14:paraId="589FB8F3" w14:textId="77777777" w:rsidR="009E3D18" w:rsidRPr="00D61AE9" w:rsidRDefault="009E3D18" w:rsidP="009E3D18">
            <w:pPr>
              <w:pStyle w:val="T2"/>
              <w:jc w:val="left"/>
              <w:rPr>
                <w:rFonts w:ascii="Calibri" w:hAnsi="Calibri" w:cs="Calibri"/>
              </w:rPr>
            </w:pPr>
            <w:r w:rsidRPr="00D61AE9">
              <w:rPr>
                <w:rFonts w:ascii="Calibri" w:hAnsi="Calibri" w:cs="Calibri"/>
              </w:rPr>
              <w:t>Maintenance Capital Expenditure</w:t>
            </w:r>
          </w:p>
        </w:tc>
        <w:tc>
          <w:tcPr>
            <w:tcW w:w="850" w:type="dxa"/>
            <w:tcBorders>
              <w:bottom w:val="single" w:sz="2" w:space="0" w:color="auto"/>
            </w:tcBorders>
            <w:vAlign w:val="bottom"/>
          </w:tcPr>
          <w:p w14:paraId="0287396B" w14:textId="77777777" w:rsidR="009E3D18" w:rsidRPr="00FC568F" w:rsidRDefault="009E3D18" w:rsidP="009E3D18">
            <w:pPr>
              <w:pStyle w:val="T2"/>
              <w:jc w:val="right"/>
              <w:rPr>
                <w:rFonts w:ascii="Calibri" w:hAnsi="Calibri" w:cs="Calibri"/>
                <w:b/>
              </w:rPr>
            </w:pPr>
          </w:p>
        </w:tc>
        <w:tc>
          <w:tcPr>
            <w:tcW w:w="851" w:type="dxa"/>
            <w:tcBorders>
              <w:bottom w:val="single" w:sz="2" w:space="0" w:color="auto"/>
            </w:tcBorders>
            <w:vAlign w:val="bottom"/>
          </w:tcPr>
          <w:p w14:paraId="18B26A02" w14:textId="77777777" w:rsidR="009E3D18" w:rsidRPr="005D0EFF" w:rsidRDefault="009E3D18" w:rsidP="009E3D18">
            <w:pPr>
              <w:pStyle w:val="T2"/>
              <w:jc w:val="right"/>
              <w:rPr>
                <w:rFonts w:ascii="Calibri" w:hAnsi="Calibri" w:cs="Calibri"/>
              </w:rPr>
            </w:pPr>
          </w:p>
        </w:tc>
        <w:tc>
          <w:tcPr>
            <w:tcW w:w="850" w:type="dxa"/>
            <w:tcBorders>
              <w:bottom w:val="single" w:sz="2" w:space="0" w:color="auto"/>
            </w:tcBorders>
            <w:vAlign w:val="bottom"/>
          </w:tcPr>
          <w:p w14:paraId="0F9981AF" w14:textId="77777777" w:rsidR="009E3D18" w:rsidRPr="00FC568F" w:rsidRDefault="009E3D18" w:rsidP="009E3D18">
            <w:pPr>
              <w:pStyle w:val="T2"/>
              <w:jc w:val="right"/>
              <w:rPr>
                <w:rFonts w:ascii="Calibri" w:hAnsi="Calibri" w:cs="Calibri"/>
                <w:b/>
              </w:rPr>
            </w:pPr>
          </w:p>
        </w:tc>
        <w:tc>
          <w:tcPr>
            <w:tcW w:w="851" w:type="dxa"/>
            <w:tcBorders>
              <w:bottom w:val="single" w:sz="2" w:space="0" w:color="auto"/>
            </w:tcBorders>
            <w:vAlign w:val="bottom"/>
          </w:tcPr>
          <w:p w14:paraId="0F10CE79" w14:textId="77777777" w:rsidR="009E3D18" w:rsidRPr="005C6269" w:rsidRDefault="009E3D18" w:rsidP="009E3D18">
            <w:pPr>
              <w:pStyle w:val="T2"/>
              <w:jc w:val="right"/>
              <w:rPr>
                <w:rFonts w:ascii="Calibri" w:hAnsi="Calibri" w:cs="Calibri"/>
              </w:rPr>
            </w:pPr>
          </w:p>
        </w:tc>
        <w:tc>
          <w:tcPr>
            <w:tcW w:w="1276" w:type="dxa"/>
            <w:tcBorders>
              <w:bottom w:val="single" w:sz="2" w:space="0" w:color="auto"/>
            </w:tcBorders>
          </w:tcPr>
          <w:p w14:paraId="12CDBEC4" w14:textId="4E5D18ED" w:rsidR="009E3D18" w:rsidRPr="000948AD" w:rsidRDefault="00225DE1" w:rsidP="009E3D18">
            <w:pPr>
              <w:pStyle w:val="T2"/>
              <w:jc w:val="right"/>
              <w:rPr>
                <w:rFonts w:ascii="Calibri" w:hAnsi="Calibri" w:cs="Calibri"/>
                <w:b/>
              </w:rPr>
            </w:pPr>
            <w:r>
              <w:rPr>
                <w:b/>
                <w:bCs/>
              </w:rPr>
              <w:t>6</w:t>
            </w:r>
            <w:r w:rsidR="009A42E5">
              <w:rPr>
                <w:b/>
                <w:bCs/>
              </w:rPr>
              <w:t>.0</w:t>
            </w:r>
          </w:p>
        </w:tc>
        <w:tc>
          <w:tcPr>
            <w:tcW w:w="1134" w:type="dxa"/>
            <w:tcBorders>
              <w:bottom w:val="single" w:sz="2" w:space="0" w:color="auto"/>
            </w:tcBorders>
          </w:tcPr>
          <w:p w14:paraId="7A1C31A0" w14:textId="5EB62971" w:rsidR="009E3D18" w:rsidRPr="009E3D18" w:rsidRDefault="009E3D18" w:rsidP="009E3D18">
            <w:pPr>
              <w:pStyle w:val="T2"/>
              <w:jc w:val="right"/>
              <w:rPr>
                <w:rFonts w:ascii="Calibri" w:hAnsi="Calibri" w:cs="Calibri"/>
              </w:rPr>
            </w:pPr>
            <w:r w:rsidRPr="009E3D18">
              <w:rPr>
                <w:rFonts w:ascii="Calibri" w:hAnsi="Calibri" w:cs="Calibri"/>
              </w:rPr>
              <w:t>7.9</w:t>
            </w:r>
          </w:p>
        </w:tc>
      </w:tr>
      <w:tr w:rsidR="009E3D18" w:rsidRPr="00D61AE9" w14:paraId="4311303E" w14:textId="77777777" w:rsidTr="001F1616">
        <w:trPr>
          <w:trHeight w:val="208"/>
        </w:trPr>
        <w:tc>
          <w:tcPr>
            <w:tcW w:w="3969" w:type="dxa"/>
            <w:tcBorders>
              <w:top w:val="single" w:sz="2" w:space="0" w:color="auto"/>
              <w:bottom w:val="single" w:sz="2" w:space="0" w:color="auto"/>
            </w:tcBorders>
            <w:vAlign w:val="bottom"/>
          </w:tcPr>
          <w:p w14:paraId="35862128" w14:textId="77777777" w:rsidR="009E3D18" w:rsidRPr="00D61AE9" w:rsidRDefault="009E3D18" w:rsidP="009E3D18">
            <w:pPr>
              <w:pStyle w:val="T2"/>
              <w:jc w:val="left"/>
              <w:rPr>
                <w:rFonts w:ascii="Calibri" w:hAnsi="Calibri" w:cs="Calibri"/>
                <w:b/>
                <w:bCs/>
              </w:rPr>
            </w:pPr>
            <w:r w:rsidRPr="00D61AE9">
              <w:rPr>
                <w:rFonts w:ascii="Calibri" w:hAnsi="Calibri" w:cs="Calibri"/>
                <w:b/>
                <w:bCs/>
              </w:rPr>
              <w:t>Net cash outflow from capital expenditure</w:t>
            </w:r>
          </w:p>
        </w:tc>
        <w:tc>
          <w:tcPr>
            <w:tcW w:w="850" w:type="dxa"/>
            <w:tcBorders>
              <w:top w:val="single" w:sz="2" w:space="0" w:color="auto"/>
              <w:bottom w:val="single" w:sz="2" w:space="0" w:color="auto"/>
            </w:tcBorders>
            <w:vAlign w:val="bottom"/>
          </w:tcPr>
          <w:p w14:paraId="75B2DA63" w14:textId="77777777" w:rsidR="009E3D18" w:rsidRPr="00FC568F" w:rsidRDefault="009E3D18" w:rsidP="009E3D18">
            <w:pPr>
              <w:pStyle w:val="T2"/>
              <w:jc w:val="right"/>
              <w:rPr>
                <w:rFonts w:ascii="Calibri" w:hAnsi="Calibri" w:cs="Calibri"/>
                <w:b/>
              </w:rPr>
            </w:pPr>
          </w:p>
        </w:tc>
        <w:tc>
          <w:tcPr>
            <w:tcW w:w="851" w:type="dxa"/>
            <w:tcBorders>
              <w:top w:val="single" w:sz="2" w:space="0" w:color="auto"/>
              <w:bottom w:val="single" w:sz="2" w:space="0" w:color="auto"/>
            </w:tcBorders>
            <w:vAlign w:val="bottom"/>
          </w:tcPr>
          <w:p w14:paraId="69710684" w14:textId="77777777" w:rsidR="009E3D18" w:rsidRPr="005D0EFF" w:rsidRDefault="009E3D18" w:rsidP="009E3D18">
            <w:pPr>
              <w:pStyle w:val="T2"/>
              <w:jc w:val="right"/>
              <w:rPr>
                <w:rFonts w:ascii="Calibri" w:hAnsi="Calibri" w:cs="Calibri"/>
              </w:rPr>
            </w:pPr>
          </w:p>
        </w:tc>
        <w:tc>
          <w:tcPr>
            <w:tcW w:w="850" w:type="dxa"/>
            <w:tcBorders>
              <w:top w:val="single" w:sz="2" w:space="0" w:color="auto"/>
              <w:bottom w:val="single" w:sz="2" w:space="0" w:color="auto"/>
            </w:tcBorders>
            <w:vAlign w:val="bottom"/>
          </w:tcPr>
          <w:p w14:paraId="3013EE37" w14:textId="77777777" w:rsidR="009E3D18" w:rsidRPr="00FC568F" w:rsidRDefault="009E3D18" w:rsidP="009E3D18">
            <w:pPr>
              <w:pStyle w:val="T2"/>
              <w:jc w:val="right"/>
              <w:rPr>
                <w:rFonts w:ascii="Calibri" w:hAnsi="Calibri" w:cs="Calibri"/>
                <w:b/>
              </w:rPr>
            </w:pPr>
          </w:p>
        </w:tc>
        <w:tc>
          <w:tcPr>
            <w:tcW w:w="851" w:type="dxa"/>
            <w:tcBorders>
              <w:top w:val="single" w:sz="2" w:space="0" w:color="auto"/>
              <w:bottom w:val="single" w:sz="2" w:space="0" w:color="auto"/>
            </w:tcBorders>
            <w:vAlign w:val="bottom"/>
          </w:tcPr>
          <w:p w14:paraId="07A67BEA" w14:textId="77777777" w:rsidR="009E3D18" w:rsidRPr="005C6269" w:rsidRDefault="009E3D18" w:rsidP="009E3D18">
            <w:pPr>
              <w:pStyle w:val="T2"/>
              <w:jc w:val="right"/>
            </w:pPr>
          </w:p>
        </w:tc>
        <w:tc>
          <w:tcPr>
            <w:tcW w:w="1276" w:type="dxa"/>
            <w:tcBorders>
              <w:top w:val="single" w:sz="2" w:space="0" w:color="auto"/>
              <w:bottom w:val="single" w:sz="2" w:space="0" w:color="auto"/>
            </w:tcBorders>
          </w:tcPr>
          <w:p w14:paraId="18EC81DF" w14:textId="1D44444D" w:rsidR="009E3D18" w:rsidRPr="000948AD" w:rsidRDefault="009A42E5" w:rsidP="009E3D18">
            <w:pPr>
              <w:pStyle w:val="T2"/>
              <w:jc w:val="right"/>
              <w:rPr>
                <w:rFonts w:ascii="Calibri" w:hAnsi="Calibri" w:cs="Calibri"/>
                <w:b/>
              </w:rPr>
            </w:pPr>
            <w:r>
              <w:rPr>
                <w:b/>
                <w:bCs/>
              </w:rPr>
              <w:t>18.6</w:t>
            </w:r>
          </w:p>
        </w:tc>
        <w:tc>
          <w:tcPr>
            <w:tcW w:w="1134" w:type="dxa"/>
            <w:tcBorders>
              <w:top w:val="single" w:sz="2" w:space="0" w:color="auto"/>
              <w:bottom w:val="single" w:sz="2" w:space="0" w:color="auto"/>
            </w:tcBorders>
          </w:tcPr>
          <w:p w14:paraId="443F14E3" w14:textId="51DEEB48" w:rsidR="009E3D18" w:rsidRPr="009E3D18" w:rsidRDefault="009E3D18" w:rsidP="009E3D18">
            <w:pPr>
              <w:pStyle w:val="T2"/>
              <w:jc w:val="right"/>
              <w:rPr>
                <w:rFonts w:ascii="Calibri" w:hAnsi="Calibri" w:cs="Calibri"/>
              </w:rPr>
            </w:pPr>
            <w:r w:rsidRPr="009E3D18">
              <w:t>16.5</w:t>
            </w:r>
          </w:p>
        </w:tc>
      </w:tr>
      <w:bookmarkEnd w:id="23"/>
    </w:tbl>
    <w:p w14:paraId="108E1AA2" w14:textId="77777777" w:rsidR="00773752" w:rsidRDefault="00773752" w:rsidP="00773F7B">
      <w:pPr>
        <w:pStyle w:val="Paragraph"/>
        <w:rPr>
          <w:b/>
        </w:rPr>
      </w:pPr>
    </w:p>
    <w:p w14:paraId="5251B380" w14:textId="77777777" w:rsidR="00773F7B" w:rsidRDefault="00773F7B" w:rsidP="00773F7B">
      <w:pPr>
        <w:pStyle w:val="Paragraph"/>
        <w:rPr>
          <w:b/>
        </w:rPr>
      </w:pPr>
      <w:r w:rsidRPr="006F5FF6">
        <w:rPr>
          <w:b/>
        </w:rPr>
        <w:t>FREE CASH FLOW</w:t>
      </w:r>
      <w:r>
        <w:rPr>
          <w:b/>
        </w:rPr>
        <w:t xml:space="preserve"> </w:t>
      </w:r>
    </w:p>
    <w:p w14:paraId="23601DE1" w14:textId="77777777" w:rsidR="00773F7B" w:rsidRDefault="00773F7B" w:rsidP="00773F7B">
      <w:pPr>
        <w:pStyle w:val="Paragraph"/>
        <w:jc w:val="both"/>
      </w:pPr>
      <w:r>
        <w:t xml:space="preserve">The Group uses Free Cash Flow to measure the amount of underlying cash generation and the cash available for distribution and allocation. </w:t>
      </w:r>
    </w:p>
    <w:p w14:paraId="3966F530" w14:textId="47E83D1F" w:rsidR="00773F7B" w:rsidRDefault="00773F7B" w:rsidP="00773F7B">
      <w:pPr>
        <w:pStyle w:val="Paragraph"/>
        <w:jc w:val="both"/>
      </w:pPr>
      <w:r>
        <w:t>The Group calculates Free Cash Flow as the net cash inflow/outflow from operating and investing activities before Strategic Capital Expenditure, acquisition and disposal of undertakings and adjusting for lease payments</w:t>
      </w:r>
      <w:r w:rsidR="0068359D">
        <w:t xml:space="preserve"> </w:t>
      </w:r>
      <w:r>
        <w:t xml:space="preserve">and dividends paid to non–controlling interests. </w:t>
      </w:r>
    </w:p>
    <w:p w14:paraId="3DD911F9" w14:textId="196ABD9A" w:rsidR="00773F7B" w:rsidRDefault="00773F7B" w:rsidP="00773F7B">
      <w:pPr>
        <w:pStyle w:val="Paragraph"/>
        <w:jc w:val="both"/>
      </w:pPr>
      <w:r w:rsidRPr="00C80FA6">
        <w:t>The following table sets forth a reconciliation from the Group</w:t>
      </w:r>
      <w:r>
        <w:t>’</w:t>
      </w:r>
      <w:r w:rsidRPr="00C80FA6">
        <w:t xml:space="preserve">s net cash </w:t>
      </w:r>
      <w:r w:rsidR="00BD4D7E">
        <w:t xml:space="preserve">outflow </w:t>
      </w:r>
      <w:r w:rsidRPr="00C80FA6">
        <w:t xml:space="preserve">from operating </w:t>
      </w:r>
      <w:r w:rsidR="00BD4D7E">
        <w:t xml:space="preserve">and </w:t>
      </w:r>
      <w:r w:rsidRPr="00C80FA6">
        <w:t xml:space="preserve">investing activities to </w:t>
      </w:r>
      <w:r>
        <w:t>Free</w:t>
      </w:r>
      <w:r w:rsidRPr="00C80FA6">
        <w:t xml:space="preserve"> Cash Flow:</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31"/>
        <w:gridCol w:w="532"/>
        <w:gridCol w:w="531"/>
        <w:gridCol w:w="532"/>
        <w:gridCol w:w="1276"/>
        <w:gridCol w:w="1134"/>
      </w:tblGrid>
      <w:tr w:rsidR="00B41E40" w14:paraId="70F12F79" w14:textId="77777777" w:rsidTr="00592BB5">
        <w:tc>
          <w:tcPr>
            <w:tcW w:w="5245" w:type="dxa"/>
          </w:tcPr>
          <w:p w14:paraId="4B9347A3" w14:textId="77777777" w:rsidR="00773F7B" w:rsidRPr="00782F7E" w:rsidRDefault="00773F7B" w:rsidP="00773F7B">
            <w:pPr>
              <w:pStyle w:val="T2"/>
            </w:pPr>
          </w:p>
        </w:tc>
        <w:tc>
          <w:tcPr>
            <w:tcW w:w="531" w:type="dxa"/>
            <w:vAlign w:val="bottom"/>
          </w:tcPr>
          <w:p w14:paraId="6C300B4F" w14:textId="77777777" w:rsidR="00773F7B" w:rsidRPr="00737A18" w:rsidRDefault="00773F7B" w:rsidP="00592BB5">
            <w:pPr>
              <w:pStyle w:val="T2"/>
              <w:jc w:val="right"/>
              <w:rPr>
                <w:b/>
              </w:rPr>
            </w:pPr>
          </w:p>
        </w:tc>
        <w:tc>
          <w:tcPr>
            <w:tcW w:w="532" w:type="dxa"/>
            <w:vAlign w:val="bottom"/>
          </w:tcPr>
          <w:p w14:paraId="0A2EC067" w14:textId="77777777" w:rsidR="00773F7B" w:rsidRPr="00737A18" w:rsidRDefault="00773F7B" w:rsidP="00592BB5">
            <w:pPr>
              <w:pStyle w:val="T2"/>
              <w:jc w:val="right"/>
              <w:rPr>
                <w:b/>
              </w:rPr>
            </w:pPr>
          </w:p>
        </w:tc>
        <w:tc>
          <w:tcPr>
            <w:tcW w:w="531" w:type="dxa"/>
            <w:vAlign w:val="bottom"/>
          </w:tcPr>
          <w:p w14:paraId="3E97D5B5" w14:textId="77777777" w:rsidR="00773F7B" w:rsidRPr="00737A18" w:rsidRDefault="00773F7B" w:rsidP="00592BB5">
            <w:pPr>
              <w:pStyle w:val="T2"/>
              <w:jc w:val="right"/>
              <w:rPr>
                <w:b/>
              </w:rPr>
            </w:pPr>
          </w:p>
        </w:tc>
        <w:tc>
          <w:tcPr>
            <w:tcW w:w="532" w:type="dxa"/>
            <w:vAlign w:val="bottom"/>
          </w:tcPr>
          <w:p w14:paraId="61EE539F" w14:textId="77777777" w:rsidR="00773F7B" w:rsidRPr="00782F7E" w:rsidRDefault="00773F7B" w:rsidP="00592BB5">
            <w:pPr>
              <w:pStyle w:val="T2"/>
              <w:jc w:val="right"/>
            </w:pPr>
          </w:p>
        </w:tc>
        <w:tc>
          <w:tcPr>
            <w:tcW w:w="1276" w:type="dxa"/>
            <w:vAlign w:val="bottom"/>
          </w:tcPr>
          <w:p w14:paraId="0F0AF6EC" w14:textId="77777777" w:rsidR="00AE497B" w:rsidRDefault="00AE497B" w:rsidP="00773F7B">
            <w:pPr>
              <w:pStyle w:val="T2"/>
              <w:jc w:val="right"/>
              <w:rPr>
                <w:b/>
              </w:rPr>
            </w:pPr>
          </w:p>
          <w:p w14:paraId="32AF6E63" w14:textId="410B5A73" w:rsidR="00773F7B" w:rsidRPr="00592BB5" w:rsidRDefault="008A4891" w:rsidP="00773F7B">
            <w:pPr>
              <w:pStyle w:val="T2"/>
              <w:jc w:val="right"/>
              <w:rPr>
                <w:b/>
              </w:rPr>
            </w:pPr>
            <w:r>
              <w:rPr>
                <w:b/>
              </w:rPr>
              <w:t>Half year 2022</w:t>
            </w:r>
          </w:p>
        </w:tc>
        <w:tc>
          <w:tcPr>
            <w:tcW w:w="1134" w:type="dxa"/>
            <w:vAlign w:val="bottom"/>
          </w:tcPr>
          <w:p w14:paraId="0F2A9DB7" w14:textId="7CC17DA4" w:rsidR="00773F7B" w:rsidRPr="00782F7E" w:rsidRDefault="008A4891" w:rsidP="00773F7B">
            <w:pPr>
              <w:pStyle w:val="T2"/>
              <w:jc w:val="right"/>
            </w:pPr>
            <w:r>
              <w:t>Half year 2021</w:t>
            </w:r>
          </w:p>
        </w:tc>
      </w:tr>
      <w:tr w:rsidR="00B41E40" w14:paraId="637E59FA" w14:textId="77777777" w:rsidTr="00592BB5">
        <w:tc>
          <w:tcPr>
            <w:tcW w:w="5245" w:type="dxa"/>
            <w:tcBorders>
              <w:bottom w:val="single" w:sz="2" w:space="0" w:color="auto"/>
            </w:tcBorders>
          </w:tcPr>
          <w:p w14:paraId="6FB7256C" w14:textId="77777777" w:rsidR="00773F7B" w:rsidRPr="00782F7E" w:rsidRDefault="00773F7B" w:rsidP="00773F7B">
            <w:pPr>
              <w:pStyle w:val="T2"/>
            </w:pPr>
          </w:p>
        </w:tc>
        <w:tc>
          <w:tcPr>
            <w:tcW w:w="531" w:type="dxa"/>
            <w:tcBorders>
              <w:bottom w:val="single" w:sz="2" w:space="0" w:color="auto"/>
            </w:tcBorders>
            <w:vAlign w:val="bottom"/>
          </w:tcPr>
          <w:p w14:paraId="602392CC" w14:textId="77777777" w:rsidR="00773F7B" w:rsidRPr="00782F7E" w:rsidRDefault="00773F7B" w:rsidP="00592BB5">
            <w:pPr>
              <w:pStyle w:val="T2"/>
              <w:jc w:val="right"/>
              <w:rPr>
                <w:b/>
              </w:rPr>
            </w:pPr>
          </w:p>
        </w:tc>
        <w:tc>
          <w:tcPr>
            <w:tcW w:w="532" w:type="dxa"/>
            <w:tcBorders>
              <w:bottom w:val="single" w:sz="2" w:space="0" w:color="auto"/>
            </w:tcBorders>
            <w:vAlign w:val="bottom"/>
          </w:tcPr>
          <w:p w14:paraId="4FC391F9" w14:textId="77777777" w:rsidR="00773F7B" w:rsidRPr="00782F7E" w:rsidRDefault="00773F7B" w:rsidP="00592BB5">
            <w:pPr>
              <w:pStyle w:val="T2"/>
              <w:jc w:val="right"/>
              <w:rPr>
                <w:b/>
              </w:rPr>
            </w:pPr>
          </w:p>
        </w:tc>
        <w:tc>
          <w:tcPr>
            <w:tcW w:w="531" w:type="dxa"/>
            <w:tcBorders>
              <w:bottom w:val="single" w:sz="2" w:space="0" w:color="auto"/>
            </w:tcBorders>
            <w:vAlign w:val="bottom"/>
          </w:tcPr>
          <w:p w14:paraId="1CC3CC95" w14:textId="77777777" w:rsidR="00773F7B" w:rsidRPr="00782F7E" w:rsidRDefault="00773F7B" w:rsidP="00592BB5">
            <w:pPr>
              <w:pStyle w:val="T2"/>
              <w:jc w:val="right"/>
              <w:rPr>
                <w:b/>
              </w:rPr>
            </w:pPr>
          </w:p>
        </w:tc>
        <w:tc>
          <w:tcPr>
            <w:tcW w:w="532" w:type="dxa"/>
            <w:tcBorders>
              <w:bottom w:val="single" w:sz="2" w:space="0" w:color="auto"/>
            </w:tcBorders>
            <w:vAlign w:val="bottom"/>
          </w:tcPr>
          <w:p w14:paraId="1E8C42C7" w14:textId="77777777" w:rsidR="00773F7B" w:rsidRPr="00782F7E" w:rsidRDefault="00773F7B" w:rsidP="00592BB5">
            <w:pPr>
              <w:pStyle w:val="T2"/>
              <w:jc w:val="right"/>
            </w:pPr>
          </w:p>
        </w:tc>
        <w:tc>
          <w:tcPr>
            <w:tcW w:w="1276" w:type="dxa"/>
            <w:tcBorders>
              <w:bottom w:val="single" w:sz="2" w:space="0" w:color="auto"/>
            </w:tcBorders>
          </w:tcPr>
          <w:p w14:paraId="05EA8D2F" w14:textId="77777777" w:rsidR="00773F7B" w:rsidRPr="00592BB5" w:rsidRDefault="00592BB5" w:rsidP="00773F7B">
            <w:pPr>
              <w:pStyle w:val="T2"/>
              <w:jc w:val="right"/>
              <w:rPr>
                <w:b/>
              </w:rPr>
            </w:pPr>
            <w:r w:rsidRPr="00592BB5">
              <w:rPr>
                <w:b/>
              </w:rPr>
              <w:t>£m</w:t>
            </w:r>
          </w:p>
        </w:tc>
        <w:tc>
          <w:tcPr>
            <w:tcW w:w="1134" w:type="dxa"/>
            <w:tcBorders>
              <w:bottom w:val="single" w:sz="2" w:space="0" w:color="auto"/>
            </w:tcBorders>
          </w:tcPr>
          <w:p w14:paraId="12370318" w14:textId="77777777" w:rsidR="00773F7B" w:rsidRPr="00782F7E" w:rsidRDefault="00592BB5" w:rsidP="00773F7B">
            <w:pPr>
              <w:pStyle w:val="T2"/>
              <w:jc w:val="right"/>
            </w:pPr>
            <w:r>
              <w:t>£m</w:t>
            </w:r>
          </w:p>
        </w:tc>
      </w:tr>
      <w:tr w:rsidR="009E3D18" w14:paraId="7019A531" w14:textId="77777777" w:rsidTr="00466F01">
        <w:tc>
          <w:tcPr>
            <w:tcW w:w="5245" w:type="dxa"/>
            <w:tcBorders>
              <w:top w:val="single" w:sz="2" w:space="0" w:color="auto"/>
            </w:tcBorders>
            <w:vAlign w:val="bottom"/>
          </w:tcPr>
          <w:p w14:paraId="014EB6BF" w14:textId="28643095" w:rsidR="009E3D18" w:rsidRPr="00782F7E" w:rsidRDefault="009E3D18" w:rsidP="009E3D18">
            <w:pPr>
              <w:pStyle w:val="T2"/>
              <w:jc w:val="left"/>
            </w:pPr>
            <w:r w:rsidRPr="00782F7E">
              <w:t xml:space="preserve">Net cash </w:t>
            </w:r>
            <w:r>
              <w:t>outflow</w:t>
            </w:r>
            <w:r w:rsidR="00E524CE" w:rsidRPr="00782F7E">
              <w:t xml:space="preserve"> </w:t>
            </w:r>
            <w:r w:rsidRPr="00782F7E">
              <w:t>from operating activities</w:t>
            </w:r>
          </w:p>
        </w:tc>
        <w:tc>
          <w:tcPr>
            <w:tcW w:w="531" w:type="dxa"/>
            <w:tcBorders>
              <w:top w:val="single" w:sz="2" w:space="0" w:color="auto"/>
            </w:tcBorders>
            <w:vAlign w:val="bottom"/>
          </w:tcPr>
          <w:p w14:paraId="43C57895" w14:textId="77777777" w:rsidR="009E3D18" w:rsidRPr="00FC568F" w:rsidRDefault="009E3D18" w:rsidP="009E3D18">
            <w:pPr>
              <w:pStyle w:val="T2"/>
              <w:jc w:val="right"/>
              <w:rPr>
                <w:b/>
                <w:bCs/>
              </w:rPr>
            </w:pPr>
          </w:p>
        </w:tc>
        <w:tc>
          <w:tcPr>
            <w:tcW w:w="532" w:type="dxa"/>
            <w:tcBorders>
              <w:top w:val="single" w:sz="2" w:space="0" w:color="auto"/>
            </w:tcBorders>
            <w:vAlign w:val="bottom"/>
          </w:tcPr>
          <w:p w14:paraId="09AFB2A4" w14:textId="77777777" w:rsidR="009E3D18" w:rsidRPr="00FC568F" w:rsidRDefault="009E3D18" w:rsidP="009E3D18">
            <w:pPr>
              <w:pStyle w:val="T2"/>
              <w:jc w:val="right"/>
              <w:rPr>
                <w:b/>
                <w:bCs/>
              </w:rPr>
            </w:pPr>
          </w:p>
        </w:tc>
        <w:tc>
          <w:tcPr>
            <w:tcW w:w="531" w:type="dxa"/>
            <w:tcBorders>
              <w:top w:val="single" w:sz="2" w:space="0" w:color="auto"/>
            </w:tcBorders>
            <w:vAlign w:val="bottom"/>
          </w:tcPr>
          <w:p w14:paraId="3464F999" w14:textId="77777777" w:rsidR="009E3D18" w:rsidRPr="00FC568F" w:rsidRDefault="009E3D18" w:rsidP="009E3D18">
            <w:pPr>
              <w:pStyle w:val="T2"/>
              <w:jc w:val="right"/>
              <w:rPr>
                <w:b/>
                <w:bCs/>
              </w:rPr>
            </w:pPr>
          </w:p>
        </w:tc>
        <w:tc>
          <w:tcPr>
            <w:tcW w:w="532" w:type="dxa"/>
            <w:tcBorders>
              <w:top w:val="single" w:sz="2" w:space="0" w:color="auto"/>
            </w:tcBorders>
            <w:vAlign w:val="bottom"/>
          </w:tcPr>
          <w:p w14:paraId="20C82904" w14:textId="77777777" w:rsidR="009E3D18" w:rsidRPr="00782F7E" w:rsidRDefault="009E3D18" w:rsidP="009E3D18">
            <w:pPr>
              <w:pStyle w:val="T2"/>
              <w:jc w:val="right"/>
            </w:pPr>
          </w:p>
        </w:tc>
        <w:tc>
          <w:tcPr>
            <w:tcW w:w="1276" w:type="dxa"/>
            <w:tcBorders>
              <w:top w:val="single" w:sz="2" w:space="0" w:color="auto"/>
            </w:tcBorders>
          </w:tcPr>
          <w:p w14:paraId="39DA4E67" w14:textId="6645B33D" w:rsidR="009E3D18" w:rsidRPr="00592BB5" w:rsidRDefault="00E524CE" w:rsidP="009E3D18">
            <w:pPr>
              <w:pStyle w:val="T2"/>
              <w:jc w:val="right"/>
              <w:rPr>
                <w:b/>
                <w:bCs/>
              </w:rPr>
            </w:pPr>
            <w:r>
              <w:rPr>
                <w:rFonts w:ascii="Calibri" w:hAnsi="Calibri" w:cs="Calibri"/>
                <w:b/>
              </w:rPr>
              <w:t>(3.1)</w:t>
            </w:r>
          </w:p>
        </w:tc>
        <w:tc>
          <w:tcPr>
            <w:tcW w:w="1134" w:type="dxa"/>
            <w:tcBorders>
              <w:top w:val="single" w:sz="2" w:space="0" w:color="auto"/>
            </w:tcBorders>
          </w:tcPr>
          <w:p w14:paraId="06FE97FE" w14:textId="1A8DF519" w:rsidR="009E3D18" w:rsidRPr="009E3D18" w:rsidRDefault="009E3D18" w:rsidP="009E3D18">
            <w:pPr>
              <w:pStyle w:val="T2"/>
              <w:jc w:val="right"/>
              <w:rPr>
                <w:bCs/>
              </w:rPr>
            </w:pPr>
            <w:r w:rsidRPr="009E3D18">
              <w:rPr>
                <w:rFonts w:ascii="Calibri" w:hAnsi="Calibri" w:cs="Calibri"/>
                <w:bCs/>
              </w:rPr>
              <w:t>(7.8)</w:t>
            </w:r>
          </w:p>
        </w:tc>
      </w:tr>
      <w:tr w:rsidR="009E3D18" w14:paraId="2B491CF6" w14:textId="77777777" w:rsidTr="00466F01">
        <w:tc>
          <w:tcPr>
            <w:tcW w:w="5245" w:type="dxa"/>
            <w:tcBorders>
              <w:bottom w:val="single" w:sz="2" w:space="0" w:color="auto"/>
            </w:tcBorders>
            <w:vAlign w:val="bottom"/>
          </w:tcPr>
          <w:p w14:paraId="22E3324D" w14:textId="77777777" w:rsidR="009E3D18" w:rsidRPr="00782F7E" w:rsidRDefault="009E3D18" w:rsidP="009E3D18">
            <w:pPr>
              <w:pStyle w:val="T2"/>
              <w:jc w:val="left"/>
            </w:pPr>
            <w:r w:rsidRPr="00782F7E">
              <w:t xml:space="preserve">Net cash </w:t>
            </w:r>
            <w:r>
              <w:t>outflow</w:t>
            </w:r>
            <w:r w:rsidRPr="00782F7E">
              <w:t xml:space="preserve"> from investing activities</w:t>
            </w:r>
          </w:p>
        </w:tc>
        <w:tc>
          <w:tcPr>
            <w:tcW w:w="531" w:type="dxa"/>
            <w:tcBorders>
              <w:bottom w:val="single" w:sz="2" w:space="0" w:color="auto"/>
            </w:tcBorders>
            <w:vAlign w:val="bottom"/>
          </w:tcPr>
          <w:p w14:paraId="010D843A" w14:textId="77777777" w:rsidR="009E3D18" w:rsidRPr="00FC568F" w:rsidRDefault="009E3D18" w:rsidP="009E3D18">
            <w:pPr>
              <w:pStyle w:val="T2"/>
              <w:jc w:val="right"/>
              <w:rPr>
                <w:b/>
                <w:bCs/>
              </w:rPr>
            </w:pPr>
          </w:p>
        </w:tc>
        <w:tc>
          <w:tcPr>
            <w:tcW w:w="532" w:type="dxa"/>
            <w:tcBorders>
              <w:bottom w:val="single" w:sz="2" w:space="0" w:color="auto"/>
            </w:tcBorders>
            <w:vAlign w:val="bottom"/>
          </w:tcPr>
          <w:p w14:paraId="7E9646C9" w14:textId="77777777" w:rsidR="009E3D18" w:rsidRPr="00FC568F" w:rsidRDefault="009E3D18" w:rsidP="009E3D18">
            <w:pPr>
              <w:pStyle w:val="T2"/>
              <w:jc w:val="right"/>
              <w:rPr>
                <w:b/>
                <w:bCs/>
              </w:rPr>
            </w:pPr>
          </w:p>
        </w:tc>
        <w:tc>
          <w:tcPr>
            <w:tcW w:w="531" w:type="dxa"/>
            <w:tcBorders>
              <w:bottom w:val="single" w:sz="2" w:space="0" w:color="auto"/>
            </w:tcBorders>
            <w:vAlign w:val="bottom"/>
          </w:tcPr>
          <w:p w14:paraId="6626832E" w14:textId="77777777" w:rsidR="009E3D18" w:rsidRPr="005D0EFF" w:rsidRDefault="009E3D18" w:rsidP="009E3D18">
            <w:pPr>
              <w:pStyle w:val="T2"/>
              <w:jc w:val="right"/>
              <w:rPr>
                <w:bCs/>
              </w:rPr>
            </w:pPr>
          </w:p>
        </w:tc>
        <w:tc>
          <w:tcPr>
            <w:tcW w:w="532" w:type="dxa"/>
            <w:tcBorders>
              <w:bottom w:val="single" w:sz="2" w:space="0" w:color="auto"/>
            </w:tcBorders>
            <w:vAlign w:val="bottom"/>
          </w:tcPr>
          <w:p w14:paraId="6E837252" w14:textId="77777777" w:rsidR="009E3D18" w:rsidRPr="00782F7E" w:rsidRDefault="009E3D18" w:rsidP="009E3D18">
            <w:pPr>
              <w:pStyle w:val="T2"/>
              <w:jc w:val="right"/>
            </w:pPr>
          </w:p>
        </w:tc>
        <w:tc>
          <w:tcPr>
            <w:tcW w:w="1276" w:type="dxa"/>
            <w:tcBorders>
              <w:bottom w:val="single" w:sz="2" w:space="0" w:color="auto"/>
            </w:tcBorders>
          </w:tcPr>
          <w:p w14:paraId="43C5A23C" w14:textId="721CCAD5" w:rsidR="009E3D18" w:rsidRPr="00592BB5" w:rsidRDefault="00E524CE" w:rsidP="009E3D18">
            <w:pPr>
              <w:pStyle w:val="T2"/>
              <w:jc w:val="right"/>
              <w:rPr>
                <w:b/>
                <w:bCs/>
              </w:rPr>
            </w:pPr>
            <w:r>
              <w:rPr>
                <w:rFonts w:ascii="Calibri" w:hAnsi="Calibri" w:cs="Calibri"/>
                <w:b/>
              </w:rPr>
              <w:t>(18.6)</w:t>
            </w:r>
          </w:p>
        </w:tc>
        <w:tc>
          <w:tcPr>
            <w:tcW w:w="1134" w:type="dxa"/>
            <w:tcBorders>
              <w:bottom w:val="single" w:sz="2" w:space="0" w:color="auto"/>
            </w:tcBorders>
          </w:tcPr>
          <w:p w14:paraId="0FEDA7C0" w14:textId="52753118" w:rsidR="009E3D18" w:rsidRPr="009E3D18" w:rsidRDefault="009E3D18" w:rsidP="009E3D18">
            <w:pPr>
              <w:pStyle w:val="T2"/>
              <w:jc w:val="right"/>
              <w:rPr>
                <w:bCs/>
              </w:rPr>
            </w:pPr>
            <w:r w:rsidRPr="009E3D18">
              <w:rPr>
                <w:rFonts w:ascii="Calibri" w:hAnsi="Calibri" w:cs="Calibri"/>
                <w:bCs/>
              </w:rPr>
              <w:t>(0.2)</w:t>
            </w:r>
          </w:p>
        </w:tc>
      </w:tr>
      <w:tr w:rsidR="009E3D18" w14:paraId="2ED8D467" w14:textId="77777777" w:rsidTr="00466F01">
        <w:tc>
          <w:tcPr>
            <w:tcW w:w="5245" w:type="dxa"/>
            <w:tcBorders>
              <w:top w:val="single" w:sz="2" w:space="0" w:color="auto"/>
            </w:tcBorders>
            <w:vAlign w:val="bottom"/>
          </w:tcPr>
          <w:p w14:paraId="2EE8C34A" w14:textId="77777777" w:rsidR="009E3D18" w:rsidRPr="00457332" w:rsidRDefault="009E3D18" w:rsidP="009E3D18">
            <w:pPr>
              <w:pStyle w:val="T2"/>
              <w:jc w:val="left"/>
              <w:rPr>
                <w:b/>
              </w:rPr>
            </w:pPr>
            <w:r w:rsidRPr="00457332">
              <w:rPr>
                <w:b/>
              </w:rPr>
              <w:t>Net cash outflow from operating and investing activities</w:t>
            </w:r>
          </w:p>
        </w:tc>
        <w:tc>
          <w:tcPr>
            <w:tcW w:w="531" w:type="dxa"/>
            <w:tcBorders>
              <w:top w:val="single" w:sz="2" w:space="0" w:color="auto"/>
            </w:tcBorders>
            <w:vAlign w:val="bottom"/>
          </w:tcPr>
          <w:p w14:paraId="3298B105" w14:textId="77777777" w:rsidR="009E3D18" w:rsidRPr="00FC568F" w:rsidRDefault="009E3D18" w:rsidP="009E3D18">
            <w:pPr>
              <w:pStyle w:val="T2"/>
              <w:jc w:val="right"/>
              <w:rPr>
                <w:b/>
                <w:bCs/>
              </w:rPr>
            </w:pPr>
          </w:p>
        </w:tc>
        <w:tc>
          <w:tcPr>
            <w:tcW w:w="532" w:type="dxa"/>
            <w:tcBorders>
              <w:top w:val="single" w:sz="2" w:space="0" w:color="auto"/>
            </w:tcBorders>
            <w:vAlign w:val="bottom"/>
          </w:tcPr>
          <w:p w14:paraId="26CBDD11" w14:textId="77777777" w:rsidR="009E3D18" w:rsidRPr="00FC568F" w:rsidRDefault="009E3D18" w:rsidP="009E3D18">
            <w:pPr>
              <w:pStyle w:val="T2"/>
              <w:jc w:val="right"/>
              <w:rPr>
                <w:b/>
                <w:bCs/>
              </w:rPr>
            </w:pPr>
          </w:p>
        </w:tc>
        <w:tc>
          <w:tcPr>
            <w:tcW w:w="531" w:type="dxa"/>
            <w:tcBorders>
              <w:top w:val="single" w:sz="2" w:space="0" w:color="auto"/>
            </w:tcBorders>
            <w:vAlign w:val="bottom"/>
          </w:tcPr>
          <w:p w14:paraId="75EC9D41" w14:textId="77777777" w:rsidR="009E3D18" w:rsidRPr="005D0EFF" w:rsidRDefault="009E3D18" w:rsidP="009E3D18">
            <w:pPr>
              <w:pStyle w:val="T2"/>
              <w:jc w:val="right"/>
              <w:rPr>
                <w:bCs/>
              </w:rPr>
            </w:pPr>
          </w:p>
        </w:tc>
        <w:tc>
          <w:tcPr>
            <w:tcW w:w="532" w:type="dxa"/>
            <w:tcBorders>
              <w:top w:val="single" w:sz="2" w:space="0" w:color="auto"/>
            </w:tcBorders>
            <w:vAlign w:val="bottom"/>
          </w:tcPr>
          <w:p w14:paraId="1159BCC7" w14:textId="77777777" w:rsidR="009E3D18" w:rsidRPr="00782F7E" w:rsidRDefault="009E3D18" w:rsidP="009E3D18">
            <w:pPr>
              <w:pStyle w:val="T2"/>
              <w:jc w:val="right"/>
            </w:pPr>
          </w:p>
        </w:tc>
        <w:tc>
          <w:tcPr>
            <w:tcW w:w="1276" w:type="dxa"/>
            <w:tcBorders>
              <w:top w:val="single" w:sz="2" w:space="0" w:color="auto"/>
            </w:tcBorders>
          </w:tcPr>
          <w:p w14:paraId="3AABE301" w14:textId="23F4B164" w:rsidR="009E3D18" w:rsidRPr="00592BB5" w:rsidRDefault="00E524CE" w:rsidP="009E3D18">
            <w:pPr>
              <w:pStyle w:val="T2"/>
              <w:jc w:val="right"/>
              <w:rPr>
                <w:b/>
                <w:bCs/>
              </w:rPr>
            </w:pPr>
            <w:r>
              <w:rPr>
                <w:rFonts w:ascii="Calibri" w:hAnsi="Calibri" w:cs="Calibri"/>
                <w:b/>
              </w:rPr>
              <w:t>(21.7)</w:t>
            </w:r>
          </w:p>
        </w:tc>
        <w:tc>
          <w:tcPr>
            <w:tcW w:w="1134" w:type="dxa"/>
            <w:tcBorders>
              <w:top w:val="single" w:sz="2" w:space="0" w:color="auto"/>
            </w:tcBorders>
          </w:tcPr>
          <w:p w14:paraId="6F30667E" w14:textId="372ED4F8" w:rsidR="009E3D18" w:rsidRPr="009E3D18" w:rsidRDefault="009E3D18" w:rsidP="009E3D18">
            <w:pPr>
              <w:pStyle w:val="T2"/>
              <w:jc w:val="right"/>
              <w:rPr>
                <w:bCs/>
              </w:rPr>
            </w:pPr>
            <w:r w:rsidRPr="009E3D18">
              <w:rPr>
                <w:rFonts w:ascii="Calibri" w:hAnsi="Calibri" w:cs="Calibri"/>
                <w:bCs/>
              </w:rPr>
              <w:t>(8.0)</w:t>
            </w:r>
          </w:p>
        </w:tc>
      </w:tr>
      <w:tr w:rsidR="009E3D18" w14:paraId="6863F7F9" w14:textId="77777777" w:rsidTr="00466F01">
        <w:tc>
          <w:tcPr>
            <w:tcW w:w="5245" w:type="dxa"/>
            <w:vAlign w:val="bottom"/>
          </w:tcPr>
          <w:p w14:paraId="4F594B29" w14:textId="77777777" w:rsidR="009E3D18" w:rsidRPr="00782F7E" w:rsidRDefault="009E3D18" w:rsidP="009E3D18">
            <w:pPr>
              <w:pStyle w:val="T2"/>
              <w:jc w:val="left"/>
            </w:pPr>
            <w:r w:rsidRPr="00782F7E">
              <w:t>Strategic Capital Expenditure</w:t>
            </w:r>
          </w:p>
        </w:tc>
        <w:tc>
          <w:tcPr>
            <w:tcW w:w="531" w:type="dxa"/>
            <w:vAlign w:val="bottom"/>
          </w:tcPr>
          <w:p w14:paraId="2FA53245" w14:textId="77777777" w:rsidR="009E3D18" w:rsidRPr="00FC568F" w:rsidRDefault="009E3D18" w:rsidP="009E3D18">
            <w:pPr>
              <w:pStyle w:val="T2"/>
              <w:jc w:val="right"/>
              <w:rPr>
                <w:b/>
                <w:bCs/>
              </w:rPr>
            </w:pPr>
          </w:p>
        </w:tc>
        <w:tc>
          <w:tcPr>
            <w:tcW w:w="532" w:type="dxa"/>
            <w:vAlign w:val="bottom"/>
          </w:tcPr>
          <w:p w14:paraId="6F865AC1" w14:textId="77777777" w:rsidR="009E3D18" w:rsidRPr="00FC568F" w:rsidRDefault="009E3D18" w:rsidP="009E3D18">
            <w:pPr>
              <w:pStyle w:val="T2"/>
              <w:jc w:val="right"/>
              <w:rPr>
                <w:b/>
                <w:bCs/>
              </w:rPr>
            </w:pPr>
          </w:p>
        </w:tc>
        <w:tc>
          <w:tcPr>
            <w:tcW w:w="531" w:type="dxa"/>
            <w:vAlign w:val="bottom"/>
          </w:tcPr>
          <w:p w14:paraId="10548837" w14:textId="77777777" w:rsidR="009E3D18" w:rsidRPr="005D0EFF" w:rsidRDefault="009E3D18" w:rsidP="009E3D18">
            <w:pPr>
              <w:pStyle w:val="T2"/>
              <w:jc w:val="right"/>
              <w:rPr>
                <w:bCs/>
              </w:rPr>
            </w:pPr>
          </w:p>
        </w:tc>
        <w:tc>
          <w:tcPr>
            <w:tcW w:w="532" w:type="dxa"/>
            <w:vAlign w:val="bottom"/>
          </w:tcPr>
          <w:p w14:paraId="15FA6140" w14:textId="77777777" w:rsidR="009E3D18" w:rsidRPr="00782F7E" w:rsidRDefault="009E3D18" w:rsidP="009E3D18">
            <w:pPr>
              <w:pStyle w:val="T2"/>
              <w:jc w:val="right"/>
            </w:pPr>
          </w:p>
        </w:tc>
        <w:tc>
          <w:tcPr>
            <w:tcW w:w="1276" w:type="dxa"/>
          </w:tcPr>
          <w:p w14:paraId="4171A1BA" w14:textId="7ED4394D" w:rsidR="009E3D18" w:rsidRPr="00592BB5" w:rsidRDefault="00225DE1" w:rsidP="009E3D18">
            <w:pPr>
              <w:pStyle w:val="T2"/>
              <w:jc w:val="right"/>
              <w:rPr>
                <w:b/>
                <w:bCs/>
              </w:rPr>
            </w:pPr>
            <w:r>
              <w:rPr>
                <w:rFonts w:ascii="Calibri" w:hAnsi="Calibri" w:cs="Calibri"/>
                <w:b/>
              </w:rPr>
              <w:t>12</w:t>
            </w:r>
            <w:r w:rsidR="00E524CE">
              <w:rPr>
                <w:rFonts w:ascii="Calibri" w:hAnsi="Calibri" w:cs="Calibri"/>
                <w:b/>
              </w:rPr>
              <w:t>.6</w:t>
            </w:r>
          </w:p>
        </w:tc>
        <w:tc>
          <w:tcPr>
            <w:tcW w:w="1134" w:type="dxa"/>
          </w:tcPr>
          <w:p w14:paraId="3F562F5E" w14:textId="7B7DA8D6" w:rsidR="009E3D18" w:rsidRPr="009E3D18" w:rsidRDefault="009E3D18" w:rsidP="009E3D18">
            <w:pPr>
              <w:pStyle w:val="T2"/>
              <w:jc w:val="right"/>
              <w:rPr>
                <w:bCs/>
              </w:rPr>
            </w:pPr>
            <w:r w:rsidRPr="009E3D18">
              <w:rPr>
                <w:rFonts w:ascii="Calibri" w:hAnsi="Calibri" w:cs="Calibri"/>
                <w:bCs/>
              </w:rPr>
              <w:t>8.6</w:t>
            </w:r>
          </w:p>
        </w:tc>
      </w:tr>
      <w:tr w:rsidR="009E3D18" w14:paraId="310050D4" w14:textId="77777777" w:rsidTr="00466F01">
        <w:tc>
          <w:tcPr>
            <w:tcW w:w="5245" w:type="dxa"/>
            <w:vAlign w:val="bottom"/>
          </w:tcPr>
          <w:p w14:paraId="5E2CE897" w14:textId="77777777" w:rsidR="009E3D18" w:rsidRPr="00782F7E" w:rsidRDefault="009E3D18" w:rsidP="009E3D18">
            <w:pPr>
              <w:pStyle w:val="T2"/>
              <w:jc w:val="left"/>
            </w:pPr>
            <w:r w:rsidRPr="00782F7E">
              <w:t>Disposal of undertakings</w:t>
            </w:r>
          </w:p>
        </w:tc>
        <w:tc>
          <w:tcPr>
            <w:tcW w:w="531" w:type="dxa"/>
            <w:vAlign w:val="bottom"/>
          </w:tcPr>
          <w:p w14:paraId="7BE3E096" w14:textId="77777777" w:rsidR="009E3D18" w:rsidRPr="00FC568F" w:rsidRDefault="009E3D18" w:rsidP="009E3D18">
            <w:pPr>
              <w:pStyle w:val="T2"/>
              <w:jc w:val="right"/>
              <w:rPr>
                <w:b/>
                <w:bCs/>
              </w:rPr>
            </w:pPr>
          </w:p>
        </w:tc>
        <w:tc>
          <w:tcPr>
            <w:tcW w:w="532" w:type="dxa"/>
            <w:vAlign w:val="bottom"/>
          </w:tcPr>
          <w:p w14:paraId="702BE4BB" w14:textId="77777777" w:rsidR="009E3D18" w:rsidRPr="00FC568F" w:rsidRDefault="009E3D18" w:rsidP="009E3D18">
            <w:pPr>
              <w:pStyle w:val="T2"/>
              <w:jc w:val="right"/>
              <w:rPr>
                <w:b/>
                <w:bCs/>
              </w:rPr>
            </w:pPr>
          </w:p>
        </w:tc>
        <w:tc>
          <w:tcPr>
            <w:tcW w:w="531" w:type="dxa"/>
            <w:vAlign w:val="bottom"/>
          </w:tcPr>
          <w:p w14:paraId="5EF2DF14" w14:textId="77777777" w:rsidR="009E3D18" w:rsidRPr="005D0EFF" w:rsidRDefault="009E3D18" w:rsidP="009E3D18">
            <w:pPr>
              <w:pStyle w:val="T2"/>
              <w:jc w:val="right"/>
              <w:rPr>
                <w:bCs/>
              </w:rPr>
            </w:pPr>
          </w:p>
        </w:tc>
        <w:tc>
          <w:tcPr>
            <w:tcW w:w="532" w:type="dxa"/>
            <w:vAlign w:val="bottom"/>
          </w:tcPr>
          <w:p w14:paraId="2664F9EE" w14:textId="77777777" w:rsidR="009E3D18" w:rsidRPr="00782F7E" w:rsidRDefault="009E3D18" w:rsidP="009E3D18">
            <w:pPr>
              <w:pStyle w:val="T2"/>
              <w:jc w:val="right"/>
            </w:pPr>
          </w:p>
        </w:tc>
        <w:tc>
          <w:tcPr>
            <w:tcW w:w="1276" w:type="dxa"/>
          </w:tcPr>
          <w:p w14:paraId="0AD4D603" w14:textId="15D86E30" w:rsidR="009E3D18" w:rsidRPr="00592BB5" w:rsidRDefault="009E3D18" w:rsidP="009E3D18">
            <w:pPr>
              <w:pStyle w:val="T2"/>
              <w:jc w:val="right"/>
              <w:rPr>
                <w:b/>
                <w:bCs/>
              </w:rPr>
            </w:pPr>
            <w:r w:rsidRPr="00A81005">
              <w:rPr>
                <w:rFonts w:ascii="Calibri" w:hAnsi="Calibri" w:cs="Calibri"/>
                <w:b/>
              </w:rPr>
              <w:t>–</w:t>
            </w:r>
          </w:p>
        </w:tc>
        <w:tc>
          <w:tcPr>
            <w:tcW w:w="1134" w:type="dxa"/>
          </w:tcPr>
          <w:p w14:paraId="2222ED8F" w14:textId="3E7962A5" w:rsidR="009E3D18" w:rsidRPr="009E3D18" w:rsidRDefault="009E3D18" w:rsidP="009E3D18">
            <w:pPr>
              <w:pStyle w:val="T2"/>
              <w:jc w:val="right"/>
              <w:rPr>
                <w:bCs/>
              </w:rPr>
            </w:pPr>
            <w:r w:rsidRPr="009E3D18">
              <w:rPr>
                <w:rFonts w:ascii="Calibri" w:hAnsi="Calibri" w:cs="Calibri"/>
                <w:bCs/>
              </w:rPr>
              <w:t>(16.3)</w:t>
            </w:r>
          </w:p>
        </w:tc>
      </w:tr>
      <w:tr w:rsidR="009E3D18" w14:paraId="6E81B7E4" w14:textId="77777777" w:rsidTr="00466F01">
        <w:tc>
          <w:tcPr>
            <w:tcW w:w="5245" w:type="dxa"/>
            <w:vAlign w:val="bottom"/>
          </w:tcPr>
          <w:p w14:paraId="7429B299" w14:textId="77777777" w:rsidR="009E3D18" w:rsidRPr="00782F7E" w:rsidRDefault="009E3D18" w:rsidP="009E3D18">
            <w:pPr>
              <w:pStyle w:val="T2"/>
              <w:jc w:val="left"/>
            </w:pPr>
            <w:r>
              <w:t>Repayment of lease liabilities</w:t>
            </w:r>
          </w:p>
        </w:tc>
        <w:tc>
          <w:tcPr>
            <w:tcW w:w="531" w:type="dxa"/>
            <w:vAlign w:val="bottom"/>
          </w:tcPr>
          <w:p w14:paraId="7EB592C3" w14:textId="77777777" w:rsidR="009E3D18" w:rsidRPr="00FC568F" w:rsidDel="007A051A" w:rsidRDefault="009E3D18" w:rsidP="009E3D18">
            <w:pPr>
              <w:pStyle w:val="T2"/>
              <w:jc w:val="right"/>
              <w:rPr>
                <w:b/>
                <w:bCs/>
              </w:rPr>
            </w:pPr>
          </w:p>
        </w:tc>
        <w:tc>
          <w:tcPr>
            <w:tcW w:w="532" w:type="dxa"/>
            <w:vAlign w:val="bottom"/>
          </w:tcPr>
          <w:p w14:paraId="16CC345C" w14:textId="77777777" w:rsidR="009E3D18" w:rsidRPr="00FC568F" w:rsidDel="007A051A" w:rsidRDefault="009E3D18" w:rsidP="009E3D18">
            <w:pPr>
              <w:pStyle w:val="T2"/>
              <w:jc w:val="right"/>
              <w:rPr>
                <w:b/>
                <w:bCs/>
              </w:rPr>
            </w:pPr>
          </w:p>
        </w:tc>
        <w:tc>
          <w:tcPr>
            <w:tcW w:w="531" w:type="dxa"/>
            <w:vAlign w:val="bottom"/>
          </w:tcPr>
          <w:p w14:paraId="33016818" w14:textId="77777777" w:rsidR="009E3D18" w:rsidRPr="007A051A" w:rsidDel="007A051A" w:rsidRDefault="009E3D18" w:rsidP="009E3D18">
            <w:pPr>
              <w:pStyle w:val="T2"/>
              <w:jc w:val="right"/>
              <w:rPr>
                <w:bCs/>
              </w:rPr>
            </w:pPr>
          </w:p>
        </w:tc>
        <w:tc>
          <w:tcPr>
            <w:tcW w:w="532" w:type="dxa"/>
            <w:vAlign w:val="bottom"/>
          </w:tcPr>
          <w:p w14:paraId="58031CCF" w14:textId="77777777" w:rsidR="009E3D18" w:rsidRPr="0096767F" w:rsidRDefault="009E3D18" w:rsidP="009E3D18">
            <w:pPr>
              <w:pStyle w:val="T2"/>
              <w:jc w:val="right"/>
              <w:rPr>
                <w:bCs/>
              </w:rPr>
            </w:pPr>
          </w:p>
        </w:tc>
        <w:tc>
          <w:tcPr>
            <w:tcW w:w="1276" w:type="dxa"/>
          </w:tcPr>
          <w:p w14:paraId="0A7524F8" w14:textId="2DBEEDEF" w:rsidR="009E3D18" w:rsidRPr="00592BB5" w:rsidRDefault="00E524CE" w:rsidP="009E3D18">
            <w:pPr>
              <w:pStyle w:val="T2"/>
              <w:jc w:val="right"/>
              <w:rPr>
                <w:b/>
                <w:bCs/>
              </w:rPr>
            </w:pPr>
            <w:r>
              <w:rPr>
                <w:rFonts w:ascii="Calibri" w:hAnsi="Calibri" w:cs="Calibri"/>
                <w:b/>
              </w:rPr>
              <w:t>(8.7)</w:t>
            </w:r>
          </w:p>
        </w:tc>
        <w:tc>
          <w:tcPr>
            <w:tcW w:w="1134" w:type="dxa"/>
          </w:tcPr>
          <w:p w14:paraId="4B17E38F" w14:textId="5179A3CA" w:rsidR="009E3D18" w:rsidRPr="009E3D18" w:rsidRDefault="009E3D18" w:rsidP="009E3D18">
            <w:pPr>
              <w:pStyle w:val="T2"/>
              <w:jc w:val="right"/>
              <w:rPr>
                <w:bCs/>
              </w:rPr>
            </w:pPr>
            <w:r w:rsidRPr="009E3D18">
              <w:rPr>
                <w:rFonts w:ascii="Calibri" w:hAnsi="Calibri" w:cs="Calibri"/>
                <w:bCs/>
              </w:rPr>
              <w:t>(7.9)</w:t>
            </w:r>
          </w:p>
        </w:tc>
      </w:tr>
      <w:tr w:rsidR="009E3D18" w14:paraId="1F3C8C7C" w14:textId="77777777" w:rsidTr="00466F01">
        <w:tc>
          <w:tcPr>
            <w:tcW w:w="5245" w:type="dxa"/>
            <w:tcBorders>
              <w:top w:val="single" w:sz="2" w:space="0" w:color="auto"/>
              <w:bottom w:val="single" w:sz="2" w:space="0" w:color="auto"/>
            </w:tcBorders>
            <w:vAlign w:val="bottom"/>
          </w:tcPr>
          <w:p w14:paraId="7EF83F21" w14:textId="77777777" w:rsidR="009E3D18" w:rsidRPr="00B52070" w:rsidRDefault="009E3D18" w:rsidP="009E3D18">
            <w:pPr>
              <w:pStyle w:val="T2"/>
              <w:jc w:val="left"/>
              <w:rPr>
                <w:rFonts w:ascii="Calibri" w:hAnsi="Calibri" w:cs="Calibri"/>
                <w:b/>
                <w:bCs/>
              </w:rPr>
            </w:pPr>
            <w:r w:rsidRPr="00B52070">
              <w:rPr>
                <w:rFonts w:ascii="Calibri" w:hAnsi="Calibri" w:cs="Calibri"/>
                <w:b/>
                <w:bCs/>
              </w:rPr>
              <w:t>Free Cash Flow</w:t>
            </w:r>
          </w:p>
        </w:tc>
        <w:tc>
          <w:tcPr>
            <w:tcW w:w="531" w:type="dxa"/>
            <w:tcBorders>
              <w:top w:val="single" w:sz="2" w:space="0" w:color="auto"/>
              <w:bottom w:val="single" w:sz="2" w:space="0" w:color="auto"/>
            </w:tcBorders>
            <w:vAlign w:val="bottom"/>
          </w:tcPr>
          <w:p w14:paraId="149AC216" w14:textId="77777777" w:rsidR="009E3D18" w:rsidRPr="00B52070" w:rsidRDefault="009E3D18" w:rsidP="009E3D18">
            <w:pPr>
              <w:pStyle w:val="T2"/>
              <w:jc w:val="right"/>
              <w:rPr>
                <w:rFonts w:ascii="Calibri" w:hAnsi="Calibri" w:cs="Calibri"/>
                <w:b/>
                <w:bCs/>
              </w:rPr>
            </w:pPr>
          </w:p>
        </w:tc>
        <w:tc>
          <w:tcPr>
            <w:tcW w:w="532" w:type="dxa"/>
            <w:tcBorders>
              <w:top w:val="single" w:sz="2" w:space="0" w:color="auto"/>
              <w:bottom w:val="single" w:sz="2" w:space="0" w:color="auto"/>
            </w:tcBorders>
            <w:vAlign w:val="bottom"/>
          </w:tcPr>
          <w:p w14:paraId="10148B74" w14:textId="77777777" w:rsidR="009E3D18" w:rsidRPr="00B52070" w:rsidRDefault="009E3D18" w:rsidP="009E3D18">
            <w:pPr>
              <w:pStyle w:val="T2"/>
              <w:jc w:val="right"/>
              <w:rPr>
                <w:rFonts w:ascii="Calibri" w:hAnsi="Calibri" w:cs="Calibri"/>
                <w:b/>
                <w:bCs/>
              </w:rPr>
            </w:pPr>
          </w:p>
        </w:tc>
        <w:tc>
          <w:tcPr>
            <w:tcW w:w="531" w:type="dxa"/>
            <w:tcBorders>
              <w:top w:val="single" w:sz="2" w:space="0" w:color="auto"/>
              <w:bottom w:val="single" w:sz="2" w:space="0" w:color="auto"/>
            </w:tcBorders>
            <w:vAlign w:val="bottom"/>
          </w:tcPr>
          <w:p w14:paraId="7F36A339" w14:textId="77777777" w:rsidR="009E3D18" w:rsidRPr="00B52070" w:rsidRDefault="009E3D18" w:rsidP="009E3D18">
            <w:pPr>
              <w:pStyle w:val="T2"/>
              <w:jc w:val="right"/>
              <w:rPr>
                <w:rFonts w:ascii="Calibri" w:hAnsi="Calibri" w:cs="Calibri"/>
                <w:b/>
                <w:bCs/>
              </w:rPr>
            </w:pPr>
          </w:p>
        </w:tc>
        <w:tc>
          <w:tcPr>
            <w:tcW w:w="532" w:type="dxa"/>
            <w:tcBorders>
              <w:top w:val="single" w:sz="2" w:space="0" w:color="auto"/>
              <w:bottom w:val="single" w:sz="2" w:space="0" w:color="auto"/>
            </w:tcBorders>
            <w:vAlign w:val="bottom"/>
          </w:tcPr>
          <w:p w14:paraId="6E20C9D9" w14:textId="77777777" w:rsidR="009E3D18" w:rsidRPr="00B52070" w:rsidRDefault="009E3D18" w:rsidP="009E3D18">
            <w:pPr>
              <w:pStyle w:val="T2"/>
              <w:jc w:val="right"/>
              <w:rPr>
                <w:rFonts w:ascii="Calibri" w:hAnsi="Calibri" w:cs="Calibri"/>
                <w:b/>
                <w:bCs/>
              </w:rPr>
            </w:pPr>
          </w:p>
        </w:tc>
        <w:tc>
          <w:tcPr>
            <w:tcW w:w="1276" w:type="dxa"/>
            <w:tcBorders>
              <w:top w:val="single" w:sz="2" w:space="0" w:color="auto"/>
              <w:bottom w:val="single" w:sz="2" w:space="0" w:color="auto"/>
            </w:tcBorders>
          </w:tcPr>
          <w:p w14:paraId="7AEC8BAE" w14:textId="2EA732D0" w:rsidR="009E3D18" w:rsidRPr="00592BB5" w:rsidRDefault="00E524CE" w:rsidP="009E3D18">
            <w:pPr>
              <w:pStyle w:val="T2"/>
              <w:jc w:val="right"/>
              <w:rPr>
                <w:rFonts w:ascii="Calibri" w:hAnsi="Calibri" w:cs="Calibri"/>
                <w:b/>
                <w:bCs/>
              </w:rPr>
            </w:pPr>
            <w:r>
              <w:rPr>
                <w:rFonts w:ascii="Calibri" w:hAnsi="Calibri" w:cs="Calibri"/>
                <w:b/>
              </w:rPr>
              <w:t>(</w:t>
            </w:r>
            <w:r w:rsidR="00225DE1">
              <w:rPr>
                <w:rFonts w:ascii="Calibri" w:hAnsi="Calibri" w:cs="Calibri"/>
                <w:b/>
              </w:rPr>
              <w:t>17</w:t>
            </w:r>
            <w:r>
              <w:rPr>
                <w:rFonts w:ascii="Calibri" w:hAnsi="Calibri" w:cs="Calibri"/>
                <w:b/>
              </w:rPr>
              <w:t>.8)</w:t>
            </w:r>
          </w:p>
        </w:tc>
        <w:tc>
          <w:tcPr>
            <w:tcW w:w="1134" w:type="dxa"/>
            <w:tcBorders>
              <w:top w:val="single" w:sz="2" w:space="0" w:color="auto"/>
              <w:bottom w:val="single" w:sz="2" w:space="0" w:color="auto"/>
            </w:tcBorders>
          </w:tcPr>
          <w:p w14:paraId="5FB78A2B" w14:textId="78D39DA4" w:rsidR="009E3D18" w:rsidRPr="009E3D18" w:rsidRDefault="009E3D18" w:rsidP="009E3D18">
            <w:pPr>
              <w:pStyle w:val="T2"/>
              <w:jc w:val="right"/>
              <w:rPr>
                <w:rFonts w:ascii="Calibri" w:hAnsi="Calibri" w:cs="Calibri"/>
                <w:bCs/>
              </w:rPr>
            </w:pPr>
            <w:r w:rsidRPr="009E3D18">
              <w:rPr>
                <w:rFonts w:ascii="Calibri" w:hAnsi="Calibri" w:cs="Calibri"/>
                <w:bCs/>
              </w:rPr>
              <w:t>(23.6)</w:t>
            </w:r>
          </w:p>
        </w:tc>
      </w:tr>
    </w:tbl>
    <w:p w14:paraId="445645FD" w14:textId="77777777" w:rsidR="00157643" w:rsidRDefault="00157643" w:rsidP="00773F7B">
      <w:pPr>
        <w:pStyle w:val="Paragraph"/>
        <w:rPr>
          <w:b/>
        </w:rPr>
      </w:pPr>
    </w:p>
    <w:p w14:paraId="57DBE3BE" w14:textId="26346D6A" w:rsidR="00AD6A35" w:rsidRDefault="00AD6A35" w:rsidP="00773F7B">
      <w:pPr>
        <w:pStyle w:val="Paragraph"/>
        <w:rPr>
          <w:b/>
        </w:rPr>
      </w:pPr>
      <w:r>
        <w:rPr>
          <w:b/>
        </w:rPr>
        <w:t>FREE CASH FLOW CONVERSION</w:t>
      </w:r>
    </w:p>
    <w:p w14:paraId="2394093A" w14:textId="2F065F76" w:rsidR="00AD6A35" w:rsidRDefault="00AD6A35" w:rsidP="004B6C20">
      <w:pPr>
        <w:pStyle w:val="Paragraph"/>
        <w:jc w:val="both"/>
        <w:rPr>
          <w:bCs/>
        </w:rPr>
      </w:pPr>
      <w:r w:rsidRPr="004B6C20">
        <w:rPr>
          <w:bCs/>
        </w:rPr>
        <w:t xml:space="preserve">The </w:t>
      </w:r>
      <w:r>
        <w:rPr>
          <w:bCs/>
        </w:rPr>
        <w:t xml:space="preserve">Group uses Free Cash Flow Conversion to measure </w:t>
      </w:r>
      <w:r w:rsidR="00B0094F">
        <w:rPr>
          <w:bCs/>
        </w:rPr>
        <w:t xml:space="preserve">the Group’s ability to convert operating profits into free cash flow. </w:t>
      </w:r>
    </w:p>
    <w:p w14:paraId="2814D0BF" w14:textId="29353279" w:rsidR="00B0094F" w:rsidRDefault="00B0094F" w:rsidP="004B6C20">
      <w:pPr>
        <w:pStyle w:val="Paragraph"/>
        <w:jc w:val="both"/>
        <w:rPr>
          <w:bCs/>
        </w:rPr>
      </w:pPr>
      <w:r>
        <w:rPr>
          <w:bCs/>
        </w:rPr>
        <w:t>The Group calculates Free Cash Flow Conversion as Free Cash Flow divided by Adjusted EBITDA. This is calculated on a 12 month basis. The following table sets out the calculation of Free Cash Flow Conversion:</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1417"/>
        <w:gridCol w:w="1276"/>
      </w:tblGrid>
      <w:tr w:rsidR="003E354A" w14:paraId="66BAAF13" w14:textId="77777777" w:rsidTr="00856BF4">
        <w:tc>
          <w:tcPr>
            <w:tcW w:w="7088" w:type="dxa"/>
            <w:vAlign w:val="bottom"/>
          </w:tcPr>
          <w:p w14:paraId="050F8975" w14:textId="77777777" w:rsidR="003E354A" w:rsidRPr="00DF121E" w:rsidRDefault="003E354A" w:rsidP="00856BF4">
            <w:pPr>
              <w:pStyle w:val="T2"/>
              <w:jc w:val="left"/>
            </w:pPr>
          </w:p>
        </w:tc>
        <w:tc>
          <w:tcPr>
            <w:tcW w:w="1417" w:type="dxa"/>
          </w:tcPr>
          <w:p w14:paraId="4019003B" w14:textId="77777777" w:rsidR="003E354A" w:rsidRDefault="003E354A" w:rsidP="00856BF4">
            <w:pPr>
              <w:pStyle w:val="T2"/>
              <w:jc w:val="right"/>
              <w:rPr>
                <w:b/>
              </w:rPr>
            </w:pPr>
          </w:p>
          <w:p w14:paraId="1A2AB027" w14:textId="77777777" w:rsidR="003E354A" w:rsidRPr="0078554B" w:rsidRDefault="003E354A" w:rsidP="00856BF4">
            <w:pPr>
              <w:pStyle w:val="T2"/>
              <w:jc w:val="right"/>
              <w:rPr>
                <w:b/>
                <w:bCs/>
              </w:rPr>
            </w:pPr>
            <w:r w:rsidRPr="0078554B">
              <w:rPr>
                <w:b/>
                <w:bCs/>
              </w:rPr>
              <w:lastRenderedPageBreak/>
              <w:t>12 months to</w:t>
            </w:r>
            <w:r w:rsidRPr="0078554B">
              <w:rPr>
                <w:b/>
                <w:bCs/>
              </w:rPr>
              <w:br/>
              <w:t>March 2022</w:t>
            </w:r>
          </w:p>
        </w:tc>
        <w:tc>
          <w:tcPr>
            <w:tcW w:w="1276" w:type="dxa"/>
          </w:tcPr>
          <w:p w14:paraId="72B47E0A" w14:textId="77777777" w:rsidR="003E354A" w:rsidRDefault="003E354A" w:rsidP="00856BF4">
            <w:pPr>
              <w:pStyle w:val="T2"/>
              <w:jc w:val="right"/>
            </w:pPr>
          </w:p>
          <w:p w14:paraId="1154367A" w14:textId="77777777" w:rsidR="003E354A" w:rsidRPr="00DF121E" w:rsidRDefault="003E354A" w:rsidP="00856BF4">
            <w:pPr>
              <w:pStyle w:val="T2"/>
              <w:jc w:val="right"/>
            </w:pPr>
            <w:r w:rsidRPr="00DF121E">
              <w:lastRenderedPageBreak/>
              <w:t>12 months to</w:t>
            </w:r>
            <w:r w:rsidRPr="00DF121E">
              <w:br/>
              <w:t>March 20</w:t>
            </w:r>
            <w:r>
              <w:t>21</w:t>
            </w:r>
          </w:p>
        </w:tc>
      </w:tr>
      <w:tr w:rsidR="003E354A" w14:paraId="2C7BDF0A" w14:textId="77777777" w:rsidTr="00856BF4">
        <w:tc>
          <w:tcPr>
            <w:tcW w:w="7088" w:type="dxa"/>
            <w:tcBorders>
              <w:bottom w:val="single" w:sz="2" w:space="0" w:color="auto"/>
            </w:tcBorders>
            <w:vAlign w:val="bottom"/>
          </w:tcPr>
          <w:p w14:paraId="22DB540E" w14:textId="77777777" w:rsidR="003E354A" w:rsidRPr="00DF121E" w:rsidRDefault="003E354A" w:rsidP="00856BF4">
            <w:pPr>
              <w:pStyle w:val="T2"/>
              <w:jc w:val="left"/>
            </w:pPr>
          </w:p>
        </w:tc>
        <w:tc>
          <w:tcPr>
            <w:tcW w:w="1417" w:type="dxa"/>
            <w:tcBorders>
              <w:bottom w:val="single" w:sz="2" w:space="0" w:color="auto"/>
            </w:tcBorders>
          </w:tcPr>
          <w:p w14:paraId="533462FE" w14:textId="77777777" w:rsidR="003E354A" w:rsidRPr="00DF121E" w:rsidRDefault="003E354A" w:rsidP="00856BF4">
            <w:pPr>
              <w:pStyle w:val="T2"/>
              <w:jc w:val="right"/>
              <w:rPr>
                <w:b/>
              </w:rPr>
            </w:pPr>
            <w:r w:rsidRPr="00DF121E">
              <w:rPr>
                <w:b/>
              </w:rPr>
              <w:t>£m</w:t>
            </w:r>
          </w:p>
        </w:tc>
        <w:tc>
          <w:tcPr>
            <w:tcW w:w="1276" w:type="dxa"/>
            <w:tcBorders>
              <w:bottom w:val="single" w:sz="2" w:space="0" w:color="auto"/>
            </w:tcBorders>
          </w:tcPr>
          <w:p w14:paraId="1BC6962C" w14:textId="77777777" w:rsidR="003E354A" w:rsidRPr="00DF121E" w:rsidRDefault="003E354A" w:rsidP="00856BF4">
            <w:pPr>
              <w:pStyle w:val="T2"/>
              <w:jc w:val="right"/>
            </w:pPr>
            <w:r w:rsidRPr="00DF121E">
              <w:t>£m</w:t>
            </w:r>
          </w:p>
        </w:tc>
      </w:tr>
      <w:tr w:rsidR="003E354A" w14:paraId="2E248C4E" w14:textId="77777777" w:rsidTr="00856BF4">
        <w:tc>
          <w:tcPr>
            <w:tcW w:w="7088" w:type="dxa"/>
            <w:tcBorders>
              <w:top w:val="single" w:sz="2" w:space="0" w:color="auto"/>
            </w:tcBorders>
            <w:vAlign w:val="bottom"/>
          </w:tcPr>
          <w:p w14:paraId="2728604C" w14:textId="38FAFC67" w:rsidR="003E354A" w:rsidRPr="004B6C20" w:rsidRDefault="003E354A" w:rsidP="00856BF4">
            <w:pPr>
              <w:pStyle w:val="T2"/>
              <w:jc w:val="left"/>
              <w:rPr>
                <w:bCs/>
              </w:rPr>
            </w:pPr>
            <w:r w:rsidRPr="004B6C20">
              <w:rPr>
                <w:bCs/>
              </w:rPr>
              <w:t>Free Cash Flow</w:t>
            </w:r>
            <w:r>
              <w:rPr>
                <w:bCs/>
              </w:rPr>
              <w:t xml:space="preserve"> </w:t>
            </w:r>
            <w:r w:rsidRPr="004B6C20">
              <w:rPr>
                <w:bCs/>
                <w:vertAlign w:val="superscript"/>
              </w:rPr>
              <w:t>(A)</w:t>
            </w:r>
          </w:p>
        </w:tc>
        <w:tc>
          <w:tcPr>
            <w:tcW w:w="1417" w:type="dxa"/>
            <w:tcBorders>
              <w:top w:val="single" w:sz="2" w:space="0" w:color="auto"/>
            </w:tcBorders>
          </w:tcPr>
          <w:p w14:paraId="5302F908" w14:textId="1EC24F8B" w:rsidR="003E354A" w:rsidRPr="00DF121E" w:rsidRDefault="003E354A" w:rsidP="00856BF4">
            <w:pPr>
              <w:pStyle w:val="T2"/>
              <w:jc w:val="right"/>
              <w:rPr>
                <w:b/>
              </w:rPr>
            </w:pPr>
            <w:r>
              <w:rPr>
                <w:rFonts w:ascii="Calibri" w:hAnsi="Calibri" w:cs="Calibri"/>
                <w:b/>
              </w:rPr>
              <w:t>78.0</w:t>
            </w:r>
          </w:p>
        </w:tc>
        <w:tc>
          <w:tcPr>
            <w:tcW w:w="1276" w:type="dxa"/>
            <w:tcBorders>
              <w:top w:val="single" w:sz="2" w:space="0" w:color="auto"/>
            </w:tcBorders>
          </w:tcPr>
          <w:p w14:paraId="3418954D" w14:textId="2A096E54" w:rsidR="003E354A" w:rsidRPr="009E3D18" w:rsidRDefault="003E354A" w:rsidP="00856BF4">
            <w:pPr>
              <w:pStyle w:val="T2"/>
              <w:jc w:val="right"/>
              <w:rPr>
                <w:bCs/>
              </w:rPr>
            </w:pPr>
            <w:r>
              <w:rPr>
                <w:bCs/>
              </w:rPr>
              <w:t>(55.9)</w:t>
            </w:r>
          </w:p>
        </w:tc>
      </w:tr>
      <w:tr w:rsidR="003E354A" w14:paraId="16688D6A" w14:textId="77777777" w:rsidTr="00856BF4">
        <w:tc>
          <w:tcPr>
            <w:tcW w:w="7088" w:type="dxa"/>
            <w:vAlign w:val="bottom"/>
          </w:tcPr>
          <w:p w14:paraId="4B27644D" w14:textId="5A8ECA07" w:rsidR="003E354A" w:rsidRPr="00DF121E" w:rsidRDefault="0098548C" w:rsidP="00856BF4">
            <w:pPr>
              <w:pStyle w:val="T2"/>
              <w:jc w:val="left"/>
            </w:pPr>
            <w:r>
              <w:t xml:space="preserve">Adjusted </w:t>
            </w:r>
            <w:r w:rsidR="003E354A">
              <w:t xml:space="preserve">EBITDA </w:t>
            </w:r>
            <w:r w:rsidR="003E354A" w:rsidRPr="004B6C20">
              <w:rPr>
                <w:vertAlign w:val="superscript"/>
              </w:rPr>
              <w:t>(B)</w:t>
            </w:r>
          </w:p>
        </w:tc>
        <w:tc>
          <w:tcPr>
            <w:tcW w:w="1417" w:type="dxa"/>
          </w:tcPr>
          <w:p w14:paraId="413FC141" w14:textId="2258603A" w:rsidR="003E354A" w:rsidRPr="00DF121E" w:rsidRDefault="003E354A" w:rsidP="00856BF4">
            <w:pPr>
              <w:pStyle w:val="T2"/>
              <w:jc w:val="right"/>
              <w:rPr>
                <w:b/>
              </w:rPr>
            </w:pPr>
            <w:r>
              <w:rPr>
                <w:rFonts w:ascii="Calibri" w:hAnsi="Calibri" w:cs="Calibri"/>
                <w:b/>
              </w:rPr>
              <w:t>109.6</w:t>
            </w:r>
          </w:p>
        </w:tc>
        <w:tc>
          <w:tcPr>
            <w:tcW w:w="1276" w:type="dxa"/>
          </w:tcPr>
          <w:p w14:paraId="45E5A7F0" w14:textId="6801C3DF" w:rsidR="003E354A" w:rsidRPr="009E3D18" w:rsidRDefault="003E354A" w:rsidP="00856BF4">
            <w:pPr>
              <w:pStyle w:val="T2"/>
              <w:jc w:val="right"/>
              <w:rPr>
                <w:bCs/>
              </w:rPr>
            </w:pPr>
            <w:r>
              <w:rPr>
                <w:bCs/>
              </w:rPr>
              <w:t>47.7</w:t>
            </w:r>
          </w:p>
        </w:tc>
      </w:tr>
      <w:tr w:rsidR="003E354A" w14:paraId="3D523E20" w14:textId="77777777" w:rsidTr="00856BF4">
        <w:tc>
          <w:tcPr>
            <w:tcW w:w="7088" w:type="dxa"/>
            <w:tcBorders>
              <w:top w:val="single" w:sz="2" w:space="0" w:color="auto"/>
              <w:bottom w:val="single" w:sz="2" w:space="0" w:color="auto"/>
            </w:tcBorders>
            <w:vAlign w:val="bottom"/>
          </w:tcPr>
          <w:p w14:paraId="079A8DDC" w14:textId="472B4804" w:rsidR="003E354A" w:rsidRPr="00246A66" w:rsidRDefault="003E354A" w:rsidP="00856BF4">
            <w:pPr>
              <w:pStyle w:val="T2"/>
              <w:jc w:val="left"/>
              <w:rPr>
                <w:b/>
              </w:rPr>
            </w:pPr>
            <w:r>
              <w:rPr>
                <w:b/>
              </w:rPr>
              <w:t xml:space="preserve">Free Cash Flow Conversion (%) </w:t>
            </w:r>
            <w:r w:rsidRPr="004B6C20">
              <w:rPr>
                <w:b/>
                <w:vertAlign w:val="superscript"/>
              </w:rPr>
              <w:t xml:space="preserve">(C) </w:t>
            </w:r>
          </w:p>
        </w:tc>
        <w:tc>
          <w:tcPr>
            <w:tcW w:w="1417" w:type="dxa"/>
            <w:tcBorders>
              <w:top w:val="single" w:sz="2" w:space="0" w:color="auto"/>
              <w:bottom w:val="single" w:sz="2" w:space="0" w:color="auto"/>
            </w:tcBorders>
          </w:tcPr>
          <w:p w14:paraId="4F40D8A2" w14:textId="7637D1D7" w:rsidR="003E354A" w:rsidRPr="00DF121E" w:rsidRDefault="003E354A" w:rsidP="00856BF4">
            <w:pPr>
              <w:pStyle w:val="T2"/>
              <w:jc w:val="right"/>
              <w:rPr>
                <w:b/>
              </w:rPr>
            </w:pPr>
            <w:r>
              <w:rPr>
                <w:rFonts w:ascii="Calibri" w:hAnsi="Calibri" w:cs="Calibri"/>
                <w:b/>
              </w:rPr>
              <w:t>71.2%</w:t>
            </w:r>
          </w:p>
        </w:tc>
        <w:tc>
          <w:tcPr>
            <w:tcW w:w="1276" w:type="dxa"/>
            <w:tcBorders>
              <w:top w:val="single" w:sz="2" w:space="0" w:color="auto"/>
              <w:bottom w:val="single" w:sz="2" w:space="0" w:color="auto"/>
            </w:tcBorders>
          </w:tcPr>
          <w:p w14:paraId="05C3A309" w14:textId="25359A28" w:rsidR="003E354A" w:rsidRPr="009E3D18" w:rsidRDefault="003E354A" w:rsidP="00856BF4">
            <w:pPr>
              <w:pStyle w:val="T2"/>
              <w:jc w:val="right"/>
              <w:rPr>
                <w:bCs/>
              </w:rPr>
            </w:pPr>
            <w:r>
              <w:rPr>
                <w:bCs/>
              </w:rPr>
              <w:t>(117.2%)</w:t>
            </w:r>
          </w:p>
        </w:tc>
      </w:tr>
    </w:tbl>
    <w:p w14:paraId="7D10BAEE" w14:textId="08CDEBDF" w:rsidR="003E354A" w:rsidRPr="00FC568F" w:rsidRDefault="00B259A4" w:rsidP="003E354A">
      <w:pPr>
        <w:pStyle w:val="ListParagraph"/>
        <w:numPr>
          <w:ilvl w:val="0"/>
          <w:numId w:val="5"/>
        </w:numPr>
        <w:spacing w:before="160" w:after="0" w:line="240" w:lineRule="auto"/>
        <w:rPr>
          <w:sz w:val="15"/>
          <w:szCs w:val="15"/>
        </w:rPr>
      </w:pPr>
      <w:r>
        <w:rPr>
          <w:sz w:val="15"/>
          <w:szCs w:val="15"/>
        </w:rPr>
        <w:t>Free Cash flow for H2 21 and H2 20 was £95.8m inflow and £32.3m outflow respectively</w:t>
      </w:r>
    </w:p>
    <w:p w14:paraId="05E0260A" w14:textId="43F1D640" w:rsidR="003E354A" w:rsidRDefault="0098548C" w:rsidP="003E354A">
      <w:pPr>
        <w:pStyle w:val="ListParagraph"/>
        <w:numPr>
          <w:ilvl w:val="0"/>
          <w:numId w:val="5"/>
        </w:numPr>
        <w:spacing w:before="160" w:after="0" w:line="240" w:lineRule="auto"/>
        <w:rPr>
          <w:sz w:val="15"/>
          <w:szCs w:val="15"/>
        </w:rPr>
      </w:pPr>
      <w:r>
        <w:rPr>
          <w:sz w:val="15"/>
          <w:szCs w:val="15"/>
        </w:rPr>
        <w:t xml:space="preserve">Adjusted </w:t>
      </w:r>
      <w:r w:rsidR="00B259A4">
        <w:rPr>
          <w:sz w:val="15"/>
          <w:szCs w:val="15"/>
        </w:rPr>
        <w:t>EBITDA for H2 21 and H2 20 was £65.8m and £21.2m respectively</w:t>
      </w:r>
    </w:p>
    <w:p w14:paraId="7D75A53D" w14:textId="197ECBB1" w:rsidR="003E354A" w:rsidRPr="00FC568F" w:rsidRDefault="003E354A" w:rsidP="003E354A">
      <w:pPr>
        <w:pStyle w:val="ListParagraph"/>
        <w:numPr>
          <w:ilvl w:val="0"/>
          <w:numId w:val="5"/>
        </w:numPr>
        <w:spacing w:before="160" w:after="0" w:line="240" w:lineRule="auto"/>
        <w:rPr>
          <w:sz w:val="15"/>
          <w:szCs w:val="15"/>
        </w:rPr>
      </w:pPr>
      <w:r>
        <w:rPr>
          <w:sz w:val="15"/>
          <w:szCs w:val="15"/>
        </w:rPr>
        <w:t xml:space="preserve">Free Cash Conversion at </w:t>
      </w:r>
      <w:r w:rsidR="00B259A4">
        <w:rPr>
          <w:sz w:val="15"/>
          <w:szCs w:val="15"/>
        </w:rPr>
        <w:t>24 September 2021 was 78.2%</w:t>
      </w:r>
    </w:p>
    <w:p w14:paraId="56A4792A" w14:textId="77777777" w:rsidR="00157643" w:rsidRDefault="00157643" w:rsidP="00773F7B">
      <w:pPr>
        <w:pStyle w:val="Paragraph"/>
        <w:rPr>
          <w:b/>
        </w:rPr>
      </w:pPr>
    </w:p>
    <w:p w14:paraId="47FFDB42" w14:textId="3CC7C384" w:rsidR="00773F7B" w:rsidRDefault="00773F7B" w:rsidP="00773F7B">
      <w:pPr>
        <w:pStyle w:val="Paragraph"/>
        <w:rPr>
          <w:b/>
        </w:rPr>
      </w:pPr>
      <w:r w:rsidRPr="00457332">
        <w:rPr>
          <w:b/>
        </w:rPr>
        <w:t>NET DEBT</w:t>
      </w:r>
      <w:r>
        <w:rPr>
          <w:b/>
        </w:rPr>
        <w:t xml:space="preserve"> AND NET DEBT EXCLUDING LEASE LIABILITIES</w:t>
      </w:r>
    </w:p>
    <w:p w14:paraId="3D8B42ED" w14:textId="77777777" w:rsidR="00773F7B" w:rsidRDefault="00773F7B" w:rsidP="00773F7B">
      <w:pPr>
        <w:pStyle w:val="Paragraph"/>
        <w:jc w:val="both"/>
      </w:pPr>
      <w:r w:rsidRPr="00457332">
        <w:t>Net Debt is used by the Group to measure overall cash generation of the Group and to identify cash available to reduce borrowings</w:t>
      </w:r>
      <w:r>
        <w:t>. N</w:t>
      </w:r>
      <w:r w:rsidRPr="00457332">
        <w:t>et Debt comprises current and non</w:t>
      </w:r>
      <w:r>
        <w:t>–</w:t>
      </w:r>
      <w:r w:rsidRPr="00457332">
        <w:t>current borrowings less net cash and cash equivalents</w:t>
      </w:r>
      <w:r>
        <w:t>.</w:t>
      </w:r>
    </w:p>
    <w:p w14:paraId="229350AC" w14:textId="77777777" w:rsidR="00B41E40" w:rsidRDefault="00B41E40" w:rsidP="00665CB5">
      <w:pPr>
        <w:pStyle w:val="Paragraph"/>
        <w:jc w:val="both"/>
      </w:pPr>
      <w:r>
        <w:t>Net Debt excluding</w:t>
      </w:r>
      <w:r w:rsidRPr="004A2ED9">
        <w:t xml:space="preserve"> Lease</w:t>
      </w:r>
      <w:r>
        <w:t xml:space="preserve"> Liabilities</w:t>
      </w:r>
      <w:r w:rsidRPr="004A2ED9">
        <w:t xml:space="preserve"> is a measure used by the Group to measure Net De</w:t>
      </w:r>
      <w:r>
        <w:t xml:space="preserve">bt excluding the impact of IFRS 16 </w:t>
      </w:r>
      <w:r w:rsidRPr="00D63F20">
        <w:rPr>
          <w:i/>
          <w:iCs/>
        </w:rPr>
        <w:t>Leases</w:t>
      </w:r>
      <w:r>
        <w:t>. Net Debt excluding Lease Liabilities is used for the purpose of calculating leverage under the Group</w:t>
      </w:r>
      <w:r w:rsidR="000C09E6">
        <w:t>’</w:t>
      </w:r>
      <w:r>
        <w:t>s financing agreements.</w:t>
      </w:r>
    </w:p>
    <w:p w14:paraId="088A9068" w14:textId="77777777" w:rsidR="00B41E40" w:rsidRDefault="00B41E40" w:rsidP="00B41E40">
      <w:pPr>
        <w:pStyle w:val="Paragraph"/>
        <w:jc w:val="both"/>
      </w:pPr>
      <w:r w:rsidRPr="00457332">
        <w:t xml:space="preserve">The following table sets out the calculation of </w:t>
      </w:r>
      <w:r w:rsidR="00B41C0F">
        <w:t xml:space="preserve">Net Debt and </w:t>
      </w:r>
      <w:r w:rsidRPr="00457332">
        <w:t>Net Debt</w:t>
      </w:r>
      <w:r>
        <w:t xml:space="preserve"> excluding lease liabilities</w:t>
      </w:r>
      <w:r w:rsidRPr="0045733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992"/>
        <w:gridCol w:w="947"/>
      </w:tblGrid>
      <w:tr w:rsidR="00773F7B" w14:paraId="107CCFB4" w14:textId="77777777" w:rsidTr="009E3D18">
        <w:tc>
          <w:tcPr>
            <w:tcW w:w="7797" w:type="dxa"/>
            <w:vAlign w:val="bottom"/>
          </w:tcPr>
          <w:p w14:paraId="46D2A8EB" w14:textId="77777777" w:rsidR="00773F7B" w:rsidRPr="00457332" w:rsidRDefault="00773F7B" w:rsidP="00773F7B">
            <w:pPr>
              <w:pStyle w:val="T2"/>
              <w:jc w:val="left"/>
            </w:pPr>
          </w:p>
        </w:tc>
        <w:tc>
          <w:tcPr>
            <w:tcW w:w="992" w:type="dxa"/>
            <w:vAlign w:val="bottom"/>
          </w:tcPr>
          <w:p w14:paraId="1AA70F9F" w14:textId="77777777" w:rsidR="00AE497B" w:rsidRDefault="00AE497B" w:rsidP="00592BB5">
            <w:pPr>
              <w:pStyle w:val="T2"/>
              <w:jc w:val="right"/>
              <w:rPr>
                <w:b/>
              </w:rPr>
            </w:pPr>
          </w:p>
          <w:p w14:paraId="160F0ED8" w14:textId="2A09C761" w:rsidR="00773F7B" w:rsidRPr="000C1EBD" w:rsidRDefault="00773F7B" w:rsidP="00592BB5">
            <w:pPr>
              <w:pStyle w:val="T2"/>
              <w:jc w:val="right"/>
              <w:rPr>
                <w:b/>
              </w:rPr>
            </w:pPr>
            <w:r w:rsidRPr="000C1EBD">
              <w:rPr>
                <w:b/>
              </w:rPr>
              <w:t>Half year</w:t>
            </w:r>
            <w:r w:rsidRPr="000C1EBD">
              <w:rPr>
                <w:b/>
              </w:rPr>
              <w:br/>
              <w:t>20</w:t>
            </w:r>
            <w:r w:rsidR="00592BB5">
              <w:rPr>
                <w:b/>
              </w:rPr>
              <w:t>2</w:t>
            </w:r>
            <w:r w:rsidR="009E3D18">
              <w:rPr>
                <w:b/>
              </w:rPr>
              <w:t>2</w:t>
            </w:r>
          </w:p>
        </w:tc>
        <w:tc>
          <w:tcPr>
            <w:tcW w:w="947" w:type="dxa"/>
            <w:vAlign w:val="bottom"/>
          </w:tcPr>
          <w:p w14:paraId="5AB94444" w14:textId="35759C26" w:rsidR="00773F7B" w:rsidRPr="00457332" w:rsidRDefault="00773F7B" w:rsidP="00592BB5">
            <w:pPr>
              <w:pStyle w:val="T2"/>
              <w:jc w:val="right"/>
            </w:pPr>
            <w:r w:rsidRPr="00457332">
              <w:t>Half year</w:t>
            </w:r>
            <w:r w:rsidRPr="00457332">
              <w:br/>
              <w:t>20</w:t>
            </w:r>
            <w:r w:rsidR="00592BB5">
              <w:t>2</w:t>
            </w:r>
            <w:r w:rsidR="009E3D18">
              <w:t>1</w:t>
            </w:r>
          </w:p>
        </w:tc>
      </w:tr>
      <w:tr w:rsidR="00773F7B" w14:paraId="539672AD" w14:textId="77777777" w:rsidTr="009E3D18">
        <w:tc>
          <w:tcPr>
            <w:tcW w:w="7797" w:type="dxa"/>
            <w:tcBorders>
              <w:bottom w:val="single" w:sz="4" w:space="0" w:color="auto"/>
            </w:tcBorders>
            <w:vAlign w:val="bottom"/>
          </w:tcPr>
          <w:p w14:paraId="1F38EE8E" w14:textId="77777777" w:rsidR="00773F7B" w:rsidRPr="00457332" w:rsidRDefault="00773F7B" w:rsidP="00773F7B">
            <w:pPr>
              <w:pStyle w:val="T2"/>
              <w:jc w:val="left"/>
            </w:pPr>
          </w:p>
        </w:tc>
        <w:tc>
          <w:tcPr>
            <w:tcW w:w="992" w:type="dxa"/>
            <w:tcBorders>
              <w:bottom w:val="single" w:sz="4" w:space="0" w:color="auto"/>
            </w:tcBorders>
            <w:vAlign w:val="bottom"/>
          </w:tcPr>
          <w:p w14:paraId="66247FF8" w14:textId="77777777" w:rsidR="00773F7B" w:rsidRPr="000C1EBD" w:rsidRDefault="00773F7B" w:rsidP="00773F7B">
            <w:pPr>
              <w:pStyle w:val="T2"/>
              <w:jc w:val="right"/>
              <w:rPr>
                <w:b/>
              </w:rPr>
            </w:pPr>
            <w:r w:rsidRPr="000C1EBD">
              <w:rPr>
                <w:b/>
              </w:rPr>
              <w:t>£m</w:t>
            </w:r>
          </w:p>
        </w:tc>
        <w:tc>
          <w:tcPr>
            <w:tcW w:w="947" w:type="dxa"/>
            <w:tcBorders>
              <w:bottom w:val="single" w:sz="4" w:space="0" w:color="auto"/>
            </w:tcBorders>
            <w:vAlign w:val="bottom"/>
          </w:tcPr>
          <w:p w14:paraId="214E4AC0" w14:textId="77777777" w:rsidR="00773F7B" w:rsidRPr="00457332" w:rsidRDefault="00773F7B" w:rsidP="00773F7B">
            <w:pPr>
              <w:pStyle w:val="T2"/>
              <w:jc w:val="right"/>
            </w:pPr>
            <w:r w:rsidRPr="00457332">
              <w:t>£m</w:t>
            </w:r>
          </w:p>
        </w:tc>
      </w:tr>
      <w:tr w:rsidR="009E3D18" w14:paraId="6BB0719E" w14:textId="77777777" w:rsidTr="00AD2426">
        <w:tc>
          <w:tcPr>
            <w:tcW w:w="7797" w:type="dxa"/>
            <w:tcBorders>
              <w:top w:val="single" w:sz="4" w:space="0" w:color="auto"/>
            </w:tcBorders>
            <w:vAlign w:val="bottom"/>
          </w:tcPr>
          <w:p w14:paraId="4DBA4943" w14:textId="77777777" w:rsidR="009E3D18" w:rsidRPr="00457332" w:rsidRDefault="009E3D18" w:rsidP="009E3D18">
            <w:pPr>
              <w:pStyle w:val="T2"/>
              <w:jc w:val="left"/>
            </w:pPr>
            <w:r w:rsidRPr="00457332">
              <w:t xml:space="preserve">Cash </w:t>
            </w:r>
            <w:r>
              <w:t>and</w:t>
            </w:r>
            <w:r w:rsidRPr="00457332">
              <w:t xml:space="preserve"> cash equivalents</w:t>
            </w:r>
            <w:r>
              <w:t xml:space="preserve"> and bank overdrafts</w:t>
            </w:r>
          </w:p>
        </w:tc>
        <w:tc>
          <w:tcPr>
            <w:tcW w:w="992" w:type="dxa"/>
            <w:tcBorders>
              <w:top w:val="single" w:sz="4" w:space="0" w:color="auto"/>
            </w:tcBorders>
          </w:tcPr>
          <w:p w14:paraId="7E997730" w14:textId="0630A91C" w:rsidR="009E3D18" w:rsidRPr="00FC568F" w:rsidRDefault="00E31E27" w:rsidP="009E3D18">
            <w:pPr>
              <w:pStyle w:val="T2"/>
              <w:jc w:val="right"/>
              <w:rPr>
                <w:b/>
                <w:bCs/>
              </w:rPr>
            </w:pPr>
            <w:r>
              <w:rPr>
                <w:rFonts w:ascii="Calibri" w:hAnsi="Calibri" w:cs="Calibri"/>
                <w:b/>
              </w:rPr>
              <w:t>49.5</w:t>
            </w:r>
          </w:p>
        </w:tc>
        <w:tc>
          <w:tcPr>
            <w:tcW w:w="947" w:type="dxa"/>
            <w:tcBorders>
              <w:top w:val="single" w:sz="4" w:space="0" w:color="auto"/>
            </w:tcBorders>
          </w:tcPr>
          <w:p w14:paraId="607E6332" w14:textId="48017114" w:rsidR="009E3D18" w:rsidRPr="009E3D18" w:rsidRDefault="009E3D18" w:rsidP="009E3D18">
            <w:pPr>
              <w:pStyle w:val="T2"/>
              <w:jc w:val="right"/>
              <w:rPr>
                <w:bCs/>
              </w:rPr>
            </w:pPr>
            <w:r w:rsidRPr="009E3D18">
              <w:rPr>
                <w:rFonts w:ascii="Calibri" w:hAnsi="Calibri" w:cs="Calibri"/>
                <w:bCs/>
              </w:rPr>
              <w:t>17.0</w:t>
            </w:r>
          </w:p>
        </w:tc>
      </w:tr>
      <w:tr w:rsidR="009E3D18" w14:paraId="69F5C1DC" w14:textId="77777777" w:rsidTr="00AD2426">
        <w:tc>
          <w:tcPr>
            <w:tcW w:w="7797" w:type="dxa"/>
            <w:vAlign w:val="bottom"/>
          </w:tcPr>
          <w:p w14:paraId="6B03AF49" w14:textId="77777777" w:rsidR="009E3D18" w:rsidRPr="00457332" w:rsidRDefault="009E3D18" w:rsidP="009E3D18">
            <w:pPr>
              <w:pStyle w:val="T2"/>
              <w:jc w:val="left"/>
            </w:pPr>
            <w:r w:rsidRPr="00457332">
              <w:t>Bank borrowings</w:t>
            </w:r>
            <w:r>
              <w:t xml:space="preserve"> </w:t>
            </w:r>
          </w:p>
        </w:tc>
        <w:tc>
          <w:tcPr>
            <w:tcW w:w="992" w:type="dxa"/>
          </w:tcPr>
          <w:p w14:paraId="07686B26" w14:textId="67F0B490" w:rsidR="009E3D18" w:rsidRPr="00D22E70" w:rsidRDefault="00E31E27" w:rsidP="009E3D18">
            <w:pPr>
              <w:pStyle w:val="T2"/>
              <w:jc w:val="right"/>
              <w:rPr>
                <w:rFonts w:ascii="Calibri" w:hAnsi="Calibri" w:cs="Calibri"/>
                <w:b/>
              </w:rPr>
            </w:pPr>
            <w:r>
              <w:rPr>
                <w:rFonts w:ascii="Calibri" w:hAnsi="Calibri" w:cs="Calibri"/>
                <w:b/>
              </w:rPr>
              <w:t>(208.4)</w:t>
            </w:r>
          </w:p>
        </w:tc>
        <w:tc>
          <w:tcPr>
            <w:tcW w:w="947" w:type="dxa"/>
          </w:tcPr>
          <w:p w14:paraId="4BE34C5F" w14:textId="319A76DD" w:rsidR="009E3D18" w:rsidRPr="009E3D18" w:rsidRDefault="009E3D18" w:rsidP="009E3D18">
            <w:pPr>
              <w:pStyle w:val="T2"/>
              <w:jc w:val="right"/>
              <w:rPr>
                <w:bCs/>
              </w:rPr>
            </w:pPr>
            <w:r w:rsidRPr="009E3D18">
              <w:rPr>
                <w:rFonts w:ascii="Calibri" w:hAnsi="Calibri" w:cs="Calibri"/>
                <w:bCs/>
              </w:rPr>
              <w:t>(181.7)</w:t>
            </w:r>
          </w:p>
        </w:tc>
      </w:tr>
      <w:tr w:rsidR="009E3D18" w14:paraId="40FB458F" w14:textId="77777777" w:rsidTr="00AD2426">
        <w:tc>
          <w:tcPr>
            <w:tcW w:w="7797" w:type="dxa"/>
            <w:vAlign w:val="bottom"/>
          </w:tcPr>
          <w:p w14:paraId="141AFD9A" w14:textId="77777777" w:rsidR="009E3D18" w:rsidRPr="00457332" w:rsidRDefault="009E3D18" w:rsidP="009E3D18">
            <w:pPr>
              <w:pStyle w:val="T2"/>
              <w:jc w:val="left"/>
            </w:pPr>
            <w:r w:rsidRPr="00457332">
              <w:t>Private Placement Notes</w:t>
            </w:r>
          </w:p>
        </w:tc>
        <w:tc>
          <w:tcPr>
            <w:tcW w:w="992" w:type="dxa"/>
          </w:tcPr>
          <w:p w14:paraId="6A7FA6E7" w14:textId="2399A81F" w:rsidR="009E3D18" w:rsidRPr="00FC568F" w:rsidRDefault="00E31E27" w:rsidP="009E3D18">
            <w:pPr>
              <w:pStyle w:val="T2"/>
              <w:jc w:val="right"/>
              <w:rPr>
                <w:b/>
                <w:bCs/>
              </w:rPr>
            </w:pPr>
            <w:r>
              <w:rPr>
                <w:rFonts w:ascii="Calibri" w:hAnsi="Calibri" w:cs="Calibri"/>
                <w:b/>
              </w:rPr>
              <w:t>(60.4)</w:t>
            </w:r>
          </w:p>
        </w:tc>
        <w:tc>
          <w:tcPr>
            <w:tcW w:w="947" w:type="dxa"/>
          </w:tcPr>
          <w:p w14:paraId="3E32E155" w14:textId="4FC90006" w:rsidR="009E3D18" w:rsidRPr="009E3D18" w:rsidRDefault="009E3D18" w:rsidP="009E3D18">
            <w:pPr>
              <w:pStyle w:val="T2"/>
              <w:jc w:val="right"/>
              <w:rPr>
                <w:bCs/>
              </w:rPr>
            </w:pPr>
            <w:r w:rsidRPr="009E3D18">
              <w:rPr>
                <w:rFonts w:ascii="Calibri" w:hAnsi="Calibri" w:cs="Calibri"/>
                <w:bCs/>
              </w:rPr>
              <w:t>(106.6)</w:t>
            </w:r>
          </w:p>
        </w:tc>
      </w:tr>
      <w:tr w:rsidR="009E3D18" w14:paraId="7A73C62B" w14:textId="77777777" w:rsidTr="00AD2426">
        <w:tc>
          <w:tcPr>
            <w:tcW w:w="7797" w:type="dxa"/>
            <w:tcBorders>
              <w:top w:val="single" w:sz="2" w:space="0" w:color="auto"/>
              <w:bottom w:val="single" w:sz="4" w:space="0" w:color="auto"/>
            </w:tcBorders>
            <w:vAlign w:val="bottom"/>
          </w:tcPr>
          <w:p w14:paraId="02A843F6" w14:textId="77777777" w:rsidR="009E3D18" w:rsidRPr="001D58B5" w:rsidRDefault="009E3D18" w:rsidP="009E3D18">
            <w:pPr>
              <w:pStyle w:val="T2"/>
              <w:jc w:val="left"/>
              <w:rPr>
                <w:b/>
              </w:rPr>
            </w:pPr>
            <w:r>
              <w:rPr>
                <w:b/>
              </w:rPr>
              <w:t>Net debt excluding lease liabilities</w:t>
            </w:r>
          </w:p>
        </w:tc>
        <w:tc>
          <w:tcPr>
            <w:tcW w:w="992" w:type="dxa"/>
            <w:tcBorders>
              <w:top w:val="single" w:sz="2" w:space="0" w:color="auto"/>
              <w:bottom w:val="single" w:sz="4" w:space="0" w:color="auto"/>
            </w:tcBorders>
          </w:tcPr>
          <w:p w14:paraId="0C43F303" w14:textId="341A9981" w:rsidR="009E3D18" w:rsidRPr="00FC568F" w:rsidRDefault="00E31E27" w:rsidP="009E3D18">
            <w:pPr>
              <w:pStyle w:val="T2"/>
              <w:jc w:val="right"/>
              <w:rPr>
                <w:b/>
                <w:bCs/>
              </w:rPr>
            </w:pPr>
            <w:r>
              <w:rPr>
                <w:rFonts w:ascii="Calibri" w:hAnsi="Calibri" w:cs="Calibri"/>
                <w:b/>
              </w:rPr>
              <w:t>(219.3)</w:t>
            </w:r>
          </w:p>
        </w:tc>
        <w:tc>
          <w:tcPr>
            <w:tcW w:w="947" w:type="dxa"/>
            <w:tcBorders>
              <w:top w:val="single" w:sz="2" w:space="0" w:color="auto"/>
              <w:bottom w:val="single" w:sz="4" w:space="0" w:color="auto"/>
            </w:tcBorders>
          </w:tcPr>
          <w:p w14:paraId="25CE67E0" w14:textId="063770A5" w:rsidR="009E3D18" w:rsidRPr="009E3D18" w:rsidRDefault="009E3D18" w:rsidP="009E3D18">
            <w:pPr>
              <w:pStyle w:val="T2"/>
              <w:jc w:val="right"/>
              <w:rPr>
                <w:bCs/>
              </w:rPr>
            </w:pPr>
            <w:r w:rsidRPr="009E3D18">
              <w:rPr>
                <w:rFonts w:ascii="Calibri" w:hAnsi="Calibri" w:cs="Calibri"/>
                <w:bCs/>
              </w:rPr>
              <w:t>(271.3)</w:t>
            </w:r>
          </w:p>
        </w:tc>
      </w:tr>
      <w:tr w:rsidR="009E3D18" w14:paraId="49015793" w14:textId="77777777" w:rsidTr="00AD2426">
        <w:tc>
          <w:tcPr>
            <w:tcW w:w="7797" w:type="dxa"/>
            <w:tcBorders>
              <w:top w:val="single" w:sz="4" w:space="0" w:color="auto"/>
              <w:bottom w:val="single" w:sz="2" w:space="0" w:color="auto"/>
            </w:tcBorders>
            <w:vAlign w:val="bottom"/>
          </w:tcPr>
          <w:p w14:paraId="46864D5A" w14:textId="77777777" w:rsidR="009E3D18" w:rsidRPr="00457332" w:rsidRDefault="009E3D18" w:rsidP="009E3D18">
            <w:pPr>
              <w:pStyle w:val="T2"/>
              <w:jc w:val="left"/>
            </w:pPr>
            <w:r>
              <w:t>Lease Liabilities</w:t>
            </w:r>
          </w:p>
        </w:tc>
        <w:tc>
          <w:tcPr>
            <w:tcW w:w="992" w:type="dxa"/>
            <w:tcBorders>
              <w:top w:val="single" w:sz="4" w:space="0" w:color="auto"/>
              <w:bottom w:val="single" w:sz="2" w:space="0" w:color="auto"/>
            </w:tcBorders>
          </w:tcPr>
          <w:p w14:paraId="29526351" w14:textId="4AD75B30" w:rsidR="009E3D18" w:rsidRPr="00FC568F" w:rsidRDefault="00E31E27" w:rsidP="009E3D18">
            <w:pPr>
              <w:pStyle w:val="T2"/>
              <w:jc w:val="right"/>
              <w:rPr>
                <w:b/>
                <w:bCs/>
              </w:rPr>
            </w:pPr>
            <w:r>
              <w:rPr>
                <w:rFonts w:ascii="Calibri" w:hAnsi="Calibri" w:cs="Calibri"/>
                <w:b/>
              </w:rPr>
              <w:t>(53.0)</w:t>
            </w:r>
          </w:p>
        </w:tc>
        <w:tc>
          <w:tcPr>
            <w:tcW w:w="947" w:type="dxa"/>
            <w:tcBorders>
              <w:top w:val="single" w:sz="4" w:space="0" w:color="auto"/>
              <w:bottom w:val="single" w:sz="2" w:space="0" w:color="auto"/>
            </w:tcBorders>
          </w:tcPr>
          <w:p w14:paraId="58B8EA4C" w14:textId="63657733" w:rsidR="009E3D18" w:rsidRPr="009E3D18" w:rsidRDefault="009E3D18" w:rsidP="009E3D18">
            <w:pPr>
              <w:pStyle w:val="T2"/>
              <w:jc w:val="right"/>
              <w:rPr>
                <w:bCs/>
              </w:rPr>
            </w:pPr>
            <w:r w:rsidRPr="009E3D18">
              <w:rPr>
                <w:rFonts w:ascii="Calibri" w:hAnsi="Calibri" w:cs="Calibri"/>
                <w:bCs/>
              </w:rPr>
              <w:t>(60.8)</w:t>
            </w:r>
          </w:p>
        </w:tc>
      </w:tr>
      <w:tr w:rsidR="009E3D18" w14:paraId="010F4568" w14:textId="77777777" w:rsidTr="00AD2426">
        <w:tc>
          <w:tcPr>
            <w:tcW w:w="7797" w:type="dxa"/>
            <w:tcBorders>
              <w:top w:val="single" w:sz="2" w:space="0" w:color="auto"/>
              <w:bottom w:val="single" w:sz="2" w:space="0" w:color="auto"/>
            </w:tcBorders>
            <w:vAlign w:val="bottom"/>
          </w:tcPr>
          <w:p w14:paraId="538986CE" w14:textId="77777777" w:rsidR="009E3D18" w:rsidRPr="00141317" w:rsidRDefault="009E3D18" w:rsidP="009E3D18">
            <w:pPr>
              <w:pStyle w:val="T2"/>
              <w:jc w:val="left"/>
              <w:rPr>
                <w:b/>
              </w:rPr>
            </w:pPr>
            <w:r w:rsidRPr="00141317">
              <w:rPr>
                <w:b/>
              </w:rPr>
              <w:t>Net Debt</w:t>
            </w:r>
          </w:p>
        </w:tc>
        <w:tc>
          <w:tcPr>
            <w:tcW w:w="992" w:type="dxa"/>
            <w:tcBorders>
              <w:top w:val="single" w:sz="2" w:space="0" w:color="auto"/>
              <w:bottom w:val="single" w:sz="2" w:space="0" w:color="auto"/>
            </w:tcBorders>
          </w:tcPr>
          <w:p w14:paraId="5E0575F5" w14:textId="42FABC43" w:rsidR="009E3D18" w:rsidRPr="00FC568F" w:rsidRDefault="00E31E27" w:rsidP="009E3D18">
            <w:pPr>
              <w:pStyle w:val="T2"/>
              <w:jc w:val="right"/>
              <w:rPr>
                <w:b/>
                <w:bCs/>
              </w:rPr>
            </w:pPr>
            <w:r>
              <w:rPr>
                <w:rFonts w:ascii="Calibri" w:hAnsi="Calibri" w:cs="Calibri"/>
                <w:b/>
              </w:rPr>
              <w:t>(272.3)</w:t>
            </w:r>
          </w:p>
        </w:tc>
        <w:tc>
          <w:tcPr>
            <w:tcW w:w="947" w:type="dxa"/>
            <w:tcBorders>
              <w:top w:val="single" w:sz="2" w:space="0" w:color="auto"/>
              <w:bottom w:val="single" w:sz="2" w:space="0" w:color="auto"/>
            </w:tcBorders>
          </w:tcPr>
          <w:p w14:paraId="128B3224" w14:textId="3A97C7DF" w:rsidR="009E3D18" w:rsidRPr="009E3D18" w:rsidRDefault="009E3D18" w:rsidP="009E3D18">
            <w:pPr>
              <w:pStyle w:val="T2"/>
              <w:jc w:val="right"/>
              <w:rPr>
                <w:bCs/>
              </w:rPr>
            </w:pPr>
            <w:r w:rsidRPr="009E3D18">
              <w:rPr>
                <w:rFonts w:ascii="Calibri" w:hAnsi="Calibri" w:cs="Calibri"/>
                <w:bCs/>
              </w:rPr>
              <w:t>(332.1)</w:t>
            </w:r>
          </w:p>
        </w:tc>
      </w:tr>
    </w:tbl>
    <w:p w14:paraId="154B84F3" w14:textId="77777777" w:rsidR="007D7CEB" w:rsidRDefault="007D7CEB" w:rsidP="00773F7B">
      <w:pPr>
        <w:pStyle w:val="Paragraph"/>
        <w:rPr>
          <w:b/>
        </w:rPr>
      </w:pPr>
    </w:p>
    <w:p w14:paraId="3B585C37" w14:textId="0A0FA577" w:rsidR="00773F7B" w:rsidRDefault="00773F7B" w:rsidP="00773F7B">
      <w:pPr>
        <w:pStyle w:val="Paragraph"/>
        <w:rPr>
          <w:b/>
        </w:rPr>
      </w:pPr>
      <w:r w:rsidRPr="00B66A87">
        <w:rPr>
          <w:b/>
        </w:rPr>
        <w:t>RETURN ON INVESTED CAPITAL (‘ROIC’)</w:t>
      </w:r>
    </w:p>
    <w:p w14:paraId="47D66B8B" w14:textId="77777777" w:rsidR="00773F7B" w:rsidRDefault="00773F7B" w:rsidP="00773F7B">
      <w:pPr>
        <w:pStyle w:val="Paragraph"/>
        <w:jc w:val="both"/>
      </w:pPr>
      <w:r>
        <w:t xml:space="preserve">The Group uses ROIC as a key measure to determine returns from each business unit, along with the measurements of potential new investments. </w:t>
      </w:r>
    </w:p>
    <w:p w14:paraId="07E88ADE" w14:textId="77777777" w:rsidR="00773F7B" w:rsidRDefault="00773F7B" w:rsidP="00773F7B">
      <w:pPr>
        <w:pStyle w:val="Paragraph"/>
        <w:jc w:val="both"/>
      </w:pPr>
      <w:r>
        <w:t xml:space="preserve">The Group uses invested capital as a basis for this calculation as it reflects the tangible and intangible assets the Group has added through its capital investment programme, the intangible assets the Group has added through acquisition, as well as the working capital requirements of the business. </w:t>
      </w:r>
      <w:r w:rsidRPr="000C1EBD">
        <w:t xml:space="preserve">Invested Capital is calculated as net assets (total assets less total liabilities) excluding Net Debt and the </w:t>
      </w:r>
      <w:r>
        <w:t>carrying value of</w:t>
      </w:r>
      <w:r w:rsidRPr="000C1EBD">
        <w:t xml:space="preserve"> derivatives not designated as fair value hedges, it also excludes retirement benefit obligations (net of deferred tax assets). Average Invested Capital is calculated by adding together the invested capital from the opening and closing balance sheet and dividing by two.</w:t>
      </w:r>
    </w:p>
    <w:p w14:paraId="7F24122E" w14:textId="337DBB0F" w:rsidR="00773F7B" w:rsidRDefault="00773F7B" w:rsidP="00773F7B">
      <w:pPr>
        <w:pStyle w:val="Paragraph"/>
        <w:jc w:val="both"/>
      </w:pPr>
      <w:r w:rsidRPr="000C1EBD">
        <w:t xml:space="preserve">The Group calculates ROIC as </w:t>
      </w:r>
      <w:r>
        <w:t>N</w:t>
      </w:r>
      <w:r w:rsidRPr="000C1EBD">
        <w:t xml:space="preserve">et Adjusted Operating Profit </w:t>
      </w:r>
      <w:r>
        <w:t>A</w:t>
      </w:r>
      <w:r w:rsidRPr="000C1EBD">
        <w:t xml:space="preserve">fter </w:t>
      </w:r>
      <w:r>
        <w:t>T</w:t>
      </w:r>
      <w:r w:rsidRPr="000C1EBD">
        <w:t xml:space="preserve">ax (‘NOPAT’) divided by average </w:t>
      </w:r>
      <w:r>
        <w:t>I</w:t>
      </w:r>
      <w:r w:rsidRPr="000C1EBD">
        <w:t xml:space="preserve">nvested </w:t>
      </w:r>
      <w:r>
        <w:t>C</w:t>
      </w:r>
      <w:r w:rsidRPr="000C1EBD">
        <w:t xml:space="preserve">apital. NOPAT is calculated as Adjusted Operating Profit plus share of profit of associates before tax, less tax at the effective rate in the Income Statement. </w:t>
      </w:r>
    </w:p>
    <w:p w14:paraId="311188BC" w14:textId="77777777" w:rsidR="00773F7B" w:rsidRDefault="00773F7B" w:rsidP="00773F7B">
      <w:pPr>
        <w:pStyle w:val="Paragraph"/>
        <w:jc w:val="both"/>
      </w:pPr>
      <w:r w:rsidRPr="000C1EBD">
        <w:t xml:space="preserve">The following table sets forth the calculation of </w:t>
      </w:r>
      <w:r>
        <w:t>N</w:t>
      </w:r>
      <w:r w:rsidRPr="000C1EBD">
        <w:t xml:space="preserve">et </w:t>
      </w:r>
      <w:r>
        <w:t>O</w:t>
      </w:r>
      <w:r w:rsidRPr="000C1EBD">
        <w:t xml:space="preserve">perating </w:t>
      </w:r>
      <w:r>
        <w:t>P</w:t>
      </w:r>
      <w:r w:rsidRPr="000C1EBD">
        <w:t xml:space="preserve">rofit </w:t>
      </w:r>
      <w:r>
        <w:t>A</w:t>
      </w:r>
      <w:r w:rsidRPr="000C1EBD">
        <w:t xml:space="preserve">fter </w:t>
      </w:r>
      <w:r>
        <w:t>T</w:t>
      </w:r>
      <w:r w:rsidRPr="000C1EBD">
        <w:t>ax (‘NOPAT’) and invested capital used in the calculation of ROIC for the financial years.</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8"/>
        <w:gridCol w:w="1417"/>
        <w:gridCol w:w="1276"/>
      </w:tblGrid>
      <w:tr w:rsidR="00773F7B" w14:paraId="1EE5D5CD" w14:textId="77777777" w:rsidTr="00773F7B">
        <w:tc>
          <w:tcPr>
            <w:tcW w:w="7088" w:type="dxa"/>
            <w:vAlign w:val="bottom"/>
          </w:tcPr>
          <w:p w14:paraId="08B755B7" w14:textId="77777777" w:rsidR="00773F7B" w:rsidRPr="00DF121E" w:rsidRDefault="00773F7B" w:rsidP="00773F7B">
            <w:pPr>
              <w:pStyle w:val="T2"/>
              <w:jc w:val="left"/>
            </w:pPr>
          </w:p>
        </w:tc>
        <w:tc>
          <w:tcPr>
            <w:tcW w:w="1417" w:type="dxa"/>
          </w:tcPr>
          <w:p w14:paraId="7C5FF08B" w14:textId="77777777" w:rsidR="00AE497B" w:rsidRDefault="00AE497B" w:rsidP="00592BB5">
            <w:pPr>
              <w:pStyle w:val="T2"/>
              <w:jc w:val="right"/>
              <w:rPr>
                <w:b/>
              </w:rPr>
            </w:pPr>
          </w:p>
          <w:p w14:paraId="079C0500" w14:textId="0EAFAF78" w:rsidR="00773F7B" w:rsidRPr="00480B6B" w:rsidRDefault="00773F7B" w:rsidP="00592BB5">
            <w:pPr>
              <w:pStyle w:val="T2"/>
              <w:jc w:val="right"/>
              <w:rPr>
                <w:b/>
                <w:bCs/>
              </w:rPr>
            </w:pPr>
            <w:r w:rsidRPr="00480B6B">
              <w:rPr>
                <w:b/>
                <w:bCs/>
              </w:rPr>
              <w:t>12 months to</w:t>
            </w:r>
            <w:r w:rsidRPr="00480B6B">
              <w:rPr>
                <w:b/>
                <w:bCs/>
              </w:rPr>
              <w:br/>
              <w:t>March 202</w:t>
            </w:r>
            <w:r w:rsidR="009E3D18" w:rsidRPr="00480B6B">
              <w:rPr>
                <w:b/>
                <w:bCs/>
              </w:rPr>
              <w:t>2</w:t>
            </w:r>
          </w:p>
        </w:tc>
        <w:tc>
          <w:tcPr>
            <w:tcW w:w="1276" w:type="dxa"/>
          </w:tcPr>
          <w:p w14:paraId="07789843" w14:textId="77777777" w:rsidR="00AE497B" w:rsidRDefault="00AE497B" w:rsidP="00592BB5">
            <w:pPr>
              <w:pStyle w:val="T2"/>
              <w:jc w:val="right"/>
            </w:pPr>
          </w:p>
          <w:p w14:paraId="3875EBDA" w14:textId="4E921263" w:rsidR="00773F7B" w:rsidRPr="00DF121E" w:rsidRDefault="00773F7B" w:rsidP="00592BB5">
            <w:pPr>
              <w:pStyle w:val="T2"/>
              <w:jc w:val="right"/>
            </w:pPr>
            <w:r w:rsidRPr="00DF121E">
              <w:t>12 months to</w:t>
            </w:r>
            <w:r w:rsidRPr="00DF121E">
              <w:br/>
              <w:t>March 20</w:t>
            </w:r>
            <w:r w:rsidR="00592BB5">
              <w:t>2</w:t>
            </w:r>
            <w:r w:rsidR="009E3D18">
              <w:t>1</w:t>
            </w:r>
          </w:p>
        </w:tc>
      </w:tr>
      <w:tr w:rsidR="00773F7B" w14:paraId="4B0620CE" w14:textId="77777777" w:rsidTr="00773F7B">
        <w:tc>
          <w:tcPr>
            <w:tcW w:w="7088" w:type="dxa"/>
            <w:tcBorders>
              <w:bottom w:val="single" w:sz="2" w:space="0" w:color="auto"/>
            </w:tcBorders>
            <w:vAlign w:val="bottom"/>
          </w:tcPr>
          <w:p w14:paraId="7247D783" w14:textId="77777777" w:rsidR="00773F7B" w:rsidRPr="00DF121E" w:rsidRDefault="00773F7B" w:rsidP="00773F7B">
            <w:pPr>
              <w:pStyle w:val="T2"/>
              <w:jc w:val="left"/>
            </w:pPr>
          </w:p>
        </w:tc>
        <w:tc>
          <w:tcPr>
            <w:tcW w:w="1417" w:type="dxa"/>
            <w:tcBorders>
              <w:bottom w:val="single" w:sz="2" w:space="0" w:color="auto"/>
            </w:tcBorders>
          </w:tcPr>
          <w:p w14:paraId="4923A5B7" w14:textId="77777777" w:rsidR="00773F7B" w:rsidRPr="00DF121E" w:rsidRDefault="00773F7B" w:rsidP="00773F7B">
            <w:pPr>
              <w:pStyle w:val="T2"/>
              <w:jc w:val="right"/>
              <w:rPr>
                <w:b/>
              </w:rPr>
            </w:pPr>
            <w:r w:rsidRPr="00DF121E">
              <w:rPr>
                <w:b/>
              </w:rPr>
              <w:t>£m</w:t>
            </w:r>
          </w:p>
        </w:tc>
        <w:tc>
          <w:tcPr>
            <w:tcW w:w="1276" w:type="dxa"/>
            <w:tcBorders>
              <w:bottom w:val="single" w:sz="2" w:space="0" w:color="auto"/>
            </w:tcBorders>
          </w:tcPr>
          <w:p w14:paraId="77993152" w14:textId="77777777" w:rsidR="00773F7B" w:rsidRPr="00DF121E" w:rsidRDefault="00773F7B" w:rsidP="00773F7B">
            <w:pPr>
              <w:pStyle w:val="T2"/>
              <w:jc w:val="right"/>
            </w:pPr>
            <w:r w:rsidRPr="00DF121E">
              <w:t>£m</w:t>
            </w:r>
          </w:p>
        </w:tc>
      </w:tr>
      <w:tr w:rsidR="009E3D18" w14:paraId="6D341BCE" w14:textId="77777777" w:rsidTr="00773F7B">
        <w:tc>
          <w:tcPr>
            <w:tcW w:w="7088" w:type="dxa"/>
            <w:tcBorders>
              <w:top w:val="single" w:sz="2" w:space="0" w:color="auto"/>
            </w:tcBorders>
            <w:vAlign w:val="bottom"/>
          </w:tcPr>
          <w:p w14:paraId="45256F27" w14:textId="25B7A045" w:rsidR="0049402B" w:rsidRPr="00246A66" w:rsidRDefault="009E3D18" w:rsidP="009E3D18">
            <w:pPr>
              <w:pStyle w:val="T2"/>
              <w:jc w:val="left"/>
              <w:rPr>
                <w:b/>
              </w:rPr>
            </w:pPr>
            <w:r w:rsidRPr="00246A66">
              <w:rPr>
                <w:b/>
              </w:rPr>
              <w:t>Adjusted Operating</w:t>
            </w:r>
            <w:r>
              <w:rPr>
                <w:b/>
              </w:rPr>
              <w:t xml:space="preserve"> </w:t>
            </w:r>
            <w:r w:rsidRPr="00246A66">
              <w:rPr>
                <w:b/>
              </w:rPr>
              <w:t>Profit</w:t>
            </w:r>
            <w:r w:rsidR="0049402B">
              <w:rPr>
                <w:b/>
              </w:rPr>
              <w:t>/(Loss)</w:t>
            </w:r>
          </w:p>
        </w:tc>
        <w:tc>
          <w:tcPr>
            <w:tcW w:w="1417" w:type="dxa"/>
            <w:tcBorders>
              <w:top w:val="single" w:sz="2" w:space="0" w:color="auto"/>
            </w:tcBorders>
          </w:tcPr>
          <w:p w14:paraId="48260FB9" w14:textId="2E908C34" w:rsidR="009E3D18" w:rsidRPr="00DF121E" w:rsidRDefault="00E31E27" w:rsidP="009E3D18">
            <w:pPr>
              <w:pStyle w:val="T2"/>
              <w:jc w:val="right"/>
              <w:rPr>
                <w:b/>
              </w:rPr>
            </w:pPr>
            <w:r>
              <w:rPr>
                <w:rFonts w:ascii="Calibri" w:hAnsi="Calibri" w:cs="Calibri"/>
                <w:b/>
              </w:rPr>
              <w:t>56.0</w:t>
            </w:r>
          </w:p>
        </w:tc>
        <w:tc>
          <w:tcPr>
            <w:tcW w:w="1276" w:type="dxa"/>
            <w:tcBorders>
              <w:top w:val="single" w:sz="2" w:space="0" w:color="auto"/>
            </w:tcBorders>
          </w:tcPr>
          <w:p w14:paraId="7735FCE7" w14:textId="4FF0B8F2" w:rsidR="009E3D18" w:rsidRPr="009E3D18" w:rsidRDefault="009E3D18" w:rsidP="009E3D18">
            <w:pPr>
              <w:pStyle w:val="T2"/>
              <w:jc w:val="right"/>
              <w:rPr>
                <w:bCs/>
              </w:rPr>
            </w:pPr>
            <w:r w:rsidRPr="009E3D18">
              <w:rPr>
                <w:rFonts w:ascii="Calibri" w:hAnsi="Calibri" w:cs="Calibri"/>
                <w:bCs/>
              </w:rPr>
              <w:t>(5.6)</w:t>
            </w:r>
          </w:p>
        </w:tc>
      </w:tr>
      <w:tr w:rsidR="009E3D18" w14:paraId="7C82FC6B" w14:textId="77777777" w:rsidTr="00773F7B">
        <w:tc>
          <w:tcPr>
            <w:tcW w:w="7088" w:type="dxa"/>
            <w:vAlign w:val="bottom"/>
          </w:tcPr>
          <w:p w14:paraId="031BB1A4" w14:textId="77777777" w:rsidR="009E3D18" w:rsidRPr="00DF121E" w:rsidRDefault="009E3D18" w:rsidP="009E3D18">
            <w:pPr>
              <w:pStyle w:val="T2"/>
              <w:jc w:val="left"/>
            </w:pPr>
            <w:r w:rsidRPr="00DF121E">
              <w:t>Share of profit of associates before tax</w:t>
            </w:r>
          </w:p>
        </w:tc>
        <w:tc>
          <w:tcPr>
            <w:tcW w:w="1417" w:type="dxa"/>
          </w:tcPr>
          <w:p w14:paraId="587A812C" w14:textId="15076C24" w:rsidR="009E3D18" w:rsidRPr="00DF121E" w:rsidRDefault="009E3D18" w:rsidP="009E3D18">
            <w:pPr>
              <w:pStyle w:val="T2"/>
              <w:jc w:val="right"/>
              <w:rPr>
                <w:b/>
              </w:rPr>
            </w:pPr>
            <w:r w:rsidRPr="0077357A">
              <w:rPr>
                <w:rFonts w:ascii="Calibri" w:hAnsi="Calibri" w:cs="Calibri"/>
                <w:b/>
              </w:rPr>
              <w:t>–</w:t>
            </w:r>
          </w:p>
        </w:tc>
        <w:tc>
          <w:tcPr>
            <w:tcW w:w="1276" w:type="dxa"/>
          </w:tcPr>
          <w:p w14:paraId="6EBA4F59" w14:textId="0A0DDFF4" w:rsidR="009E3D18" w:rsidRPr="009E3D18" w:rsidRDefault="009E3D18" w:rsidP="009E3D18">
            <w:pPr>
              <w:pStyle w:val="T2"/>
              <w:jc w:val="right"/>
              <w:rPr>
                <w:bCs/>
              </w:rPr>
            </w:pPr>
            <w:r w:rsidRPr="009E3D18">
              <w:rPr>
                <w:rFonts w:ascii="Calibri" w:hAnsi="Calibri" w:cs="Calibri"/>
                <w:bCs/>
              </w:rPr>
              <w:t>0.3</w:t>
            </w:r>
          </w:p>
        </w:tc>
      </w:tr>
      <w:tr w:rsidR="009E3D18" w14:paraId="341866DD" w14:textId="77777777" w:rsidTr="001F1616">
        <w:tc>
          <w:tcPr>
            <w:tcW w:w="7088" w:type="dxa"/>
            <w:tcBorders>
              <w:bottom w:val="single" w:sz="2" w:space="0" w:color="auto"/>
            </w:tcBorders>
            <w:vAlign w:val="bottom"/>
          </w:tcPr>
          <w:p w14:paraId="481A9513" w14:textId="77777777" w:rsidR="009E3D18" w:rsidRPr="00DF121E" w:rsidRDefault="009E3D18" w:rsidP="009E3D18">
            <w:pPr>
              <w:pStyle w:val="T2"/>
              <w:jc w:val="left"/>
            </w:pPr>
            <w:r w:rsidRPr="00DF121E">
              <w:t>Taxation at the effective tax rate</w:t>
            </w:r>
            <w:r w:rsidRPr="00A96D81">
              <w:rPr>
                <w:vertAlign w:val="superscript"/>
              </w:rPr>
              <w:t>(</w:t>
            </w:r>
            <w:r>
              <w:rPr>
                <w:vertAlign w:val="superscript"/>
              </w:rPr>
              <w:t>A</w:t>
            </w:r>
            <w:r w:rsidRPr="00A96D81">
              <w:rPr>
                <w:vertAlign w:val="superscript"/>
              </w:rPr>
              <w:t xml:space="preserve">) </w:t>
            </w:r>
          </w:p>
        </w:tc>
        <w:tc>
          <w:tcPr>
            <w:tcW w:w="1417" w:type="dxa"/>
            <w:tcBorders>
              <w:bottom w:val="single" w:sz="2" w:space="0" w:color="auto"/>
            </w:tcBorders>
          </w:tcPr>
          <w:p w14:paraId="3ED5CBA6" w14:textId="0120047A" w:rsidR="009E3D18" w:rsidRPr="00DF121E" w:rsidRDefault="00E31E27" w:rsidP="009E3D18">
            <w:pPr>
              <w:pStyle w:val="T2"/>
              <w:jc w:val="right"/>
              <w:rPr>
                <w:b/>
              </w:rPr>
            </w:pPr>
            <w:r>
              <w:rPr>
                <w:rFonts w:ascii="Calibri" w:hAnsi="Calibri" w:cs="Calibri"/>
                <w:b/>
              </w:rPr>
              <w:t>(9.1)</w:t>
            </w:r>
          </w:p>
        </w:tc>
        <w:tc>
          <w:tcPr>
            <w:tcW w:w="1276" w:type="dxa"/>
            <w:tcBorders>
              <w:bottom w:val="single" w:sz="2" w:space="0" w:color="auto"/>
            </w:tcBorders>
          </w:tcPr>
          <w:p w14:paraId="2AF27FAA" w14:textId="4F53FE8B" w:rsidR="009E3D18" w:rsidRPr="009E3D18" w:rsidRDefault="009E3D18" w:rsidP="009E3D18">
            <w:pPr>
              <w:pStyle w:val="T2"/>
              <w:jc w:val="right"/>
              <w:rPr>
                <w:bCs/>
              </w:rPr>
            </w:pPr>
            <w:r w:rsidRPr="009E3D18">
              <w:rPr>
                <w:rFonts w:ascii="Calibri" w:hAnsi="Calibri" w:cs="Calibri"/>
                <w:bCs/>
              </w:rPr>
              <w:t>0.7</w:t>
            </w:r>
          </w:p>
        </w:tc>
      </w:tr>
      <w:tr w:rsidR="009E3D18" w14:paraId="07B4051F" w14:textId="77777777" w:rsidTr="001F1616">
        <w:tc>
          <w:tcPr>
            <w:tcW w:w="7088" w:type="dxa"/>
            <w:tcBorders>
              <w:top w:val="single" w:sz="2" w:space="0" w:color="auto"/>
              <w:bottom w:val="single" w:sz="2" w:space="0" w:color="auto"/>
            </w:tcBorders>
            <w:vAlign w:val="bottom"/>
          </w:tcPr>
          <w:p w14:paraId="272EF86A" w14:textId="77777777" w:rsidR="009E3D18" w:rsidRPr="00246A66" w:rsidRDefault="009E3D18" w:rsidP="009E3D18">
            <w:pPr>
              <w:pStyle w:val="T2"/>
              <w:jc w:val="left"/>
              <w:rPr>
                <w:b/>
              </w:rPr>
            </w:pPr>
            <w:r>
              <w:rPr>
                <w:b/>
              </w:rPr>
              <w:t xml:space="preserve">Group </w:t>
            </w:r>
            <w:r w:rsidRPr="00246A66">
              <w:rPr>
                <w:b/>
              </w:rPr>
              <w:t>NOPAT</w:t>
            </w:r>
          </w:p>
        </w:tc>
        <w:tc>
          <w:tcPr>
            <w:tcW w:w="1417" w:type="dxa"/>
            <w:tcBorders>
              <w:top w:val="single" w:sz="2" w:space="0" w:color="auto"/>
              <w:bottom w:val="single" w:sz="2" w:space="0" w:color="auto"/>
            </w:tcBorders>
          </w:tcPr>
          <w:p w14:paraId="4FFCC2F6" w14:textId="06D9C02C" w:rsidR="009E3D18" w:rsidRPr="00DF121E" w:rsidRDefault="00E31E27" w:rsidP="009E3D18">
            <w:pPr>
              <w:pStyle w:val="T2"/>
              <w:jc w:val="right"/>
              <w:rPr>
                <w:b/>
              </w:rPr>
            </w:pPr>
            <w:r>
              <w:rPr>
                <w:rFonts w:ascii="Calibri" w:hAnsi="Calibri" w:cs="Calibri"/>
                <w:b/>
              </w:rPr>
              <w:t>46.9</w:t>
            </w:r>
          </w:p>
        </w:tc>
        <w:tc>
          <w:tcPr>
            <w:tcW w:w="1276" w:type="dxa"/>
            <w:tcBorders>
              <w:top w:val="single" w:sz="2" w:space="0" w:color="auto"/>
              <w:bottom w:val="single" w:sz="2" w:space="0" w:color="auto"/>
            </w:tcBorders>
          </w:tcPr>
          <w:p w14:paraId="2ED04A02" w14:textId="4645DA86" w:rsidR="009E3D18" w:rsidRPr="009E3D18" w:rsidRDefault="009E3D18" w:rsidP="009E3D18">
            <w:pPr>
              <w:pStyle w:val="T2"/>
              <w:jc w:val="right"/>
              <w:rPr>
                <w:bCs/>
              </w:rPr>
            </w:pPr>
            <w:r w:rsidRPr="009E3D18">
              <w:rPr>
                <w:rFonts w:ascii="Calibri" w:hAnsi="Calibri" w:cs="Calibri"/>
                <w:bCs/>
              </w:rPr>
              <w:t>(4.6)</w:t>
            </w:r>
          </w:p>
        </w:tc>
      </w:tr>
    </w:tbl>
    <w:p w14:paraId="20353A4D" w14:textId="77777777" w:rsidR="00773F7B" w:rsidRDefault="00773F7B" w:rsidP="00773F7B">
      <w:pPr>
        <w:pStyle w:val="Paragraph"/>
      </w:pPr>
    </w:p>
    <w:tbl>
      <w:tblPr>
        <w:tblStyle w:val="TableGrid"/>
        <w:tblW w:w="9781" w:type="dxa"/>
        <w:tblLook w:val="04A0" w:firstRow="1" w:lastRow="0" w:firstColumn="1" w:lastColumn="0" w:noHBand="0" w:noVBand="1"/>
      </w:tblPr>
      <w:tblGrid>
        <w:gridCol w:w="7088"/>
        <w:gridCol w:w="1417"/>
        <w:gridCol w:w="1276"/>
      </w:tblGrid>
      <w:tr w:rsidR="00773F7B" w14:paraId="563634EA" w14:textId="77777777" w:rsidTr="00773F7B">
        <w:tc>
          <w:tcPr>
            <w:tcW w:w="7088" w:type="dxa"/>
            <w:tcBorders>
              <w:top w:val="nil"/>
              <w:left w:val="nil"/>
              <w:bottom w:val="nil"/>
              <w:right w:val="nil"/>
            </w:tcBorders>
            <w:vAlign w:val="bottom"/>
          </w:tcPr>
          <w:p w14:paraId="350A4CC1" w14:textId="77777777" w:rsidR="00773F7B" w:rsidRPr="004B7A34" w:rsidRDefault="00773F7B" w:rsidP="00773F7B">
            <w:pPr>
              <w:pStyle w:val="Paragraph"/>
            </w:pPr>
          </w:p>
        </w:tc>
        <w:tc>
          <w:tcPr>
            <w:tcW w:w="1417" w:type="dxa"/>
            <w:tcBorders>
              <w:top w:val="nil"/>
              <w:left w:val="nil"/>
              <w:bottom w:val="nil"/>
              <w:right w:val="nil"/>
            </w:tcBorders>
            <w:vAlign w:val="bottom"/>
          </w:tcPr>
          <w:p w14:paraId="672F451A" w14:textId="13C99B05" w:rsidR="00773F7B" w:rsidRDefault="00773F7B" w:rsidP="00773F7B">
            <w:pPr>
              <w:pStyle w:val="T2"/>
              <w:jc w:val="right"/>
              <w:rPr>
                <w:b/>
              </w:rPr>
            </w:pPr>
            <w:r w:rsidRPr="00EF37E9">
              <w:rPr>
                <w:b/>
              </w:rPr>
              <w:t>Half year</w:t>
            </w:r>
            <w:r w:rsidRPr="00EF37E9">
              <w:rPr>
                <w:b/>
              </w:rPr>
              <w:br/>
              <w:t>20</w:t>
            </w:r>
            <w:r>
              <w:rPr>
                <w:b/>
              </w:rPr>
              <w:t>2</w:t>
            </w:r>
            <w:r w:rsidR="009E3D18">
              <w:rPr>
                <w:b/>
              </w:rPr>
              <w:t>2</w:t>
            </w:r>
          </w:p>
          <w:p w14:paraId="1B7AF11B" w14:textId="77777777" w:rsidR="00773F7B" w:rsidRPr="00EF37E9" w:rsidRDefault="00773F7B" w:rsidP="00773F7B">
            <w:pPr>
              <w:pStyle w:val="T2"/>
              <w:jc w:val="right"/>
              <w:rPr>
                <w:b/>
              </w:rPr>
            </w:pPr>
            <w:r>
              <w:rPr>
                <w:b/>
              </w:rPr>
              <w:t>£m</w:t>
            </w:r>
          </w:p>
        </w:tc>
        <w:tc>
          <w:tcPr>
            <w:tcW w:w="1276" w:type="dxa"/>
            <w:tcBorders>
              <w:top w:val="nil"/>
              <w:left w:val="nil"/>
              <w:bottom w:val="nil"/>
              <w:right w:val="nil"/>
            </w:tcBorders>
          </w:tcPr>
          <w:p w14:paraId="5680598C" w14:textId="77777777" w:rsidR="00773F7B" w:rsidRDefault="00773F7B" w:rsidP="00773F7B">
            <w:pPr>
              <w:pStyle w:val="T2"/>
              <w:jc w:val="right"/>
            </w:pPr>
            <w:r>
              <w:t xml:space="preserve">Half year </w:t>
            </w:r>
          </w:p>
          <w:p w14:paraId="14F8274E" w14:textId="7672AA23" w:rsidR="00773F7B" w:rsidRDefault="00773F7B" w:rsidP="00773F7B">
            <w:pPr>
              <w:pStyle w:val="T2"/>
              <w:jc w:val="right"/>
            </w:pPr>
            <w:r>
              <w:t>20</w:t>
            </w:r>
            <w:r w:rsidR="005D0B94">
              <w:t>2</w:t>
            </w:r>
            <w:r w:rsidR="009E3D18">
              <w:t>1</w:t>
            </w:r>
          </w:p>
          <w:p w14:paraId="0F088DD7" w14:textId="77777777" w:rsidR="00773F7B" w:rsidRPr="004B7A34" w:rsidRDefault="00773F7B" w:rsidP="00773F7B">
            <w:pPr>
              <w:pStyle w:val="T2"/>
              <w:jc w:val="right"/>
            </w:pPr>
            <w:r>
              <w:t>£m</w:t>
            </w:r>
          </w:p>
        </w:tc>
      </w:tr>
      <w:tr w:rsidR="00773F7B" w14:paraId="455A65A7" w14:textId="77777777" w:rsidTr="001952EF">
        <w:tc>
          <w:tcPr>
            <w:tcW w:w="7088" w:type="dxa"/>
            <w:tcBorders>
              <w:top w:val="single" w:sz="2" w:space="0" w:color="auto"/>
              <w:left w:val="nil"/>
              <w:bottom w:val="nil"/>
              <w:right w:val="nil"/>
            </w:tcBorders>
            <w:vAlign w:val="center"/>
          </w:tcPr>
          <w:p w14:paraId="7898DD9B" w14:textId="77777777" w:rsidR="00773F7B" w:rsidRPr="00EF37E9" w:rsidRDefault="00773F7B">
            <w:pPr>
              <w:pStyle w:val="T2"/>
              <w:jc w:val="left"/>
              <w:rPr>
                <w:b/>
              </w:rPr>
            </w:pPr>
            <w:r w:rsidRPr="00EF37E9">
              <w:rPr>
                <w:b/>
              </w:rPr>
              <w:t xml:space="preserve">Invested </w:t>
            </w:r>
            <w:r>
              <w:rPr>
                <w:b/>
              </w:rPr>
              <w:t>C</w:t>
            </w:r>
            <w:r w:rsidRPr="00EF37E9">
              <w:rPr>
                <w:b/>
              </w:rPr>
              <w:t>apital</w:t>
            </w:r>
          </w:p>
        </w:tc>
        <w:tc>
          <w:tcPr>
            <w:tcW w:w="1417" w:type="dxa"/>
            <w:tcBorders>
              <w:top w:val="single" w:sz="2" w:space="0" w:color="auto"/>
              <w:left w:val="nil"/>
              <w:bottom w:val="nil"/>
              <w:right w:val="nil"/>
            </w:tcBorders>
            <w:vAlign w:val="bottom"/>
          </w:tcPr>
          <w:p w14:paraId="1B7A7307" w14:textId="24A5C09D" w:rsidR="00773F7B" w:rsidRPr="00EF37E9" w:rsidRDefault="00773F7B" w:rsidP="00773F7B">
            <w:pPr>
              <w:pStyle w:val="T2"/>
              <w:jc w:val="right"/>
              <w:rPr>
                <w:b/>
              </w:rPr>
            </w:pPr>
          </w:p>
        </w:tc>
        <w:tc>
          <w:tcPr>
            <w:tcW w:w="1276" w:type="dxa"/>
            <w:tcBorders>
              <w:top w:val="single" w:sz="2" w:space="0" w:color="auto"/>
              <w:left w:val="nil"/>
              <w:bottom w:val="nil"/>
              <w:right w:val="nil"/>
            </w:tcBorders>
          </w:tcPr>
          <w:p w14:paraId="439BA6CA" w14:textId="77777777" w:rsidR="00773F7B" w:rsidRPr="004B7A34" w:rsidRDefault="00773F7B" w:rsidP="00773F7B">
            <w:pPr>
              <w:pStyle w:val="T2"/>
              <w:jc w:val="right"/>
            </w:pPr>
          </w:p>
        </w:tc>
      </w:tr>
      <w:tr w:rsidR="009E3D18" w14:paraId="1F4470F7" w14:textId="77777777" w:rsidTr="001952EF">
        <w:tc>
          <w:tcPr>
            <w:tcW w:w="7088" w:type="dxa"/>
            <w:tcBorders>
              <w:top w:val="nil"/>
              <w:left w:val="nil"/>
              <w:bottom w:val="nil"/>
              <w:right w:val="nil"/>
            </w:tcBorders>
            <w:vAlign w:val="center"/>
          </w:tcPr>
          <w:p w14:paraId="37FAA271" w14:textId="77777777" w:rsidR="009E3D18" w:rsidRPr="004B7A34" w:rsidRDefault="009E3D18">
            <w:pPr>
              <w:pStyle w:val="T2"/>
              <w:jc w:val="left"/>
            </w:pPr>
            <w:r w:rsidRPr="004B7A34">
              <w:t>Total assets</w:t>
            </w:r>
          </w:p>
        </w:tc>
        <w:tc>
          <w:tcPr>
            <w:tcW w:w="1417" w:type="dxa"/>
            <w:tcBorders>
              <w:top w:val="nil"/>
              <w:left w:val="nil"/>
              <w:bottom w:val="nil"/>
              <w:right w:val="nil"/>
            </w:tcBorders>
            <w:vAlign w:val="center"/>
          </w:tcPr>
          <w:p w14:paraId="25369CAC" w14:textId="516C595A" w:rsidR="009E3D18" w:rsidRPr="00FC568F" w:rsidRDefault="00E31E27">
            <w:pPr>
              <w:pStyle w:val="T2"/>
              <w:jc w:val="right"/>
              <w:rPr>
                <w:b/>
                <w:bCs/>
              </w:rPr>
            </w:pPr>
            <w:r>
              <w:rPr>
                <w:rFonts w:ascii="Calibri" w:hAnsi="Calibri" w:cs="Calibri"/>
                <w:b/>
              </w:rPr>
              <w:t>1,27</w:t>
            </w:r>
            <w:r w:rsidR="00403C56">
              <w:rPr>
                <w:rFonts w:ascii="Calibri" w:hAnsi="Calibri" w:cs="Calibri"/>
                <w:b/>
              </w:rPr>
              <w:t>0.1</w:t>
            </w:r>
          </w:p>
        </w:tc>
        <w:tc>
          <w:tcPr>
            <w:tcW w:w="1276" w:type="dxa"/>
            <w:tcBorders>
              <w:top w:val="nil"/>
              <w:left w:val="nil"/>
              <w:bottom w:val="nil"/>
              <w:right w:val="nil"/>
            </w:tcBorders>
            <w:vAlign w:val="center"/>
          </w:tcPr>
          <w:p w14:paraId="3B25413C" w14:textId="482E57B1" w:rsidR="009E3D18" w:rsidRPr="009E3D18" w:rsidRDefault="009E3D18">
            <w:pPr>
              <w:pStyle w:val="T2"/>
              <w:jc w:val="right"/>
              <w:rPr>
                <w:bCs/>
              </w:rPr>
            </w:pPr>
            <w:r w:rsidRPr="009E3D18">
              <w:rPr>
                <w:rFonts w:ascii="Calibri" w:hAnsi="Calibri" w:cs="Calibri"/>
                <w:bCs/>
              </w:rPr>
              <w:t>1,184.7</w:t>
            </w:r>
          </w:p>
        </w:tc>
      </w:tr>
      <w:tr w:rsidR="009E3D18" w14:paraId="1B3BE3B2" w14:textId="77777777" w:rsidTr="001952EF">
        <w:tc>
          <w:tcPr>
            <w:tcW w:w="7088" w:type="dxa"/>
            <w:tcBorders>
              <w:top w:val="nil"/>
              <w:left w:val="nil"/>
              <w:bottom w:val="nil"/>
              <w:right w:val="nil"/>
            </w:tcBorders>
            <w:vAlign w:val="center"/>
          </w:tcPr>
          <w:p w14:paraId="1FAE893A" w14:textId="77777777" w:rsidR="009E3D18" w:rsidRPr="004B7A34" w:rsidRDefault="009E3D18">
            <w:pPr>
              <w:pStyle w:val="T2"/>
              <w:jc w:val="left"/>
            </w:pPr>
            <w:r w:rsidRPr="004B7A34">
              <w:t>Total liabilities</w:t>
            </w:r>
          </w:p>
        </w:tc>
        <w:tc>
          <w:tcPr>
            <w:tcW w:w="1417" w:type="dxa"/>
            <w:tcBorders>
              <w:top w:val="nil"/>
              <w:left w:val="nil"/>
              <w:bottom w:val="nil"/>
              <w:right w:val="nil"/>
            </w:tcBorders>
            <w:vAlign w:val="center"/>
          </w:tcPr>
          <w:p w14:paraId="05D33337" w14:textId="77DC07DD" w:rsidR="009E3D18" w:rsidRPr="00FC568F" w:rsidRDefault="00E31E27">
            <w:pPr>
              <w:pStyle w:val="T2"/>
              <w:jc w:val="right"/>
              <w:rPr>
                <w:b/>
                <w:bCs/>
              </w:rPr>
            </w:pPr>
            <w:r>
              <w:rPr>
                <w:rFonts w:ascii="Calibri" w:hAnsi="Calibri" w:cs="Calibri"/>
                <w:b/>
              </w:rPr>
              <w:t>(8</w:t>
            </w:r>
            <w:r w:rsidR="00403C56">
              <w:rPr>
                <w:rFonts w:ascii="Calibri" w:hAnsi="Calibri" w:cs="Calibri"/>
                <w:b/>
              </w:rPr>
              <w:t>29.5</w:t>
            </w:r>
            <w:r>
              <w:rPr>
                <w:rFonts w:ascii="Calibri" w:hAnsi="Calibri" w:cs="Calibri"/>
                <w:b/>
              </w:rPr>
              <w:t>)</w:t>
            </w:r>
          </w:p>
        </w:tc>
        <w:tc>
          <w:tcPr>
            <w:tcW w:w="1276" w:type="dxa"/>
            <w:tcBorders>
              <w:top w:val="nil"/>
              <w:left w:val="nil"/>
              <w:bottom w:val="nil"/>
              <w:right w:val="nil"/>
            </w:tcBorders>
            <w:vAlign w:val="center"/>
          </w:tcPr>
          <w:p w14:paraId="126080DA" w14:textId="1A7A1A0F" w:rsidR="009E3D18" w:rsidRPr="009E3D18" w:rsidRDefault="009E3D18">
            <w:pPr>
              <w:pStyle w:val="T2"/>
              <w:jc w:val="right"/>
              <w:rPr>
                <w:bCs/>
              </w:rPr>
            </w:pPr>
            <w:r w:rsidRPr="009E3D18">
              <w:rPr>
                <w:rFonts w:ascii="Calibri" w:hAnsi="Calibri" w:cs="Calibri"/>
                <w:bCs/>
              </w:rPr>
              <w:t>(814.2)</w:t>
            </w:r>
          </w:p>
        </w:tc>
      </w:tr>
      <w:tr w:rsidR="009E3D18" w14:paraId="7A64AAD7" w14:textId="77777777" w:rsidTr="001952EF">
        <w:tc>
          <w:tcPr>
            <w:tcW w:w="7088" w:type="dxa"/>
            <w:tcBorders>
              <w:top w:val="nil"/>
              <w:left w:val="nil"/>
              <w:bottom w:val="nil"/>
              <w:right w:val="nil"/>
            </w:tcBorders>
            <w:vAlign w:val="center"/>
          </w:tcPr>
          <w:p w14:paraId="639AD57D" w14:textId="77777777" w:rsidR="009E3D18" w:rsidRPr="004B7A34" w:rsidRDefault="009E3D18">
            <w:pPr>
              <w:pStyle w:val="T2"/>
              <w:jc w:val="left"/>
            </w:pPr>
            <w:r w:rsidRPr="004B7A34">
              <w:lastRenderedPageBreak/>
              <w:t>Net Debt</w:t>
            </w:r>
          </w:p>
        </w:tc>
        <w:tc>
          <w:tcPr>
            <w:tcW w:w="1417" w:type="dxa"/>
            <w:tcBorders>
              <w:top w:val="nil"/>
              <w:left w:val="nil"/>
              <w:bottom w:val="nil"/>
              <w:right w:val="nil"/>
            </w:tcBorders>
            <w:vAlign w:val="center"/>
          </w:tcPr>
          <w:p w14:paraId="45FD1498" w14:textId="21CD84CB" w:rsidR="009E3D18" w:rsidRPr="00FC568F" w:rsidRDefault="00E31E27">
            <w:pPr>
              <w:pStyle w:val="T2"/>
              <w:jc w:val="right"/>
              <w:rPr>
                <w:b/>
                <w:bCs/>
              </w:rPr>
            </w:pPr>
            <w:r>
              <w:rPr>
                <w:rFonts w:ascii="Calibri" w:hAnsi="Calibri" w:cs="Calibri"/>
                <w:b/>
              </w:rPr>
              <w:t>272.3</w:t>
            </w:r>
          </w:p>
        </w:tc>
        <w:tc>
          <w:tcPr>
            <w:tcW w:w="1276" w:type="dxa"/>
            <w:tcBorders>
              <w:top w:val="nil"/>
              <w:left w:val="nil"/>
              <w:bottom w:val="nil"/>
              <w:right w:val="nil"/>
            </w:tcBorders>
            <w:vAlign w:val="center"/>
          </w:tcPr>
          <w:p w14:paraId="190BF28C" w14:textId="7BC31377" w:rsidR="009E3D18" w:rsidRPr="009E3D18" w:rsidRDefault="009E3D18">
            <w:pPr>
              <w:pStyle w:val="T2"/>
              <w:jc w:val="right"/>
              <w:rPr>
                <w:bCs/>
              </w:rPr>
            </w:pPr>
            <w:r w:rsidRPr="009E3D18">
              <w:rPr>
                <w:rFonts w:ascii="Calibri" w:hAnsi="Calibri" w:cs="Calibri"/>
                <w:bCs/>
              </w:rPr>
              <w:t>332.1</w:t>
            </w:r>
          </w:p>
        </w:tc>
      </w:tr>
      <w:tr w:rsidR="009E3D18" w14:paraId="1EF59406" w14:textId="77777777" w:rsidTr="001952EF">
        <w:tc>
          <w:tcPr>
            <w:tcW w:w="7088" w:type="dxa"/>
            <w:tcBorders>
              <w:top w:val="nil"/>
              <w:left w:val="nil"/>
              <w:bottom w:val="nil"/>
              <w:right w:val="nil"/>
            </w:tcBorders>
            <w:vAlign w:val="center"/>
          </w:tcPr>
          <w:p w14:paraId="02FAECF9" w14:textId="77777777" w:rsidR="009E3D18" w:rsidRPr="004B7A34" w:rsidRDefault="009E3D18">
            <w:pPr>
              <w:pStyle w:val="T2"/>
              <w:jc w:val="left"/>
            </w:pPr>
            <w:r w:rsidRPr="004B7A34">
              <w:t>Derivatives not designated as fair value hedges</w:t>
            </w:r>
          </w:p>
        </w:tc>
        <w:tc>
          <w:tcPr>
            <w:tcW w:w="1417" w:type="dxa"/>
            <w:tcBorders>
              <w:top w:val="nil"/>
              <w:left w:val="nil"/>
              <w:bottom w:val="nil"/>
              <w:right w:val="nil"/>
            </w:tcBorders>
            <w:vAlign w:val="center"/>
          </w:tcPr>
          <w:p w14:paraId="6F61D177" w14:textId="651678F6" w:rsidR="009E3D18" w:rsidRPr="00FC568F" w:rsidRDefault="00E31E27">
            <w:pPr>
              <w:pStyle w:val="T2"/>
              <w:jc w:val="right"/>
              <w:rPr>
                <w:b/>
                <w:bCs/>
              </w:rPr>
            </w:pPr>
            <w:r>
              <w:rPr>
                <w:rFonts w:ascii="Calibri" w:hAnsi="Calibri" w:cs="Calibri"/>
                <w:b/>
              </w:rPr>
              <w:t>(0.2)</w:t>
            </w:r>
          </w:p>
        </w:tc>
        <w:tc>
          <w:tcPr>
            <w:tcW w:w="1276" w:type="dxa"/>
            <w:tcBorders>
              <w:top w:val="nil"/>
              <w:left w:val="nil"/>
              <w:bottom w:val="nil"/>
              <w:right w:val="nil"/>
            </w:tcBorders>
            <w:vAlign w:val="center"/>
          </w:tcPr>
          <w:p w14:paraId="16ADA73D" w14:textId="6761DD2B" w:rsidR="009E3D18" w:rsidRPr="009E3D18" w:rsidRDefault="009E3D18">
            <w:pPr>
              <w:pStyle w:val="T2"/>
              <w:jc w:val="right"/>
              <w:rPr>
                <w:bCs/>
              </w:rPr>
            </w:pPr>
            <w:r w:rsidRPr="009E3D18">
              <w:rPr>
                <w:rFonts w:ascii="Calibri" w:hAnsi="Calibri" w:cs="Calibri"/>
                <w:bCs/>
              </w:rPr>
              <w:t>7.3</w:t>
            </w:r>
          </w:p>
        </w:tc>
      </w:tr>
      <w:tr w:rsidR="009E3D18" w14:paraId="1DF6B862" w14:textId="77777777" w:rsidTr="001952EF">
        <w:tc>
          <w:tcPr>
            <w:tcW w:w="7088" w:type="dxa"/>
            <w:tcBorders>
              <w:top w:val="nil"/>
              <w:left w:val="nil"/>
              <w:bottom w:val="nil"/>
              <w:right w:val="nil"/>
            </w:tcBorders>
            <w:vAlign w:val="center"/>
          </w:tcPr>
          <w:p w14:paraId="4E3C5AE2" w14:textId="77777777" w:rsidR="009E3D18" w:rsidRPr="004B7A34" w:rsidRDefault="009E3D18">
            <w:pPr>
              <w:pStyle w:val="T2"/>
              <w:jc w:val="left"/>
            </w:pPr>
            <w:r w:rsidRPr="004B7A34">
              <w:t>Retirement benefit obligation (net of deferred tax asset)</w:t>
            </w:r>
          </w:p>
        </w:tc>
        <w:tc>
          <w:tcPr>
            <w:tcW w:w="1417" w:type="dxa"/>
            <w:tcBorders>
              <w:top w:val="nil"/>
              <w:left w:val="nil"/>
              <w:bottom w:val="nil"/>
              <w:right w:val="nil"/>
            </w:tcBorders>
            <w:vAlign w:val="center"/>
          </w:tcPr>
          <w:p w14:paraId="7C776C7C" w14:textId="716C2125" w:rsidR="009E3D18" w:rsidRPr="00FC568F" w:rsidRDefault="00E31E27">
            <w:pPr>
              <w:pStyle w:val="T2"/>
              <w:jc w:val="right"/>
              <w:rPr>
                <w:b/>
                <w:bCs/>
              </w:rPr>
            </w:pPr>
            <w:r>
              <w:rPr>
                <w:rFonts w:ascii="Calibri" w:hAnsi="Calibri" w:cs="Calibri"/>
                <w:b/>
              </w:rPr>
              <w:t>8.7</w:t>
            </w:r>
          </w:p>
        </w:tc>
        <w:tc>
          <w:tcPr>
            <w:tcW w:w="1276" w:type="dxa"/>
            <w:tcBorders>
              <w:top w:val="nil"/>
              <w:left w:val="nil"/>
              <w:bottom w:val="nil"/>
              <w:right w:val="nil"/>
            </w:tcBorders>
            <w:vAlign w:val="center"/>
          </w:tcPr>
          <w:p w14:paraId="0C89CFD4" w14:textId="2252AA37" w:rsidR="009E3D18" w:rsidRPr="009E3D18" w:rsidRDefault="009E3D18">
            <w:pPr>
              <w:pStyle w:val="T2"/>
              <w:jc w:val="right"/>
              <w:rPr>
                <w:bCs/>
              </w:rPr>
            </w:pPr>
            <w:r w:rsidRPr="009E3D18">
              <w:rPr>
                <w:rFonts w:ascii="Calibri" w:hAnsi="Calibri" w:cs="Calibri"/>
                <w:bCs/>
              </w:rPr>
              <w:t>55.7</w:t>
            </w:r>
          </w:p>
        </w:tc>
      </w:tr>
      <w:tr w:rsidR="009E3D18" w14:paraId="4886B608" w14:textId="77777777" w:rsidTr="001952EF">
        <w:tc>
          <w:tcPr>
            <w:tcW w:w="7088" w:type="dxa"/>
            <w:tcBorders>
              <w:top w:val="single" w:sz="2" w:space="0" w:color="auto"/>
              <w:left w:val="nil"/>
              <w:bottom w:val="single" w:sz="2" w:space="0" w:color="auto"/>
              <w:right w:val="nil"/>
            </w:tcBorders>
            <w:vAlign w:val="center"/>
          </w:tcPr>
          <w:p w14:paraId="1D0C3C34" w14:textId="77777777" w:rsidR="009E3D18" w:rsidRPr="00EF37E9" w:rsidRDefault="009E3D18">
            <w:pPr>
              <w:pStyle w:val="T2"/>
              <w:jc w:val="left"/>
              <w:rPr>
                <w:b/>
              </w:rPr>
            </w:pPr>
            <w:r w:rsidRPr="00EF37E9">
              <w:rPr>
                <w:b/>
              </w:rPr>
              <w:t xml:space="preserve">Invested </w:t>
            </w:r>
            <w:r>
              <w:rPr>
                <w:b/>
              </w:rPr>
              <w:t>C</w:t>
            </w:r>
            <w:r w:rsidRPr="00EF37E9">
              <w:rPr>
                <w:b/>
              </w:rPr>
              <w:t>apital</w:t>
            </w:r>
            <w:r>
              <w:rPr>
                <w:b/>
              </w:rPr>
              <w:t xml:space="preserve"> for the Group</w:t>
            </w:r>
            <w:r w:rsidRPr="00EF37E9">
              <w:rPr>
                <w:b/>
              </w:rPr>
              <w:t xml:space="preserve"> </w:t>
            </w:r>
            <w:r w:rsidRPr="002F04E0">
              <w:rPr>
                <w:b/>
                <w:vertAlign w:val="superscript"/>
              </w:rPr>
              <w:t>(</w:t>
            </w:r>
            <w:r>
              <w:rPr>
                <w:b/>
                <w:vertAlign w:val="superscript"/>
              </w:rPr>
              <w:t>B</w:t>
            </w:r>
            <w:r w:rsidRPr="002F04E0">
              <w:rPr>
                <w:b/>
                <w:vertAlign w:val="superscript"/>
              </w:rPr>
              <w:t>)</w:t>
            </w:r>
          </w:p>
        </w:tc>
        <w:tc>
          <w:tcPr>
            <w:tcW w:w="1417" w:type="dxa"/>
            <w:tcBorders>
              <w:top w:val="single" w:sz="2" w:space="0" w:color="auto"/>
              <w:left w:val="nil"/>
              <w:bottom w:val="single" w:sz="2" w:space="0" w:color="auto"/>
              <w:right w:val="nil"/>
            </w:tcBorders>
            <w:vAlign w:val="center"/>
          </w:tcPr>
          <w:p w14:paraId="796E5DFF" w14:textId="1C158E4C" w:rsidR="009E3D18" w:rsidRPr="00FC568F" w:rsidRDefault="00E31E27">
            <w:pPr>
              <w:pStyle w:val="T2"/>
              <w:jc w:val="right"/>
              <w:rPr>
                <w:b/>
                <w:bCs/>
              </w:rPr>
            </w:pPr>
            <w:r>
              <w:rPr>
                <w:rFonts w:ascii="Calibri" w:hAnsi="Calibri" w:cs="Calibri"/>
                <w:b/>
              </w:rPr>
              <w:t>72</w:t>
            </w:r>
            <w:r w:rsidR="00403C56">
              <w:rPr>
                <w:rFonts w:ascii="Calibri" w:hAnsi="Calibri" w:cs="Calibri"/>
                <w:b/>
              </w:rPr>
              <w:t>1.4</w:t>
            </w:r>
          </w:p>
        </w:tc>
        <w:tc>
          <w:tcPr>
            <w:tcW w:w="1276" w:type="dxa"/>
            <w:tcBorders>
              <w:top w:val="single" w:sz="2" w:space="0" w:color="auto"/>
              <w:left w:val="nil"/>
              <w:bottom w:val="single" w:sz="2" w:space="0" w:color="auto"/>
              <w:right w:val="nil"/>
            </w:tcBorders>
            <w:vAlign w:val="center"/>
          </w:tcPr>
          <w:p w14:paraId="1A18E7F1" w14:textId="61059D5A" w:rsidR="009E3D18" w:rsidRPr="009E3D18" w:rsidRDefault="009E3D18">
            <w:pPr>
              <w:pStyle w:val="T2"/>
              <w:jc w:val="right"/>
              <w:rPr>
                <w:bCs/>
              </w:rPr>
            </w:pPr>
            <w:r w:rsidRPr="009E3D18">
              <w:rPr>
                <w:rFonts w:ascii="Calibri" w:hAnsi="Calibri" w:cs="Calibri"/>
                <w:bCs/>
              </w:rPr>
              <w:t>765.6</w:t>
            </w:r>
          </w:p>
        </w:tc>
      </w:tr>
      <w:tr w:rsidR="009E3D18" w14:paraId="261A33C4" w14:textId="77777777" w:rsidTr="001952EF">
        <w:tc>
          <w:tcPr>
            <w:tcW w:w="7088" w:type="dxa"/>
            <w:tcBorders>
              <w:top w:val="single" w:sz="2" w:space="0" w:color="auto"/>
              <w:left w:val="nil"/>
              <w:bottom w:val="single" w:sz="2" w:space="0" w:color="auto"/>
              <w:right w:val="nil"/>
            </w:tcBorders>
            <w:vAlign w:val="center"/>
          </w:tcPr>
          <w:p w14:paraId="7302348F" w14:textId="77777777" w:rsidR="009E3D18" w:rsidRPr="00EF37E9" w:rsidRDefault="009E3D18">
            <w:pPr>
              <w:pStyle w:val="T2"/>
              <w:jc w:val="left"/>
              <w:rPr>
                <w:b/>
              </w:rPr>
            </w:pPr>
          </w:p>
        </w:tc>
        <w:tc>
          <w:tcPr>
            <w:tcW w:w="1417" w:type="dxa"/>
            <w:tcBorders>
              <w:top w:val="single" w:sz="2" w:space="0" w:color="auto"/>
              <w:left w:val="nil"/>
              <w:bottom w:val="single" w:sz="2" w:space="0" w:color="auto"/>
              <w:right w:val="nil"/>
            </w:tcBorders>
            <w:vAlign w:val="center"/>
          </w:tcPr>
          <w:p w14:paraId="36A7421E" w14:textId="77777777" w:rsidR="009E3D18" w:rsidRPr="00FC568F" w:rsidRDefault="009E3D18">
            <w:pPr>
              <w:pStyle w:val="T2"/>
              <w:jc w:val="right"/>
              <w:rPr>
                <w:b/>
                <w:bCs/>
              </w:rPr>
            </w:pPr>
          </w:p>
        </w:tc>
        <w:tc>
          <w:tcPr>
            <w:tcW w:w="1276" w:type="dxa"/>
            <w:tcBorders>
              <w:top w:val="single" w:sz="2" w:space="0" w:color="auto"/>
              <w:left w:val="nil"/>
              <w:bottom w:val="single" w:sz="2" w:space="0" w:color="auto"/>
              <w:right w:val="nil"/>
            </w:tcBorders>
            <w:vAlign w:val="center"/>
          </w:tcPr>
          <w:p w14:paraId="49A04F97" w14:textId="77777777" w:rsidR="009E3D18" w:rsidRPr="009E3D18" w:rsidRDefault="009E3D18">
            <w:pPr>
              <w:pStyle w:val="T2"/>
              <w:jc w:val="right"/>
              <w:rPr>
                <w:bCs/>
              </w:rPr>
            </w:pPr>
          </w:p>
        </w:tc>
      </w:tr>
      <w:tr w:rsidR="009E3D18" w14:paraId="1C3A5FE9" w14:textId="77777777" w:rsidTr="001952EF">
        <w:tc>
          <w:tcPr>
            <w:tcW w:w="7088" w:type="dxa"/>
            <w:tcBorders>
              <w:top w:val="single" w:sz="2" w:space="0" w:color="auto"/>
              <w:left w:val="nil"/>
              <w:bottom w:val="single" w:sz="2" w:space="0" w:color="auto"/>
              <w:right w:val="nil"/>
            </w:tcBorders>
            <w:vAlign w:val="center"/>
          </w:tcPr>
          <w:p w14:paraId="5640ACDC" w14:textId="77777777" w:rsidR="009E3D18" w:rsidRPr="00EF37E9" w:rsidRDefault="009E3D18">
            <w:pPr>
              <w:pStyle w:val="T2"/>
              <w:jc w:val="left"/>
              <w:rPr>
                <w:b/>
              </w:rPr>
            </w:pPr>
            <w:r w:rsidRPr="00EF37E9">
              <w:rPr>
                <w:b/>
              </w:rPr>
              <w:t xml:space="preserve">Average </w:t>
            </w:r>
            <w:r>
              <w:rPr>
                <w:b/>
              </w:rPr>
              <w:t>I</w:t>
            </w:r>
            <w:r w:rsidRPr="00EF37E9">
              <w:rPr>
                <w:b/>
              </w:rPr>
              <w:t xml:space="preserve">nvested </w:t>
            </w:r>
            <w:r>
              <w:rPr>
                <w:b/>
              </w:rPr>
              <w:t>C</w:t>
            </w:r>
            <w:r w:rsidRPr="00EF37E9">
              <w:rPr>
                <w:b/>
              </w:rPr>
              <w:t xml:space="preserve">apital for ROIC calculation </w:t>
            </w:r>
            <w:r>
              <w:rPr>
                <w:b/>
              </w:rPr>
              <w:t>for the Group</w:t>
            </w:r>
          </w:p>
        </w:tc>
        <w:tc>
          <w:tcPr>
            <w:tcW w:w="1417" w:type="dxa"/>
            <w:tcBorders>
              <w:top w:val="single" w:sz="2" w:space="0" w:color="auto"/>
              <w:left w:val="nil"/>
              <w:bottom w:val="single" w:sz="2" w:space="0" w:color="auto"/>
              <w:right w:val="nil"/>
            </w:tcBorders>
            <w:vAlign w:val="center"/>
          </w:tcPr>
          <w:p w14:paraId="0A3458C7" w14:textId="14E92295" w:rsidR="009E3D18" w:rsidRPr="00FC568F" w:rsidRDefault="003B0DF4">
            <w:pPr>
              <w:pStyle w:val="T2"/>
              <w:jc w:val="right"/>
              <w:rPr>
                <w:b/>
                <w:bCs/>
              </w:rPr>
            </w:pPr>
            <w:r>
              <w:rPr>
                <w:b/>
                <w:bCs/>
              </w:rPr>
              <w:t>74</w:t>
            </w:r>
            <w:r w:rsidR="00403C56">
              <w:rPr>
                <w:b/>
                <w:bCs/>
              </w:rPr>
              <w:t>3.5</w:t>
            </w:r>
          </w:p>
        </w:tc>
        <w:tc>
          <w:tcPr>
            <w:tcW w:w="1276" w:type="dxa"/>
            <w:tcBorders>
              <w:top w:val="single" w:sz="2" w:space="0" w:color="auto"/>
              <w:left w:val="nil"/>
              <w:bottom w:val="single" w:sz="2" w:space="0" w:color="auto"/>
              <w:right w:val="nil"/>
            </w:tcBorders>
            <w:vAlign w:val="center"/>
          </w:tcPr>
          <w:p w14:paraId="153E9081" w14:textId="531DED0D" w:rsidR="009E3D18" w:rsidRPr="009E3D18" w:rsidRDefault="009E3D18">
            <w:pPr>
              <w:pStyle w:val="T2"/>
              <w:jc w:val="right"/>
              <w:rPr>
                <w:bCs/>
              </w:rPr>
            </w:pPr>
            <w:r w:rsidRPr="009E3D18">
              <w:rPr>
                <w:rFonts w:ascii="Calibri" w:hAnsi="Calibri" w:cs="Calibri"/>
                <w:bCs/>
              </w:rPr>
              <w:t>758.6</w:t>
            </w:r>
          </w:p>
        </w:tc>
      </w:tr>
      <w:tr w:rsidR="009E3D18" w14:paraId="215666FF" w14:textId="77777777" w:rsidTr="001952EF">
        <w:tc>
          <w:tcPr>
            <w:tcW w:w="7088" w:type="dxa"/>
            <w:tcBorders>
              <w:top w:val="single" w:sz="2" w:space="0" w:color="auto"/>
              <w:left w:val="nil"/>
              <w:bottom w:val="single" w:sz="2" w:space="0" w:color="auto"/>
              <w:right w:val="nil"/>
            </w:tcBorders>
            <w:vAlign w:val="center"/>
          </w:tcPr>
          <w:p w14:paraId="067E2638" w14:textId="77777777" w:rsidR="009E3D18" w:rsidRPr="00EF37E9" w:rsidRDefault="009E3D18">
            <w:pPr>
              <w:pStyle w:val="T2"/>
              <w:jc w:val="left"/>
              <w:rPr>
                <w:b/>
              </w:rPr>
            </w:pPr>
          </w:p>
        </w:tc>
        <w:tc>
          <w:tcPr>
            <w:tcW w:w="1417" w:type="dxa"/>
            <w:tcBorders>
              <w:top w:val="single" w:sz="2" w:space="0" w:color="auto"/>
              <w:left w:val="nil"/>
              <w:bottom w:val="single" w:sz="2" w:space="0" w:color="auto"/>
              <w:right w:val="nil"/>
            </w:tcBorders>
            <w:vAlign w:val="center"/>
          </w:tcPr>
          <w:p w14:paraId="308CEB24" w14:textId="77777777" w:rsidR="009E3D18" w:rsidRPr="00FC568F" w:rsidRDefault="009E3D18">
            <w:pPr>
              <w:pStyle w:val="T2"/>
              <w:jc w:val="right"/>
              <w:rPr>
                <w:b/>
                <w:bCs/>
              </w:rPr>
            </w:pPr>
          </w:p>
        </w:tc>
        <w:tc>
          <w:tcPr>
            <w:tcW w:w="1276" w:type="dxa"/>
            <w:tcBorders>
              <w:top w:val="single" w:sz="2" w:space="0" w:color="auto"/>
              <w:left w:val="nil"/>
              <w:bottom w:val="single" w:sz="2" w:space="0" w:color="auto"/>
              <w:right w:val="nil"/>
            </w:tcBorders>
            <w:vAlign w:val="center"/>
          </w:tcPr>
          <w:p w14:paraId="292591C8" w14:textId="77777777" w:rsidR="009E3D18" w:rsidRPr="009E3D18" w:rsidRDefault="009E3D18">
            <w:pPr>
              <w:pStyle w:val="T2"/>
              <w:jc w:val="right"/>
              <w:rPr>
                <w:bCs/>
              </w:rPr>
            </w:pPr>
          </w:p>
        </w:tc>
      </w:tr>
      <w:tr w:rsidR="009E3D18" w14:paraId="452B64B8" w14:textId="77777777" w:rsidTr="001952EF">
        <w:tc>
          <w:tcPr>
            <w:tcW w:w="7088" w:type="dxa"/>
            <w:tcBorders>
              <w:top w:val="single" w:sz="2" w:space="0" w:color="auto"/>
              <w:left w:val="nil"/>
              <w:bottom w:val="single" w:sz="2" w:space="0" w:color="auto"/>
              <w:right w:val="nil"/>
            </w:tcBorders>
            <w:vAlign w:val="center"/>
          </w:tcPr>
          <w:p w14:paraId="0ABA071A" w14:textId="07978D75" w:rsidR="00115137" w:rsidRPr="00EF37E9" w:rsidRDefault="009E3D18">
            <w:pPr>
              <w:pStyle w:val="T2"/>
              <w:jc w:val="left"/>
              <w:rPr>
                <w:b/>
              </w:rPr>
            </w:pPr>
            <w:r w:rsidRPr="00EF37E9">
              <w:rPr>
                <w:b/>
              </w:rPr>
              <w:t xml:space="preserve">ROIC (%) </w:t>
            </w:r>
            <w:r>
              <w:rPr>
                <w:b/>
              </w:rPr>
              <w:t>for the Group</w:t>
            </w:r>
            <w:r w:rsidR="00115137">
              <w:rPr>
                <w:b/>
              </w:rPr>
              <w:t xml:space="preserve"> </w:t>
            </w:r>
            <w:r w:rsidR="00105D03" w:rsidRPr="00CA1AE6">
              <w:rPr>
                <w:b/>
                <w:vertAlign w:val="superscript"/>
              </w:rPr>
              <w:t>(</w:t>
            </w:r>
            <w:r w:rsidR="00105D03">
              <w:rPr>
                <w:b/>
                <w:vertAlign w:val="superscript"/>
              </w:rPr>
              <w:t>C</w:t>
            </w:r>
            <w:r w:rsidR="00105D03" w:rsidRPr="00CA1AE6">
              <w:rPr>
                <w:b/>
                <w:vertAlign w:val="superscript"/>
              </w:rPr>
              <w:t>)</w:t>
            </w:r>
          </w:p>
        </w:tc>
        <w:tc>
          <w:tcPr>
            <w:tcW w:w="1417" w:type="dxa"/>
            <w:tcBorders>
              <w:top w:val="single" w:sz="2" w:space="0" w:color="auto"/>
              <w:left w:val="nil"/>
              <w:bottom w:val="single" w:sz="2" w:space="0" w:color="auto"/>
              <w:right w:val="nil"/>
            </w:tcBorders>
            <w:vAlign w:val="center"/>
          </w:tcPr>
          <w:p w14:paraId="1DAF2858" w14:textId="672F71AE" w:rsidR="009E3D18" w:rsidRPr="00FC568F" w:rsidRDefault="003B0DF4">
            <w:pPr>
              <w:pStyle w:val="T2"/>
              <w:jc w:val="right"/>
              <w:rPr>
                <w:b/>
                <w:bCs/>
              </w:rPr>
            </w:pPr>
            <w:r>
              <w:rPr>
                <w:b/>
                <w:bCs/>
              </w:rPr>
              <w:t>6.3%</w:t>
            </w:r>
          </w:p>
        </w:tc>
        <w:tc>
          <w:tcPr>
            <w:tcW w:w="1276" w:type="dxa"/>
            <w:tcBorders>
              <w:top w:val="single" w:sz="2" w:space="0" w:color="auto"/>
              <w:left w:val="nil"/>
              <w:bottom w:val="single" w:sz="2" w:space="0" w:color="auto"/>
              <w:right w:val="nil"/>
            </w:tcBorders>
            <w:vAlign w:val="center"/>
          </w:tcPr>
          <w:p w14:paraId="63AB7EC6" w14:textId="50706968" w:rsidR="009E3D18" w:rsidRPr="009E3D18" w:rsidRDefault="009E3D18">
            <w:pPr>
              <w:pStyle w:val="T2"/>
              <w:jc w:val="right"/>
              <w:rPr>
                <w:bCs/>
              </w:rPr>
            </w:pPr>
            <w:r w:rsidRPr="009E3D18">
              <w:rPr>
                <w:bCs/>
              </w:rPr>
              <w:t>(0.6%)</w:t>
            </w:r>
          </w:p>
        </w:tc>
      </w:tr>
    </w:tbl>
    <w:p w14:paraId="2CC3CB2D" w14:textId="231465DF" w:rsidR="00773F7B" w:rsidRPr="00FC568F" w:rsidRDefault="00773F7B" w:rsidP="006B25B9">
      <w:pPr>
        <w:pStyle w:val="ListParagraph"/>
        <w:numPr>
          <w:ilvl w:val="0"/>
          <w:numId w:val="24"/>
        </w:numPr>
        <w:spacing w:before="160" w:after="0" w:line="240" w:lineRule="auto"/>
        <w:rPr>
          <w:sz w:val="15"/>
          <w:szCs w:val="15"/>
        </w:rPr>
      </w:pPr>
      <w:r w:rsidRPr="00FC568F">
        <w:rPr>
          <w:sz w:val="15"/>
          <w:szCs w:val="15"/>
        </w:rPr>
        <w:t xml:space="preserve">The effective tax rates for the financial period ended </w:t>
      </w:r>
      <w:r w:rsidR="008A4891">
        <w:rPr>
          <w:sz w:val="15"/>
          <w:szCs w:val="15"/>
        </w:rPr>
        <w:t>25 March 2022</w:t>
      </w:r>
      <w:r w:rsidR="008A6BDE">
        <w:rPr>
          <w:sz w:val="15"/>
          <w:szCs w:val="15"/>
        </w:rPr>
        <w:t xml:space="preserve"> and 2</w:t>
      </w:r>
      <w:r w:rsidR="009E3D18">
        <w:rPr>
          <w:sz w:val="15"/>
          <w:szCs w:val="15"/>
        </w:rPr>
        <w:t>4</w:t>
      </w:r>
      <w:r>
        <w:rPr>
          <w:sz w:val="15"/>
          <w:szCs w:val="15"/>
        </w:rPr>
        <w:t xml:space="preserve"> September </w:t>
      </w:r>
      <w:r w:rsidRPr="00646771">
        <w:rPr>
          <w:sz w:val="15"/>
          <w:szCs w:val="15"/>
        </w:rPr>
        <w:t>20</w:t>
      </w:r>
      <w:r w:rsidR="008A6BDE">
        <w:rPr>
          <w:sz w:val="15"/>
          <w:szCs w:val="15"/>
        </w:rPr>
        <w:t>2</w:t>
      </w:r>
      <w:r w:rsidR="009E3D18">
        <w:rPr>
          <w:sz w:val="15"/>
          <w:szCs w:val="15"/>
        </w:rPr>
        <w:t>1</w:t>
      </w:r>
      <w:r w:rsidRPr="00646771">
        <w:rPr>
          <w:sz w:val="15"/>
          <w:szCs w:val="15"/>
        </w:rPr>
        <w:t xml:space="preserve">, </w:t>
      </w:r>
      <w:r w:rsidRPr="00D046B4">
        <w:rPr>
          <w:sz w:val="15"/>
          <w:szCs w:val="15"/>
        </w:rPr>
        <w:t>were 1</w:t>
      </w:r>
      <w:r w:rsidR="003B0DF4" w:rsidRPr="00D046B4">
        <w:rPr>
          <w:sz w:val="15"/>
          <w:szCs w:val="15"/>
        </w:rPr>
        <w:t>9</w:t>
      </w:r>
      <w:r w:rsidR="00592BB5" w:rsidRPr="00D046B4">
        <w:rPr>
          <w:sz w:val="15"/>
          <w:szCs w:val="15"/>
        </w:rPr>
        <w:t>% and</w:t>
      </w:r>
      <w:r w:rsidR="00592BB5" w:rsidRPr="00646771">
        <w:rPr>
          <w:sz w:val="15"/>
          <w:szCs w:val="15"/>
        </w:rPr>
        <w:t xml:space="preserve"> 1</w:t>
      </w:r>
      <w:r w:rsidR="009E3D18">
        <w:rPr>
          <w:sz w:val="15"/>
          <w:szCs w:val="15"/>
        </w:rPr>
        <w:t>5</w:t>
      </w:r>
      <w:r w:rsidRPr="00646771">
        <w:rPr>
          <w:sz w:val="15"/>
          <w:szCs w:val="15"/>
        </w:rPr>
        <w:t>%</w:t>
      </w:r>
      <w:r w:rsidRPr="00FC568F">
        <w:rPr>
          <w:sz w:val="15"/>
          <w:szCs w:val="15"/>
        </w:rPr>
        <w:t xml:space="preserve"> respectively</w:t>
      </w:r>
    </w:p>
    <w:p w14:paraId="6E563923" w14:textId="58F32CDB" w:rsidR="00773F7B" w:rsidRDefault="00773F7B" w:rsidP="006B25B9">
      <w:pPr>
        <w:pStyle w:val="ListParagraph"/>
        <w:numPr>
          <w:ilvl w:val="0"/>
          <w:numId w:val="24"/>
        </w:numPr>
        <w:spacing w:before="160" w:after="0" w:line="240" w:lineRule="auto"/>
        <w:rPr>
          <w:sz w:val="15"/>
          <w:szCs w:val="15"/>
        </w:rPr>
      </w:pPr>
      <w:r w:rsidRPr="00FC568F">
        <w:rPr>
          <w:sz w:val="15"/>
          <w:szCs w:val="15"/>
        </w:rPr>
        <w:t>The invested capital for the Group in March 20</w:t>
      </w:r>
      <w:r w:rsidR="009E3D18">
        <w:rPr>
          <w:sz w:val="15"/>
          <w:szCs w:val="15"/>
        </w:rPr>
        <w:t>20</w:t>
      </w:r>
      <w:r w:rsidRPr="00FC568F">
        <w:rPr>
          <w:sz w:val="15"/>
          <w:szCs w:val="15"/>
        </w:rPr>
        <w:t xml:space="preserve"> was £</w:t>
      </w:r>
      <w:r w:rsidR="001371EF">
        <w:rPr>
          <w:sz w:val="15"/>
          <w:szCs w:val="15"/>
        </w:rPr>
        <w:t>751.6</w:t>
      </w:r>
      <w:r w:rsidRPr="00FC568F">
        <w:rPr>
          <w:sz w:val="15"/>
          <w:szCs w:val="15"/>
        </w:rPr>
        <w:t xml:space="preserve">m </w:t>
      </w:r>
    </w:p>
    <w:p w14:paraId="040CA035" w14:textId="1C027615" w:rsidR="00115137" w:rsidRPr="00FC568F" w:rsidRDefault="00115137" w:rsidP="006B25B9">
      <w:pPr>
        <w:pStyle w:val="ListParagraph"/>
        <w:numPr>
          <w:ilvl w:val="0"/>
          <w:numId w:val="24"/>
        </w:numPr>
        <w:spacing w:before="160" w:after="0" w:line="240" w:lineRule="auto"/>
        <w:rPr>
          <w:sz w:val="15"/>
          <w:szCs w:val="15"/>
        </w:rPr>
      </w:pPr>
      <w:r>
        <w:rPr>
          <w:sz w:val="15"/>
          <w:szCs w:val="15"/>
        </w:rPr>
        <w:t>ROIC at 24 September 2021 was 4.5%</w:t>
      </w:r>
    </w:p>
    <w:p w14:paraId="4592052A" w14:textId="77777777" w:rsidR="002E0E9E" w:rsidRDefault="002E0E9E" w:rsidP="00773F7B">
      <w:pPr>
        <w:spacing w:after="0"/>
        <w:jc w:val="both"/>
        <w:rPr>
          <w:rFonts w:cs="Arial"/>
          <w:i/>
          <w:sz w:val="18"/>
          <w:szCs w:val="18"/>
        </w:rPr>
      </w:pPr>
    </w:p>
    <w:p w14:paraId="44C2FA90" w14:textId="6F167317" w:rsidR="007D7CEB" w:rsidRPr="001B258F" w:rsidRDefault="007D7CEB" w:rsidP="007D7CEB">
      <w:pPr>
        <w:pStyle w:val="Heading2"/>
      </w:pPr>
      <w:r w:rsidRPr="002E0E9E">
        <w:t xml:space="preserve">APPENDIX: </w:t>
      </w:r>
      <w:r>
        <w:t>PRINCIPAL RISKS AND UNCERTAINTIES</w:t>
      </w:r>
    </w:p>
    <w:p w14:paraId="24136EE8" w14:textId="77777777" w:rsidR="007D7CEB" w:rsidRDefault="007D7CEB" w:rsidP="00773F7B">
      <w:pPr>
        <w:spacing w:after="0"/>
        <w:jc w:val="both"/>
        <w:rPr>
          <w:rFonts w:cs="Arial"/>
          <w:i/>
          <w:sz w:val="18"/>
          <w:szCs w:val="18"/>
        </w:rPr>
      </w:pPr>
    </w:p>
    <w:p w14:paraId="2C95643B" w14:textId="77777777" w:rsidR="00A61205" w:rsidRPr="00F55D04" w:rsidRDefault="00A61205" w:rsidP="00A61205">
      <w:pPr>
        <w:spacing w:after="0"/>
        <w:jc w:val="both"/>
        <w:rPr>
          <w:rFonts w:cs="Arial"/>
          <w:sz w:val="18"/>
          <w:szCs w:val="18"/>
        </w:rPr>
      </w:pPr>
      <w:r w:rsidRPr="00F55D04">
        <w:rPr>
          <w:rFonts w:cs="Arial"/>
          <w:sz w:val="18"/>
          <w:szCs w:val="18"/>
        </w:rPr>
        <w:t xml:space="preserve">The principal risks and uncertainties faced by the Group are reported annually within the Annual Report and Financial Statements and are summarised below. Continuing consideration of Brexit </w:t>
      </w:r>
      <w:r>
        <w:rPr>
          <w:rFonts w:cs="Arial"/>
          <w:sz w:val="18"/>
          <w:szCs w:val="18"/>
        </w:rPr>
        <w:t xml:space="preserve">and COVID </w:t>
      </w:r>
      <w:r w:rsidRPr="00F55D04">
        <w:rPr>
          <w:rFonts w:cs="Arial"/>
          <w:sz w:val="18"/>
          <w:szCs w:val="18"/>
        </w:rPr>
        <w:t>risks has been incorporated into the Group’s principal risks as appropriate.</w:t>
      </w:r>
    </w:p>
    <w:p w14:paraId="7A32EBDE" w14:textId="77777777" w:rsidR="00A61205" w:rsidRPr="00F55D04" w:rsidRDefault="00A61205" w:rsidP="00A61205">
      <w:pPr>
        <w:spacing w:after="0"/>
        <w:jc w:val="both"/>
        <w:rPr>
          <w:rFonts w:cs="Arial"/>
          <w:sz w:val="18"/>
          <w:szCs w:val="18"/>
        </w:rPr>
      </w:pPr>
    </w:p>
    <w:p w14:paraId="0E8FABF2" w14:textId="77777777" w:rsidR="00A61205" w:rsidRPr="00F55D04" w:rsidRDefault="00A61205" w:rsidP="00A61205">
      <w:pPr>
        <w:spacing w:after="0"/>
        <w:jc w:val="both"/>
        <w:rPr>
          <w:rFonts w:cs="Arial"/>
          <w:sz w:val="18"/>
          <w:szCs w:val="18"/>
        </w:rPr>
      </w:pPr>
      <w:r w:rsidRPr="00800568">
        <w:rPr>
          <w:rFonts w:cs="Arial"/>
          <w:sz w:val="18"/>
          <w:szCs w:val="18"/>
        </w:rPr>
        <w:t xml:space="preserve">The war in the Ukraine is having an impact on principal risks and uncertainties. In particular by increasing pressure in some operational areas, for example impact on the supply of raw material, Ukraine supplies approximately 40% of wheat globally and 80% of sunflower oil. The war is also </w:t>
      </w:r>
      <w:r>
        <w:rPr>
          <w:rFonts w:cs="Arial"/>
          <w:sz w:val="18"/>
          <w:szCs w:val="18"/>
        </w:rPr>
        <w:t xml:space="preserve">increasing </w:t>
      </w:r>
      <w:r w:rsidRPr="00800568">
        <w:rPr>
          <w:rFonts w:cs="Arial"/>
          <w:sz w:val="18"/>
          <w:szCs w:val="18"/>
        </w:rPr>
        <w:t>the cost of raw materials further compounding the Inflationary risk currently being managed by the company.</w:t>
      </w:r>
      <w:r>
        <w:rPr>
          <w:rFonts w:cs="Arial"/>
          <w:sz w:val="18"/>
          <w:szCs w:val="18"/>
        </w:rPr>
        <w:t xml:space="preserve"> The Group have updated the principal risks and uncertainties below to take account of the economic environment with a summary by risk area provided below. </w:t>
      </w:r>
    </w:p>
    <w:p w14:paraId="38C425FA" w14:textId="77777777" w:rsidR="00A61205" w:rsidRPr="00F55D04" w:rsidRDefault="00A61205" w:rsidP="00A61205">
      <w:pPr>
        <w:spacing w:after="0"/>
        <w:jc w:val="both"/>
        <w:rPr>
          <w:rFonts w:cs="Arial"/>
          <w:sz w:val="18"/>
          <w:szCs w:val="18"/>
        </w:rPr>
      </w:pPr>
    </w:p>
    <w:p w14:paraId="57F1B119" w14:textId="77777777" w:rsidR="00A61205" w:rsidRPr="00F55D04" w:rsidRDefault="00A61205" w:rsidP="00A61205">
      <w:pPr>
        <w:spacing w:after="0"/>
        <w:jc w:val="both"/>
        <w:rPr>
          <w:rFonts w:cs="Arial"/>
          <w:b/>
          <w:sz w:val="18"/>
          <w:szCs w:val="18"/>
        </w:rPr>
      </w:pPr>
      <w:r w:rsidRPr="00F55D04">
        <w:rPr>
          <w:rFonts w:cs="Arial"/>
          <w:b/>
          <w:sz w:val="18"/>
          <w:szCs w:val="18"/>
        </w:rPr>
        <w:t xml:space="preserve">Strategic </w:t>
      </w:r>
    </w:p>
    <w:p w14:paraId="6E23FEA5" w14:textId="77777777" w:rsidR="00A61205" w:rsidRPr="00F55D04" w:rsidRDefault="00A61205" w:rsidP="00A61205">
      <w:pPr>
        <w:spacing w:after="0"/>
        <w:jc w:val="both"/>
        <w:rPr>
          <w:rFonts w:cs="Arial"/>
          <w:sz w:val="18"/>
          <w:szCs w:val="18"/>
        </w:rPr>
      </w:pPr>
      <w:r w:rsidRPr="00F55D04">
        <w:rPr>
          <w:rFonts w:cs="Arial"/>
          <w:i/>
          <w:sz w:val="18"/>
          <w:szCs w:val="18"/>
        </w:rPr>
        <w:t>Competitor activity:</w:t>
      </w:r>
      <w:r w:rsidRPr="00F55D04">
        <w:rPr>
          <w:rFonts w:cs="Arial"/>
          <w:sz w:val="18"/>
          <w:szCs w:val="18"/>
        </w:rPr>
        <w:t xml:space="preserve"> The Group operates in highly competitive markets. Significant product innovations, technical advances and/or the intensification of price competition by competitors, </w:t>
      </w:r>
      <w:r w:rsidRPr="00E15CE2">
        <w:rPr>
          <w:rFonts w:cs="Arial"/>
          <w:sz w:val="18"/>
          <w:szCs w:val="18"/>
        </w:rPr>
        <w:t>both direct manufacturing competitors and</w:t>
      </w:r>
      <w:r w:rsidRPr="00F55D04">
        <w:rPr>
          <w:rFonts w:cs="Arial"/>
          <w:sz w:val="18"/>
          <w:szCs w:val="18"/>
        </w:rPr>
        <w:t xml:space="preserve"> competitors of our customers, could adversely affect the Group’s results.</w:t>
      </w:r>
    </w:p>
    <w:p w14:paraId="75ECF5BA" w14:textId="77777777" w:rsidR="00A61205" w:rsidRPr="009F7E13" w:rsidRDefault="00A61205" w:rsidP="00A61205">
      <w:pPr>
        <w:pStyle w:val="NormalWeb"/>
        <w:spacing w:after="0"/>
        <w:jc w:val="both"/>
        <w:rPr>
          <w:rFonts w:asciiTheme="minorHAnsi" w:eastAsiaTheme="minorHAnsi" w:hAnsiTheme="minorHAnsi" w:cs="Arial"/>
          <w:sz w:val="18"/>
          <w:szCs w:val="18"/>
          <w:lang w:eastAsia="en-US"/>
        </w:rPr>
      </w:pPr>
      <w:r w:rsidRPr="00A53038">
        <w:rPr>
          <w:rFonts w:asciiTheme="minorHAnsi" w:eastAsiaTheme="minorHAnsi" w:hAnsiTheme="minorHAnsi" w:cs="Arial"/>
          <w:i/>
          <w:sz w:val="18"/>
          <w:szCs w:val="18"/>
          <w:lang w:eastAsia="en-US"/>
        </w:rPr>
        <w:t>Growth and change:</w:t>
      </w:r>
      <w:r w:rsidRPr="00F55D04">
        <w:rPr>
          <w:rFonts w:cs="Arial"/>
          <w:sz w:val="18"/>
          <w:szCs w:val="18"/>
        </w:rPr>
        <w:t xml:space="preserve"> </w:t>
      </w:r>
      <w:r w:rsidRPr="009F7E13">
        <w:rPr>
          <w:rFonts w:asciiTheme="minorHAnsi" w:eastAsiaTheme="minorHAnsi" w:hAnsiTheme="minorHAnsi" w:cs="Arial"/>
          <w:sz w:val="18"/>
          <w:szCs w:val="18"/>
          <w:lang w:eastAsia="en-US"/>
        </w:rPr>
        <w:t>The Group is pursuing a strategy of growth and expansion in the UK. Delivery of this strategy will necessitate material investment of organisational resource and capital, to deliver both organic growth projects and M&amp;A. Major organic growth projects typically involve significant time investment from key individuals across the business to scope, plan, negotiate and execute new business. They may also involve material capital investment in capacity or capability. These investments are typically made on the basis of projected future projections of performance, which are by their nature, uncertain. Likewise, they are based on projected rather than actual capital investment costings. Similarly, corporate development by its nature involves a level of uncertainty, as the business case for an acquisition is typically based on projected future performance of the target business, as well as projected commercial, operational and other synergies, which carry some uncertainty until fully delivered under Greencore’s ownership.</w:t>
      </w:r>
    </w:p>
    <w:p w14:paraId="1E9BCF18" w14:textId="77777777" w:rsidR="00A61205" w:rsidRPr="00F55D04" w:rsidRDefault="00A61205" w:rsidP="00A61205">
      <w:pPr>
        <w:spacing w:after="0"/>
        <w:jc w:val="both"/>
        <w:rPr>
          <w:rFonts w:cs="Arial"/>
          <w:b/>
          <w:sz w:val="18"/>
          <w:szCs w:val="18"/>
        </w:rPr>
      </w:pPr>
      <w:r w:rsidRPr="00F55D04">
        <w:rPr>
          <w:rFonts w:cs="Arial"/>
          <w:b/>
          <w:sz w:val="18"/>
          <w:szCs w:val="18"/>
        </w:rPr>
        <w:t xml:space="preserve">Commercial </w:t>
      </w:r>
    </w:p>
    <w:p w14:paraId="5A647C32" w14:textId="77777777" w:rsidR="00A61205" w:rsidRPr="00F55D04" w:rsidRDefault="00A61205" w:rsidP="00A61205">
      <w:pPr>
        <w:spacing w:after="0"/>
        <w:jc w:val="both"/>
        <w:rPr>
          <w:rFonts w:cs="Arial"/>
          <w:sz w:val="18"/>
          <w:szCs w:val="18"/>
        </w:rPr>
      </w:pPr>
      <w:r w:rsidRPr="00F55D04">
        <w:rPr>
          <w:rFonts w:cs="Arial"/>
          <w:i/>
          <w:sz w:val="18"/>
          <w:szCs w:val="18"/>
        </w:rPr>
        <w:t>Changes in consumer behaviour and demand:</w:t>
      </w:r>
      <w:r w:rsidRPr="00F55D04">
        <w:rPr>
          <w:rFonts w:cs="Arial"/>
          <w:sz w:val="18"/>
          <w:szCs w:val="18"/>
        </w:rPr>
        <w:t xml:space="preserve"> </w:t>
      </w:r>
      <w:r w:rsidRPr="00E7332C">
        <w:rPr>
          <w:rFonts w:cs="Arial"/>
          <w:sz w:val="18"/>
          <w:szCs w:val="18"/>
        </w:rPr>
        <w:t>In common with other food manufacturers, changes in food consumption patterns may impact the Group. These changes may relate to consumer attitudes to health and more recently ethics and sustainability. Demand for a number of the Group’s products can also be adversely affected by fluctuations in the economy.</w:t>
      </w:r>
      <w:r>
        <w:rPr>
          <w:rFonts w:cs="Arial"/>
          <w:sz w:val="18"/>
          <w:szCs w:val="18"/>
        </w:rPr>
        <w:t xml:space="preserve"> This risk has been heightened by the impact of inflation and the UK economy, more recently associated with the war in the Ukraine.</w:t>
      </w:r>
      <w:r w:rsidRPr="00E7332C">
        <w:rPr>
          <w:rFonts w:cs="Arial"/>
          <w:sz w:val="18"/>
          <w:szCs w:val="18"/>
        </w:rPr>
        <w:t xml:space="preserve"> </w:t>
      </w:r>
    </w:p>
    <w:p w14:paraId="5BFD7802" w14:textId="77777777" w:rsidR="00A61205" w:rsidRDefault="00A61205" w:rsidP="00A61205">
      <w:pPr>
        <w:spacing w:after="0"/>
        <w:jc w:val="both"/>
        <w:rPr>
          <w:rFonts w:cs="Arial"/>
          <w:i/>
          <w:sz w:val="18"/>
          <w:szCs w:val="18"/>
        </w:rPr>
      </w:pPr>
    </w:p>
    <w:p w14:paraId="25F1C982" w14:textId="77905236" w:rsidR="00A61205" w:rsidRPr="00F55D04" w:rsidRDefault="00A61205" w:rsidP="00A61205">
      <w:pPr>
        <w:spacing w:after="0"/>
        <w:jc w:val="both"/>
        <w:rPr>
          <w:rFonts w:cs="Arial"/>
          <w:sz w:val="18"/>
          <w:szCs w:val="18"/>
        </w:rPr>
      </w:pPr>
      <w:r w:rsidRPr="00F55D04">
        <w:rPr>
          <w:rFonts w:cs="Arial"/>
          <w:i/>
          <w:sz w:val="18"/>
          <w:szCs w:val="18"/>
        </w:rPr>
        <w:t>Key customer relationships and grocery industry structure:</w:t>
      </w:r>
      <w:r w:rsidRPr="00F55D04">
        <w:rPr>
          <w:rFonts w:cs="Arial"/>
          <w:sz w:val="18"/>
          <w:szCs w:val="18"/>
        </w:rPr>
        <w:t xml:space="preserve"> </w:t>
      </w:r>
      <w:r w:rsidRPr="00E7332C">
        <w:rPr>
          <w:rFonts w:cs="Arial"/>
          <w:sz w:val="18"/>
          <w:szCs w:val="18"/>
        </w:rPr>
        <w:t>The Group benefits from close commercial relationships with a number of key customers. The loss of any of these key customers, or tightening of commercial terms, or brand or reputational damage associated with such supply could result in a material impact on the Group’s results. The Group is also exposed to poor performance and execution by the customers in the categories it supplies. There is a further risk that our key customers may seek to dilute their own risk, by moving to a multi-supplier base.</w:t>
      </w:r>
      <w:r w:rsidRPr="00E15CE2">
        <w:rPr>
          <w:sz w:val="18"/>
          <w:szCs w:val="18"/>
        </w:rPr>
        <w:t xml:space="preserve"> </w:t>
      </w:r>
    </w:p>
    <w:p w14:paraId="47CC3F77" w14:textId="77777777" w:rsidR="00A61205" w:rsidRPr="00F55D04" w:rsidRDefault="00A61205" w:rsidP="00A61205">
      <w:pPr>
        <w:spacing w:after="0"/>
        <w:jc w:val="both"/>
        <w:rPr>
          <w:rFonts w:cs="Arial"/>
          <w:sz w:val="18"/>
          <w:szCs w:val="18"/>
        </w:rPr>
      </w:pPr>
    </w:p>
    <w:p w14:paraId="01AB9DC3" w14:textId="77777777" w:rsidR="00A61205" w:rsidRPr="00F55D04" w:rsidRDefault="00A61205" w:rsidP="00A61205">
      <w:pPr>
        <w:spacing w:after="0"/>
        <w:jc w:val="both"/>
        <w:rPr>
          <w:rFonts w:cs="Arial"/>
          <w:sz w:val="18"/>
          <w:szCs w:val="18"/>
        </w:rPr>
      </w:pPr>
      <w:r w:rsidRPr="00F55D04">
        <w:rPr>
          <w:rFonts w:cs="Arial"/>
          <w:i/>
          <w:sz w:val="18"/>
          <w:szCs w:val="18"/>
        </w:rPr>
        <w:t>Raw material and input cost inflation:</w:t>
      </w:r>
      <w:r w:rsidRPr="00F55D04">
        <w:rPr>
          <w:rFonts w:cs="Arial"/>
          <w:sz w:val="18"/>
          <w:szCs w:val="18"/>
        </w:rPr>
        <w:t xml:space="preserve"> </w:t>
      </w:r>
      <w:r w:rsidRPr="00E7332C">
        <w:rPr>
          <w:rFonts w:cs="Arial"/>
          <w:sz w:val="18"/>
          <w:szCs w:val="18"/>
        </w:rPr>
        <w:t>The Group’s cost base and margin can be affected by fluctuating raw material and energy prices and changes in cost and price profile. The Group may also be impacted by the loss of a key supplier. The Group relies on a concentrated number of key suppliers. A loss of, or interruption of supply from a key supplier could cause short-term disruption to the operational ability of the Group and adversely affect its results.</w:t>
      </w:r>
      <w:r>
        <w:rPr>
          <w:rFonts w:cs="Arial"/>
          <w:sz w:val="18"/>
          <w:szCs w:val="18"/>
        </w:rPr>
        <w:t xml:space="preserve"> The current economic environment has seen inflation in the UK rise at unprecedented levels, while the Group is working to mitigate the impact of inflation by maintaining a strong commercial focus on purchasing, process and cost improvement, there is a risk that the Group may not be able to fully mitigate this risk.</w:t>
      </w:r>
    </w:p>
    <w:p w14:paraId="2FCFFA0A" w14:textId="77777777" w:rsidR="00A61205" w:rsidRPr="00F55D04" w:rsidRDefault="00A61205" w:rsidP="00A61205">
      <w:pPr>
        <w:spacing w:after="0"/>
        <w:jc w:val="both"/>
        <w:rPr>
          <w:rFonts w:cs="Arial"/>
          <w:sz w:val="18"/>
          <w:szCs w:val="18"/>
        </w:rPr>
      </w:pPr>
    </w:p>
    <w:p w14:paraId="58B80DF4" w14:textId="77777777" w:rsidR="00A61205" w:rsidRPr="00F55D04" w:rsidRDefault="00A61205" w:rsidP="00A61205">
      <w:pPr>
        <w:spacing w:after="0"/>
        <w:jc w:val="both"/>
        <w:rPr>
          <w:rFonts w:cs="Arial"/>
          <w:b/>
          <w:sz w:val="18"/>
          <w:szCs w:val="18"/>
        </w:rPr>
      </w:pPr>
      <w:r w:rsidRPr="00F55D04">
        <w:rPr>
          <w:rFonts w:cs="Arial"/>
          <w:b/>
          <w:sz w:val="18"/>
          <w:szCs w:val="18"/>
        </w:rPr>
        <w:t xml:space="preserve">Operational </w:t>
      </w:r>
    </w:p>
    <w:p w14:paraId="27FC1C97" w14:textId="77777777" w:rsidR="00A61205" w:rsidRPr="00F55D04" w:rsidRDefault="00A61205" w:rsidP="00A61205">
      <w:pPr>
        <w:spacing w:after="0"/>
        <w:jc w:val="both"/>
        <w:rPr>
          <w:rFonts w:cs="Arial"/>
          <w:sz w:val="18"/>
          <w:szCs w:val="18"/>
        </w:rPr>
      </w:pPr>
      <w:r w:rsidRPr="00F55D04">
        <w:rPr>
          <w:rFonts w:cs="Arial"/>
          <w:i/>
          <w:sz w:val="18"/>
          <w:szCs w:val="18"/>
        </w:rPr>
        <w:t xml:space="preserve">Food industry and environmental regulations: </w:t>
      </w:r>
      <w:r w:rsidRPr="00F55D04">
        <w:rPr>
          <w:rFonts w:cs="Arial"/>
          <w:sz w:val="18"/>
          <w:szCs w:val="18"/>
        </w:rPr>
        <w:t>As a producer of convenience food and ingredients, Greencore is subject to rigorous and constantly evolving laws and regulations, particularly in the areas of food safety and environmental protection. Failure to comply with such regulations may lead to serious financial, reputational and/or legal risk.</w:t>
      </w:r>
    </w:p>
    <w:p w14:paraId="0DE18342" w14:textId="77777777" w:rsidR="00A61205" w:rsidRPr="00F55D04" w:rsidRDefault="00A61205" w:rsidP="00A61205">
      <w:pPr>
        <w:spacing w:after="0"/>
        <w:jc w:val="both"/>
        <w:rPr>
          <w:rFonts w:cs="Arial"/>
          <w:i/>
          <w:sz w:val="18"/>
          <w:szCs w:val="18"/>
        </w:rPr>
      </w:pPr>
    </w:p>
    <w:p w14:paraId="1F752982" w14:textId="3A4BE1F4" w:rsidR="00A61205" w:rsidRPr="00F55D04" w:rsidRDefault="00A61205" w:rsidP="00A61205">
      <w:pPr>
        <w:spacing w:after="0"/>
        <w:jc w:val="both"/>
        <w:rPr>
          <w:rFonts w:cs="Arial"/>
          <w:sz w:val="18"/>
          <w:szCs w:val="18"/>
        </w:rPr>
      </w:pPr>
      <w:r w:rsidRPr="00F55D04">
        <w:rPr>
          <w:rFonts w:cs="Arial"/>
          <w:i/>
          <w:sz w:val="18"/>
          <w:szCs w:val="18"/>
        </w:rPr>
        <w:lastRenderedPageBreak/>
        <w:t>Product contamination:</w:t>
      </w:r>
      <w:r w:rsidRPr="00F55D04">
        <w:rPr>
          <w:rFonts w:cs="Arial"/>
          <w:sz w:val="18"/>
          <w:szCs w:val="18"/>
        </w:rPr>
        <w:t xml:space="preserve"> The Group produces a large volume of food annually and there are risks of product contamination </w:t>
      </w:r>
      <w:r w:rsidR="000014BB">
        <w:rPr>
          <w:rFonts w:cs="Arial"/>
          <w:sz w:val="18"/>
          <w:szCs w:val="18"/>
        </w:rPr>
        <w:t xml:space="preserve">at a Greencore manufacturing facility or one of our approved suppliers, </w:t>
      </w:r>
      <w:r w:rsidRPr="00F55D04">
        <w:rPr>
          <w:rFonts w:cs="Arial"/>
          <w:sz w:val="18"/>
          <w:szCs w:val="18"/>
        </w:rPr>
        <w:t>through either accidental or deliberate means. This may lead to</w:t>
      </w:r>
      <w:r w:rsidR="000014BB">
        <w:rPr>
          <w:rFonts w:cs="Arial"/>
          <w:sz w:val="18"/>
          <w:szCs w:val="18"/>
        </w:rPr>
        <w:t xml:space="preserve"> the potential harm to consumers and result in</w:t>
      </w:r>
      <w:r w:rsidRPr="00F55D04">
        <w:rPr>
          <w:rFonts w:cs="Arial"/>
          <w:sz w:val="18"/>
          <w:szCs w:val="18"/>
        </w:rPr>
        <w:t xml:space="preserve"> products being withdrawn</w:t>
      </w:r>
      <w:r w:rsidR="000014BB">
        <w:rPr>
          <w:rFonts w:cs="Arial"/>
          <w:sz w:val="18"/>
          <w:szCs w:val="18"/>
        </w:rPr>
        <w:t xml:space="preserve"> or</w:t>
      </w:r>
      <w:r>
        <w:rPr>
          <w:rFonts w:cs="Arial"/>
          <w:sz w:val="18"/>
          <w:szCs w:val="18"/>
        </w:rPr>
        <w:t xml:space="preserve"> </w:t>
      </w:r>
      <w:r w:rsidRPr="00F55D04">
        <w:rPr>
          <w:rFonts w:cs="Arial"/>
          <w:sz w:val="18"/>
          <w:szCs w:val="18"/>
        </w:rPr>
        <w:t>recalled</w:t>
      </w:r>
      <w:r w:rsidR="000014BB">
        <w:rPr>
          <w:rFonts w:cs="Arial"/>
          <w:sz w:val="18"/>
          <w:szCs w:val="18"/>
        </w:rPr>
        <w:t>.</w:t>
      </w:r>
      <w:r w:rsidRPr="00F55D04">
        <w:rPr>
          <w:rFonts w:cs="Arial"/>
          <w:sz w:val="18"/>
          <w:szCs w:val="18"/>
        </w:rPr>
        <w:t xml:space="preserve"> As well as being a significant draw on resources, product contamination could result in a financial, reputational and/or legal impact on the Group.  </w:t>
      </w:r>
    </w:p>
    <w:p w14:paraId="56F660CF" w14:textId="77777777" w:rsidR="00A53038" w:rsidRDefault="00A53038" w:rsidP="00A53038">
      <w:pPr>
        <w:spacing w:after="0"/>
        <w:jc w:val="both"/>
        <w:rPr>
          <w:rFonts w:cs="Arial"/>
          <w:i/>
          <w:sz w:val="18"/>
          <w:szCs w:val="18"/>
        </w:rPr>
      </w:pPr>
    </w:p>
    <w:p w14:paraId="58E0FBAE" w14:textId="116BFABE" w:rsidR="00A61205" w:rsidRPr="00F55D04" w:rsidRDefault="00A53038" w:rsidP="00A61205">
      <w:pPr>
        <w:spacing w:after="0"/>
        <w:jc w:val="both"/>
        <w:rPr>
          <w:rFonts w:cs="Arial"/>
          <w:sz w:val="18"/>
          <w:szCs w:val="18"/>
        </w:rPr>
      </w:pPr>
      <w:r w:rsidRPr="00F55D04">
        <w:rPr>
          <w:rFonts w:cs="Arial"/>
          <w:i/>
          <w:sz w:val="18"/>
          <w:szCs w:val="18"/>
        </w:rPr>
        <w:t>IT systems and cyber risk:</w:t>
      </w:r>
      <w:r w:rsidRPr="00F55D04">
        <w:rPr>
          <w:rFonts w:cs="Arial"/>
          <w:sz w:val="18"/>
          <w:szCs w:val="18"/>
        </w:rPr>
        <w:t xml:space="preserve"> </w:t>
      </w:r>
      <w:r w:rsidR="00A61205" w:rsidRPr="00E7332C">
        <w:rPr>
          <w:rFonts w:cs="Arial"/>
          <w:sz w:val="18"/>
          <w:szCs w:val="18"/>
        </w:rPr>
        <w:t>The Group relies heavily on information technology and requires continuous investment in systems to support our business. In common with most large organisations, the Group carries risk related to cyber-events threatening the availability or integrity of our systems and the data which they hold.</w:t>
      </w:r>
      <w:r w:rsidR="00A61205">
        <w:rPr>
          <w:rFonts w:cs="Arial"/>
          <w:sz w:val="18"/>
          <w:szCs w:val="18"/>
        </w:rPr>
        <w:t xml:space="preserve"> </w:t>
      </w:r>
      <w:r w:rsidR="00A61205" w:rsidRPr="00E7332C">
        <w:rPr>
          <w:rFonts w:cs="Arial"/>
          <w:sz w:val="18"/>
          <w:szCs w:val="18"/>
        </w:rPr>
        <w:t>Losses caused by accidental or malicious actions, including those resulting from a cyber security attack, could result in a significant impact on the Group.</w:t>
      </w:r>
      <w:r w:rsidR="000014BB">
        <w:rPr>
          <w:rFonts w:cs="Arial"/>
          <w:sz w:val="18"/>
          <w:szCs w:val="18"/>
        </w:rPr>
        <w:t xml:space="preserve"> </w:t>
      </w:r>
      <w:r w:rsidR="00A61205" w:rsidRPr="004F1E1B">
        <w:rPr>
          <w:rFonts w:cs="Arial"/>
          <w:sz w:val="18"/>
          <w:szCs w:val="18"/>
        </w:rPr>
        <w:t>The Group has already seen this risk materialise in the form of a recent cyber</w:t>
      </w:r>
      <w:r w:rsidR="00A61205">
        <w:rPr>
          <w:rFonts w:cs="Arial"/>
          <w:sz w:val="18"/>
          <w:szCs w:val="18"/>
        </w:rPr>
        <w:t xml:space="preserve"> incident</w:t>
      </w:r>
      <w:r w:rsidR="00A61205" w:rsidRPr="004F1E1B">
        <w:rPr>
          <w:rFonts w:cs="Arial"/>
          <w:sz w:val="18"/>
          <w:szCs w:val="18"/>
        </w:rPr>
        <w:t xml:space="preserve">. </w:t>
      </w:r>
      <w:r w:rsidR="00A61205">
        <w:rPr>
          <w:rFonts w:cs="Arial"/>
          <w:sz w:val="18"/>
          <w:szCs w:val="18"/>
        </w:rPr>
        <w:t>The</w:t>
      </w:r>
      <w:r w:rsidR="00A61205" w:rsidRPr="004F1E1B">
        <w:rPr>
          <w:rFonts w:cs="Arial"/>
          <w:sz w:val="18"/>
          <w:szCs w:val="18"/>
        </w:rPr>
        <w:t xml:space="preserve"> Group responded </w:t>
      </w:r>
      <w:r w:rsidR="00A61205">
        <w:rPr>
          <w:rFonts w:cs="Arial"/>
          <w:sz w:val="18"/>
          <w:szCs w:val="18"/>
        </w:rPr>
        <w:t>proactively</w:t>
      </w:r>
      <w:r w:rsidR="00A61205" w:rsidRPr="004F1E1B">
        <w:rPr>
          <w:rFonts w:cs="Arial"/>
          <w:sz w:val="18"/>
          <w:szCs w:val="18"/>
        </w:rPr>
        <w:t xml:space="preserve"> follow</w:t>
      </w:r>
      <w:r w:rsidR="00A61205">
        <w:rPr>
          <w:rFonts w:cs="Arial"/>
          <w:sz w:val="18"/>
          <w:szCs w:val="18"/>
        </w:rPr>
        <w:t xml:space="preserve">ing </w:t>
      </w:r>
      <w:r w:rsidR="00A61205" w:rsidRPr="004F1E1B">
        <w:rPr>
          <w:rFonts w:cs="Arial"/>
          <w:sz w:val="18"/>
          <w:szCs w:val="18"/>
        </w:rPr>
        <w:t>a robust governance process for restoring IT systems and applications used by the business in a secure manner in line with the Group Recovery Policy.  The risk of a further cyber</w:t>
      </w:r>
      <w:r w:rsidR="00A61205">
        <w:rPr>
          <w:rFonts w:cs="Arial"/>
          <w:sz w:val="18"/>
          <w:szCs w:val="18"/>
        </w:rPr>
        <w:t xml:space="preserve"> incident</w:t>
      </w:r>
      <w:r w:rsidR="00A61205" w:rsidRPr="004F1E1B">
        <w:rPr>
          <w:rFonts w:cs="Arial"/>
          <w:sz w:val="18"/>
          <w:szCs w:val="18"/>
        </w:rPr>
        <w:t xml:space="preserve"> remains and is being further heightened by the Russian-Ukraine war, as it is believed that those member states seeking sanctions against Russia are felt to be at greater risk of attack either directly or indirectly. Management are continuing to take further action and remediation to mitigate this increased risk.</w:t>
      </w:r>
    </w:p>
    <w:p w14:paraId="4A242989" w14:textId="77777777" w:rsidR="00A61205" w:rsidRPr="00F55D04" w:rsidRDefault="00A61205" w:rsidP="00A61205">
      <w:pPr>
        <w:spacing w:after="0"/>
        <w:jc w:val="both"/>
        <w:rPr>
          <w:rFonts w:cs="Arial"/>
          <w:sz w:val="18"/>
          <w:szCs w:val="18"/>
        </w:rPr>
      </w:pPr>
    </w:p>
    <w:p w14:paraId="685A591D" w14:textId="77777777" w:rsidR="00A61205" w:rsidRPr="00F55D04" w:rsidRDefault="00A61205" w:rsidP="00A61205">
      <w:pPr>
        <w:spacing w:after="0"/>
        <w:jc w:val="both"/>
        <w:rPr>
          <w:rFonts w:cs="Arial"/>
          <w:b/>
          <w:sz w:val="18"/>
          <w:szCs w:val="18"/>
        </w:rPr>
      </w:pPr>
      <w:r w:rsidRPr="00F55D04">
        <w:rPr>
          <w:rFonts w:cs="Arial"/>
          <w:b/>
          <w:sz w:val="18"/>
          <w:szCs w:val="18"/>
        </w:rPr>
        <w:t>People</w:t>
      </w:r>
    </w:p>
    <w:p w14:paraId="6D19A066" w14:textId="77777777" w:rsidR="00A61205" w:rsidRPr="00F55D04" w:rsidRDefault="00A61205" w:rsidP="00A61205">
      <w:pPr>
        <w:spacing w:after="0"/>
        <w:jc w:val="both"/>
        <w:rPr>
          <w:rFonts w:cs="Arial"/>
          <w:sz w:val="18"/>
          <w:szCs w:val="18"/>
        </w:rPr>
      </w:pPr>
      <w:r w:rsidRPr="00F55D04">
        <w:rPr>
          <w:rFonts w:cs="Arial"/>
          <w:i/>
          <w:sz w:val="18"/>
          <w:szCs w:val="18"/>
        </w:rPr>
        <w:t>Health and safety:</w:t>
      </w:r>
      <w:r w:rsidRPr="00F55D04">
        <w:rPr>
          <w:rFonts w:cs="Arial"/>
          <w:sz w:val="18"/>
          <w:szCs w:val="18"/>
        </w:rPr>
        <w:t xml:space="preserve"> </w:t>
      </w:r>
      <w:r w:rsidRPr="0020617A">
        <w:rPr>
          <w:rFonts w:cs="Arial"/>
          <w:sz w:val="18"/>
          <w:szCs w:val="18"/>
        </w:rPr>
        <w:t>In addition to the obvious human cost, a serious workplace injury or fatality could inevitably carry serious financial, reputational and</w:t>
      </w:r>
      <w:r>
        <w:rPr>
          <w:rFonts w:cs="Arial"/>
          <w:sz w:val="18"/>
          <w:szCs w:val="18"/>
        </w:rPr>
        <w:t>/or</w:t>
      </w:r>
      <w:r w:rsidRPr="0020617A">
        <w:rPr>
          <w:rFonts w:cs="Arial"/>
          <w:sz w:val="18"/>
          <w:szCs w:val="18"/>
        </w:rPr>
        <w:t xml:space="preserve"> legal risk.</w:t>
      </w:r>
    </w:p>
    <w:p w14:paraId="0B2B545B" w14:textId="77777777" w:rsidR="00A61205" w:rsidRPr="00F55D04" w:rsidRDefault="00A61205" w:rsidP="00A61205">
      <w:pPr>
        <w:spacing w:after="0"/>
        <w:jc w:val="both"/>
        <w:rPr>
          <w:rFonts w:cs="Arial"/>
          <w:sz w:val="18"/>
          <w:szCs w:val="18"/>
        </w:rPr>
      </w:pPr>
    </w:p>
    <w:p w14:paraId="184FDEBC" w14:textId="77777777" w:rsidR="00A61205" w:rsidRPr="00721452" w:rsidRDefault="00A61205" w:rsidP="00A61205">
      <w:pPr>
        <w:spacing w:after="0"/>
        <w:jc w:val="both"/>
        <w:rPr>
          <w:rFonts w:cs="Arial"/>
          <w:iCs/>
          <w:sz w:val="18"/>
          <w:szCs w:val="18"/>
        </w:rPr>
      </w:pPr>
      <w:r w:rsidRPr="00280056">
        <w:rPr>
          <w:rFonts w:cs="Arial"/>
          <w:i/>
          <w:sz w:val="18"/>
          <w:szCs w:val="18"/>
        </w:rPr>
        <w:t xml:space="preserve">Labour </w:t>
      </w:r>
      <w:r>
        <w:rPr>
          <w:rFonts w:cs="Arial"/>
          <w:i/>
          <w:sz w:val="18"/>
          <w:szCs w:val="18"/>
        </w:rPr>
        <w:t>recruitment and</w:t>
      </w:r>
      <w:r w:rsidRPr="00280056">
        <w:rPr>
          <w:rFonts w:cs="Arial"/>
          <w:i/>
          <w:sz w:val="18"/>
          <w:szCs w:val="18"/>
        </w:rPr>
        <w:t xml:space="preserve"> retention of key personnel</w:t>
      </w:r>
      <w:r>
        <w:rPr>
          <w:rFonts w:cs="Arial"/>
          <w:i/>
          <w:sz w:val="18"/>
          <w:szCs w:val="18"/>
        </w:rPr>
        <w:t>:</w:t>
      </w:r>
      <w:r w:rsidRPr="00280056">
        <w:rPr>
          <w:rFonts w:cs="Arial"/>
          <w:i/>
          <w:sz w:val="18"/>
          <w:szCs w:val="18"/>
        </w:rPr>
        <w:t xml:space="preserve">  </w:t>
      </w:r>
      <w:r w:rsidRPr="00721452">
        <w:rPr>
          <w:rFonts w:cs="Arial"/>
          <w:iCs/>
          <w:sz w:val="18"/>
          <w:szCs w:val="18"/>
        </w:rPr>
        <w:t>The ongoing success of the Group is dependent on attracting and retaining high quality senior management who can effectively implement the Group’s strategy</w:t>
      </w:r>
      <w:r>
        <w:rPr>
          <w:rFonts w:cs="Arial"/>
          <w:iCs/>
          <w:sz w:val="18"/>
          <w:szCs w:val="18"/>
        </w:rPr>
        <w:t xml:space="preserve"> which includes the implementation of the group wide transformation and reorganisation programme, “Better Greencore” to increase operational efficiencies and reduce organisational complexity. </w:t>
      </w:r>
    </w:p>
    <w:p w14:paraId="4B208433" w14:textId="77777777" w:rsidR="00A61205" w:rsidRPr="00721452" w:rsidRDefault="00A61205" w:rsidP="00A61205">
      <w:pPr>
        <w:spacing w:after="0"/>
        <w:jc w:val="both"/>
        <w:rPr>
          <w:rFonts w:cs="Arial"/>
          <w:iCs/>
          <w:sz w:val="18"/>
          <w:szCs w:val="18"/>
        </w:rPr>
      </w:pPr>
    </w:p>
    <w:p w14:paraId="397C7151" w14:textId="4B70E6EA" w:rsidR="00A61205" w:rsidRPr="00721452" w:rsidRDefault="00A61205" w:rsidP="00A61205">
      <w:pPr>
        <w:spacing w:after="0"/>
        <w:jc w:val="both"/>
        <w:rPr>
          <w:rFonts w:cs="Arial"/>
          <w:iCs/>
          <w:sz w:val="18"/>
          <w:szCs w:val="18"/>
        </w:rPr>
      </w:pPr>
      <w:r w:rsidRPr="00721452">
        <w:rPr>
          <w:rFonts w:cs="Arial"/>
          <w:i/>
          <w:sz w:val="18"/>
          <w:szCs w:val="18"/>
        </w:rPr>
        <w:t>Labour cost, availability and compliance with employment legislation:</w:t>
      </w:r>
      <w:r>
        <w:rPr>
          <w:rFonts w:cs="Arial"/>
          <w:iCs/>
          <w:sz w:val="18"/>
          <w:szCs w:val="18"/>
        </w:rPr>
        <w:t xml:space="preserve"> </w:t>
      </w:r>
      <w:r w:rsidRPr="00721452">
        <w:rPr>
          <w:rFonts w:cs="Arial"/>
          <w:iCs/>
          <w:sz w:val="18"/>
          <w:szCs w:val="18"/>
        </w:rPr>
        <w:t>Due to political, economic and legislative uncertainty and change, labour cost and availability</w:t>
      </w:r>
      <w:r w:rsidR="001A08D0">
        <w:rPr>
          <w:rFonts w:cs="Arial"/>
          <w:iCs/>
          <w:sz w:val="18"/>
          <w:szCs w:val="18"/>
        </w:rPr>
        <w:t xml:space="preserve"> has been impacted.</w:t>
      </w:r>
      <w:r w:rsidRPr="00721452">
        <w:rPr>
          <w:rFonts w:cs="Arial"/>
          <w:iCs/>
          <w:sz w:val="18"/>
          <w:szCs w:val="18"/>
        </w:rPr>
        <w:t xml:space="preserve"> </w:t>
      </w:r>
      <w:r w:rsidR="001A08D0">
        <w:rPr>
          <w:rFonts w:cs="Arial"/>
          <w:iCs/>
          <w:sz w:val="18"/>
          <w:szCs w:val="18"/>
        </w:rPr>
        <w:t xml:space="preserve">The Group has already </w:t>
      </w:r>
      <w:r w:rsidR="00306083">
        <w:rPr>
          <w:rFonts w:cs="Arial"/>
          <w:iCs/>
          <w:sz w:val="18"/>
          <w:szCs w:val="18"/>
        </w:rPr>
        <w:t xml:space="preserve">seen this risk materialise in H1 22 and </w:t>
      </w:r>
      <w:r w:rsidR="001A08D0">
        <w:rPr>
          <w:rFonts w:cs="Arial"/>
          <w:iCs/>
          <w:sz w:val="18"/>
          <w:szCs w:val="18"/>
        </w:rPr>
        <w:t>continue to be affected by these external factors</w:t>
      </w:r>
      <w:r w:rsidRPr="00721452">
        <w:rPr>
          <w:rFonts w:cs="Arial"/>
          <w:iCs/>
          <w:sz w:val="18"/>
          <w:szCs w:val="18"/>
        </w:rPr>
        <w:t>. The Group has to also ensure it is compliant with any ethical legislation such as minimum wage legislation as well as working time directives and eligibility to work regulations in the UK. Failure to comply</w:t>
      </w:r>
      <w:r>
        <w:rPr>
          <w:rFonts w:cs="Arial"/>
          <w:iCs/>
          <w:sz w:val="18"/>
          <w:szCs w:val="18"/>
        </w:rPr>
        <w:t xml:space="preserve"> </w:t>
      </w:r>
      <w:r w:rsidRPr="00721452">
        <w:rPr>
          <w:rFonts w:cs="Arial"/>
          <w:iCs/>
          <w:sz w:val="18"/>
          <w:szCs w:val="18"/>
        </w:rPr>
        <w:t>with employment legislation could result in heavy fines as well as reputational damage.</w:t>
      </w:r>
    </w:p>
    <w:p w14:paraId="761413A1" w14:textId="77777777" w:rsidR="00A61205" w:rsidRPr="00F55D04" w:rsidRDefault="00A61205" w:rsidP="00A61205">
      <w:pPr>
        <w:spacing w:after="0"/>
        <w:jc w:val="both"/>
        <w:rPr>
          <w:rFonts w:cs="Arial"/>
          <w:sz w:val="18"/>
          <w:szCs w:val="18"/>
        </w:rPr>
      </w:pPr>
    </w:p>
    <w:p w14:paraId="7B41F435" w14:textId="77777777" w:rsidR="00A61205" w:rsidRPr="00F55D04" w:rsidRDefault="00A61205" w:rsidP="00A61205">
      <w:pPr>
        <w:spacing w:after="0"/>
        <w:jc w:val="both"/>
        <w:rPr>
          <w:rFonts w:cs="Arial"/>
          <w:b/>
          <w:sz w:val="18"/>
          <w:szCs w:val="18"/>
        </w:rPr>
      </w:pPr>
      <w:r w:rsidRPr="00F55D04">
        <w:rPr>
          <w:rFonts w:cs="Arial"/>
          <w:b/>
          <w:sz w:val="18"/>
          <w:szCs w:val="18"/>
        </w:rPr>
        <w:t xml:space="preserve">Financial </w:t>
      </w:r>
    </w:p>
    <w:p w14:paraId="2C4284AC" w14:textId="77777777" w:rsidR="00A61205" w:rsidRPr="00280056" w:rsidRDefault="00A61205" w:rsidP="00A61205">
      <w:pPr>
        <w:tabs>
          <w:tab w:val="left" w:pos="5352"/>
        </w:tabs>
        <w:spacing w:after="0"/>
        <w:jc w:val="both"/>
        <w:rPr>
          <w:rFonts w:cs="Arial"/>
          <w:sz w:val="18"/>
          <w:szCs w:val="18"/>
        </w:rPr>
      </w:pPr>
      <w:r w:rsidRPr="00280056">
        <w:rPr>
          <w:rFonts w:cs="Arial"/>
          <w:i/>
          <w:sz w:val="18"/>
          <w:szCs w:val="18"/>
        </w:rPr>
        <w:t>Interest rates, foreign exchange rates, liquidity and credit:</w:t>
      </w:r>
      <w:r w:rsidRPr="00280056">
        <w:rPr>
          <w:rFonts w:cs="Arial"/>
          <w:sz w:val="18"/>
          <w:szCs w:val="18"/>
        </w:rPr>
        <w:t xml:space="preserve"> There are inherent risks associated with fluctuations in both foreign exchange rates and interest rates. In addition, in the current economic climate, the Group’s credit rating and its related ability to obtain funding for future development and expansion are specific risks.</w:t>
      </w:r>
    </w:p>
    <w:p w14:paraId="0EE89839" w14:textId="77777777" w:rsidR="00A61205" w:rsidRPr="00280056" w:rsidRDefault="00A61205" w:rsidP="00A61205">
      <w:pPr>
        <w:tabs>
          <w:tab w:val="left" w:pos="5352"/>
        </w:tabs>
        <w:spacing w:after="0"/>
        <w:jc w:val="both"/>
        <w:rPr>
          <w:rFonts w:cs="Arial"/>
          <w:sz w:val="18"/>
          <w:szCs w:val="18"/>
        </w:rPr>
      </w:pPr>
      <w:r w:rsidRPr="00280056">
        <w:rPr>
          <w:rFonts w:cs="Arial"/>
          <w:sz w:val="18"/>
          <w:szCs w:val="18"/>
        </w:rPr>
        <w:tab/>
      </w:r>
    </w:p>
    <w:p w14:paraId="0C247F1A" w14:textId="77777777" w:rsidR="00A61205" w:rsidRPr="00280056" w:rsidRDefault="00A61205" w:rsidP="00A61205">
      <w:pPr>
        <w:widowControl w:val="0"/>
        <w:autoSpaceDE w:val="0"/>
        <w:autoSpaceDN w:val="0"/>
        <w:spacing w:after="0" w:line="240" w:lineRule="auto"/>
        <w:jc w:val="both"/>
        <w:rPr>
          <w:sz w:val="18"/>
          <w:szCs w:val="18"/>
        </w:rPr>
      </w:pPr>
      <w:r w:rsidRPr="00280056">
        <w:rPr>
          <w:rFonts w:cs="Arial"/>
          <w:i/>
          <w:sz w:val="18"/>
          <w:szCs w:val="18"/>
        </w:rPr>
        <w:t>Employee retirement obligations:</w:t>
      </w:r>
      <w:r w:rsidRPr="00280056">
        <w:rPr>
          <w:rFonts w:cs="Arial"/>
          <w:sz w:val="18"/>
          <w:szCs w:val="18"/>
        </w:rPr>
        <w:t xml:space="preserve"> The Group’s defined benefit pension schemes are exposed to the risk of changes in interest rates and the market values of investments, as well as inflation and the increasing longevity of scheme members. Volatility in worldwide equity and bond markets can impact the risk of employee retirement obligations.</w:t>
      </w:r>
      <w:r w:rsidRPr="00280056">
        <w:rPr>
          <w:sz w:val="18"/>
          <w:szCs w:val="18"/>
        </w:rPr>
        <w:t xml:space="preserve"> </w:t>
      </w:r>
    </w:p>
    <w:p w14:paraId="6F2CCB5B" w14:textId="77777777" w:rsidR="00A61205" w:rsidRPr="00280056" w:rsidRDefault="00A61205" w:rsidP="00A61205">
      <w:pPr>
        <w:widowControl w:val="0"/>
        <w:autoSpaceDE w:val="0"/>
        <w:autoSpaceDN w:val="0"/>
        <w:spacing w:after="0" w:line="240" w:lineRule="auto"/>
        <w:jc w:val="both"/>
        <w:rPr>
          <w:sz w:val="18"/>
          <w:szCs w:val="18"/>
        </w:rPr>
      </w:pPr>
    </w:p>
    <w:p w14:paraId="248243C4" w14:textId="222570FA" w:rsidR="00A61205" w:rsidRPr="00280056" w:rsidRDefault="00A61205" w:rsidP="00A61205">
      <w:pPr>
        <w:widowControl w:val="0"/>
        <w:autoSpaceDE w:val="0"/>
        <w:autoSpaceDN w:val="0"/>
        <w:spacing w:after="0" w:line="240" w:lineRule="auto"/>
        <w:jc w:val="both"/>
        <w:rPr>
          <w:sz w:val="18"/>
          <w:szCs w:val="18"/>
        </w:rPr>
      </w:pPr>
      <w:r w:rsidRPr="00280056">
        <w:rPr>
          <w:i/>
          <w:iCs/>
          <w:sz w:val="18"/>
          <w:szCs w:val="18"/>
        </w:rPr>
        <w:t>Pandemic</w:t>
      </w:r>
      <w:r w:rsidR="00D76364">
        <w:rPr>
          <w:sz w:val="18"/>
          <w:szCs w:val="18"/>
        </w:rPr>
        <w:t>:</w:t>
      </w:r>
      <w:r w:rsidRPr="00280056">
        <w:rPr>
          <w:sz w:val="18"/>
          <w:szCs w:val="18"/>
        </w:rPr>
        <w:t xml:space="preserve"> The COVID-19 pandemic has led to unprecedented challenges and issues. Whilst COVID-19 vaccines have been developed and rolled out with significant coverage in our core UK market, there remains a risk of emerging variants disrupting the effectiveness of the vaccine programme which could adversely impact Group operations. Failure to adapt to changes brought about by the impact of the COVID-19 pandemic and any future pandemics may adversely affect our competitiveness and financial results. </w:t>
      </w:r>
    </w:p>
    <w:p w14:paraId="346E8AA6" w14:textId="77777777" w:rsidR="00A61205" w:rsidRPr="00280056" w:rsidRDefault="00A61205" w:rsidP="00A61205">
      <w:pPr>
        <w:widowControl w:val="0"/>
        <w:autoSpaceDE w:val="0"/>
        <w:autoSpaceDN w:val="0"/>
        <w:spacing w:after="0" w:line="240" w:lineRule="auto"/>
        <w:jc w:val="both"/>
        <w:rPr>
          <w:sz w:val="18"/>
          <w:szCs w:val="18"/>
        </w:rPr>
      </w:pPr>
    </w:p>
    <w:p w14:paraId="0FC9D0FC" w14:textId="3DC5EA82" w:rsidR="00A61205" w:rsidRPr="00721452" w:rsidRDefault="00A61205" w:rsidP="00A61205">
      <w:pPr>
        <w:widowControl w:val="0"/>
        <w:autoSpaceDE w:val="0"/>
        <w:autoSpaceDN w:val="0"/>
        <w:spacing w:after="0" w:line="240" w:lineRule="auto"/>
        <w:jc w:val="both"/>
        <w:rPr>
          <w:sz w:val="18"/>
          <w:szCs w:val="18"/>
        </w:rPr>
      </w:pPr>
      <w:r w:rsidRPr="004B6C20">
        <w:rPr>
          <w:i/>
          <w:iCs/>
          <w:sz w:val="18"/>
          <w:szCs w:val="18"/>
        </w:rPr>
        <w:t>Environmental/ Climate risk</w:t>
      </w:r>
      <w:r w:rsidR="00D76364">
        <w:rPr>
          <w:sz w:val="18"/>
          <w:szCs w:val="18"/>
        </w:rPr>
        <w:t>:</w:t>
      </w:r>
      <w:r w:rsidRPr="00721452">
        <w:rPr>
          <w:sz w:val="18"/>
          <w:szCs w:val="18"/>
        </w:rPr>
        <w:t xml:space="preserve"> Climate change has the potential to dramatically change the world in which we live and operate. Tackling climate change, by taking measures to limit its impact to manageable levels, has become a key priority for governments, businesses and citizens around the world. Even if manageable, the effect of climate change will be quite profound. There is also a risk that the Group may fail to uphold its environmental responsibilities and commitments, which in addition to carrying a reputational impact for the Group, may also result in breaches of laws or regulations and may have a financial and/or legal impact for the Group.</w:t>
      </w:r>
    </w:p>
    <w:p w14:paraId="7CCCA113" w14:textId="77777777" w:rsidR="002222D6" w:rsidRDefault="002222D6" w:rsidP="002222D6">
      <w:pPr>
        <w:spacing w:after="0"/>
      </w:pPr>
    </w:p>
    <w:sectPr w:rsidR="002222D6" w:rsidSect="004B6C20">
      <w:headerReference w:type="default" r:id="rId9"/>
      <w:pgSz w:w="11906" w:h="16838"/>
      <w:pgMar w:top="1440" w:right="1080" w:bottom="851"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848A" w14:textId="77777777" w:rsidR="00F129ED" w:rsidRDefault="00F129ED" w:rsidP="00E34FD1">
      <w:pPr>
        <w:spacing w:after="0" w:line="240" w:lineRule="auto"/>
      </w:pPr>
      <w:r>
        <w:separator/>
      </w:r>
    </w:p>
  </w:endnote>
  <w:endnote w:type="continuationSeparator" w:id="0">
    <w:p w14:paraId="544E6C9A" w14:textId="77777777" w:rsidR="00F129ED" w:rsidRDefault="00F129ED" w:rsidP="00E3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useoSans-300">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C20B" w14:textId="77777777" w:rsidR="00F129ED" w:rsidRDefault="00F129ED" w:rsidP="00E34FD1">
      <w:pPr>
        <w:spacing w:after="0" w:line="240" w:lineRule="auto"/>
      </w:pPr>
      <w:r>
        <w:separator/>
      </w:r>
    </w:p>
  </w:footnote>
  <w:footnote w:type="continuationSeparator" w:id="0">
    <w:p w14:paraId="56A3C51A" w14:textId="77777777" w:rsidR="00F129ED" w:rsidRDefault="00F129ED" w:rsidP="00E34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5AA" w14:textId="0D56E794" w:rsidR="001072A6" w:rsidRPr="000E346C" w:rsidRDefault="001072A6" w:rsidP="000E3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C014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D651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2A7A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6523FB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52451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E68E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0054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0437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DCCD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023F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3A4045"/>
    <w:multiLevelType w:val="multilevel"/>
    <w:tmpl w:val="3E62BA5C"/>
    <w:lvl w:ilvl="0">
      <w:start w:val="4"/>
      <w:numFmt w:val="lowerLetter"/>
      <w:pStyle w:val="Style1"/>
      <w:lvlText w:val="(%1)"/>
      <w:lvlJc w:val="left"/>
      <w:pPr>
        <w:ind w:left="502" w:hanging="360"/>
      </w:pPr>
      <w:rPr>
        <w:rFonts w:ascii="Calibri" w:hAnsi="Calibri" w:hint="default"/>
        <w:b/>
        <w:i w:val="0"/>
        <w:sz w:val="18"/>
      </w:rPr>
    </w:lvl>
    <w:lvl w:ilvl="1">
      <w:start w:val="1"/>
      <w:numFmt w:val="lowerLetter"/>
      <w:lvlText w:val="%2)"/>
      <w:lvlJc w:val="left"/>
      <w:pPr>
        <w:ind w:left="-3250" w:hanging="360"/>
      </w:pPr>
      <w:rPr>
        <w:rFonts w:hint="default"/>
      </w:rPr>
    </w:lvl>
    <w:lvl w:ilvl="2">
      <w:start w:val="1"/>
      <w:numFmt w:val="lowerRoman"/>
      <w:lvlText w:val="%3)"/>
      <w:lvlJc w:val="left"/>
      <w:pPr>
        <w:ind w:left="-2890" w:hanging="360"/>
      </w:pPr>
      <w:rPr>
        <w:rFonts w:hint="default"/>
      </w:rPr>
    </w:lvl>
    <w:lvl w:ilvl="3">
      <w:start w:val="1"/>
      <w:numFmt w:val="decimal"/>
      <w:lvlText w:val="(%4)"/>
      <w:lvlJc w:val="left"/>
      <w:pPr>
        <w:ind w:left="-2530" w:hanging="360"/>
      </w:pPr>
      <w:rPr>
        <w:rFonts w:hint="default"/>
      </w:rPr>
    </w:lvl>
    <w:lvl w:ilvl="4">
      <w:start w:val="1"/>
      <w:numFmt w:val="lowerLetter"/>
      <w:lvlText w:val="(%5)"/>
      <w:lvlJc w:val="left"/>
      <w:pPr>
        <w:ind w:left="-2170" w:hanging="360"/>
      </w:pPr>
      <w:rPr>
        <w:rFonts w:hint="default"/>
      </w:rPr>
    </w:lvl>
    <w:lvl w:ilvl="5">
      <w:start w:val="1"/>
      <w:numFmt w:val="lowerRoman"/>
      <w:lvlText w:val="(%6)"/>
      <w:lvlJc w:val="left"/>
      <w:pPr>
        <w:ind w:left="-1810" w:hanging="360"/>
      </w:pPr>
      <w:rPr>
        <w:rFonts w:hint="default"/>
      </w:rPr>
    </w:lvl>
    <w:lvl w:ilvl="6">
      <w:start w:val="1"/>
      <w:numFmt w:val="decimal"/>
      <w:lvlText w:val="%7."/>
      <w:lvlJc w:val="left"/>
      <w:pPr>
        <w:ind w:left="-1450" w:hanging="360"/>
      </w:pPr>
      <w:rPr>
        <w:rFonts w:hint="default"/>
      </w:rPr>
    </w:lvl>
    <w:lvl w:ilvl="7">
      <w:start w:val="1"/>
      <w:numFmt w:val="lowerLetter"/>
      <w:lvlText w:val="%8."/>
      <w:lvlJc w:val="left"/>
      <w:pPr>
        <w:ind w:left="-1090" w:hanging="360"/>
      </w:pPr>
      <w:rPr>
        <w:rFonts w:hint="default"/>
      </w:rPr>
    </w:lvl>
    <w:lvl w:ilvl="8">
      <w:start w:val="1"/>
      <w:numFmt w:val="lowerRoman"/>
      <w:lvlText w:val="%9."/>
      <w:lvlJc w:val="left"/>
      <w:pPr>
        <w:ind w:left="-730" w:hanging="360"/>
      </w:pPr>
      <w:rPr>
        <w:rFonts w:hint="default"/>
      </w:rPr>
    </w:lvl>
  </w:abstractNum>
  <w:abstractNum w:abstractNumId="11" w15:restartNumberingAfterBreak="0">
    <w:nsid w:val="12E75F20"/>
    <w:multiLevelType w:val="hybridMultilevel"/>
    <w:tmpl w:val="52B07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81A11"/>
    <w:multiLevelType w:val="hybridMultilevel"/>
    <w:tmpl w:val="251647CE"/>
    <w:lvl w:ilvl="0" w:tplc="C7D847BA">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E95499B"/>
    <w:multiLevelType w:val="hybridMultilevel"/>
    <w:tmpl w:val="184C9528"/>
    <w:lvl w:ilvl="0" w:tplc="15E4547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F03962"/>
    <w:multiLevelType w:val="hybridMultilevel"/>
    <w:tmpl w:val="BE403434"/>
    <w:lvl w:ilvl="0" w:tplc="9E5EFA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757D23"/>
    <w:multiLevelType w:val="hybridMultilevel"/>
    <w:tmpl w:val="24A64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74D09E0"/>
    <w:multiLevelType w:val="hybridMultilevel"/>
    <w:tmpl w:val="2834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A744DA"/>
    <w:multiLevelType w:val="hybridMultilevel"/>
    <w:tmpl w:val="47DA091C"/>
    <w:lvl w:ilvl="0" w:tplc="6EBA48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920D8"/>
    <w:multiLevelType w:val="hybridMultilevel"/>
    <w:tmpl w:val="7CD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872D29"/>
    <w:multiLevelType w:val="hybridMultilevel"/>
    <w:tmpl w:val="98546B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8D204FB"/>
    <w:multiLevelType w:val="hybridMultilevel"/>
    <w:tmpl w:val="B49EA8B0"/>
    <w:lvl w:ilvl="0" w:tplc="EECA712E">
      <w:start w:val="1"/>
      <w:numFmt w:val="bullet"/>
      <w:pStyle w:val="Para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296FC2"/>
    <w:multiLevelType w:val="hybridMultilevel"/>
    <w:tmpl w:val="4AF033EE"/>
    <w:lvl w:ilvl="0" w:tplc="08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B31013"/>
    <w:multiLevelType w:val="hybridMultilevel"/>
    <w:tmpl w:val="D1902EC2"/>
    <w:lvl w:ilvl="0" w:tplc="0FD8558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3395607">
    <w:abstractNumId w:val="20"/>
  </w:num>
  <w:num w:numId="2" w16cid:durableId="1204827342">
    <w:abstractNumId w:val="10"/>
  </w:num>
  <w:num w:numId="3" w16cid:durableId="1446391431">
    <w:abstractNumId w:val="21"/>
  </w:num>
  <w:num w:numId="4" w16cid:durableId="1537741180">
    <w:abstractNumId w:val="13"/>
  </w:num>
  <w:num w:numId="5" w16cid:durableId="908345890">
    <w:abstractNumId w:val="14"/>
  </w:num>
  <w:num w:numId="6" w16cid:durableId="1143278914">
    <w:abstractNumId w:val="12"/>
  </w:num>
  <w:num w:numId="7" w16cid:durableId="1354842818">
    <w:abstractNumId w:val="17"/>
  </w:num>
  <w:num w:numId="8" w16cid:durableId="1017543582">
    <w:abstractNumId w:val="19"/>
  </w:num>
  <w:num w:numId="9" w16cid:durableId="1247110930">
    <w:abstractNumId w:val="15"/>
  </w:num>
  <w:num w:numId="10" w16cid:durableId="347949483">
    <w:abstractNumId w:val="9"/>
  </w:num>
  <w:num w:numId="11" w16cid:durableId="1685286597">
    <w:abstractNumId w:val="7"/>
  </w:num>
  <w:num w:numId="12" w16cid:durableId="110707537">
    <w:abstractNumId w:val="6"/>
  </w:num>
  <w:num w:numId="13" w16cid:durableId="1648438716">
    <w:abstractNumId w:val="5"/>
  </w:num>
  <w:num w:numId="14" w16cid:durableId="2080395604">
    <w:abstractNumId w:val="4"/>
  </w:num>
  <w:num w:numId="15" w16cid:durableId="2046247106">
    <w:abstractNumId w:val="8"/>
  </w:num>
  <w:num w:numId="16" w16cid:durableId="852186542">
    <w:abstractNumId w:val="3"/>
  </w:num>
  <w:num w:numId="17" w16cid:durableId="1704284286">
    <w:abstractNumId w:val="2"/>
  </w:num>
  <w:num w:numId="18" w16cid:durableId="927692203">
    <w:abstractNumId w:val="1"/>
  </w:num>
  <w:num w:numId="19" w16cid:durableId="1066342409">
    <w:abstractNumId w:val="0"/>
  </w:num>
  <w:num w:numId="20" w16cid:durableId="1172641505">
    <w:abstractNumId w:val="21"/>
  </w:num>
  <w:num w:numId="21" w16cid:durableId="1614361191">
    <w:abstractNumId w:val="18"/>
  </w:num>
  <w:num w:numId="22" w16cid:durableId="580600211">
    <w:abstractNumId w:val="11"/>
  </w:num>
  <w:num w:numId="23" w16cid:durableId="1747412931">
    <w:abstractNumId w:val="16"/>
  </w:num>
  <w:num w:numId="24" w16cid:durableId="1589190602">
    <w:abstractNumId w:val="22"/>
  </w:num>
  <w:num w:numId="25" w16cid:durableId="1680352852">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F2"/>
    <w:rsid w:val="000014BB"/>
    <w:rsid w:val="00003CBC"/>
    <w:rsid w:val="00003DEC"/>
    <w:rsid w:val="00004C2C"/>
    <w:rsid w:val="00004FE3"/>
    <w:rsid w:val="00005E77"/>
    <w:rsid w:val="00006931"/>
    <w:rsid w:val="00006C98"/>
    <w:rsid w:val="00010482"/>
    <w:rsid w:val="00011014"/>
    <w:rsid w:val="000117F8"/>
    <w:rsid w:val="00011ED0"/>
    <w:rsid w:val="000121FE"/>
    <w:rsid w:val="000123F9"/>
    <w:rsid w:val="00012B1C"/>
    <w:rsid w:val="000136DE"/>
    <w:rsid w:val="00014401"/>
    <w:rsid w:val="0001541B"/>
    <w:rsid w:val="00016206"/>
    <w:rsid w:val="00017D3A"/>
    <w:rsid w:val="00020208"/>
    <w:rsid w:val="00023BDE"/>
    <w:rsid w:val="000263C2"/>
    <w:rsid w:val="00026B26"/>
    <w:rsid w:val="00030C54"/>
    <w:rsid w:val="00031EAC"/>
    <w:rsid w:val="0003219E"/>
    <w:rsid w:val="000334D5"/>
    <w:rsid w:val="000339C9"/>
    <w:rsid w:val="00034F1E"/>
    <w:rsid w:val="00035262"/>
    <w:rsid w:val="000358A3"/>
    <w:rsid w:val="00035E9D"/>
    <w:rsid w:val="000366EA"/>
    <w:rsid w:val="00037D62"/>
    <w:rsid w:val="00040078"/>
    <w:rsid w:val="000403FE"/>
    <w:rsid w:val="0004196B"/>
    <w:rsid w:val="00043793"/>
    <w:rsid w:val="0004641C"/>
    <w:rsid w:val="0004743B"/>
    <w:rsid w:val="00047FF1"/>
    <w:rsid w:val="00052704"/>
    <w:rsid w:val="00052892"/>
    <w:rsid w:val="00053E70"/>
    <w:rsid w:val="000541E5"/>
    <w:rsid w:val="0005435B"/>
    <w:rsid w:val="00054F43"/>
    <w:rsid w:val="0005630C"/>
    <w:rsid w:val="000606CD"/>
    <w:rsid w:val="000620FA"/>
    <w:rsid w:val="0006455C"/>
    <w:rsid w:val="0006619B"/>
    <w:rsid w:val="00067050"/>
    <w:rsid w:val="00070835"/>
    <w:rsid w:val="000711D9"/>
    <w:rsid w:val="000716D2"/>
    <w:rsid w:val="0007190E"/>
    <w:rsid w:val="000727B8"/>
    <w:rsid w:val="00072DB2"/>
    <w:rsid w:val="00073D0F"/>
    <w:rsid w:val="00076118"/>
    <w:rsid w:val="0007680A"/>
    <w:rsid w:val="000776F9"/>
    <w:rsid w:val="00082AF5"/>
    <w:rsid w:val="00083EA3"/>
    <w:rsid w:val="00084483"/>
    <w:rsid w:val="00085EB5"/>
    <w:rsid w:val="00087D87"/>
    <w:rsid w:val="00090033"/>
    <w:rsid w:val="0009243D"/>
    <w:rsid w:val="000926C0"/>
    <w:rsid w:val="00093433"/>
    <w:rsid w:val="00093623"/>
    <w:rsid w:val="00093A1B"/>
    <w:rsid w:val="000948AD"/>
    <w:rsid w:val="00096BA2"/>
    <w:rsid w:val="00097298"/>
    <w:rsid w:val="000976C9"/>
    <w:rsid w:val="000A0ED9"/>
    <w:rsid w:val="000A0F56"/>
    <w:rsid w:val="000A12B5"/>
    <w:rsid w:val="000A27F7"/>
    <w:rsid w:val="000A2A6A"/>
    <w:rsid w:val="000A330A"/>
    <w:rsid w:val="000A3FCF"/>
    <w:rsid w:val="000A65EC"/>
    <w:rsid w:val="000B0176"/>
    <w:rsid w:val="000B01CB"/>
    <w:rsid w:val="000B274B"/>
    <w:rsid w:val="000B3D41"/>
    <w:rsid w:val="000B48DD"/>
    <w:rsid w:val="000B5E87"/>
    <w:rsid w:val="000B5EC4"/>
    <w:rsid w:val="000B739F"/>
    <w:rsid w:val="000B7D92"/>
    <w:rsid w:val="000C09E6"/>
    <w:rsid w:val="000C1EBD"/>
    <w:rsid w:val="000C2205"/>
    <w:rsid w:val="000C600F"/>
    <w:rsid w:val="000C60C3"/>
    <w:rsid w:val="000C67A4"/>
    <w:rsid w:val="000C71DE"/>
    <w:rsid w:val="000D0640"/>
    <w:rsid w:val="000D164F"/>
    <w:rsid w:val="000D19DE"/>
    <w:rsid w:val="000D1D55"/>
    <w:rsid w:val="000D1D6C"/>
    <w:rsid w:val="000D1F0F"/>
    <w:rsid w:val="000D31E8"/>
    <w:rsid w:val="000D41D5"/>
    <w:rsid w:val="000D47BB"/>
    <w:rsid w:val="000D620D"/>
    <w:rsid w:val="000D6878"/>
    <w:rsid w:val="000D7973"/>
    <w:rsid w:val="000D7A33"/>
    <w:rsid w:val="000D7AA1"/>
    <w:rsid w:val="000E0A0C"/>
    <w:rsid w:val="000E346C"/>
    <w:rsid w:val="000E4095"/>
    <w:rsid w:val="000E414C"/>
    <w:rsid w:val="000E4208"/>
    <w:rsid w:val="000E556C"/>
    <w:rsid w:val="000E6105"/>
    <w:rsid w:val="000E6B86"/>
    <w:rsid w:val="000E6CC2"/>
    <w:rsid w:val="000E7C5C"/>
    <w:rsid w:val="000F1ADC"/>
    <w:rsid w:val="000F1E1E"/>
    <w:rsid w:val="000F294E"/>
    <w:rsid w:val="000F2C42"/>
    <w:rsid w:val="000F36C7"/>
    <w:rsid w:val="000F7449"/>
    <w:rsid w:val="001000B8"/>
    <w:rsid w:val="0010152A"/>
    <w:rsid w:val="00102D3E"/>
    <w:rsid w:val="00102F12"/>
    <w:rsid w:val="00102F1F"/>
    <w:rsid w:val="001031C7"/>
    <w:rsid w:val="00104427"/>
    <w:rsid w:val="00105D03"/>
    <w:rsid w:val="00106BEC"/>
    <w:rsid w:val="001072A6"/>
    <w:rsid w:val="00107F4D"/>
    <w:rsid w:val="001122CB"/>
    <w:rsid w:val="00112C15"/>
    <w:rsid w:val="00113CA3"/>
    <w:rsid w:val="00115137"/>
    <w:rsid w:val="0011628B"/>
    <w:rsid w:val="00116A2E"/>
    <w:rsid w:val="00120DCA"/>
    <w:rsid w:val="00121CDE"/>
    <w:rsid w:val="00121E5F"/>
    <w:rsid w:val="001227ED"/>
    <w:rsid w:val="00124466"/>
    <w:rsid w:val="00126221"/>
    <w:rsid w:val="00126249"/>
    <w:rsid w:val="00127B99"/>
    <w:rsid w:val="00127F34"/>
    <w:rsid w:val="00130402"/>
    <w:rsid w:val="00130BE4"/>
    <w:rsid w:val="00131E58"/>
    <w:rsid w:val="00132415"/>
    <w:rsid w:val="00132AA0"/>
    <w:rsid w:val="0013449C"/>
    <w:rsid w:val="001355BD"/>
    <w:rsid w:val="00135CB2"/>
    <w:rsid w:val="00136746"/>
    <w:rsid w:val="001371EF"/>
    <w:rsid w:val="00140609"/>
    <w:rsid w:val="00140F36"/>
    <w:rsid w:val="00141317"/>
    <w:rsid w:val="001413EA"/>
    <w:rsid w:val="00142004"/>
    <w:rsid w:val="00142E7C"/>
    <w:rsid w:val="00143344"/>
    <w:rsid w:val="00143671"/>
    <w:rsid w:val="001438E9"/>
    <w:rsid w:val="001459D9"/>
    <w:rsid w:val="001503CD"/>
    <w:rsid w:val="001510E1"/>
    <w:rsid w:val="0015209C"/>
    <w:rsid w:val="001523A9"/>
    <w:rsid w:val="00154AB8"/>
    <w:rsid w:val="00154C8A"/>
    <w:rsid w:val="00155042"/>
    <w:rsid w:val="00157643"/>
    <w:rsid w:val="00157690"/>
    <w:rsid w:val="00160155"/>
    <w:rsid w:val="00162A5A"/>
    <w:rsid w:val="0016316D"/>
    <w:rsid w:val="001671A0"/>
    <w:rsid w:val="001674BC"/>
    <w:rsid w:val="001701A2"/>
    <w:rsid w:val="00170825"/>
    <w:rsid w:val="00171B5C"/>
    <w:rsid w:val="00172CA9"/>
    <w:rsid w:val="00172EC0"/>
    <w:rsid w:val="001731DF"/>
    <w:rsid w:val="0017335D"/>
    <w:rsid w:val="001737BC"/>
    <w:rsid w:val="00173CA5"/>
    <w:rsid w:val="00174542"/>
    <w:rsid w:val="00177885"/>
    <w:rsid w:val="00177F5C"/>
    <w:rsid w:val="00180340"/>
    <w:rsid w:val="00182C92"/>
    <w:rsid w:val="00183A74"/>
    <w:rsid w:val="00183EA2"/>
    <w:rsid w:val="00183FE9"/>
    <w:rsid w:val="00184907"/>
    <w:rsid w:val="00185246"/>
    <w:rsid w:val="001852E5"/>
    <w:rsid w:val="001861C4"/>
    <w:rsid w:val="001866CD"/>
    <w:rsid w:val="00190183"/>
    <w:rsid w:val="0019026B"/>
    <w:rsid w:val="00191402"/>
    <w:rsid w:val="001915E7"/>
    <w:rsid w:val="001917D0"/>
    <w:rsid w:val="00194C92"/>
    <w:rsid w:val="00194D33"/>
    <w:rsid w:val="001952EF"/>
    <w:rsid w:val="00196436"/>
    <w:rsid w:val="001965F0"/>
    <w:rsid w:val="0019701F"/>
    <w:rsid w:val="00197130"/>
    <w:rsid w:val="00197570"/>
    <w:rsid w:val="001A00C9"/>
    <w:rsid w:val="001A08D0"/>
    <w:rsid w:val="001A0E8A"/>
    <w:rsid w:val="001A2230"/>
    <w:rsid w:val="001A2577"/>
    <w:rsid w:val="001A36D9"/>
    <w:rsid w:val="001A3EDA"/>
    <w:rsid w:val="001A57E6"/>
    <w:rsid w:val="001A5BD4"/>
    <w:rsid w:val="001A5BEB"/>
    <w:rsid w:val="001A6B0E"/>
    <w:rsid w:val="001A6D11"/>
    <w:rsid w:val="001A7A0E"/>
    <w:rsid w:val="001B258F"/>
    <w:rsid w:val="001B331F"/>
    <w:rsid w:val="001B391B"/>
    <w:rsid w:val="001B56E6"/>
    <w:rsid w:val="001B6DB4"/>
    <w:rsid w:val="001B7302"/>
    <w:rsid w:val="001B7D59"/>
    <w:rsid w:val="001C03C2"/>
    <w:rsid w:val="001C2084"/>
    <w:rsid w:val="001C2429"/>
    <w:rsid w:val="001C296C"/>
    <w:rsid w:val="001C2FF9"/>
    <w:rsid w:val="001C3739"/>
    <w:rsid w:val="001C4EF0"/>
    <w:rsid w:val="001C4F5E"/>
    <w:rsid w:val="001C684B"/>
    <w:rsid w:val="001D0D80"/>
    <w:rsid w:val="001D0FD3"/>
    <w:rsid w:val="001D0FF8"/>
    <w:rsid w:val="001D101F"/>
    <w:rsid w:val="001D26DB"/>
    <w:rsid w:val="001D29E6"/>
    <w:rsid w:val="001D2A7F"/>
    <w:rsid w:val="001D401B"/>
    <w:rsid w:val="001D4796"/>
    <w:rsid w:val="001D4A8E"/>
    <w:rsid w:val="001D5630"/>
    <w:rsid w:val="001D58B5"/>
    <w:rsid w:val="001D5B07"/>
    <w:rsid w:val="001D697C"/>
    <w:rsid w:val="001E1407"/>
    <w:rsid w:val="001E422A"/>
    <w:rsid w:val="001E4F4B"/>
    <w:rsid w:val="001E60FF"/>
    <w:rsid w:val="001E6EF0"/>
    <w:rsid w:val="001E702B"/>
    <w:rsid w:val="001F0043"/>
    <w:rsid w:val="001F0C29"/>
    <w:rsid w:val="001F0C2A"/>
    <w:rsid w:val="001F14D1"/>
    <w:rsid w:val="001F1616"/>
    <w:rsid w:val="001F1661"/>
    <w:rsid w:val="001F3417"/>
    <w:rsid w:val="001F5FE4"/>
    <w:rsid w:val="00200233"/>
    <w:rsid w:val="00200886"/>
    <w:rsid w:val="00200BD1"/>
    <w:rsid w:val="00202019"/>
    <w:rsid w:val="00202AAA"/>
    <w:rsid w:val="002042D5"/>
    <w:rsid w:val="002047CD"/>
    <w:rsid w:val="00205633"/>
    <w:rsid w:val="00206029"/>
    <w:rsid w:val="00206E9E"/>
    <w:rsid w:val="002079A1"/>
    <w:rsid w:val="00211AA6"/>
    <w:rsid w:val="00214FC2"/>
    <w:rsid w:val="00215E7D"/>
    <w:rsid w:val="00217089"/>
    <w:rsid w:val="00217625"/>
    <w:rsid w:val="002179C4"/>
    <w:rsid w:val="00220248"/>
    <w:rsid w:val="002208BF"/>
    <w:rsid w:val="002222D6"/>
    <w:rsid w:val="00223619"/>
    <w:rsid w:val="0022364B"/>
    <w:rsid w:val="00223EB2"/>
    <w:rsid w:val="002240E2"/>
    <w:rsid w:val="00225DE1"/>
    <w:rsid w:val="00226649"/>
    <w:rsid w:val="00227064"/>
    <w:rsid w:val="002273FE"/>
    <w:rsid w:val="00227DEE"/>
    <w:rsid w:val="00231BBF"/>
    <w:rsid w:val="00231D28"/>
    <w:rsid w:val="0023255B"/>
    <w:rsid w:val="0023552D"/>
    <w:rsid w:val="00235623"/>
    <w:rsid w:val="00237B93"/>
    <w:rsid w:val="00237D17"/>
    <w:rsid w:val="0024068E"/>
    <w:rsid w:val="00243F06"/>
    <w:rsid w:val="00246A66"/>
    <w:rsid w:val="00246BF5"/>
    <w:rsid w:val="00247544"/>
    <w:rsid w:val="00250F8D"/>
    <w:rsid w:val="002515EC"/>
    <w:rsid w:val="0025418E"/>
    <w:rsid w:val="0025448A"/>
    <w:rsid w:val="00254DCD"/>
    <w:rsid w:val="002550E6"/>
    <w:rsid w:val="00256736"/>
    <w:rsid w:val="002608C0"/>
    <w:rsid w:val="0026155F"/>
    <w:rsid w:val="00261DE0"/>
    <w:rsid w:val="00261EF3"/>
    <w:rsid w:val="0026319A"/>
    <w:rsid w:val="00263969"/>
    <w:rsid w:val="002655F1"/>
    <w:rsid w:val="002663ED"/>
    <w:rsid w:val="002665FC"/>
    <w:rsid w:val="002675EF"/>
    <w:rsid w:val="00270329"/>
    <w:rsid w:val="002727B0"/>
    <w:rsid w:val="00272EFC"/>
    <w:rsid w:val="00274A8D"/>
    <w:rsid w:val="00275616"/>
    <w:rsid w:val="002768C8"/>
    <w:rsid w:val="002771C2"/>
    <w:rsid w:val="00280B8E"/>
    <w:rsid w:val="00281C4A"/>
    <w:rsid w:val="002868F4"/>
    <w:rsid w:val="0028757E"/>
    <w:rsid w:val="002902F4"/>
    <w:rsid w:val="00290E9B"/>
    <w:rsid w:val="0029274A"/>
    <w:rsid w:val="00292B26"/>
    <w:rsid w:val="00295B99"/>
    <w:rsid w:val="002974AB"/>
    <w:rsid w:val="002A01F9"/>
    <w:rsid w:val="002A062E"/>
    <w:rsid w:val="002A06AB"/>
    <w:rsid w:val="002A239E"/>
    <w:rsid w:val="002A2866"/>
    <w:rsid w:val="002A295A"/>
    <w:rsid w:val="002A2B15"/>
    <w:rsid w:val="002A3814"/>
    <w:rsid w:val="002A412D"/>
    <w:rsid w:val="002A43ED"/>
    <w:rsid w:val="002A4D88"/>
    <w:rsid w:val="002A7061"/>
    <w:rsid w:val="002A76A7"/>
    <w:rsid w:val="002B0325"/>
    <w:rsid w:val="002B2113"/>
    <w:rsid w:val="002B479B"/>
    <w:rsid w:val="002B5E29"/>
    <w:rsid w:val="002B604F"/>
    <w:rsid w:val="002B60E2"/>
    <w:rsid w:val="002B6628"/>
    <w:rsid w:val="002B7F9C"/>
    <w:rsid w:val="002C0802"/>
    <w:rsid w:val="002C1197"/>
    <w:rsid w:val="002C12FA"/>
    <w:rsid w:val="002C1778"/>
    <w:rsid w:val="002C2098"/>
    <w:rsid w:val="002C271B"/>
    <w:rsid w:val="002C3815"/>
    <w:rsid w:val="002C40EB"/>
    <w:rsid w:val="002C4242"/>
    <w:rsid w:val="002C4688"/>
    <w:rsid w:val="002C46B4"/>
    <w:rsid w:val="002C4D5C"/>
    <w:rsid w:val="002C52DF"/>
    <w:rsid w:val="002C6657"/>
    <w:rsid w:val="002D0035"/>
    <w:rsid w:val="002D1462"/>
    <w:rsid w:val="002D36EF"/>
    <w:rsid w:val="002D4204"/>
    <w:rsid w:val="002D4B4B"/>
    <w:rsid w:val="002D4F36"/>
    <w:rsid w:val="002D61FD"/>
    <w:rsid w:val="002D6B38"/>
    <w:rsid w:val="002E05C0"/>
    <w:rsid w:val="002E0E9E"/>
    <w:rsid w:val="002E1167"/>
    <w:rsid w:val="002E222C"/>
    <w:rsid w:val="002E6110"/>
    <w:rsid w:val="002E6AF4"/>
    <w:rsid w:val="002E6C29"/>
    <w:rsid w:val="002E6E4F"/>
    <w:rsid w:val="002E745E"/>
    <w:rsid w:val="002F04E0"/>
    <w:rsid w:val="002F1988"/>
    <w:rsid w:val="002F1ED7"/>
    <w:rsid w:val="002F26F2"/>
    <w:rsid w:val="002F4459"/>
    <w:rsid w:val="002F5765"/>
    <w:rsid w:val="002F58EB"/>
    <w:rsid w:val="002F65E7"/>
    <w:rsid w:val="002F685C"/>
    <w:rsid w:val="002F718C"/>
    <w:rsid w:val="002F7BDB"/>
    <w:rsid w:val="0030031A"/>
    <w:rsid w:val="003005EC"/>
    <w:rsid w:val="00304946"/>
    <w:rsid w:val="00306083"/>
    <w:rsid w:val="0030694B"/>
    <w:rsid w:val="00307236"/>
    <w:rsid w:val="00307324"/>
    <w:rsid w:val="00310394"/>
    <w:rsid w:val="00310676"/>
    <w:rsid w:val="0031140A"/>
    <w:rsid w:val="00312BC1"/>
    <w:rsid w:val="00313181"/>
    <w:rsid w:val="00313FBC"/>
    <w:rsid w:val="00314BDE"/>
    <w:rsid w:val="00314D51"/>
    <w:rsid w:val="00314EDD"/>
    <w:rsid w:val="00315730"/>
    <w:rsid w:val="0031624C"/>
    <w:rsid w:val="00316576"/>
    <w:rsid w:val="003176F7"/>
    <w:rsid w:val="00320DDF"/>
    <w:rsid w:val="00321845"/>
    <w:rsid w:val="003232EE"/>
    <w:rsid w:val="00323388"/>
    <w:rsid w:val="003235E7"/>
    <w:rsid w:val="00323878"/>
    <w:rsid w:val="00324763"/>
    <w:rsid w:val="003264D2"/>
    <w:rsid w:val="0032709D"/>
    <w:rsid w:val="00327330"/>
    <w:rsid w:val="003313E6"/>
    <w:rsid w:val="003322D5"/>
    <w:rsid w:val="00332EEE"/>
    <w:rsid w:val="003344DF"/>
    <w:rsid w:val="00336204"/>
    <w:rsid w:val="00336C7A"/>
    <w:rsid w:val="00337EED"/>
    <w:rsid w:val="00340EF0"/>
    <w:rsid w:val="00341704"/>
    <w:rsid w:val="0034221D"/>
    <w:rsid w:val="00342656"/>
    <w:rsid w:val="0034411F"/>
    <w:rsid w:val="00347483"/>
    <w:rsid w:val="003479B7"/>
    <w:rsid w:val="003505D9"/>
    <w:rsid w:val="00350C97"/>
    <w:rsid w:val="00350FE2"/>
    <w:rsid w:val="00351342"/>
    <w:rsid w:val="00353430"/>
    <w:rsid w:val="00354B16"/>
    <w:rsid w:val="003551FB"/>
    <w:rsid w:val="00355224"/>
    <w:rsid w:val="00355F6F"/>
    <w:rsid w:val="00357053"/>
    <w:rsid w:val="0035711D"/>
    <w:rsid w:val="00357431"/>
    <w:rsid w:val="00360EF5"/>
    <w:rsid w:val="00362A41"/>
    <w:rsid w:val="003646A4"/>
    <w:rsid w:val="003649CF"/>
    <w:rsid w:val="003659F4"/>
    <w:rsid w:val="00365D32"/>
    <w:rsid w:val="003669E7"/>
    <w:rsid w:val="00366B8B"/>
    <w:rsid w:val="00371831"/>
    <w:rsid w:val="003746D3"/>
    <w:rsid w:val="00374B93"/>
    <w:rsid w:val="00374CF3"/>
    <w:rsid w:val="003758BE"/>
    <w:rsid w:val="00377178"/>
    <w:rsid w:val="00377EF5"/>
    <w:rsid w:val="00380E4E"/>
    <w:rsid w:val="00381039"/>
    <w:rsid w:val="00381545"/>
    <w:rsid w:val="00381F66"/>
    <w:rsid w:val="003822F9"/>
    <w:rsid w:val="00382A45"/>
    <w:rsid w:val="003834EC"/>
    <w:rsid w:val="00383ACB"/>
    <w:rsid w:val="00383BB0"/>
    <w:rsid w:val="003841B4"/>
    <w:rsid w:val="003843AE"/>
    <w:rsid w:val="00385D35"/>
    <w:rsid w:val="00385EA9"/>
    <w:rsid w:val="00385FF5"/>
    <w:rsid w:val="003863A7"/>
    <w:rsid w:val="00386903"/>
    <w:rsid w:val="00390570"/>
    <w:rsid w:val="00392C47"/>
    <w:rsid w:val="00392EDE"/>
    <w:rsid w:val="003930BD"/>
    <w:rsid w:val="003931DF"/>
    <w:rsid w:val="0039342D"/>
    <w:rsid w:val="00396761"/>
    <w:rsid w:val="00396E39"/>
    <w:rsid w:val="0039774B"/>
    <w:rsid w:val="00397D1B"/>
    <w:rsid w:val="003A16C0"/>
    <w:rsid w:val="003A20B5"/>
    <w:rsid w:val="003A2236"/>
    <w:rsid w:val="003A2522"/>
    <w:rsid w:val="003A27DB"/>
    <w:rsid w:val="003A31F8"/>
    <w:rsid w:val="003A326D"/>
    <w:rsid w:val="003A3C71"/>
    <w:rsid w:val="003A5223"/>
    <w:rsid w:val="003A6352"/>
    <w:rsid w:val="003A6410"/>
    <w:rsid w:val="003A7D6D"/>
    <w:rsid w:val="003B0DF4"/>
    <w:rsid w:val="003B24A2"/>
    <w:rsid w:val="003B4680"/>
    <w:rsid w:val="003B4949"/>
    <w:rsid w:val="003B53C5"/>
    <w:rsid w:val="003B5811"/>
    <w:rsid w:val="003B6495"/>
    <w:rsid w:val="003B673D"/>
    <w:rsid w:val="003B6F17"/>
    <w:rsid w:val="003C07DB"/>
    <w:rsid w:val="003C0CEB"/>
    <w:rsid w:val="003C1FAA"/>
    <w:rsid w:val="003C2A38"/>
    <w:rsid w:val="003C3634"/>
    <w:rsid w:val="003C3BC8"/>
    <w:rsid w:val="003C3D03"/>
    <w:rsid w:val="003C468A"/>
    <w:rsid w:val="003C4F29"/>
    <w:rsid w:val="003C53C7"/>
    <w:rsid w:val="003C541D"/>
    <w:rsid w:val="003C6EB5"/>
    <w:rsid w:val="003C7BC3"/>
    <w:rsid w:val="003D02FB"/>
    <w:rsid w:val="003D0B78"/>
    <w:rsid w:val="003D1243"/>
    <w:rsid w:val="003D1D14"/>
    <w:rsid w:val="003D1D46"/>
    <w:rsid w:val="003D2ED0"/>
    <w:rsid w:val="003D355E"/>
    <w:rsid w:val="003D40A6"/>
    <w:rsid w:val="003D475A"/>
    <w:rsid w:val="003D51A0"/>
    <w:rsid w:val="003D7381"/>
    <w:rsid w:val="003D7787"/>
    <w:rsid w:val="003E1652"/>
    <w:rsid w:val="003E234E"/>
    <w:rsid w:val="003E2B15"/>
    <w:rsid w:val="003E307B"/>
    <w:rsid w:val="003E354A"/>
    <w:rsid w:val="003F0615"/>
    <w:rsid w:val="003F0654"/>
    <w:rsid w:val="003F0D76"/>
    <w:rsid w:val="003F1160"/>
    <w:rsid w:val="003F23F5"/>
    <w:rsid w:val="003F2644"/>
    <w:rsid w:val="003F2EC4"/>
    <w:rsid w:val="003F6453"/>
    <w:rsid w:val="003F691F"/>
    <w:rsid w:val="003F692F"/>
    <w:rsid w:val="003F6995"/>
    <w:rsid w:val="003F6C2F"/>
    <w:rsid w:val="003F6F0C"/>
    <w:rsid w:val="003F79EF"/>
    <w:rsid w:val="0040172A"/>
    <w:rsid w:val="004029CF"/>
    <w:rsid w:val="004034F0"/>
    <w:rsid w:val="00403C56"/>
    <w:rsid w:val="004045A8"/>
    <w:rsid w:val="0040521A"/>
    <w:rsid w:val="00405D63"/>
    <w:rsid w:val="004066FE"/>
    <w:rsid w:val="00411060"/>
    <w:rsid w:val="00412887"/>
    <w:rsid w:val="00412AF1"/>
    <w:rsid w:val="00413B31"/>
    <w:rsid w:val="00413D39"/>
    <w:rsid w:val="00414F4A"/>
    <w:rsid w:val="00415CDB"/>
    <w:rsid w:val="00416D97"/>
    <w:rsid w:val="0041734A"/>
    <w:rsid w:val="00417D12"/>
    <w:rsid w:val="0042000E"/>
    <w:rsid w:val="004216F0"/>
    <w:rsid w:val="00422360"/>
    <w:rsid w:val="00422A4B"/>
    <w:rsid w:val="004239C1"/>
    <w:rsid w:val="00424305"/>
    <w:rsid w:val="0042447C"/>
    <w:rsid w:val="00424769"/>
    <w:rsid w:val="00426410"/>
    <w:rsid w:val="004268F7"/>
    <w:rsid w:val="00426937"/>
    <w:rsid w:val="0042740D"/>
    <w:rsid w:val="00430A58"/>
    <w:rsid w:val="00430FC6"/>
    <w:rsid w:val="0043104C"/>
    <w:rsid w:val="00432295"/>
    <w:rsid w:val="00433382"/>
    <w:rsid w:val="00434216"/>
    <w:rsid w:val="004359E1"/>
    <w:rsid w:val="004359FD"/>
    <w:rsid w:val="004369E0"/>
    <w:rsid w:val="00436C22"/>
    <w:rsid w:val="004379BF"/>
    <w:rsid w:val="00440278"/>
    <w:rsid w:val="00441362"/>
    <w:rsid w:val="004413E4"/>
    <w:rsid w:val="00442114"/>
    <w:rsid w:val="00442E82"/>
    <w:rsid w:val="004447BE"/>
    <w:rsid w:val="004454AA"/>
    <w:rsid w:val="00447118"/>
    <w:rsid w:val="00447D4E"/>
    <w:rsid w:val="00450D1E"/>
    <w:rsid w:val="00450D89"/>
    <w:rsid w:val="00451D3D"/>
    <w:rsid w:val="00451EA0"/>
    <w:rsid w:val="00453A62"/>
    <w:rsid w:val="004542CD"/>
    <w:rsid w:val="0045665D"/>
    <w:rsid w:val="00456735"/>
    <w:rsid w:val="00456E32"/>
    <w:rsid w:val="00457332"/>
    <w:rsid w:val="00462E18"/>
    <w:rsid w:val="004639F3"/>
    <w:rsid w:val="004640F2"/>
    <w:rsid w:val="0046595A"/>
    <w:rsid w:val="004660E4"/>
    <w:rsid w:val="00467B49"/>
    <w:rsid w:val="00471990"/>
    <w:rsid w:val="00472A6F"/>
    <w:rsid w:val="00472DDE"/>
    <w:rsid w:val="00473A38"/>
    <w:rsid w:val="00474A0A"/>
    <w:rsid w:val="00474A44"/>
    <w:rsid w:val="00475594"/>
    <w:rsid w:val="004803BC"/>
    <w:rsid w:val="00480A32"/>
    <w:rsid w:val="00480B6B"/>
    <w:rsid w:val="00481687"/>
    <w:rsid w:val="00481AEA"/>
    <w:rsid w:val="00482DE9"/>
    <w:rsid w:val="00482E43"/>
    <w:rsid w:val="00484B3E"/>
    <w:rsid w:val="00484E13"/>
    <w:rsid w:val="004864B2"/>
    <w:rsid w:val="0048699C"/>
    <w:rsid w:val="004874E1"/>
    <w:rsid w:val="004905D4"/>
    <w:rsid w:val="0049158A"/>
    <w:rsid w:val="00491A42"/>
    <w:rsid w:val="00491DDB"/>
    <w:rsid w:val="00491FB0"/>
    <w:rsid w:val="004921F9"/>
    <w:rsid w:val="00493523"/>
    <w:rsid w:val="00493A56"/>
    <w:rsid w:val="0049402B"/>
    <w:rsid w:val="0049557A"/>
    <w:rsid w:val="00495B16"/>
    <w:rsid w:val="00496A2A"/>
    <w:rsid w:val="00496F5D"/>
    <w:rsid w:val="004971A9"/>
    <w:rsid w:val="004A1333"/>
    <w:rsid w:val="004A2028"/>
    <w:rsid w:val="004A2652"/>
    <w:rsid w:val="004A2ED9"/>
    <w:rsid w:val="004A39EE"/>
    <w:rsid w:val="004A3A1C"/>
    <w:rsid w:val="004A4D56"/>
    <w:rsid w:val="004A6488"/>
    <w:rsid w:val="004B0403"/>
    <w:rsid w:val="004B09D1"/>
    <w:rsid w:val="004B20A6"/>
    <w:rsid w:val="004B2900"/>
    <w:rsid w:val="004B588D"/>
    <w:rsid w:val="004B60C2"/>
    <w:rsid w:val="004B6C20"/>
    <w:rsid w:val="004B6E8D"/>
    <w:rsid w:val="004B7A34"/>
    <w:rsid w:val="004B7D83"/>
    <w:rsid w:val="004C1124"/>
    <w:rsid w:val="004C1A3A"/>
    <w:rsid w:val="004C3417"/>
    <w:rsid w:val="004C3B07"/>
    <w:rsid w:val="004C5504"/>
    <w:rsid w:val="004C5695"/>
    <w:rsid w:val="004C7E64"/>
    <w:rsid w:val="004C7E97"/>
    <w:rsid w:val="004D00DA"/>
    <w:rsid w:val="004D1F3B"/>
    <w:rsid w:val="004D3439"/>
    <w:rsid w:val="004D4A64"/>
    <w:rsid w:val="004D5C3E"/>
    <w:rsid w:val="004D5E7E"/>
    <w:rsid w:val="004D68D9"/>
    <w:rsid w:val="004E0AD2"/>
    <w:rsid w:val="004E116F"/>
    <w:rsid w:val="004E1B7B"/>
    <w:rsid w:val="004E2045"/>
    <w:rsid w:val="004E335B"/>
    <w:rsid w:val="004E4CB6"/>
    <w:rsid w:val="004E4D81"/>
    <w:rsid w:val="004E6AD6"/>
    <w:rsid w:val="004E715C"/>
    <w:rsid w:val="004E7C3C"/>
    <w:rsid w:val="004E7F2F"/>
    <w:rsid w:val="004F0429"/>
    <w:rsid w:val="004F1E1B"/>
    <w:rsid w:val="004F2CD2"/>
    <w:rsid w:val="004F400F"/>
    <w:rsid w:val="004F427C"/>
    <w:rsid w:val="004F4EB9"/>
    <w:rsid w:val="004F5052"/>
    <w:rsid w:val="004F5F1D"/>
    <w:rsid w:val="00500ACC"/>
    <w:rsid w:val="00501282"/>
    <w:rsid w:val="005026D8"/>
    <w:rsid w:val="00503244"/>
    <w:rsid w:val="00503457"/>
    <w:rsid w:val="005050DF"/>
    <w:rsid w:val="00505185"/>
    <w:rsid w:val="005060FF"/>
    <w:rsid w:val="00510F44"/>
    <w:rsid w:val="0051156F"/>
    <w:rsid w:val="005120E9"/>
    <w:rsid w:val="00516CA1"/>
    <w:rsid w:val="00520B3F"/>
    <w:rsid w:val="005226E7"/>
    <w:rsid w:val="00522DEC"/>
    <w:rsid w:val="00523C43"/>
    <w:rsid w:val="00524B75"/>
    <w:rsid w:val="00526428"/>
    <w:rsid w:val="00526B42"/>
    <w:rsid w:val="0052700C"/>
    <w:rsid w:val="005275C9"/>
    <w:rsid w:val="00534D1F"/>
    <w:rsid w:val="0053596A"/>
    <w:rsid w:val="005362D7"/>
    <w:rsid w:val="00536D6B"/>
    <w:rsid w:val="00537E73"/>
    <w:rsid w:val="0054010B"/>
    <w:rsid w:val="005403D1"/>
    <w:rsid w:val="00540E2C"/>
    <w:rsid w:val="0054121B"/>
    <w:rsid w:val="00543F57"/>
    <w:rsid w:val="005447C2"/>
    <w:rsid w:val="00545A9A"/>
    <w:rsid w:val="00545E9C"/>
    <w:rsid w:val="00545F37"/>
    <w:rsid w:val="0054783D"/>
    <w:rsid w:val="00547950"/>
    <w:rsid w:val="00550A78"/>
    <w:rsid w:val="00551860"/>
    <w:rsid w:val="005518E2"/>
    <w:rsid w:val="00551A08"/>
    <w:rsid w:val="00552688"/>
    <w:rsid w:val="00553061"/>
    <w:rsid w:val="005533D1"/>
    <w:rsid w:val="00554D6E"/>
    <w:rsid w:val="00555002"/>
    <w:rsid w:val="00555434"/>
    <w:rsid w:val="005564AB"/>
    <w:rsid w:val="00557273"/>
    <w:rsid w:val="00560300"/>
    <w:rsid w:val="005606DA"/>
    <w:rsid w:val="00561B0F"/>
    <w:rsid w:val="00561BDD"/>
    <w:rsid w:val="005638C0"/>
    <w:rsid w:val="0056666E"/>
    <w:rsid w:val="0057030B"/>
    <w:rsid w:val="00571C47"/>
    <w:rsid w:val="00572438"/>
    <w:rsid w:val="005725ED"/>
    <w:rsid w:val="005726F7"/>
    <w:rsid w:val="00572E66"/>
    <w:rsid w:val="005731DB"/>
    <w:rsid w:val="005736C9"/>
    <w:rsid w:val="00574C27"/>
    <w:rsid w:val="00576033"/>
    <w:rsid w:val="005808FC"/>
    <w:rsid w:val="00580FBD"/>
    <w:rsid w:val="005821F2"/>
    <w:rsid w:val="0058304D"/>
    <w:rsid w:val="00583F7B"/>
    <w:rsid w:val="0058465D"/>
    <w:rsid w:val="00585126"/>
    <w:rsid w:val="005855E0"/>
    <w:rsid w:val="00586F60"/>
    <w:rsid w:val="005872A7"/>
    <w:rsid w:val="00590A67"/>
    <w:rsid w:val="005921F6"/>
    <w:rsid w:val="00592BB5"/>
    <w:rsid w:val="00592DDA"/>
    <w:rsid w:val="00592FAE"/>
    <w:rsid w:val="005A02F6"/>
    <w:rsid w:val="005A14F0"/>
    <w:rsid w:val="005A1EF4"/>
    <w:rsid w:val="005A323C"/>
    <w:rsid w:val="005A4E08"/>
    <w:rsid w:val="005A5315"/>
    <w:rsid w:val="005A65AD"/>
    <w:rsid w:val="005B1607"/>
    <w:rsid w:val="005B16E3"/>
    <w:rsid w:val="005B21F8"/>
    <w:rsid w:val="005B2593"/>
    <w:rsid w:val="005B2C24"/>
    <w:rsid w:val="005B3245"/>
    <w:rsid w:val="005B3BEE"/>
    <w:rsid w:val="005B70AD"/>
    <w:rsid w:val="005C0A0F"/>
    <w:rsid w:val="005C23BE"/>
    <w:rsid w:val="005C25DA"/>
    <w:rsid w:val="005C2F2F"/>
    <w:rsid w:val="005C36A1"/>
    <w:rsid w:val="005C4A6C"/>
    <w:rsid w:val="005C4EDC"/>
    <w:rsid w:val="005C6269"/>
    <w:rsid w:val="005C6717"/>
    <w:rsid w:val="005C6AD3"/>
    <w:rsid w:val="005C7546"/>
    <w:rsid w:val="005C7687"/>
    <w:rsid w:val="005C7C70"/>
    <w:rsid w:val="005D0B94"/>
    <w:rsid w:val="005D0EFF"/>
    <w:rsid w:val="005D17DB"/>
    <w:rsid w:val="005D2FA1"/>
    <w:rsid w:val="005D3643"/>
    <w:rsid w:val="005D3EAC"/>
    <w:rsid w:val="005D5756"/>
    <w:rsid w:val="005D5C34"/>
    <w:rsid w:val="005D7596"/>
    <w:rsid w:val="005E01E6"/>
    <w:rsid w:val="005E0535"/>
    <w:rsid w:val="005E0D3F"/>
    <w:rsid w:val="005E160D"/>
    <w:rsid w:val="005E1FD3"/>
    <w:rsid w:val="005E2C24"/>
    <w:rsid w:val="005E352B"/>
    <w:rsid w:val="005E4C87"/>
    <w:rsid w:val="005E545D"/>
    <w:rsid w:val="005E5BD2"/>
    <w:rsid w:val="005E679B"/>
    <w:rsid w:val="005E778C"/>
    <w:rsid w:val="005E7E8D"/>
    <w:rsid w:val="005F0358"/>
    <w:rsid w:val="005F112A"/>
    <w:rsid w:val="005F53FC"/>
    <w:rsid w:val="005F5BB6"/>
    <w:rsid w:val="005F6AFB"/>
    <w:rsid w:val="005F6EE0"/>
    <w:rsid w:val="005F6EFD"/>
    <w:rsid w:val="005F7A61"/>
    <w:rsid w:val="006000E0"/>
    <w:rsid w:val="00600A55"/>
    <w:rsid w:val="00600F23"/>
    <w:rsid w:val="006019DF"/>
    <w:rsid w:val="006022B6"/>
    <w:rsid w:val="00603760"/>
    <w:rsid w:val="006054A5"/>
    <w:rsid w:val="00605D91"/>
    <w:rsid w:val="00606496"/>
    <w:rsid w:val="0061047E"/>
    <w:rsid w:val="00611AA5"/>
    <w:rsid w:val="0061318F"/>
    <w:rsid w:val="006132F2"/>
    <w:rsid w:val="006137AE"/>
    <w:rsid w:val="00613B45"/>
    <w:rsid w:val="00614D12"/>
    <w:rsid w:val="0061581F"/>
    <w:rsid w:val="00615F0F"/>
    <w:rsid w:val="006167C8"/>
    <w:rsid w:val="00617724"/>
    <w:rsid w:val="00617F4E"/>
    <w:rsid w:val="006205D7"/>
    <w:rsid w:val="00622280"/>
    <w:rsid w:val="00622952"/>
    <w:rsid w:val="0062389F"/>
    <w:rsid w:val="006245C4"/>
    <w:rsid w:val="00624BBA"/>
    <w:rsid w:val="00625910"/>
    <w:rsid w:val="00627968"/>
    <w:rsid w:val="00627FA6"/>
    <w:rsid w:val="006300B9"/>
    <w:rsid w:val="0063084C"/>
    <w:rsid w:val="006316BB"/>
    <w:rsid w:val="0063510D"/>
    <w:rsid w:val="006368D0"/>
    <w:rsid w:val="00636BD4"/>
    <w:rsid w:val="0064110A"/>
    <w:rsid w:val="00641F20"/>
    <w:rsid w:val="00644CFF"/>
    <w:rsid w:val="00645D47"/>
    <w:rsid w:val="006462A3"/>
    <w:rsid w:val="00646771"/>
    <w:rsid w:val="00647A05"/>
    <w:rsid w:val="00650398"/>
    <w:rsid w:val="00650CA0"/>
    <w:rsid w:val="0065315A"/>
    <w:rsid w:val="0065347A"/>
    <w:rsid w:val="006552A6"/>
    <w:rsid w:val="006552D6"/>
    <w:rsid w:val="006573A1"/>
    <w:rsid w:val="0065740C"/>
    <w:rsid w:val="00661CCE"/>
    <w:rsid w:val="00662216"/>
    <w:rsid w:val="006645AD"/>
    <w:rsid w:val="00664FA2"/>
    <w:rsid w:val="00665CB5"/>
    <w:rsid w:val="00665E74"/>
    <w:rsid w:val="00670F95"/>
    <w:rsid w:val="006724F9"/>
    <w:rsid w:val="00673335"/>
    <w:rsid w:val="006740AB"/>
    <w:rsid w:val="00674A3B"/>
    <w:rsid w:val="00680103"/>
    <w:rsid w:val="00681334"/>
    <w:rsid w:val="00682088"/>
    <w:rsid w:val="006826FB"/>
    <w:rsid w:val="0068359D"/>
    <w:rsid w:val="0068425A"/>
    <w:rsid w:val="006849AF"/>
    <w:rsid w:val="00686119"/>
    <w:rsid w:val="006903EE"/>
    <w:rsid w:val="00690DE0"/>
    <w:rsid w:val="006910FB"/>
    <w:rsid w:val="00691875"/>
    <w:rsid w:val="006971AF"/>
    <w:rsid w:val="006A01AF"/>
    <w:rsid w:val="006A1958"/>
    <w:rsid w:val="006A268A"/>
    <w:rsid w:val="006A31F2"/>
    <w:rsid w:val="006A3418"/>
    <w:rsid w:val="006A505A"/>
    <w:rsid w:val="006A52FD"/>
    <w:rsid w:val="006A575F"/>
    <w:rsid w:val="006A5E81"/>
    <w:rsid w:val="006B0D0D"/>
    <w:rsid w:val="006B25B9"/>
    <w:rsid w:val="006B4300"/>
    <w:rsid w:val="006B5692"/>
    <w:rsid w:val="006B732F"/>
    <w:rsid w:val="006C0216"/>
    <w:rsid w:val="006C13E3"/>
    <w:rsid w:val="006C350C"/>
    <w:rsid w:val="006C4E8E"/>
    <w:rsid w:val="006C58F6"/>
    <w:rsid w:val="006C70C8"/>
    <w:rsid w:val="006C7F41"/>
    <w:rsid w:val="006D0409"/>
    <w:rsid w:val="006D0785"/>
    <w:rsid w:val="006D0A46"/>
    <w:rsid w:val="006D1798"/>
    <w:rsid w:val="006D4D7E"/>
    <w:rsid w:val="006D5669"/>
    <w:rsid w:val="006D601F"/>
    <w:rsid w:val="006D6777"/>
    <w:rsid w:val="006D6874"/>
    <w:rsid w:val="006D6AC9"/>
    <w:rsid w:val="006D6D8A"/>
    <w:rsid w:val="006D73CE"/>
    <w:rsid w:val="006E0382"/>
    <w:rsid w:val="006E1591"/>
    <w:rsid w:val="006E194B"/>
    <w:rsid w:val="006E1E13"/>
    <w:rsid w:val="006E31E4"/>
    <w:rsid w:val="006E36B3"/>
    <w:rsid w:val="006E3C8E"/>
    <w:rsid w:val="006E5F6D"/>
    <w:rsid w:val="006E6212"/>
    <w:rsid w:val="006E683D"/>
    <w:rsid w:val="006E6E11"/>
    <w:rsid w:val="006E7430"/>
    <w:rsid w:val="006E77E7"/>
    <w:rsid w:val="006F1982"/>
    <w:rsid w:val="006F2C7C"/>
    <w:rsid w:val="006F2E1B"/>
    <w:rsid w:val="006F36BE"/>
    <w:rsid w:val="006F55A8"/>
    <w:rsid w:val="006F59F6"/>
    <w:rsid w:val="006F5FF6"/>
    <w:rsid w:val="006F6187"/>
    <w:rsid w:val="006F64DE"/>
    <w:rsid w:val="006F6A23"/>
    <w:rsid w:val="00700C7E"/>
    <w:rsid w:val="00700F28"/>
    <w:rsid w:val="00702A31"/>
    <w:rsid w:val="00702E1E"/>
    <w:rsid w:val="00704CCC"/>
    <w:rsid w:val="00704DFB"/>
    <w:rsid w:val="00705635"/>
    <w:rsid w:val="00705B1E"/>
    <w:rsid w:val="0070601B"/>
    <w:rsid w:val="00706B5D"/>
    <w:rsid w:val="00710227"/>
    <w:rsid w:val="007109F4"/>
    <w:rsid w:val="00710EBC"/>
    <w:rsid w:val="0071357A"/>
    <w:rsid w:val="007140AC"/>
    <w:rsid w:val="00715E64"/>
    <w:rsid w:val="00716A58"/>
    <w:rsid w:val="0071708D"/>
    <w:rsid w:val="0071787C"/>
    <w:rsid w:val="007208D5"/>
    <w:rsid w:val="00721D8A"/>
    <w:rsid w:val="00721F58"/>
    <w:rsid w:val="00722A43"/>
    <w:rsid w:val="00722C39"/>
    <w:rsid w:val="00722F12"/>
    <w:rsid w:val="00725432"/>
    <w:rsid w:val="00726E0A"/>
    <w:rsid w:val="00727881"/>
    <w:rsid w:val="00730240"/>
    <w:rsid w:val="007319A5"/>
    <w:rsid w:val="007320C9"/>
    <w:rsid w:val="0073456D"/>
    <w:rsid w:val="0073636E"/>
    <w:rsid w:val="007364E9"/>
    <w:rsid w:val="00737A18"/>
    <w:rsid w:val="00737D6B"/>
    <w:rsid w:val="00741460"/>
    <w:rsid w:val="00741AA8"/>
    <w:rsid w:val="0074326E"/>
    <w:rsid w:val="007434F7"/>
    <w:rsid w:val="00744DE7"/>
    <w:rsid w:val="00745132"/>
    <w:rsid w:val="0074604F"/>
    <w:rsid w:val="0074606C"/>
    <w:rsid w:val="007466F0"/>
    <w:rsid w:val="00746AA1"/>
    <w:rsid w:val="0074758D"/>
    <w:rsid w:val="00747A52"/>
    <w:rsid w:val="00751298"/>
    <w:rsid w:val="00751644"/>
    <w:rsid w:val="0075224F"/>
    <w:rsid w:val="00753890"/>
    <w:rsid w:val="00754CB4"/>
    <w:rsid w:val="00754D6E"/>
    <w:rsid w:val="00754FE4"/>
    <w:rsid w:val="0075609B"/>
    <w:rsid w:val="0075693F"/>
    <w:rsid w:val="007573FA"/>
    <w:rsid w:val="00757CFD"/>
    <w:rsid w:val="00761C21"/>
    <w:rsid w:val="007621AA"/>
    <w:rsid w:val="00762663"/>
    <w:rsid w:val="00763D45"/>
    <w:rsid w:val="007645C9"/>
    <w:rsid w:val="00764DC0"/>
    <w:rsid w:val="00765028"/>
    <w:rsid w:val="00765393"/>
    <w:rsid w:val="00765C2C"/>
    <w:rsid w:val="00765EA0"/>
    <w:rsid w:val="0076715A"/>
    <w:rsid w:val="00770A58"/>
    <w:rsid w:val="007712C8"/>
    <w:rsid w:val="00773752"/>
    <w:rsid w:val="0077391E"/>
    <w:rsid w:val="00773F7B"/>
    <w:rsid w:val="00775EEC"/>
    <w:rsid w:val="00775F03"/>
    <w:rsid w:val="00777A8C"/>
    <w:rsid w:val="00782E8F"/>
    <w:rsid w:val="00782F7E"/>
    <w:rsid w:val="0078554B"/>
    <w:rsid w:val="00785619"/>
    <w:rsid w:val="00785766"/>
    <w:rsid w:val="00785EE7"/>
    <w:rsid w:val="00785F01"/>
    <w:rsid w:val="007870A7"/>
    <w:rsid w:val="007905AF"/>
    <w:rsid w:val="00792C73"/>
    <w:rsid w:val="00793A66"/>
    <w:rsid w:val="0079427C"/>
    <w:rsid w:val="007950FB"/>
    <w:rsid w:val="0079762F"/>
    <w:rsid w:val="007A051A"/>
    <w:rsid w:val="007A0915"/>
    <w:rsid w:val="007A1051"/>
    <w:rsid w:val="007A2FE8"/>
    <w:rsid w:val="007A3E27"/>
    <w:rsid w:val="007A40CC"/>
    <w:rsid w:val="007A71E7"/>
    <w:rsid w:val="007B035B"/>
    <w:rsid w:val="007B28D4"/>
    <w:rsid w:val="007B4310"/>
    <w:rsid w:val="007B45DF"/>
    <w:rsid w:val="007B6516"/>
    <w:rsid w:val="007B6538"/>
    <w:rsid w:val="007B67C9"/>
    <w:rsid w:val="007C02DF"/>
    <w:rsid w:val="007C448A"/>
    <w:rsid w:val="007C4A83"/>
    <w:rsid w:val="007C5FF0"/>
    <w:rsid w:val="007C618C"/>
    <w:rsid w:val="007C6A59"/>
    <w:rsid w:val="007D0DB5"/>
    <w:rsid w:val="007D10CC"/>
    <w:rsid w:val="007D1287"/>
    <w:rsid w:val="007D138D"/>
    <w:rsid w:val="007D1486"/>
    <w:rsid w:val="007D1AC1"/>
    <w:rsid w:val="007D2418"/>
    <w:rsid w:val="007D4345"/>
    <w:rsid w:val="007D5D15"/>
    <w:rsid w:val="007D6639"/>
    <w:rsid w:val="007D7CEB"/>
    <w:rsid w:val="007D7D6B"/>
    <w:rsid w:val="007D7EAC"/>
    <w:rsid w:val="007D7F1D"/>
    <w:rsid w:val="007E02F1"/>
    <w:rsid w:val="007E0907"/>
    <w:rsid w:val="007E0FD1"/>
    <w:rsid w:val="007E1069"/>
    <w:rsid w:val="007E1C34"/>
    <w:rsid w:val="007E1F93"/>
    <w:rsid w:val="007E2DD2"/>
    <w:rsid w:val="007E37D5"/>
    <w:rsid w:val="007E3BBB"/>
    <w:rsid w:val="007E4410"/>
    <w:rsid w:val="007E5093"/>
    <w:rsid w:val="007E56B6"/>
    <w:rsid w:val="007E5D44"/>
    <w:rsid w:val="007E6155"/>
    <w:rsid w:val="007F03ED"/>
    <w:rsid w:val="007F1A7A"/>
    <w:rsid w:val="007F2987"/>
    <w:rsid w:val="007F2F70"/>
    <w:rsid w:val="007F611B"/>
    <w:rsid w:val="007F633E"/>
    <w:rsid w:val="007F7718"/>
    <w:rsid w:val="007F7736"/>
    <w:rsid w:val="00800568"/>
    <w:rsid w:val="00800980"/>
    <w:rsid w:val="0080174F"/>
    <w:rsid w:val="00802005"/>
    <w:rsid w:val="00802C8B"/>
    <w:rsid w:val="00805360"/>
    <w:rsid w:val="0080556E"/>
    <w:rsid w:val="00805C36"/>
    <w:rsid w:val="00806CF4"/>
    <w:rsid w:val="00806FB2"/>
    <w:rsid w:val="008070CD"/>
    <w:rsid w:val="008079C7"/>
    <w:rsid w:val="00814253"/>
    <w:rsid w:val="008145A4"/>
    <w:rsid w:val="008147E3"/>
    <w:rsid w:val="00815BCC"/>
    <w:rsid w:val="00815E85"/>
    <w:rsid w:val="0081613A"/>
    <w:rsid w:val="0081788B"/>
    <w:rsid w:val="00821A3B"/>
    <w:rsid w:val="00822F95"/>
    <w:rsid w:val="008232A1"/>
    <w:rsid w:val="0082570C"/>
    <w:rsid w:val="00826518"/>
    <w:rsid w:val="00826558"/>
    <w:rsid w:val="00827864"/>
    <w:rsid w:val="00827AB2"/>
    <w:rsid w:val="00830C39"/>
    <w:rsid w:val="00831223"/>
    <w:rsid w:val="008323E9"/>
    <w:rsid w:val="00834013"/>
    <w:rsid w:val="00834CDF"/>
    <w:rsid w:val="00835B13"/>
    <w:rsid w:val="00835BDF"/>
    <w:rsid w:val="00836AD1"/>
    <w:rsid w:val="008454DE"/>
    <w:rsid w:val="008463D2"/>
    <w:rsid w:val="00850427"/>
    <w:rsid w:val="00851568"/>
    <w:rsid w:val="00853E81"/>
    <w:rsid w:val="00853EE5"/>
    <w:rsid w:val="0085513C"/>
    <w:rsid w:val="00855540"/>
    <w:rsid w:val="00855549"/>
    <w:rsid w:val="008562D4"/>
    <w:rsid w:val="00857C39"/>
    <w:rsid w:val="00860CAD"/>
    <w:rsid w:val="00862DB4"/>
    <w:rsid w:val="00863360"/>
    <w:rsid w:val="00863458"/>
    <w:rsid w:val="0086385F"/>
    <w:rsid w:val="00863BBC"/>
    <w:rsid w:val="00865A31"/>
    <w:rsid w:val="00866469"/>
    <w:rsid w:val="008669B4"/>
    <w:rsid w:val="00867372"/>
    <w:rsid w:val="00870DEC"/>
    <w:rsid w:val="00871ED1"/>
    <w:rsid w:val="00872E32"/>
    <w:rsid w:val="00873054"/>
    <w:rsid w:val="00873731"/>
    <w:rsid w:val="0087434D"/>
    <w:rsid w:val="008748A8"/>
    <w:rsid w:val="008748CE"/>
    <w:rsid w:val="00874B10"/>
    <w:rsid w:val="00875390"/>
    <w:rsid w:val="00875751"/>
    <w:rsid w:val="00877E1C"/>
    <w:rsid w:val="00880AF6"/>
    <w:rsid w:val="00880B4A"/>
    <w:rsid w:val="00881315"/>
    <w:rsid w:val="00881472"/>
    <w:rsid w:val="00881A4E"/>
    <w:rsid w:val="00881CB1"/>
    <w:rsid w:val="00882C43"/>
    <w:rsid w:val="00882E3C"/>
    <w:rsid w:val="0088383C"/>
    <w:rsid w:val="00883A23"/>
    <w:rsid w:val="00884A63"/>
    <w:rsid w:val="00887F92"/>
    <w:rsid w:val="00890355"/>
    <w:rsid w:val="0089056F"/>
    <w:rsid w:val="00892617"/>
    <w:rsid w:val="00892F5E"/>
    <w:rsid w:val="008944C5"/>
    <w:rsid w:val="00894DE3"/>
    <w:rsid w:val="00895B1F"/>
    <w:rsid w:val="00896646"/>
    <w:rsid w:val="008A2066"/>
    <w:rsid w:val="008A28B6"/>
    <w:rsid w:val="008A2EFB"/>
    <w:rsid w:val="008A3AD3"/>
    <w:rsid w:val="008A42F0"/>
    <w:rsid w:val="008A4891"/>
    <w:rsid w:val="008A5DF7"/>
    <w:rsid w:val="008A5E8B"/>
    <w:rsid w:val="008A6736"/>
    <w:rsid w:val="008A6BDE"/>
    <w:rsid w:val="008A6C9F"/>
    <w:rsid w:val="008B027A"/>
    <w:rsid w:val="008B0844"/>
    <w:rsid w:val="008B0BBD"/>
    <w:rsid w:val="008B1956"/>
    <w:rsid w:val="008B2538"/>
    <w:rsid w:val="008B31C0"/>
    <w:rsid w:val="008B3970"/>
    <w:rsid w:val="008B4755"/>
    <w:rsid w:val="008B4F3E"/>
    <w:rsid w:val="008B6A05"/>
    <w:rsid w:val="008B6A57"/>
    <w:rsid w:val="008B756D"/>
    <w:rsid w:val="008C2585"/>
    <w:rsid w:val="008C2ED8"/>
    <w:rsid w:val="008C32A2"/>
    <w:rsid w:val="008C5004"/>
    <w:rsid w:val="008C605D"/>
    <w:rsid w:val="008C6E73"/>
    <w:rsid w:val="008D15A1"/>
    <w:rsid w:val="008D1E8D"/>
    <w:rsid w:val="008D2004"/>
    <w:rsid w:val="008D2B54"/>
    <w:rsid w:val="008D3386"/>
    <w:rsid w:val="008D4D2D"/>
    <w:rsid w:val="008D5307"/>
    <w:rsid w:val="008D5599"/>
    <w:rsid w:val="008D6420"/>
    <w:rsid w:val="008D6975"/>
    <w:rsid w:val="008D69E9"/>
    <w:rsid w:val="008D6A78"/>
    <w:rsid w:val="008D6BE3"/>
    <w:rsid w:val="008D6D0B"/>
    <w:rsid w:val="008D7892"/>
    <w:rsid w:val="008D7A81"/>
    <w:rsid w:val="008D7F43"/>
    <w:rsid w:val="008E1E86"/>
    <w:rsid w:val="008E2550"/>
    <w:rsid w:val="008E34AA"/>
    <w:rsid w:val="008E397A"/>
    <w:rsid w:val="008E3F49"/>
    <w:rsid w:val="008E415F"/>
    <w:rsid w:val="008E4C76"/>
    <w:rsid w:val="008E4FCF"/>
    <w:rsid w:val="008E7E23"/>
    <w:rsid w:val="008F0202"/>
    <w:rsid w:val="008F05AC"/>
    <w:rsid w:val="008F06F1"/>
    <w:rsid w:val="008F13BF"/>
    <w:rsid w:val="008F22FE"/>
    <w:rsid w:val="008F29DE"/>
    <w:rsid w:val="008F3332"/>
    <w:rsid w:val="008F3C89"/>
    <w:rsid w:val="008F4B40"/>
    <w:rsid w:val="008F529E"/>
    <w:rsid w:val="008F635F"/>
    <w:rsid w:val="008F64CD"/>
    <w:rsid w:val="008F6B7E"/>
    <w:rsid w:val="008F7775"/>
    <w:rsid w:val="00901819"/>
    <w:rsid w:val="009022B2"/>
    <w:rsid w:val="00902FE2"/>
    <w:rsid w:val="00903FE8"/>
    <w:rsid w:val="00904948"/>
    <w:rsid w:val="00904EB5"/>
    <w:rsid w:val="00905A7E"/>
    <w:rsid w:val="00905E5E"/>
    <w:rsid w:val="00905E80"/>
    <w:rsid w:val="00905F01"/>
    <w:rsid w:val="00906DEB"/>
    <w:rsid w:val="009107C9"/>
    <w:rsid w:val="00911786"/>
    <w:rsid w:val="00911F6F"/>
    <w:rsid w:val="009126D7"/>
    <w:rsid w:val="0091275F"/>
    <w:rsid w:val="00912F26"/>
    <w:rsid w:val="009174CD"/>
    <w:rsid w:val="00921843"/>
    <w:rsid w:val="00921B14"/>
    <w:rsid w:val="00921B7F"/>
    <w:rsid w:val="00921D9C"/>
    <w:rsid w:val="00923DB3"/>
    <w:rsid w:val="00923EFC"/>
    <w:rsid w:val="00924EE4"/>
    <w:rsid w:val="009250B0"/>
    <w:rsid w:val="00925B15"/>
    <w:rsid w:val="00926926"/>
    <w:rsid w:val="00926B1D"/>
    <w:rsid w:val="00931330"/>
    <w:rsid w:val="00931AFD"/>
    <w:rsid w:val="00932659"/>
    <w:rsid w:val="00934BCA"/>
    <w:rsid w:val="00934FB3"/>
    <w:rsid w:val="00936AC4"/>
    <w:rsid w:val="009376CA"/>
    <w:rsid w:val="00937BE9"/>
    <w:rsid w:val="009404B7"/>
    <w:rsid w:val="00942BB6"/>
    <w:rsid w:val="00943369"/>
    <w:rsid w:val="00944337"/>
    <w:rsid w:val="00946079"/>
    <w:rsid w:val="009479C7"/>
    <w:rsid w:val="00950011"/>
    <w:rsid w:val="00950975"/>
    <w:rsid w:val="0095195C"/>
    <w:rsid w:val="00952ACD"/>
    <w:rsid w:val="00953E6F"/>
    <w:rsid w:val="0095437C"/>
    <w:rsid w:val="00955DD1"/>
    <w:rsid w:val="009566F6"/>
    <w:rsid w:val="009570FF"/>
    <w:rsid w:val="009603AB"/>
    <w:rsid w:val="009646D9"/>
    <w:rsid w:val="00964D2F"/>
    <w:rsid w:val="00965272"/>
    <w:rsid w:val="00966B64"/>
    <w:rsid w:val="00970138"/>
    <w:rsid w:val="0097089E"/>
    <w:rsid w:val="00970D37"/>
    <w:rsid w:val="00972DB0"/>
    <w:rsid w:val="009737A8"/>
    <w:rsid w:val="00975354"/>
    <w:rsid w:val="009779DE"/>
    <w:rsid w:val="009820A6"/>
    <w:rsid w:val="0098248B"/>
    <w:rsid w:val="00984C48"/>
    <w:rsid w:val="0098548C"/>
    <w:rsid w:val="00986298"/>
    <w:rsid w:val="009864AC"/>
    <w:rsid w:val="0098745F"/>
    <w:rsid w:val="00992F1A"/>
    <w:rsid w:val="00993098"/>
    <w:rsid w:val="009939E8"/>
    <w:rsid w:val="00993FF7"/>
    <w:rsid w:val="009957EB"/>
    <w:rsid w:val="00995948"/>
    <w:rsid w:val="0099645B"/>
    <w:rsid w:val="00996E05"/>
    <w:rsid w:val="00997038"/>
    <w:rsid w:val="009A0AEB"/>
    <w:rsid w:val="009A0CE8"/>
    <w:rsid w:val="009A138A"/>
    <w:rsid w:val="009A2F48"/>
    <w:rsid w:val="009A3382"/>
    <w:rsid w:val="009A42E5"/>
    <w:rsid w:val="009A4FC6"/>
    <w:rsid w:val="009B1032"/>
    <w:rsid w:val="009B13AE"/>
    <w:rsid w:val="009B19F4"/>
    <w:rsid w:val="009B616E"/>
    <w:rsid w:val="009B6F5C"/>
    <w:rsid w:val="009B763E"/>
    <w:rsid w:val="009B7CBA"/>
    <w:rsid w:val="009C19F1"/>
    <w:rsid w:val="009C23C0"/>
    <w:rsid w:val="009C27E0"/>
    <w:rsid w:val="009C289B"/>
    <w:rsid w:val="009C2B52"/>
    <w:rsid w:val="009C2DDC"/>
    <w:rsid w:val="009C3D96"/>
    <w:rsid w:val="009C47D8"/>
    <w:rsid w:val="009C50D9"/>
    <w:rsid w:val="009C5631"/>
    <w:rsid w:val="009C5E92"/>
    <w:rsid w:val="009C68D4"/>
    <w:rsid w:val="009C6F05"/>
    <w:rsid w:val="009C72B4"/>
    <w:rsid w:val="009C78F9"/>
    <w:rsid w:val="009D092A"/>
    <w:rsid w:val="009D12BA"/>
    <w:rsid w:val="009D3098"/>
    <w:rsid w:val="009D373E"/>
    <w:rsid w:val="009D44DB"/>
    <w:rsid w:val="009D47E8"/>
    <w:rsid w:val="009D5987"/>
    <w:rsid w:val="009D6A1E"/>
    <w:rsid w:val="009D7BB0"/>
    <w:rsid w:val="009D7EB5"/>
    <w:rsid w:val="009E00FF"/>
    <w:rsid w:val="009E0E44"/>
    <w:rsid w:val="009E12A2"/>
    <w:rsid w:val="009E13E4"/>
    <w:rsid w:val="009E247A"/>
    <w:rsid w:val="009E3791"/>
    <w:rsid w:val="009E3A8C"/>
    <w:rsid w:val="009E3D18"/>
    <w:rsid w:val="009E3FD9"/>
    <w:rsid w:val="009E4636"/>
    <w:rsid w:val="009E4F96"/>
    <w:rsid w:val="009E517D"/>
    <w:rsid w:val="009E7257"/>
    <w:rsid w:val="009F0144"/>
    <w:rsid w:val="009F0349"/>
    <w:rsid w:val="009F051F"/>
    <w:rsid w:val="009F1EDA"/>
    <w:rsid w:val="009F31CB"/>
    <w:rsid w:val="009F3EBC"/>
    <w:rsid w:val="009F40A1"/>
    <w:rsid w:val="009F4790"/>
    <w:rsid w:val="009F574C"/>
    <w:rsid w:val="009F7E13"/>
    <w:rsid w:val="00A00268"/>
    <w:rsid w:val="00A01000"/>
    <w:rsid w:val="00A01B54"/>
    <w:rsid w:val="00A036CF"/>
    <w:rsid w:val="00A07367"/>
    <w:rsid w:val="00A07718"/>
    <w:rsid w:val="00A078D8"/>
    <w:rsid w:val="00A10885"/>
    <w:rsid w:val="00A1235E"/>
    <w:rsid w:val="00A14E0D"/>
    <w:rsid w:val="00A14F58"/>
    <w:rsid w:val="00A15E6C"/>
    <w:rsid w:val="00A17292"/>
    <w:rsid w:val="00A17BE2"/>
    <w:rsid w:val="00A17E23"/>
    <w:rsid w:val="00A20B19"/>
    <w:rsid w:val="00A20E2F"/>
    <w:rsid w:val="00A21AF7"/>
    <w:rsid w:val="00A220F3"/>
    <w:rsid w:val="00A22A27"/>
    <w:rsid w:val="00A24DF0"/>
    <w:rsid w:val="00A25506"/>
    <w:rsid w:val="00A25D2F"/>
    <w:rsid w:val="00A26466"/>
    <w:rsid w:val="00A267ED"/>
    <w:rsid w:val="00A30CBB"/>
    <w:rsid w:val="00A31152"/>
    <w:rsid w:val="00A31437"/>
    <w:rsid w:val="00A31621"/>
    <w:rsid w:val="00A32E0C"/>
    <w:rsid w:val="00A338CD"/>
    <w:rsid w:val="00A33AAD"/>
    <w:rsid w:val="00A3403B"/>
    <w:rsid w:val="00A3520A"/>
    <w:rsid w:val="00A378F6"/>
    <w:rsid w:val="00A40A44"/>
    <w:rsid w:val="00A40E08"/>
    <w:rsid w:val="00A41502"/>
    <w:rsid w:val="00A4328D"/>
    <w:rsid w:val="00A43871"/>
    <w:rsid w:val="00A45922"/>
    <w:rsid w:val="00A46B47"/>
    <w:rsid w:val="00A472C7"/>
    <w:rsid w:val="00A47449"/>
    <w:rsid w:val="00A508EE"/>
    <w:rsid w:val="00A5138A"/>
    <w:rsid w:val="00A528EC"/>
    <w:rsid w:val="00A53038"/>
    <w:rsid w:val="00A53D05"/>
    <w:rsid w:val="00A5477F"/>
    <w:rsid w:val="00A54FA0"/>
    <w:rsid w:val="00A550F7"/>
    <w:rsid w:val="00A563F9"/>
    <w:rsid w:val="00A56414"/>
    <w:rsid w:val="00A60249"/>
    <w:rsid w:val="00A608A2"/>
    <w:rsid w:val="00A61205"/>
    <w:rsid w:val="00A617ED"/>
    <w:rsid w:val="00A61D18"/>
    <w:rsid w:val="00A62B40"/>
    <w:rsid w:val="00A642FA"/>
    <w:rsid w:val="00A66057"/>
    <w:rsid w:val="00A66CBC"/>
    <w:rsid w:val="00A67229"/>
    <w:rsid w:val="00A70784"/>
    <w:rsid w:val="00A70E4B"/>
    <w:rsid w:val="00A71427"/>
    <w:rsid w:val="00A714D3"/>
    <w:rsid w:val="00A72050"/>
    <w:rsid w:val="00A72827"/>
    <w:rsid w:val="00A72917"/>
    <w:rsid w:val="00A72F8A"/>
    <w:rsid w:val="00A73B58"/>
    <w:rsid w:val="00A772BE"/>
    <w:rsid w:val="00A774AF"/>
    <w:rsid w:val="00A77FEC"/>
    <w:rsid w:val="00A81761"/>
    <w:rsid w:val="00A824CC"/>
    <w:rsid w:val="00A83720"/>
    <w:rsid w:val="00A83D8D"/>
    <w:rsid w:val="00A842A7"/>
    <w:rsid w:val="00A84440"/>
    <w:rsid w:val="00A85B80"/>
    <w:rsid w:val="00A86FE7"/>
    <w:rsid w:val="00A87AA0"/>
    <w:rsid w:val="00A87BFA"/>
    <w:rsid w:val="00A90636"/>
    <w:rsid w:val="00A9092B"/>
    <w:rsid w:val="00A91951"/>
    <w:rsid w:val="00A91D16"/>
    <w:rsid w:val="00A91DFC"/>
    <w:rsid w:val="00A934DC"/>
    <w:rsid w:val="00A95B00"/>
    <w:rsid w:val="00A963C5"/>
    <w:rsid w:val="00A96D81"/>
    <w:rsid w:val="00A96DF7"/>
    <w:rsid w:val="00AA0DC6"/>
    <w:rsid w:val="00AA12F9"/>
    <w:rsid w:val="00AA23F6"/>
    <w:rsid w:val="00AA249A"/>
    <w:rsid w:val="00AA27C5"/>
    <w:rsid w:val="00AA30AD"/>
    <w:rsid w:val="00AA329E"/>
    <w:rsid w:val="00AA34C5"/>
    <w:rsid w:val="00AA3589"/>
    <w:rsid w:val="00AA3E3E"/>
    <w:rsid w:val="00AA49F9"/>
    <w:rsid w:val="00AA4ACC"/>
    <w:rsid w:val="00AA4DD7"/>
    <w:rsid w:val="00AA57C6"/>
    <w:rsid w:val="00AA7E3E"/>
    <w:rsid w:val="00AB08E8"/>
    <w:rsid w:val="00AB2673"/>
    <w:rsid w:val="00AB30A2"/>
    <w:rsid w:val="00AB35EB"/>
    <w:rsid w:val="00AB4B47"/>
    <w:rsid w:val="00AB4D04"/>
    <w:rsid w:val="00AB4E31"/>
    <w:rsid w:val="00AB59A1"/>
    <w:rsid w:val="00AB653E"/>
    <w:rsid w:val="00AC1280"/>
    <w:rsid w:val="00AC14D8"/>
    <w:rsid w:val="00AC1A57"/>
    <w:rsid w:val="00AC3EF6"/>
    <w:rsid w:val="00AC4439"/>
    <w:rsid w:val="00AC4B0B"/>
    <w:rsid w:val="00AC7675"/>
    <w:rsid w:val="00AC7D47"/>
    <w:rsid w:val="00AC7E80"/>
    <w:rsid w:val="00AC7EF7"/>
    <w:rsid w:val="00AD0A7F"/>
    <w:rsid w:val="00AD1BBA"/>
    <w:rsid w:val="00AD300F"/>
    <w:rsid w:val="00AD3206"/>
    <w:rsid w:val="00AD3533"/>
    <w:rsid w:val="00AD375B"/>
    <w:rsid w:val="00AD50AA"/>
    <w:rsid w:val="00AD6A35"/>
    <w:rsid w:val="00AD6AB8"/>
    <w:rsid w:val="00AE01B3"/>
    <w:rsid w:val="00AE207A"/>
    <w:rsid w:val="00AE2C8D"/>
    <w:rsid w:val="00AE497B"/>
    <w:rsid w:val="00AE69B4"/>
    <w:rsid w:val="00AE76AF"/>
    <w:rsid w:val="00AF017E"/>
    <w:rsid w:val="00AF16EC"/>
    <w:rsid w:val="00AF2280"/>
    <w:rsid w:val="00AF30AE"/>
    <w:rsid w:val="00AF32EB"/>
    <w:rsid w:val="00AF7D7D"/>
    <w:rsid w:val="00B0094F"/>
    <w:rsid w:val="00B04AA5"/>
    <w:rsid w:val="00B0528C"/>
    <w:rsid w:val="00B074E8"/>
    <w:rsid w:val="00B07700"/>
    <w:rsid w:val="00B07BE3"/>
    <w:rsid w:val="00B10F27"/>
    <w:rsid w:val="00B12541"/>
    <w:rsid w:val="00B1293C"/>
    <w:rsid w:val="00B13523"/>
    <w:rsid w:val="00B13C35"/>
    <w:rsid w:val="00B13DAE"/>
    <w:rsid w:val="00B145B4"/>
    <w:rsid w:val="00B16B46"/>
    <w:rsid w:val="00B246A1"/>
    <w:rsid w:val="00B247C9"/>
    <w:rsid w:val="00B251E8"/>
    <w:rsid w:val="00B259A4"/>
    <w:rsid w:val="00B2695F"/>
    <w:rsid w:val="00B32656"/>
    <w:rsid w:val="00B34A2B"/>
    <w:rsid w:val="00B34E7D"/>
    <w:rsid w:val="00B3639F"/>
    <w:rsid w:val="00B3730E"/>
    <w:rsid w:val="00B37DA6"/>
    <w:rsid w:val="00B37E20"/>
    <w:rsid w:val="00B40AC9"/>
    <w:rsid w:val="00B41C0F"/>
    <w:rsid w:val="00B41E40"/>
    <w:rsid w:val="00B422D1"/>
    <w:rsid w:val="00B42BCB"/>
    <w:rsid w:val="00B43D2A"/>
    <w:rsid w:val="00B45DC9"/>
    <w:rsid w:val="00B462EA"/>
    <w:rsid w:val="00B47148"/>
    <w:rsid w:val="00B510E8"/>
    <w:rsid w:val="00B512CD"/>
    <w:rsid w:val="00B52070"/>
    <w:rsid w:val="00B5282A"/>
    <w:rsid w:val="00B535FA"/>
    <w:rsid w:val="00B548FD"/>
    <w:rsid w:val="00B54CF7"/>
    <w:rsid w:val="00B620F9"/>
    <w:rsid w:val="00B63D3A"/>
    <w:rsid w:val="00B647B9"/>
    <w:rsid w:val="00B64BF0"/>
    <w:rsid w:val="00B6635F"/>
    <w:rsid w:val="00B66A87"/>
    <w:rsid w:val="00B66AF3"/>
    <w:rsid w:val="00B675F0"/>
    <w:rsid w:val="00B679C2"/>
    <w:rsid w:val="00B7013C"/>
    <w:rsid w:val="00B704D2"/>
    <w:rsid w:val="00B71062"/>
    <w:rsid w:val="00B714C1"/>
    <w:rsid w:val="00B71AB8"/>
    <w:rsid w:val="00B722AA"/>
    <w:rsid w:val="00B7240B"/>
    <w:rsid w:val="00B734A2"/>
    <w:rsid w:val="00B75408"/>
    <w:rsid w:val="00B76B59"/>
    <w:rsid w:val="00B8053F"/>
    <w:rsid w:val="00B80931"/>
    <w:rsid w:val="00B8097B"/>
    <w:rsid w:val="00B809E2"/>
    <w:rsid w:val="00B81079"/>
    <w:rsid w:val="00B8124C"/>
    <w:rsid w:val="00B8126A"/>
    <w:rsid w:val="00B81CC9"/>
    <w:rsid w:val="00B8208C"/>
    <w:rsid w:val="00B8267F"/>
    <w:rsid w:val="00B82756"/>
    <w:rsid w:val="00B82F11"/>
    <w:rsid w:val="00B84283"/>
    <w:rsid w:val="00B859D4"/>
    <w:rsid w:val="00B86586"/>
    <w:rsid w:val="00B907E7"/>
    <w:rsid w:val="00B90931"/>
    <w:rsid w:val="00B914B4"/>
    <w:rsid w:val="00B92350"/>
    <w:rsid w:val="00B92579"/>
    <w:rsid w:val="00B93D76"/>
    <w:rsid w:val="00B941CA"/>
    <w:rsid w:val="00B948EA"/>
    <w:rsid w:val="00B95351"/>
    <w:rsid w:val="00B97FF7"/>
    <w:rsid w:val="00BA0B0C"/>
    <w:rsid w:val="00BA114B"/>
    <w:rsid w:val="00BA6D22"/>
    <w:rsid w:val="00BA73B5"/>
    <w:rsid w:val="00BA7CBF"/>
    <w:rsid w:val="00BA7EF8"/>
    <w:rsid w:val="00BB0996"/>
    <w:rsid w:val="00BB0F09"/>
    <w:rsid w:val="00BB14B7"/>
    <w:rsid w:val="00BB1985"/>
    <w:rsid w:val="00BB1BE6"/>
    <w:rsid w:val="00BB2658"/>
    <w:rsid w:val="00BB318F"/>
    <w:rsid w:val="00BB3CFB"/>
    <w:rsid w:val="00BB3EE2"/>
    <w:rsid w:val="00BB5C94"/>
    <w:rsid w:val="00BC1362"/>
    <w:rsid w:val="00BC15EB"/>
    <w:rsid w:val="00BC331F"/>
    <w:rsid w:val="00BC3D8D"/>
    <w:rsid w:val="00BC4531"/>
    <w:rsid w:val="00BC479E"/>
    <w:rsid w:val="00BC5445"/>
    <w:rsid w:val="00BC71DA"/>
    <w:rsid w:val="00BC7832"/>
    <w:rsid w:val="00BC7C75"/>
    <w:rsid w:val="00BD36DF"/>
    <w:rsid w:val="00BD39BA"/>
    <w:rsid w:val="00BD4041"/>
    <w:rsid w:val="00BD4619"/>
    <w:rsid w:val="00BD4D7E"/>
    <w:rsid w:val="00BD5017"/>
    <w:rsid w:val="00BD5B9E"/>
    <w:rsid w:val="00BD6037"/>
    <w:rsid w:val="00BD611D"/>
    <w:rsid w:val="00BE1908"/>
    <w:rsid w:val="00BE3FBD"/>
    <w:rsid w:val="00BE5CB3"/>
    <w:rsid w:val="00BE63B3"/>
    <w:rsid w:val="00BE68F8"/>
    <w:rsid w:val="00BE7391"/>
    <w:rsid w:val="00BE7562"/>
    <w:rsid w:val="00BE7FB0"/>
    <w:rsid w:val="00BE7FD5"/>
    <w:rsid w:val="00BF04E6"/>
    <w:rsid w:val="00BF09DE"/>
    <w:rsid w:val="00BF0E40"/>
    <w:rsid w:val="00BF43AD"/>
    <w:rsid w:val="00BF4ABE"/>
    <w:rsid w:val="00BF5710"/>
    <w:rsid w:val="00BF6A2C"/>
    <w:rsid w:val="00BF6B57"/>
    <w:rsid w:val="00C002FA"/>
    <w:rsid w:val="00C006CB"/>
    <w:rsid w:val="00C01F3C"/>
    <w:rsid w:val="00C025A7"/>
    <w:rsid w:val="00C0338D"/>
    <w:rsid w:val="00C034CB"/>
    <w:rsid w:val="00C04AAF"/>
    <w:rsid w:val="00C062B6"/>
    <w:rsid w:val="00C06307"/>
    <w:rsid w:val="00C06B52"/>
    <w:rsid w:val="00C06F12"/>
    <w:rsid w:val="00C07233"/>
    <w:rsid w:val="00C10BE0"/>
    <w:rsid w:val="00C13308"/>
    <w:rsid w:val="00C13F02"/>
    <w:rsid w:val="00C1471D"/>
    <w:rsid w:val="00C16F21"/>
    <w:rsid w:val="00C16FC0"/>
    <w:rsid w:val="00C17AE3"/>
    <w:rsid w:val="00C17FC8"/>
    <w:rsid w:val="00C211F7"/>
    <w:rsid w:val="00C215A0"/>
    <w:rsid w:val="00C218B6"/>
    <w:rsid w:val="00C21BC1"/>
    <w:rsid w:val="00C21C2B"/>
    <w:rsid w:val="00C233E1"/>
    <w:rsid w:val="00C24013"/>
    <w:rsid w:val="00C253E4"/>
    <w:rsid w:val="00C26A62"/>
    <w:rsid w:val="00C26CE0"/>
    <w:rsid w:val="00C26E54"/>
    <w:rsid w:val="00C274BE"/>
    <w:rsid w:val="00C279C6"/>
    <w:rsid w:val="00C312EA"/>
    <w:rsid w:val="00C327AC"/>
    <w:rsid w:val="00C36ABA"/>
    <w:rsid w:val="00C37D56"/>
    <w:rsid w:val="00C4231B"/>
    <w:rsid w:val="00C42B43"/>
    <w:rsid w:val="00C450C9"/>
    <w:rsid w:val="00C45DBB"/>
    <w:rsid w:val="00C45ED6"/>
    <w:rsid w:val="00C461E2"/>
    <w:rsid w:val="00C46A0A"/>
    <w:rsid w:val="00C46DE8"/>
    <w:rsid w:val="00C4736D"/>
    <w:rsid w:val="00C50E20"/>
    <w:rsid w:val="00C51E76"/>
    <w:rsid w:val="00C535DE"/>
    <w:rsid w:val="00C548CE"/>
    <w:rsid w:val="00C550D6"/>
    <w:rsid w:val="00C55833"/>
    <w:rsid w:val="00C5639A"/>
    <w:rsid w:val="00C578EF"/>
    <w:rsid w:val="00C57EC1"/>
    <w:rsid w:val="00C603AD"/>
    <w:rsid w:val="00C627C6"/>
    <w:rsid w:val="00C62FFD"/>
    <w:rsid w:val="00C654C5"/>
    <w:rsid w:val="00C70683"/>
    <w:rsid w:val="00C712C2"/>
    <w:rsid w:val="00C721A4"/>
    <w:rsid w:val="00C73905"/>
    <w:rsid w:val="00C7423A"/>
    <w:rsid w:val="00C74C25"/>
    <w:rsid w:val="00C75824"/>
    <w:rsid w:val="00C7656F"/>
    <w:rsid w:val="00C76A7D"/>
    <w:rsid w:val="00C76E35"/>
    <w:rsid w:val="00C7775A"/>
    <w:rsid w:val="00C803BE"/>
    <w:rsid w:val="00C808C7"/>
    <w:rsid w:val="00C80FA6"/>
    <w:rsid w:val="00C8281F"/>
    <w:rsid w:val="00C82C5E"/>
    <w:rsid w:val="00C8345B"/>
    <w:rsid w:val="00C83F8C"/>
    <w:rsid w:val="00C84074"/>
    <w:rsid w:val="00C84406"/>
    <w:rsid w:val="00C84897"/>
    <w:rsid w:val="00C85635"/>
    <w:rsid w:val="00C85CF2"/>
    <w:rsid w:val="00C868A6"/>
    <w:rsid w:val="00C93535"/>
    <w:rsid w:val="00C949A8"/>
    <w:rsid w:val="00C9584F"/>
    <w:rsid w:val="00C96B00"/>
    <w:rsid w:val="00C979F8"/>
    <w:rsid w:val="00CA0491"/>
    <w:rsid w:val="00CA1AE6"/>
    <w:rsid w:val="00CA3416"/>
    <w:rsid w:val="00CA3E12"/>
    <w:rsid w:val="00CA563B"/>
    <w:rsid w:val="00CA5B1E"/>
    <w:rsid w:val="00CA7FEB"/>
    <w:rsid w:val="00CB16F8"/>
    <w:rsid w:val="00CB17D2"/>
    <w:rsid w:val="00CB2037"/>
    <w:rsid w:val="00CB212C"/>
    <w:rsid w:val="00CB223B"/>
    <w:rsid w:val="00CB287F"/>
    <w:rsid w:val="00CB2AF1"/>
    <w:rsid w:val="00CB4521"/>
    <w:rsid w:val="00CB6147"/>
    <w:rsid w:val="00CB6D4E"/>
    <w:rsid w:val="00CC003F"/>
    <w:rsid w:val="00CC0771"/>
    <w:rsid w:val="00CC1D57"/>
    <w:rsid w:val="00CC26C2"/>
    <w:rsid w:val="00CC283F"/>
    <w:rsid w:val="00CC64F8"/>
    <w:rsid w:val="00CC7515"/>
    <w:rsid w:val="00CC7661"/>
    <w:rsid w:val="00CC7B0B"/>
    <w:rsid w:val="00CC7F8E"/>
    <w:rsid w:val="00CD0A2E"/>
    <w:rsid w:val="00CD1880"/>
    <w:rsid w:val="00CD1BE0"/>
    <w:rsid w:val="00CD2D6D"/>
    <w:rsid w:val="00CD41A2"/>
    <w:rsid w:val="00CD4C0F"/>
    <w:rsid w:val="00CE04B6"/>
    <w:rsid w:val="00CE14B6"/>
    <w:rsid w:val="00CE163E"/>
    <w:rsid w:val="00CE3CA5"/>
    <w:rsid w:val="00CE5012"/>
    <w:rsid w:val="00CE5687"/>
    <w:rsid w:val="00CE57A9"/>
    <w:rsid w:val="00CE5E0C"/>
    <w:rsid w:val="00CE684F"/>
    <w:rsid w:val="00CE6DCD"/>
    <w:rsid w:val="00CE6E64"/>
    <w:rsid w:val="00CF12F0"/>
    <w:rsid w:val="00CF1817"/>
    <w:rsid w:val="00CF2405"/>
    <w:rsid w:val="00CF2733"/>
    <w:rsid w:val="00CF29E3"/>
    <w:rsid w:val="00CF2A00"/>
    <w:rsid w:val="00CF2F11"/>
    <w:rsid w:val="00CF34F5"/>
    <w:rsid w:val="00CF4666"/>
    <w:rsid w:val="00CF4894"/>
    <w:rsid w:val="00CF5708"/>
    <w:rsid w:val="00CF7576"/>
    <w:rsid w:val="00CF76F2"/>
    <w:rsid w:val="00D02749"/>
    <w:rsid w:val="00D03B10"/>
    <w:rsid w:val="00D04199"/>
    <w:rsid w:val="00D046B4"/>
    <w:rsid w:val="00D051A5"/>
    <w:rsid w:val="00D0643F"/>
    <w:rsid w:val="00D07F3E"/>
    <w:rsid w:val="00D10260"/>
    <w:rsid w:val="00D11093"/>
    <w:rsid w:val="00D13193"/>
    <w:rsid w:val="00D13EF1"/>
    <w:rsid w:val="00D14DF7"/>
    <w:rsid w:val="00D15351"/>
    <w:rsid w:val="00D1572A"/>
    <w:rsid w:val="00D206EE"/>
    <w:rsid w:val="00D22E70"/>
    <w:rsid w:val="00D23468"/>
    <w:rsid w:val="00D239C9"/>
    <w:rsid w:val="00D24AE7"/>
    <w:rsid w:val="00D25AE4"/>
    <w:rsid w:val="00D271A2"/>
    <w:rsid w:val="00D30737"/>
    <w:rsid w:val="00D31148"/>
    <w:rsid w:val="00D327FF"/>
    <w:rsid w:val="00D33BF2"/>
    <w:rsid w:val="00D3448E"/>
    <w:rsid w:val="00D377BE"/>
    <w:rsid w:val="00D378A6"/>
    <w:rsid w:val="00D414B2"/>
    <w:rsid w:val="00D439D4"/>
    <w:rsid w:val="00D44C1D"/>
    <w:rsid w:val="00D46F9A"/>
    <w:rsid w:val="00D47519"/>
    <w:rsid w:val="00D477E0"/>
    <w:rsid w:val="00D50020"/>
    <w:rsid w:val="00D506E2"/>
    <w:rsid w:val="00D515EB"/>
    <w:rsid w:val="00D517FF"/>
    <w:rsid w:val="00D51F10"/>
    <w:rsid w:val="00D52F0A"/>
    <w:rsid w:val="00D546B0"/>
    <w:rsid w:val="00D566AD"/>
    <w:rsid w:val="00D56E11"/>
    <w:rsid w:val="00D56E25"/>
    <w:rsid w:val="00D56E63"/>
    <w:rsid w:val="00D571CD"/>
    <w:rsid w:val="00D57B53"/>
    <w:rsid w:val="00D57E61"/>
    <w:rsid w:val="00D57F25"/>
    <w:rsid w:val="00D61704"/>
    <w:rsid w:val="00D61AE9"/>
    <w:rsid w:val="00D626BC"/>
    <w:rsid w:val="00D62949"/>
    <w:rsid w:val="00D63496"/>
    <w:rsid w:val="00D63898"/>
    <w:rsid w:val="00D646C1"/>
    <w:rsid w:val="00D648A1"/>
    <w:rsid w:val="00D64B10"/>
    <w:rsid w:val="00D65056"/>
    <w:rsid w:val="00D655D6"/>
    <w:rsid w:val="00D6564B"/>
    <w:rsid w:val="00D671F0"/>
    <w:rsid w:val="00D673F5"/>
    <w:rsid w:val="00D711B0"/>
    <w:rsid w:val="00D71289"/>
    <w:rsid w:val="00D712E0"/>
    <w:rsid w:val="00D714BD"/>
    <w:rsid w:val="00D71858"/>
    <w:rsid w:val="00D71A58"/>
    <w:rsid w:val="00D74959"/>
    <w:rsid w:val="00D76364"/>
    <w:rsid w:val="00D76574"/>
    <w:rsid w:val="00D76F20"/>
    <w:rsid w:val="00D81311"/>
    <w:rsid w:val="00D81771"/>
    <w:rsid w:val="00D82188"/>
    <w:rsid w:val="00D84E1C"/>
    <w:rsid w:val="00D84E40"/>
    <w:rsid w:val="00D858AF"/>
    <w:rsid w:val="00D86192"/>
    <w:rsid w:val="00D87F8B"/>
    <w:rsid w:val="00D9430C"/>
    <w:rsid w:val="00D94413"/>
    <w:rsid w:val="00DA0837"/>
    <w:rsid w:val="00DA19D4"/>
    <w:rsid w:val="00DA4412"/>
    <w:rsid w:val="00DA4E80"/>
    <w:rsid w:val="00DA6313"/>
    <w:rsid w:val="00DA7F98"/>
    <w:rsid w:val="00DB0CDC"/>
    <w:rsid w:val="00DB17E5"/>
    <w:rsid w:val="00DB4DD8"/>
    <w:rsid w:val="00DB5369"/>
    <w:rsid w:val="00DB5391"/>
    <w:rsid w:val="00DB5965"/>
    <w:rsid w:val="00DB5C52"/>
    <w:rsid w:val="00DC0ED7"/>
    <w:rsid w:val="00DC260A"/>
    <w:rsid w:val="00DC3416"/>
    <w:rsid w:val="00DC408F"/>
    <w:rsid w:val="00DC4311"/>
    <w:rsid w:val="00DC5327"/>
    <w:rsid w:val="00DC5401"/>
    <w:rsid w:val="00DC60AE"/>
    <w:rsid w:val="00DC6662"/>
    <w:rsid w:val="00DC6E07"/>
    <w:rsid w:val="00DC7BC3"/>
    <w:rsid w:val="00DD0223"/>
    <w:rsid w:val="00DD0A01"/>
    <w:rsid w:val="00DD0F33"/>
    <w:rsid w:val="00DD1018"/>
    <w:rsid w:val="00DD12C8"/>
    <w:rsid w:val="00DD37B0"/>
    <w:rsid w:val="00DD3E37"/>
    <w:rsid w:val="00DD3E78"/>
    <w:rsid w:val="00DD4093"/>
    <w:rsid w:val="00DD4291"/>
    <w:rsid w:val="00DD6493"/>
    <w:rsid w:val="00DD69CB"/>
    <w:rsid w:val="00DD70A0"/>
    <w:rsid w:val="00DD71E7"/>
    <w:rsid w:val="00DE157A"/>
    <w:rsid w:val="00DE1759"/>
    <w:rsid w:val="00DE2BFE"/>
    <w:rsid w:val="00DE460B"/>
    <w:rsid w:val="00DE6C14"/>
    <w:rsid w:val="00DF0DAF"/>
    <w:rsid w:val="00DF121E"/>
    <w:rsid w:val="00DF2D1E"/>
    <w:rsid w:val="00DF3044"/>
    <w:rsid w:val="00DF339C"/>
    <w:rsid w:val="00DF3D88"/>
    <w:rsid w:val="00DF3EC7"/>
    <w:rsid w:val="00DF4054"/>
    <w:rsid w:val="00DF52F3"/>
    <w:rsid w:val="00DF6351"/>
    <w:rsid w:val="00DF6E36"/>
    <w:rsid w:val="00E01476"/>
    <w:rsid w:val="00E015B1"/>
    <w:rsid w:val="00E02AF3"/>
    <w:rsid w:val="00E02FFC"/>
    <w:rsid w:val="00E03636"/>
    <w:rsid w:val="00E044B5"/>
    <w:rsid w:val="00E05961"/>
    <w:rsid w:val="00E06DE7"/>
    <w:rsid w:val="00E07F4C"/>
    <w:rsid w:val="00E11BA7"/>
    <w:rsid w:val="00E124DF"/>
    <w:rsid w:val="00E126B5"/>
    <w:rsid w:val="00E12AF4"/>
    <w:rsid w:val="00E147D7"/>
    <w:rsid w:val="00E14D65"/>
    <w:rsid w:val="00E15CE2"/>
    <w:rsid w:val="00E168F7"/>
    <w:rsid w:val="00E17477"/>
    <w:rsid w:val="00E22BB3"/>
    <w:rsid w:val="00E22CE7"/>
    <w:rsid w:val="00E235F0"/>
    <w:rsid w:val="00E251FD"/>
    <w:rsid w:val="00E25584"/>
    <w:rsid w:val="00E2628B"/>
    <w:rsid w:val="00E2675F"/>
    <w:rsid w:val="00E26EE5"/>
    <w:rsid w:val="00E26FEA"/>
    <w:rsid w:val="00E276ED"/>
    <w:rsid w:val="00E3043C"/>
    <w:rsid w:val="00E30508"/>
    <w:rsid w:val="00E30E97"/>
    <w:rsid w:val="00E31429"/>
    <w:rsid w:val="00E3165A"/>
    <w:rsid w:val="00E31E27"/>
    <w:rsid w:val="00E3237F"/>
    <w:rsid w:val="00E32549"/>
    <w:rsid w:val="00E34FD1"/>
    <w:rsid w:val="00E36638"/>
    <w:rsid w:val="00E37A91"/>
    <w:rsid w:val="00E44321"/>
    <w:rsid w:val="00E44EBE"/>
    <w:rsid w:val="00E4782F"/>
    <w:rsid w:val="00E50E0A"/>
    <w:rsid w:val="00E5128C"/>
    <w:rsid w:val="00E524CE"/>
    <w:rsid w:val="00E529B8"/>
    <w:rsid w:val="00E53A09"/>
    <w:rsid w:val="00E5449E"/>
    <w:rsid w:val="00E55029"/>
    <w:rsid w:val="00E5521C"/>
    <w:rsid w:val="00E55F4A"/>
    <w:rsid w:val="00E566FE"/>
    <w:rsid w:val="00E56AE6"/>
    <w:rsid w:val="00E56F40"/>
    <w:rsid w:val="00E57B5E"/>
    <w:rsid w:val="00E57F3E"/>
    <w:rsid w:val="00E60EC8"/>
    <w:rsid w:val="00E61418"/>
    <w:rsid w:val="00E61E60"/>
    <w:rsid w:val="00E6317F"/>
    <w:rsid w:val="00E635D2"/>
    <w:rsid w:val="00E63B9B"/>
    <w:rsid w:val="00E651EE"/>
    <w:rsid w:val="00E675B3"/>
    <w:rsid w:val="00E71627"/>
    <w:rsid w:val="00E7163A"/>
    <w:rsid w:val="00E739F2"/>
    <w:rsid w:val="00E73BAC"/>
    <w:rsid w:val="00E74120"/>
    <w:rsid w:val="00E743B0"/>
    <w:rsid w:val="00E748E7"/>
    <w:rsid w:val="00E751E3"/>
    <w:rsid w:val="00E75614"/>
    <w:rsid w:val="00E77924"/>
    <w:rsid w:val="00E77B63"/>
    <w:rsid w:val="00E81D2F"/>
    <w:rsid w:val="00E828EB"/>
    <w:rsid w:val="00E849AB"/>
    <w:rsid w:val="00E858D5"/>
    <w:rsid w:val="00E85E14"/>
    <w:rsid w:val="00E86C8F"/>
    <w:rsid w:val="00E87146"/>
    <w:rsid w:val="00E8718C"/>
    <w:rsid w:val="00E902CF"/>
    <w:rsid w:val="00E9079C"/>
    <w:rsid w:val="00E927A1"/>
    <w:rsid w:val="00E93167"/>
    <w:rsid w:val="00E9396A"/>
    <w:rsid w:val="00E93E64"/>
    <w:rsid w:val="00EA0555"/>
    <w:rsid w:val="00EA16F9"/>
    <w:rsid w:val="00EA17C6"/>
    <w:rsid w:val="00EA1A7A"/>
    <w:rsid w:val="00EA1C5B"/>
    <w:rsid w:val="00EA2BB4"/>
    <w:rsid w:val="00EA32FA"/>
    <w:rsid w:val="00EA414F"/>
    <w:rsid w:val="00EA453E"/>
    <w:rsid w:val="00EA4F03"/>
    <w:rsid w:val="00EA5807"/>
    <w:rsid w:val="00EA5ABD"/>
    <w:rsid w:val="00EA6F1A"/>
    <w:rsid w:val="00EA7335"/>
    <w:rsid w:val="00EA7731"/>
    <w:rsid w:val="00EB1DB6"/>
    <w:rsid w:val="00EB2C96"/>
    <w:rsid w:val="00EB2D90"/>
    <w:rsid w:val="00EB3E8B"/>
    <w:rsid w:val="00EB4E90"/>
    <w:rsid w:val="00EB4F09"/>
    <w:rsid w:val="00EC0196"/>
    <w:rsid w:val="00EC17D7"/>
    <w:rsid w:val="00EC1FCF"/>
    <w:rsid w:val="00EC27A9"/>
    <w:rsid w:val="00EC3A29"/>
    <w:rsid w:val="00EC43FA"/>
    <w:rsid w:val="00EC4BC4"/>
    <w:rsid w:val="00EC51C4"/>
    <w:rsid w:val="00ED04C7"/>
    <w:rsid w:val="00ED1323"/>
    <w:rsid w:val="00ED19D9"/>
    <w:rsid w:val="00ED2234"/>
    <w:rsid w:val="00ED396E"/>
    <w:rsid w:val="00ED576F"/>
    <w:rsid w:val="00ED5DC1"/>
    <w:rsid w:val="00ED5E41"/>
    <w:rsid w:val="00ED6611"/>
    <w:rsid w:val="00ED7AFC"/>
    <w:rsid w:val="00EE0499"/>
    <w:rsid w:val="00EE0C86"/>
    <w:rsid w:val="00EE1554"/>
    <w:rsid w:val="00EE1A59"/>
    <w:rsid w:val="00EE2C7D"/>
    <w:rsid w:val="00EE2E48"/>
    <w:rsid w:val="00EE311E"/>
    <w:rsid w:val="00EE3CFA"/>
    <w:rsid w:val="00EE4372"/>
    <w:rsid w:val="00EE5115"/>
    <w:rsid w:val="00EE54A0"/>
    <w:rsid w:val="00EE6D04"/>
    <w:rsid w:val="00EE7A58"/>
    <w:rsid w:val="00EE7CDD"/>
    <w:rsid w:val="00EF1175"/>
    <w:rsid w:val="00EF18AD"/>
    <w:rsid w:val="00EF37E9"/>
    <w:rsid w:val="00EF3985"/>
    <w:rsid w:val="00EF44A7"/>
    <w:rsid w:val="00EF4CEB"/>
    <w:rsid w:val="00EF6004"/>
    <w:rsid w:val="00EF647C"/>
    <w:rsid w:val="00F002BD"/>
    <w:rsid w:val="00F00317"/>
    <w:rsid w:val="00F0235A"/>
    <w:rsid w:val="00F02EE6"/>
    <w:rsid w:val="00F035CB"/>
    <w:rsid w:val="00F10AF9"/>
    <w:rsid w:val="00F11797"/>
    <w:rsid w:val="00F129ED"/>
    <w:rsid w:val="00F15D5E"/>
    <w:rsid w:val="00F17145"/>
    <w:rsid w:val="00F17B88"/>
    <w:rsid w:val="00F204CD"/>
    <w:rsid w:val="00F214F2"/>
    <w:rsid w:val="00F2158F"/>
    <w:rsid w:val="00F21CE9"/>
    <w:rsid w:val="00F2457C"/>
    <w:rsid w:val="00F250D9"/>
    <w:rsid w:val="00F26ECC"/>
    <w:rsid w:val="00F274F4"/>
    <w:rsid w:val="00F31BEE"/>
    <w:rsid w:val="00F321B3"/>
    <w:rsid w:val="00F340BC"/>
    <w:rsid w:val="00F344E0"/>
    <w:rsid w:val="00F3457A"/>
    <w:rsid w:val="00F34AC1"/>
    <w:rsid w:val="00F3691C"/>
    <w:rsid w:val="00F36B0E"/>
    <w:rsid w:val="00F3751E"/>
    <w:rsid w:val="00F4146E"/>
    <w:rsid w:val="00F41A23"/>
    <w:rsid w:val="00F435D2"/>
    <w:rsid w:val="00F44F4B"/>
    <w:rsid w:val="00F459D3"/>
    <w:rsid w:val="00F45BEE"/>
    <w:rsid w:val="00F45F29"/>
    <w:rsid w:val="00F54F67"/>
    <w:rsid w:val="00F55D04"/>
    <w:rsid w:val="00F55F07"/>
    <w:rsid w:val="00F565E8"/>
    <w:rsid w:val="00F56EB1"/>
    <w:rsid w:val="00F577AF"/>
    <w:rsid w:val="00F601FE"/>
    <w:rsid w:val="00F61D95"/>
    <w:rsid w:val="00F6253F"/>
    <w:rsid w:val="00F62C41"/>
    <w:rsid w:val="00F636D0"/>
    <w:rsid w:val="00F6558B"/>
    <w:rsid w:val="00F66722"/>
    <w:rsid w:val="00F67637"/>
    <w:rsid w:val="00F7030E"/>
    <w:rsid w:val="00F70ACD"/>
    <w:rsid w:val="00F71304"/>
    <w:rsid w:val="00F71D54"/>
    <w:rsid w:val="00F72ACE"/>
    <w:rsid w:val="00F75453"/>
    <w:rsid w:val="00F75DA5"/>
    <w:rsid w:val="00F76F16"/>
    <w:rsid w:val="00F76F75"/>
    <w:rsid w:val="00F823EE"/>
    <w:rsid w:val="00F828CA"/>
    <w:rsid w:val="00F82BB8"/>
    <w:rsid w:val="00F85342"/>
    <w:rsid w:val="00F90C2F"/>
    <w:rsid w:val="00F91BA7"/>
    <w:rsid w:val="00F93F9F"/>
    <w:rsid w:val="00F9496A"/>
    <w:rsid w:val="00F950DF"/>
    <w:rsid w:val="00F953B6"/>
    <w:rsid w:val="00F96738"/>
    <w:rsid w:val="00F97E8A"/>
    <w:rsid w:val="00FA0327"/>
    <w:rsid w:val="00FA0EA2"/>
    <w:rsid w:val="00FA186A"/>
    <w:rsid w:val="00FA2805"/>
    <w:rsid w:val="00FA519E"/>
    <w:rsid w:val="00FA51E8"/>
    <w:rsid w:val="00FA6AC1"/>
    <w:rsid w:val="00FA6F83"/>
    <w:rsid w:val="00FB0A5B"/>
    <w:rsid w:val="00FB1D28"/>
    <w:rsid w:val="00FB1D54"/>
    <w:rsid w:val="00FB2383"/>
    <w:rsid w:val="00FB2D94"/>
    <w:rsid w:val="00FB4EF6"/>
    <w:rsid w:val="00FB661E"/>
    <w:rsid w:val="00FB74EC"/>
    <w:rsid w:val="00FC077A"/>
    <w:rsid w:val="00FC1398"/>
    <w:rsid w:val="00FC3998"/>
    <w:rsid w:val="00FC3A67"/>
    <w:rsid w:val="00FC3E5B"/>
    <w:rsid w:val="00FC3F4D"/>
    <w:rsid w:val="00FC53D5"/>
    <w:rsid w:val="00FC568F"/>
    <w:rsid w:val="00FC5866"/>
    <w:rsid w:val="00FC5EF9"/>
    <w:rsid w:val="00FC62B6"/>
    <w:rsid w:val="00FC7CB8"/>
    <w:rsid w:val="00FD0A9D"/>
    <w:rsid w:val="00FD2A1E"/>
    <w:rsid w:val="00FD3DDF"/>
    <w:rsid w:val="00FD486F"/>
    <w:rsid w:val="00FD4B3A"/>
    <w:rsid w:val="00FD5A2D"/>
    <w:rsid w:val="00FD62BF"/>
    <w:rsid w:val="00FD78A6"/>
    <w:rsid w:val="00FD7948"/>
    <w:rsid w:val="00FD7ED5"/>
    <w:rsid w:val="00FE0579"/>
    <w:rsid w:val="00FE0584"/>
    <w:rsid w:val="00FE0657"/>
    <w:rsid w:val="00FE22BA"/>
    <w:rsid w:val="00FE2F96"/>
    <w:rsid w:val="00FE3A03"/>
    <w:rsid w:val="00FE3B9D"/>
    <w:rsid w:val="00FE64FF"/>
    <w:rsid w:val="00FE6D44"/>
    <w:rsid w:val="00FE7EED"/>
    <w:rsid w:val="00FF0ACF"/>
    <w:rsid w:val="00FF189E"/>
    <w:rsid w:val="00FF1DAB"/>
    <w:rsid w:val="00FF2538"/>
    <w:rsid w:val="00FF3F58"/>
    <w:rsid w:val="00FF5E74"/>
    <w:rsid w:val="00FF63B5"/>
    <w:rsid w:val="00FF7134"/>
    <w:rsid w:val="00FF7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23B2"/>
  <w15:chartTrackingRefBased/>
  <w15:docId w15:val="{05439847-A6EE-4A66-A720-CCEFE884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4C"/>
  </w:style>
  <w:style w:type="paragraph" w:styleId="Heading1">
    <w:name w:val="heading 1"/>
    <w:basedOn w:val="Normal"/>
    <w:next w:val="Normal"/>
    <w:link w:val="Heading1Char"/>
    <w:uiPriority w:val="9"/>
    <w:qFormat/>
    <w:rsid w:val="00CE5E0C"/>
    <w:pPr>
      <w:spacing w:after="0"/>
      <w:outlineLvl w:val="0"/>
    </w:pPr>
    <w:rPr>
      <w:b/>
      <w:color w:val="002060"/>
      <w:sz w:val="28"/>
      <w:szCs w:val="28"/>
    </w:rPr>
  </w:style>
  <w:style w:type="paragraph" w:styleId="Heading2">
    <w:name w:val="heading 2"/>
    <w:basedOn w:val="Normal"/>
    <w:next w:val="Normal"/>
    <w:link w:val="Heading2Char"/>
    <w:uiPriority w:val="9"/>
    <w:unhideWhenUsed/>
    <w:qFormat/>
    <w:rsid w:val="002222D6"/>
    <w:pPr>
      <w:spacing w:after="0"/>
      <w:outlineLvl w:val="1"/>
    </w:pPr>
    <w:rPr>
      <w:b/>
      <w:color w:val="002060"/>
      <w:sz w:val="20"/>
      <w:szCs w:val="20"/>
    </w:rPr>
  </w:style>
  <w:style w:type="paragraph" w:styleId="Heading3">
    <w:name w:val="heading 3"/>
    <w:basedOn w:val="Normal"/>
    <w:link w:val="Heading3Char"/>
    <w:uiPriority w:val="9"/>
    <w:unhideWhenUsed/>
    <w:qFormat/>
    <w:rsid w:val="003C7BC3"/>
    <w:pPr>
      <w:widowControl w:val="0"/>
      <w:autoSpaceDE w:val="0"/>
      <w:autoSpaceDN w:val="0"/>
      <w:spacing w:before="18" w:after="0" w:line="240" w:lineRule="auto"/>
      <w:ind w:left="560"/>
      <w:outlineLvl w:val="2"/>
    </w:pPr>
    <w:rPr>
      <w:rFonts w:ascii="Calibri" w:eastAsia="Calibri" w:hAnsi="Calibri" w:cs="Calibri"/>
      <w:b/>
      <w:bCs/>
      <w:i/>
      <w:sz w:val="18"/>
      <w:szCs w:val="18"/>
      <w:lang w:eastAsia="en-GB" w:bidi="en-GB"/>
    </w:rPr>
  </w:style>
  <w:style w:type="paragraph" w:styleId="Heading4">
    <w:name w:val="heading 4"/>
    <w:basedOn w:val="Normal"/>
    <w:next w:val="Normal"/>
    <w:link w:val="Heading4Char"/>
    <w:uiPriority w:val="9"/>
    <w:semiHidden/>
    <w:unhideWhenUsed/>
    <w:qFormat/>
    <w:rsid w:val="00030C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0C5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0C5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0C5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0C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0C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0C"/>
    <w:rPr>
      <w:b/>
      <w:color w:val="002060"/>
      <w:sz w:val="28"/>
      <w:szCs w:val="28"/>
    </w:rPr>
  </w:style>
  <w:style w:type="character" w:customStyle="1" w:styleId="Heading2Char">
    <w:name w:val="Heading 2 Char"/>
    <w:basedOn w:val="DefaultParagraphFont"/>
    <w:link w:val="Heading2"/>
    <w:uiPriority w:val="9"/>
    <w:rsid w:val="002222D6"/>
    <w:rPr>
      <w:b/>
      <w:color w:val="002060"/>
      <w:sz w:val="20"/>
      <w:szCs w:val="20"/>
    </w:rPr>
  </w:style>
  <w:style w:type="table" w:styleId="TableGrid">
    <w:name w:val="Table Grid"/>
    <w:basedOn w:val="TableNormal"/>
    <w:uiPriority w:val="99"/>
    <w:rsid w:val="0064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T1,Table Col Head"/>
    <w:basedOn w:val="Normal"/>
    <w:next w:val="Normal"/>
    <w:link w:val="SubtitleChar"/>
    <w:uiPriority w:val="11"/>
    <w:qFormat/>
    <w:rsid w:val="006462A3"/>
    <w:pPr>
      <w:spacing w:after="0" w:line="240" w:lineRule="auto"/>
      <w:jc w:val="center"/>
    </w:pPr>
    <w:rPr>
      <w:b/>
      <w:sz w:val="18"/>
      <w:szCs w:val="18"/>
    </w:rPr>
  </w:style>
  <w:style w:type="character" w:customStyle="1" w:styleId="SubtitleChar">
    <w:name w:val="Subtitle Char"/>
    <w:aliases w:val="T1 Char,Table Col Head Char"/>
    <w:basedOn w:val="DefaultParagraphFont"/>
    <w:link w:val="Subtitle"/>
    <w:uiPriority w:val="11"/>
    <w:rsid w:val="006462A3"/>
    <w:rPr>
      <w:b/>
      <w:sz w:val="18"/>
      <w:szCs w:val="18"/>
    </w:rPr>
  </w:style>
  <w:style w:type="character" w:styleId="SubtleEmphasis">
    <w:name w:val="Subtle Emphasis"/>
    <w:aliases w:val="Table 2"/>
    <w:uiPriority w:val="19"/>
    <w:rsid w:val="006462A3"/>
  </w:style>
  <w:style w:type="paragraph" w:customStyle="1" w:styleId="T2">
    <w:name w:val="T2"/>
    <w:basedOn w:val="Subtitle"/>
    <w:link w:val="T2Char"/>
    <w:qFormat/>
    <w:rsid w:val="006462A3"/>
    <w:rPr>
      <w:b w:val="0"/>
    </w:rPr>
  </w:style>
  <w:style w:type="paragraph" w:styleId="ListParagraph">
    <w:name w:val="List Paragraph"/>
    <w:basedOn w:val="Normal"/>
    <w:link w:val="ListParagraphChar"/>
    <w:uiPriority w:val="34"/>
    <w:qFormat/>
    <w:rsid w:val="00DA4412"/>
    <w:pPr>
      <w:ind w:left="720"/>
      <w:contextualSpacing/>
    </w:pPr>
  </w:style>
  <w:style w:type="character" w:customStyle="1" w:styleId="T2Char">
    <w:name w:val="T2 Char"/>
    <w:basedOn w:val="SubtitleChar"/>
    <w:link w:val="T2"/>
    <w:rsid w:val="006462A3"/>
    <w:rPr>
      <w:b w:val="0"/>
      <w:sz w:val="18"/>
      <w:szCs w:val="18"/>
    </w:rPr>
  </w:style>
  <w:style w:type="paragraph" w:customStyle="1" w:styleId="Paragraph">
    <w:name w:val="Paragraph"/>
    <w:basedOn w:val="Normal"/>
    <w:link w:val="ParagraphChar"/>
    <w:qFormat/>
    <w:rsid w:val="00DA4412"/>
    <w:pPr>
      <w:spacing w:before="160" w:after="0" w:line="240" w:lineRule="auto"/>
    </w:pPr>
    <w:rPr>
      <w:sz w:val="18"/>
      <w:szCs w:val="18"/>
    </w:rPr>
  </w:style>
  <w:style w:type="character" w:customStyle="1" w:styleId="ParagraphChar">
    <w:name w:val="Paragraph Char"/>
    <w:basedOn w:val="DefaultParagraphFont"/>
    <w:link w:val="Paragraph"/>
    <w:rsid w:val="00DA4412"/>
    <w:rPr>
      <w:sz w:val="18"/>
      <w:szCs w:val="18"/>
    </w:rPr>
  </w:style>
  <w:style w:type="paragraph" w:customStyle="1" w:styleId="ParaBulletStyle">
    <w:name w:val="Para Bullet Style"/>
    <w:basedOn w:val="Paragraph"/>
    <w:link w:val="ParaBulletStyleChar"/>
    <w:qFormat/>
    <w:rsid w:val="00921843"/>
    <w:pPr>
      <w:numPr>
        <w:numId w:val="1"/>
      </w:numPr>
      <w:spacing w:before="80"/>
      <w:ind w:left="714" w:hanging="357"/>
    </w:pPr>
  </w:style>
  <w:style w:type="character" w:customStyle="1" w:styleId="ParaBulletStyleChar">
    <w:name w:val="Para Bullet Style Char"/>
    <w:basedOn w:val="ParagraphChar"/>
    <w:link w:val="ParaBulletStyle"/>
    <w:rsid w:val="00921843"/>
    <w:rPr>
      <w:sz w:val="18"/>
      <w:szCs w:val="18"/>
    </w:rPr>
  </w:style>
  <w:style w:type="paragraph" w:styleId="Header">
    <w:name w:val="header"/>
    <w:basedOn w:val="Normal"/>
    <w:link w:val="HeaderChar"/>
    <w:uiPriority w:val="99"/>
    <w:unhideWhenUsed/>
    <w:rsid w:val="00E34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FD1"/>
  </w:style>
  <w:style w:type="paragraph" w:styleId="Footer">
    <w:name w:val="footer"/>
    <w:basedOn w:val="Normal"/>
    <w:link w:val="FooterChar"/>
    <w:uiPriority w:val="99"/>
    <w:unhideWhenUsed/>
    <w:rsid w:val="00E3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FD1"/>
  </w:style>
  <w:style w:type="paragraph" w:customStyle="1" w:styleId="Style1">
    <w:name w:val="Style1"/>
    <w:basedOn w:val="ListParagraph"/>
    <w:link w:val="Style1Char"/>
    <w:qFormat/>
    <w:rsid w:val="00205633"/>
    <w:pPr>
      <w:numPr>
        <w:numId w:val="2"/>
      </w:numPr>
    </w:pPr>
    <w:rPr>
      <w:b/>
      <w:sz w:val="18"/>
      <w:szCs w:val="18"/>
    </w:rPr>
  </w:style>
  <w:style w:type="character" w:customStyle="1" w:styleId="ListParagraphChar">
    <w:name w:val="List Paragraph Char"/>
    <w:basedOn w:val="DefaultParagraphFont"/>
    <w:link w:val="ListParagraph"/>
    <w:uiPriority w:val="34"/>
    <w:rsid w:val="00205633"/>
  </w:style>
  <w:style w:type="character" w:customStyle="1" w:styleId="Style1Char">
    <w:name w:val="Style1 Char"/>
    <w:basedOn w:val="ListParagraphChar"/>
    <w:link w:val="Style1"/>
    <w:rsid w:val="00205633"/>
    <w:rPr>
      <w:b/>
      <w:sz w:val="18"/>
      <w:szCs w:val="18"/>
    </w:rPr>
  </w:style>
  <w:style w:type="paragraph" w:styleId="BalloonText">
    <w:name w:val="Balloon Text"/>
    <w:basedOn w:val="Normal"/>
    <w:link w:val="BalloonTextChar"/>
    <w:uiPriority w:val="99"/>
    <w:semiHidden/>
    <w:unhideWhenUsed/>
    <w:rsid w:val="003F6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95"/>
    <w:rPr>
      <w:rFonts w:ascii="Segoe UI" w:hAnsi="Segoe UI" w:cs="Segoe UI"/>
      <w:sz w:val="18"/>
      <w:szCs w:val="18"/>
    </w:rPr>
  </w:style>
  <w:style w:type="character" w:styleId="CommentReference">
    <w:name w:val="annotation reference"/>
    <w:basedOn w:val="DefaultParagraphFont"/>
    <w:uiPriority w:val="99"/>
    <w:semiHidden/>
    <w:unhideWhenUsed/>
    <w:rsid w:val="00215E7D"/>
    <w:rPr>
      <w:sz w:val="16"/>
      <w:szCs w:val="16"/>
    </w:rPr>
  </w:style>
  <w:style w:type="paragraph" w:styleId="CommentText">
    <w:name w:val="annotation text"/>
    <w:basedOn w:val="Normal"/>
    <w:link w:val="CommentTextChar"/>
    <w:uiPriority w:val="99"/>
    <w:semiHidden/>
    <w:unhideWhenUsed/>
    <w:rsid w:val="00215E7D"/>
    <w:pPr>
      <w:spacing w:line="240" w:lineRule="auto"/>
    </w:pPr>
    <w:rPr>
      <w:sz w:val="20"/>
      <w:szCs w:val="20"/>
    </w:rPr>
  </w:style>
  <w:style w:type="character" w:customStyle="1" w:styleId="CommentTextChar">
    <w:name w:val="Comment Text Char"/>
    <w:basedOn w:val="DefaultParagraphFont"/>
    <w:link w:val="CommentText"/>
    <w:uiPriority w:val="99"/>
    <w:semiHidden/>
    <w:rsid w:val="00215E7D"/>
    <w:rPr>
      <w:sz w:val="20"/>
      <w:szCs w:val="20"/>
    </w:rPr>
  </w:style>
  <w:style w:type="paragraph" w:styleId="CommentSubject">
    <w:name w:val="annotation subject"/>
    <w:basedOn w:val="CommentText"/>
    <w:next w:val="CommentText"/>
    <w:link w:val="CommentSubjectChar"/>
    <w:uiPriority w:val="99"/>
    <w:semiHidden/>
    <w:unhideWhenUsed/>
    <w:rsid w:val="00215E7D"/>
    <w:rPr>
      <w:b/>
      <w:bCs/>
    </w:rPr>
  </w:style>
  <w:style w:type="character" w:customStyle="1" w:styleId="CommentSubjectChar">
    <w:name w:val="Comment Subject Char"/>
    <w:basedOn w:val="CommentTextChar"/>
    <w:link w:val="CommentSubject"/>
    <w:uiPriority w:val="99"/>
    <w:semiHidden/>
    <w:rsid w:val="00215E7D"/>
    <w:rPr>
      <w:b/>
      <w:bCs/>
      <w:sz w:val="20"/>
      <w:szCs w:val="20"/>
    </w:rPr>
  </w:style>
  <w:style w:type="paragraph" w:styleId="Revision">
    <w:name w:val="Revision"/>
    <w:hidden/>
    <w:uiPriority w:val="99"/>
    <w:semiHidden/>
    <w:rsid w:val="006E1E13"/>
    <w:pPr>
      <w:spacing w:after="0" w:line="240" w:lineRule="auto"/>
    </w:pPr>
  </w:style>
  <w:style w:type="paragraph" w:customStyle="1" w:styleId="Default">
    <w:name w:val="Default"/>
    <w:rsid w:val="006910FB"/>
    <w:pPr>
      <w:autoSpaceDE w:val="0"/>
      <w:autoSpaceDN w:val="0"/>
      <w:adjustRightInd w:val="0"/>
      <w:spacing w:after="0" w:line="240" w:lineRule="auto"/>
    </w:pPr>
    <w:rPr>
      <w:rFonts w:ascii="Verdana" w:eastAsia="Times New Roman" w:hAnsi="Verdana" w:cs="Times New Roman"/>
      <w:sz w:val="20"/>
      <w:szCs w:val="20"/>
      <w:lang w:val="en-US"/>
    </w:rPr>
  </w:style>
  <w:style w:type="character" w:styleId="Hyperlink">
    <w:name w:val="Hyperlink"/>
    <w:basedOn w:val="DefaultParagraphFont"/>
    <w:rsid w:val="006910FB"/>
    <w:rPr>
      <w:rFonts w:cs="Times New Roman"/>
      <w:color w:val="0000FF"/>
      <w:u w:val="single"/>
    </w:rPr>
  </w:style>
  <w:style w:type="character" w:customStyle="1" w:styleId="Heading3Char">
    <w:name w:val="Heading 3 Char"/>
    <w:basedOn w:val="DefaultParagraphFont"/>
    <w:link w:val="Heading3"/>
    <w:uiPriority w:val="9"/>
    <w:rsid w:val="003C7BC3"/>
    <w:rPr>
      <w:rFonts w:ascii="Calibri" w:eastAsia="Calibri" w:hAnsi="Calibri" w:cs="Calibri"/>
      <w:b/>
      <w:bCs/>
      <w:i/>
      <w:sz w:val="18"/>
      <w:szCs w:val="18"/>
      <w:lang w:eastAsia="en-GB" w:bidi="en-GB"/>
    </w:rPr>
  </w:style>
  <w:style w:type="paragraph" w:styleId="BodyText">
    <w:name w:val="Body Text"/>
    <w:basedOn w:val="Normal"/>
    <w:link w:val="BodyTextChar"/>
    <w:uiPriority w:val="1"/>
    <w:qFormat/>
    <w:rsid w:val="003C7BC3"/>
    <w:pPr>
      <w:widowControl w:val="0"/>
      <w:autoSpaceDE w:val="0"/>
      <w:autoSpaceDN w:val="0"/>
      <w:spacing w:before="4" w:after="0" w:line="240" w:lineRule="auto"/>
    </w:pPr>
    <w:rPr>
      <w:rFonts w:eastAsia="Calibri" w:cstheme="minorHAnsi"/>
      <w:sz w:val="18"/>
      <w:szCs w:val="18"/>
      <w:lang w:eastAsia="en-GB" w:bidi="en-GB"/>
    </w:rPr>
  </w:style>
  <w:style w:type="character" w:customStyle="1" w:styleId="BodyTextChar">
    <w:name w:val="Body Text Char"/>
    <w:basedOn w:val="DefaultParagraphFont"/>
    <w:link w:val="BodyText"/>
    <w:uiPriority w:val="1"/>
    <w:rsid w:val="003C7BC3"/>
    <w:rPr>
      <w:rFonts w:eastAsia="Calibri" w:cstheme="minorHAnsi"/>
      <w:sz w:val="18"/>
      <w:szCs w:val="18"/>
      <w:lang w:eastAsia="en-GB" w:bidi="en-GB"/>
    </w:rPr>
  </w:style>
  <w:style w:type="paragraph" w:customStyle="1" w:styleId="TableParagraph">
    <w:name w:val="Table Paragraph"/>
    <w:basedOn w:val="Normal"/>
    <w:uiPriority w:val="1"/>
    <w:qFormat/>
    <w:rsid w:val="003C7BC3"/>
    <w:pPr>
      <w:widowControl w:val="0"/>
      <w:autoSpaceDE w:val="0"/>
      <w:autoSpaceDN w:val="0"/>
      <w:spacing w:after="0" w:line="240" w:lineRule="auto"/>
    </w:pPr>
    <w:rPr>
      <w:rFonts w:ascii="Calibri" w:eastAsia="Calibri" w:hAnsi="Calibri" w:cs="Calibri"/>
      <w:lang w:eastAsia="en-GB" w:bidi="en-GB"/>
    </w:rPr>
  </w:style>
  <w:style w:type="table" w:customStyle="1" w:styleId="TableGrid1">
    <w:name w:val="Table Grid1"/>
    <w:basedOn w:val="TableNormal"/>
    <w:next w:val="TableGrid"/>
    <w:uiPriority w:val="39"/>
    <w:rsid w:val="003C7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Head">
    <w:name w:val="Table Row Head"/>
    <w:basedOn w:val="T2"/>
    <w:link w:val="TableRowHeadChar"/>
    <w:qFormat/>
    <w:rsid w:val="003C7BC3"/>
    <w:pPr>
      <w:jc w:val="left"/>
    </w:pPr>
  </w:style>
  <w:style w:type="character" w:customStyle="1" w:styleId="TableRowHeadChar">
    <w:name w:val="Table Row Head Char"/>
    <w:basedOn w:val="T2Char"/>
    <w:link w:val="TableRowHead"/>
    <w:rsid w:val="003C7BC3"/>
    <w:rPr>
      <w:b w:val="0"/>
      <w:sz w:val="18"/>
      <w:szCs w:val="18"/>
    </w:rPr>
  </w:style>
  <w:style w:type="paragraph" w:customStyle="1" w:styleId="TableComments">
    <w:name w:val="Table Comments"/>
    <w:basedOn w:val="Normal"/>
    <w:link w:val="TableCommentsChar"/>
    <w:qFormat/>
    <w:rsid w:val="003C7BC3"/>
    <w:pPr>
      <w:widowControl w:val="0"/>
      <w:autoSpaceDE w:val="0"/>
      <w:autoSpaceDN w:val="0"/>
      <w:spacing w:after="0" w:line="240" w:lineRule="auto"/>
      <w:ind w:left="307" w:right="738"/>
    </w:pPr>
    <w:rPr>
      <w:rFonts w:ascii="Calibri" w:eastAsia="Calibri" w:hAnsi="Calibri" w:cs="Calibri"/>
      <w:sz w:val="16"/>
      <w:szCs w:val="18"/>
      <w:lang w:eastAsia="en-GB" w:bidi="en-GB"/>
    </w:rPr>
  </w:style>
  <w:style w:type="character" w:customStyle="1" w:styleId="TableCommentsChar">
    <w:name w:val="Table Comments Char"/>
    <w:basedOn w:val="T2Char"/>
    <w:link w:val="TableComments"/>
    <w:rsid w:val="003C7BC3"/>
    <w:rPr>
      <w:rFonts w:ascii="Calibri" w:eastAsia="Calibri" w:hAnsi="Calibri" w:cs="Calibri"/>
      <w:b w:val="0"/>
      <w:sz w:val="16"/>
      <w:szCs w:val="18"/>
      <w:lang w:eastAsia="en-GB" w:bidi="en-GB"/>
    </w:rPr>
  </w:style>
  <w:style w:type="character" w:styleId="Strong">
    <w:name w:val="Strong"/>
    <w:basedOn w:val="DefaultParagraphFont"/>
    <w:uiPriority w:val="22"/>
    <w:qFormat/>
    <w:rsid w:val="003C7BC3"/>
    <w:rPr>
      <w:b/>
      <w:bCs/>
    </w:rPr>
  </w:style>
  <w:style w:type="character" w:styleId="FollowedHyperlink">
    <w:name w:val="FollowedHyperlink"/>
    <w:basedOn w:val="DefaultParagraphFont"/>
    <w:uiPriority w:val="99"/>
    <w:semiHidden/>
    <w:unhideWhenUsed/>
    <w:rsid w:val="003C7BC3"/>
    <w:rPr>
      <w:color w:val="954F72" w:themeColor="followedHyperlink"/>
      <w:u w:val="single"/>
    </w:rPr>
  </w:style>
  <w:style w:type="numbering" w:customStyle="1" w:styleId="NoList1">
    <w:name w:val="No List1"/>
    <w:next w:val="NoList"/>
    <w:uiPriority w:val="99"/>
    <w:semiHidden/>
    <w:unhideWhenUsed/>
    <w:rsid w:val="003C7BC3"/>
  </w:style>
  <w:style w:type="character" w:customStyle="1" w:styleId="be">
    <w:name w:val="be"/>
    <w:basedOn w:val="DefaultParagraphFont"/>
    <w:rsid w:val="00A72827"/>
  </w:style>
  <w:style w:type="paragraph" w:customStyle="1" w:styleId="SectionH2">
    <w:name w:val="Section H2"/>
    <w:basedOn w:val="Normal"/>
    <w:link w:val="SectionH2Char"/>
    <w:qFormat/>
    <w:rsid w:val="002663ED"/>
    <w:pPr>
      <w:spacing w:line="240" w:lineRule="auto"/>
    </w:pPr>
    <w:rPr>
      <w:rFonts w:ascii="Calibri" w:eastAsia="Calibri" w:hAnsi="Calibri" w:cs="Arial"/>
      <w:b/>
      <w:sz w:val="20"/>
      <w:szCs w:val="18"/>
      <w:lang w:eastAsia="en-GB" w:bidi="en-GB"/>
    </w:rPr>
  </w:style>
  <w:style w:type="paragraph" w:customStyle="1" w:styleId="SectionH3">
    <w:name w:val="Section H3"/>
    <w:basedOn w:val="Normal"/>
    <w:link w:val="SectionH3Char"/>
    <w:qFormat/>
    <w:rsid w:val="008B4F3E"/>
    <w:pPr>
      <w:widowControl w:val="0"/>
      <w:autoSpaceDE w:val="0"/>
      <w:autoSpaceDN w:val="0"/>
      <w:spacing w:after="120" w:line="240" w:lineRule="auto"/>
      <w:jc w:val="both"/>
    </w:pPr>
    <w:rPr>
      <w:rFonts w:ascii="Calibri" w:eastAsia="Calibri" w:hAnsi="Calibri" w:cs="Arial"/>
      <w:b/>
      <w:bCs/>
      <w:sz w:val="18"/>
      <w:szCs w:val="18"/>
      <w:lang w:val="en-US" w:eastAsia="en-GB" w:bidi="en-GB"/>
    </w:rPr>
  </w:style>
  <w:style w:type="character" w:customStyle="1" w:styleId="SectionH2Char">
    <w:name w:val="Section H2 Char"/>
    <w:basedOn w:val="DefaultParagraphFont"/>
    <w:link w:val="SectionH2"/>
    <w:rsid w:val="002663ED"/>
    <w:rPr>
      <w:rFonts w:ascii="Calibri" w:eastAsia="Calibri" w:hAnsi="Calibri" w:cs="Arial"/>
      <w:b/>
      <w:sz w:val="20"/>
      <w:szCs w:val="18"/>
      <w:lang w:eastAsia="en-GB" w:bidi="en-GB"/>
    </w:rPr>
  </w:style>
  <w:style w:type="character" w:customStyle="1" w:styleId="SectionH3Char">
    <w:name w:val="Section H3 Char"/>
    <w:basedOn w:val="DefaultParagraphFont"/>
    <w:link w:val="SectionH3"/>
    <w:rsid w:val="008B4F3E"/>
    <w:rPr>
      <w:rFonts w:ascii="Calibri" w:eastAsia="Calibri" w:hAnsi="Calibri" w:cs="Arial"/>
      <w:b/>
      <w:bCs/>
      <w:sz w:val="18"/>
      <w:szCs w:val="18"/>
      <w:lang w:val="en-US" w:eastAsia="en-GB" w:bidi="en-GB"/>
    </w:rPr>
  </w:style>
  <w:style w:type="paragraph" w:customStyle="1" w:styleId="Body">
    <w:name w:val="Body"/>
    <w:rsid w:val="00AA12F9"/>
    <w:pPr>
      <w:pBdr>
        <w:top w:val="nil"/>
        <w:left w:val="nil"/>
        <w:bottom w:val="nil"/>
        <w:right w:val="nil"/>
        <w:between w:val="nil"/>
        <w:bar w:val="nil"/>
      </w:pBdr>
    </w:pPr>
    <w:rPr>
      <w:rFonts w:ascii="Calibri" w:eastAsia="Arial Unicode MS" w:hAnsi="Calibri" w:cs="Arial Unicode MS"/>
      <w:color w:val="000000"/>
      <w:u w:color="000000"/>
      <w:bdr w:val="nil"/>
      <w:lang w:val="pt-PT" w:eastAsia="en-GB"/>
      <w14:textOutline w14:w="0" w14:cap="flat" w14:cmpd="sng" w14:algn="ctr">
        <w14:noFill/>
        <w14:prstDash w14:val="solid"/>
        <w14:bevel/>
      </w14:textOutline>
    </w:rPr>
  </w:style>
  <w:style w:type="paragraph" w:styleId="NormalWeb">
    <w:name w:val="Normal (Web)"/>
    <w:basedOn w:val="Normal"/>
    <w:uiPriority w:val="99"/>
    <w:semiHidden/>
    <w:unhideWhenUsed/>
    <w:rsid w:val="00A530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ibliography">
    <w:name w:val="Bibliography"/>
    <w:basedOn w:val="Normal"/>
    <w:next w:val="Normal"/>
    <w:uiPriority w:val="37"/>
    <w:semiHidden/>
    <w:unhideWhenUsed/>
    <w:rsid w:val="00030C54"/>
  </w:style>
  <w:style w:type="paragraph" w:styleId="BlockText">
    <w:name w:val="Block Text"/>
    <w:basedOn w:val="Normal"/>
    <w:uiPriority w:val="99"/>
    <w:semiHidden/>
    <w:unhideWhenUsed/>
    <w:rsid w:val="00030C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030C54"/>
    <w:pPr>
      <w:spacing w:after="120" w:line="480" w:lineRule="auto"/>
    </w:pPr>
  </w:style>
  <w:style w:type="character" w:customStyle="1" w:styleId="BodyText2Char">
    <w:name w:val="Body Text 2 Char"/>
    <w:basedOn w:val="DefaultParagraphFont"/>
    <w:link w:val="BodyText2"/>
    <w:uiPriority w:val="99"/>
    <w:semiHidden/>
    <w:rsid w:val="00030C54"/>
  </w:style>
  <w:style w:type="paragraph" w:styleId="BodyText3">
    <w:name w:val="Body Text 3"/>
    <w:basedOn w:val="Normal"/>
    <w:link w:val="BodyText3Char"/>
    <w:uiPriority w:val="99"/>
    <w:semiHidden/>
    <w:unhideWhenUsed/>
    <w:rsid w:val="00030C54"/>
    <w:pPr>
      <w:spacing w:after="120"/>
    </w:pPr>
    <w:rPr>
      <w:sz w:val="16"/>
      <w:szCs w:val="16"/>
    </w:rPr>
  </w:style>
  <w:style w:type="character" w:customStyle="1" w:styleId="BodyText3Char">
    <w:name w:val="Body Text 3 Char"/>
    <w:basedOn w:val="DefaultParagraphFont"/>
    <w:link w:val="BodyText3"/>
    <w:uiPriority w:val="99"/>
    <w:semiHidden/>
    <w:rsid w:val="00030C54"/>
    <w:rPr>
      <w:sz w:val="16"/>
      <w:szCs w:val="16"/>
    </w:rPr>
  </w:style>
  <w:style w:type="paragraph" w:styleId="BodyTextFirstIndent">
    <w:name w:val="Body Text First Indent"/>
    <w:basedOn w:val="BodyText"/>
    <w:link w:val="BodyTextFirstIndentChar"/>
    <w:uiPriority w:val="99"/>
    <w:semiHidden/>
    <w:unhideWhenUsed/>
    <w:rsid w:val="00030C54"/>
    <w:pPr>
      <w:widowControl/>
      <w:autoSpaceDE/>
      <w:autoSpaceDN/>
      <w:spacing w:before="0" w:after="160" w:line="259" w:lineRule="auto"/>
      <w:ind w:firstLine="360"/>
    </w:pPr>
    <w:rPr>
      <w:rFonts w:eastAsiaTheme="minorHAnsi" w:cstheme="minorBidi"/>
      <w:sz w:val="22"/>
      <w:szCs w:val="22"/>
      <w:lang w:eastAsia="en-US" w:bidi="ar-SA"/>
    </w:rPr>
  </w:style>
  <w:style w:type="character" w:customStyle="1" w:styleId="BodyTextFirstIndentChar">
    <w:name w:val="Body Text First Indent Char"/>
    <w:basedOn w:val="BodyTextChar"/>
    <w:link w:val="BodyTextFirstIndent"/>
    <w:uiPriority w:val="99"/>
    <w:semiHidden/>
    <w:rsid w:val="00030C54"/>
    <w:rPr>
      <w:rFonts w:eastAsia="Calibri" w:cstheme="minorHAnsi"/>
      <w:sz w:val="18"/>
      <w:szCs w:val="18"/>
      <w:lang w:eastAsia="en-GB" w:bidi="en-GB"/>
    </w:rPr>
  </w:style>
  <w:style w:type="paragraph" w:styleId="BodyTextIndent">
    <w:name w:val="Body Text Indent"/>
    <w:basedOn w:val="Normal"/>
    <w:link w:val="BodyTextIndentChar"/>
    <w:uiPriority w:val="99"/>
    <w:semiHidden/>
    <w:unhideWhenUsed/>
    <w:rsid w:val="00030C54"/>
    <w:pPr>
      <w:spacing w:after="120"/>
      <w:ind w:left="283"/>
    </w:pPr>
  </w:style>
  <w:style w:type="character" w:customStyle="1" w:styleId="BodyTextIndentChar">
    <w:name w:val="Body Text Indent Char"/>
    <w:basedOn w:val="DefaultParagraphFont"/>
    <w:link w:val="BodyTextIndent"/>
    <w:uiPriority w:val="99"/>
    <w:semiHidden/>
    <w:rsid w:val="00030C54"/>
  </w:style>
  <w:style w:type="paragraph" w:styleId="BodyTextFirstIndent2">
    <w:name w:val="Body Text First Indent 2"/>
    <w:basedOn w:val="BodyTextIndent"/>
    <w:link w:val="BodyTextFirstIndent2Char"/>
    <w:uiPriority w:val="99"/>
    <w:semiHidden/>
    <w:unhideWhenUsed/>
    <w:rsid w:val="00030C5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0C54"/>
  </w:style>
  <w:style w:type="paragraph" w:styleId="BodyTextIndent2">
    <w:name w:val="Body Text Indent 2"/>
    <w:basedOn w:val="Normal"/>
    <w:link w:val="BodyTextIndent2Char"/>
    <w:uiPriority w:val="99"/>
    <w:semiHidden/>
    <w:unhideWhenUsed/>
    <w:rsid w:val="00030C54"/>
    <w:pPr>
      <w:spacing w:after="120" w:line="480" w:lineRule="auto"/>
      <w:ind w:left="283"/>
    </w:pPr>
  </w:style>
  <w:style w:type="character" w:customStyle="1" w:styleId="BodyTextIndent2Char">
    <w:name w:val="Body Text Indent 2 Char"/>
    <w:basedOn w:val="DefaultParagraphFont"/>
    <w:link w:val="BodyTextIndent2"/>
    <w:uiPriority w:val="99"/>
    <w:semiHidden/>
    <w:rsid w:val="00030C54"/>
  </w:style>
  <w:style w:type="paragraph" w:styleId="BodyTextIndent3">
    <w:name w:val="Body Text Indent 3"/>
    <w:basedOn w:val="Normal"/>
    <w:link w:val="BodyTextIndent3Char"/>
    <w:uiPriority w:val="99"/>
    <w:semiHidden/>
    <w:unhideWhenUsed/>
    <w:rsid w:val="00030C5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0C54"/>
    <w:rPr>
      <w:sz w:val="16"/>
      <w:szCs w:val="16"/>
    </w:rPr>
  </w:style>
  <w:style w:type="paragraph" w:styleId="Caption">
    <w:name w:val="caption"/>
    <w:basedOn w:val="Normal"/>
    <w:next w:val="Normal"/>
    <w:uiPriority w:val="35"/>
    <w:semiHidden/>
    <w:unhideWhenUsed/>
    <w:qFormat/>
    <w:rsid w:val="00030C5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30C54"/>
    <w:pPr>
      <w:spacing w:after="0" w:line="240" w:lineRule="auto"/>
      <w:ind w:left="4252"/>
    </w:pPr>
  </w:style>
  <w:style w:type="character" w:customStyle="1" w:styleId="ClosingChar">
    <w:name w:val="Closing Char"/>
    <w:basedOn w:val="DefaultParagraphFont"/>
    <w:link w:val="Closing"/>
    <w:uiPriority w:val="99"/>
    <w:semiHidden/>
    <w:rsid w:val="00030C54"/>
  </w:style>
  <w:style w:type="paragraph" w:styleId="Date">
    <w:name w:val="Date"/>
    <w:basedOn w:val="Normal"/>
    <w:next w:val="Normal"/>
    <w:link w:val="DateChar"/>
    <w:uiPriority w:val="99"/>
    <w:semiHidden/>
    <w:unhideWhenUsed/>
    <w:rsid w:val="00030C54"/>
  </w:style>
  <w:style w:type="character" w:customStyle="1" w:styleId="DateChar">
    <w:name w:val="Date Char"/>
    <w:basedOn w:val="DefaultParagraphFont"/>
    <w:link w:val="Date"/>
    <w:uiPriority w:val="99"/>
    <w:semiHidden/>
    <w:rsid w:val="00030C54"/>
  </w:style>
  <w:style w:type="paragraph" w:styleId="DocumentMap">
    <w:name w:val="Document Map"/>
    <w:basedOn w:val="Normal"/>
    <w:link w:val="DocumentMapChar"/>
    <w:uiPriority w:val="99"/>
    <w:semiHidden/>
    <w:unhideWhenUsed/>
    <w:rsid w:val="00030C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0C54"/>
    <w:rPr>
      <w:rFonts w:ascii="Segoe UI" w:hAnsi="Segoe UI" w:cs="Segoe UI"/>
      <w:sz w:val="16"/>
      <w:szCs w:val="16"/>
    </w:rPr>
  </w:style>
  <w:style w:type="paragraph" w:styleId="E-mailSignature">
    <w:name w:val="E-mail Signature"/>
    <w:basedOn w:val="Normal"/>
    <w:link w:val="E-mailSignatureChar"/>
    <w:uiPriority w:val="99"/>
    <w:semiHidden/>
    <w:unhideWhenUsed/>
    <w:rsid w:val="00030C54"/>
    <w:pPr>
      <w:spacing w:after="0" w:line="240" w:lineRule="auto"/>
    </w:pPr>
  </w:style>
  <w:style w:type="character" w:customStyle="1" w:styleId="E-mailSignatureChar">
    <w:name w:val="E-mail Signature Char"/>
    <w:basedOn w:val="DefaultParagraphFont"/>
    <w:link w:val="E-mailSignature"/>
    <w:uiPriority w:val="99"/>
    <w:semiHidden/>
    <w:rsid w:val="00030C54"/>
  </w:style>
  <w:style w:type="paragraph" w:styleId="EndnoteText">
    <w:name w:val="endnote text"/>
    <w:basedOn w:val="Normal"/>
    <w:link w:val="EndnoteTextChar"/>
    <w:uiPriority w:val="99"/>
    <w:semiHidden/>
    <w:unhideWhenUsed/>
    <w:rsid w:val="00030C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0C54"/>
    <w:rPr>
      <w:sz w:val="20"/>
      <w:szCs w:val="20"/>
    </w:rPr>
  </w:style>
  <w:style w:type="paragraph" w:styleId="EnvelopeAddress">
    <w:name w:val="envelope address"/>
    <w:basedOn w:val="Normal"/>
    <w:uiPriority w:val="99"/>
    <w:semiHidden/>
    <w:unhideWhenUsed/>
    <w:rsid w:val="00030C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0C5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30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C54"/>
    <w:rPr>
      <w:sz w:val="20"/>
      <w:szCs w:val="20"/>
    </w:rPr>
  </w:style>
  <w:style w:type="character" w:customStyle="1" w:styleId="Heading4Char">
    <w:name w:val="Heading 4 Char"/>
    <w:basedOn w:val="DefaultParagraphFont"/>
    <w:link w:val="Heading4"/>
    <w:uiPriority w:val="9"/>
    <w:semiHidden/>
    <w:rsid w:val="00030C5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0C5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0C5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0C5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0C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0C5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30C54"/>
    <w:pPr>
      <w:spacing w:after="0" w:line="240" w:lineRule="auto"/>
    </w:pPr>
    <w:rPr>
      <w:i/>
      <w:iCs/>
    </w:rPr>
  </w:style>
  <w:style w:type="character" w:customStyle="1" w:styleId="HTMLAddressChar">
    <w:name w:val="HTML Address Char"/>
    <w:basedOn w:val="DefaultParagraphFont"/>
    <w:link w:val="HTMLAddress"/>
    <w:uiPriority w:val="99"/>
    <w:semiHidden/>
    <w:rsid w:val="00030C54"/>
    <w:rPr>
      <w:i/>
      <w:iCs/>
    </w:rPr>
  </w:style>
  <w:style w:type="paragraph" w:styleId="HTMLPreformatted">
    <w:name w:val="HTML Preformatted"/>
    <w:basedOn w:val="Normal"/>
    <w:link w:val="HTMLPreformattedChar"/>
    <w:uiPriority w:val="99"/>
    <w:semiHidden/>
    <w:unhideWhenUsed/>
    <w:rsid w:val="00030C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0C54"/>
    <w:rPr>
      <w:rFonts w:ascii="Consolas" w:hAnsi="Consolas"/>
      <w:sz w:val="20"/>
      <w:szCs w:val="20"/>
    </w:rPr>
  </w:style>
  <w:style w:type="paragraph" w:styleId="Index1">
    <w:name w:val="index 1"/>
    <w:basedOn w:val="Normal"/>
    <w:next w:val="Normal"/>
    <w:autoRedefine/>
    <w:uiPriority w:val="99"/>
    <w:semiHidden/>
    <w:unhideWhenUsed/>
    <w:rsid w:val="00030C54"/>
    <w:pPr>
      <w:spacing w:after="0" w:line="240" w:lineRule="auto"/>
      <w:ind w:left="220" w:hanging="220"/>
    </w:pPr>
  </w:style>
  <w:style w:type="paragraph" w:styleId="Index2">
    <w:name w:val="index 2"/>
    <w:basedOn w:val="Normal"/>
    <w:next w:val="Normal"/>
    <w:autoRedefine/>
    <w:uiPriority w:val="99"/>
    <w:semiHidden/>
    <w:unhideWhenUsed/>
    <w:rsid w:val="00030C54"/>
    <w:pPr>
      <w:spacing w:after="0" w:line="240" w:lineRule="auto"/>
      <w:ind w:left="440" w:hanging="220"/>
    </w:pPr>
  </w:style>
  <w:style w:type="paragraph" w:styleId="Index3">
    <w:name w:val="index 3"/>
    <w:basedOn w:val="Normal"/>
    <w:next w:val="Normal"/>
    <w:autoRedefine/>
    <w:uiPriority w:val="99"/>
    <w:semiHidden/>
    <w:unhideWhenUsed/>
    <w:rsid w:val="00030C54"/>
    <w:pPr>
      <w:spacing w:after="0" w:line="240" w:lineRule="auto"/>
      <w:ind w:left="660" w:hanging="220"/>
    </w:pPr>
  </w:style>
  <w:style w:type="paragraph" w:styleId="Index4">
    <w:name w:val="index 4"/>
    <w:basedOn w:val="Normal"/>
    <w:next w:val="Normal"/>
    <w:autoRedefine/>
    <w:uiPriority w:val="99"/>
    <w:semiHidden/>
    <w:unhideWhenUsed/>
    <w:rsid w:val="00030C54"/>
    <w:pPr>
      <w:spacing w:after="0" w:line="240" w:lineRule="auto"/>
      <w:ind w:left="880" w:hanging="220"/>
    </w:pPr>
  </w:style>
  <w:style w:type="paragraph" w:styleId="Index5">
    <w:name w:val="index 5"/>
    <w:basedOn w:val="Normal"/>
    <w:next w:val="Normal"/>
    <w:autoRedefine/>
    <w:uiPriority w:val="99"/>
    <w:semiHidden/>
    <w:unhideWhenUsed/>
    <w:rsid w:val="00030C54"/>
    <w:pPr>
      <w:spacing w:after="0" w:line="240" w:lineRule="auto"/>
      <w:ind w:left="1100" w:hanging="220"/>
    </w:pPr>
  </w:style>
  <w:style w:type="paragraph" w:styleId="Index6">
    <w:name w:val="index 6"/>
    <w:basedOn w:val="Normal"/>
    <w:next w:val="Normal"/>
    <w:autoRedefine/>
    <w:uiPriority w:val="99"/>
    <w:semiHidden/>
    <w:unhideWhenUsed/>
    <w:rsid w:val="00030C54"/>
    <w:pPr>
      <w:spacing w:after="0" w:line="240" w:lineRule="auto"/>
      <w:ind w:left="1320" w:hanging="220"/>
    </w:pPr>
  </w:style>
  <w:style w:type="paragraph" w:styleId="Index7">
    <w:name w:val="index 7"/>
    <w:basedOn w:val="Normal"/>
    <w:next w:val="Normal"/>
    <w:autoRedefine/>
    <w:uiPriority w:val="99"/>
    <w:semiHidden/>
    <w:unhideWhenUsed/>
    <w:rsid w:val="00030C54"/>
    <w:pPr>
      <w:spacing w:after="0" w:line="240" w:lineRule="auto"/>
      <w:ind w:left="1540" w:hanging="220"/>
    </w:pPr>
  </w:style>
  <w:style w:type="paragraph" w:styleId="Index8">
    <w:name w:val="index 8"/>
    <w:basedOn w:val="Normal"/>
    <w:next w:val="Normal"/>
    <w:autoRedefine/>
    <w:uiPriority w:val="99"/>
    <w:semiHidden/>
    <w:unhideWhenUsed/>
    <w:rsid w:val="00030C54"/>
    <w:pPr>
      <w:spacing w:after="0" w:line="240" w:lineRule="auto"/>
      <w:ind w:left="1760" w:hanging="220"/>
    </w:pPr>
  </w:style>
  <w:style w:type="paragraph" w:styleId="Index9">
    <w:name w:val="index 9"/>
    <w:basedOn w:val="Normal"/>
    <w:next w:val="Normal"/>
    <w:autoRedefine/>
    <w:uiPriority w:val="99"/>
    <w:semiHidden/>
    <w:unhideWhenUsed/>
    <w:rsid w:val="00030C54"/>
    <w:pPr>
      <w:spacing w:after="0" w:line="240" w:lineRule="auto"/>
      <w:ind w:left="1980" w:hanging="220"/>
    </w:pPr>
  </w:style>
  <w:style w:type="paragraph" w:styleId="IndexHeading">
    <w:name w:val="index heading"/>
    <w:basedOn w:val="Normal"/>
    <w:next w:val="Index1"/>
    <w:uiPriority w:val="99"/>
    <w:semiHidden/>
    <w:unhideWhenUsed/>
    <w:rsid w:val="00030C5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030C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0C54"/>
    <w:rPr>
      <w:i/>
      <w:iCs/>
      <w:color w:val="4472C4" w:themeColor="accent1"/>
    </w:rPr>
  </w:style>
  <w:style w:type="paragraph" w:styleId="List">
    <w:name w:val="List"/>
    <w:basedOn w:val="Normal"/>
    <w:uiPriority w:val="99"/>
    <w:semiHidden/>
    <w:unhideWhenUsed/>
    <w:rsid w:val="00030C54"/>
    <w:pPr>
      <w:ind w:left="283" w:hanging="283"/>
      <w:contextualSpacing/>
    </w:pPr>
  </w:style>
  <w:style w:type="paragraph" w:styleId="List2">
    <w:name w:val="List 2"/>
    <w:basedOn w:val="Normal"/>
    <w:uiPriority w:val="99"/>
    <w:semiHidden/>
    <w:unhideWhenUsed/>
    <w:rsid w:val="00030C54"/>
    <w:pPr>
      <w:ind w:left="566" w:hanging="283"/>
      <w:contextualSpacing/>
    </w:pPr>
  </w:style>
  <w:style w:type="paragraph" w:styleId="List3">
    <w:name w:val="List 3"/>
    <w:basedOn w:val="Normal"/>
    <w:uiPriority w:val="99"/>
    <w:semiHidden/>
    <w:unhideWhenUsed/>
    <w:rsid w:val="00030C54"/>
    <w:pPr>
      <w:ind w:left="849" w:hanging="283"/>
      <w:contextualSpacing/>
    </w:pPr>
  </w:style>
  <w:style w:type="paragraph" w:styleId="List4">
    <w:name w:val="List 4"/>
    <w:basedOn w:val="Normal"/>
    <w:uiPriority w:val="99"/>
    <w:semiHidden/>
    <w:unhideWhenUsed/>
    <w:rsid w:val="00030C54"/>
    <w:pPr>
      <w:ind w:left="1132" w:hanging="283"/>
      <w:contextualSpacing/>
    </w:pPr>
  </w:style>
  <w:style w:type="paragraph" w:styleId="List5">
    <w:name w:val="List 5"/>
    <w:basedOn w:val="Normal"/>
    <w:uiPriority w:val="99"/>
    <w:semiHidden/>
    <w:unhideWhenUsed/>
    <w:rsid w:val="00030C54"/>
    <w:pPr>
      <w:ind w:left="1415" w:hanging="283"/>
      <w:contextualSpacing/>
    </w:pPr>
  </w:style>
  <w:style w:type="paragraph" w:styleId="ListBullet">
    <w:name w:val="List Bullet"/>
    <w:basedOn w:val="Normal"/>
    <w:uiPriority w:val="99"/>
    <w:semiHidden/>
    <w:unhideWhenUsed/>
    <w:rsid w:val="00030C54"/>
    <w:pPr>
      <w:numPr>
        <w:numId w:val="10"/>
      </w:numPr>
      <w:contextualSpacing/>
    </w:pPr>
  </w:style>
  <w:style w:type="paragraph" w:styleId="ListBullet2">
    <w:name w:val="List Bullet 2"/>
    <w:basedOn w:val="Normal"/>
    <w:uiPriority w:val="99"/>
    <w:semiHidden/>
    <w:unhideWhenUsed/>
    <w:rsid w:val="00030C54"/>
    <w:pPr>
      <w:numPr>
        <w:numId w:val="11"/>
      </w:numPr>
      <w:contextualSpacing/>
    </w:pPr>
  </w:style>
  <w:style w:type="paragraph" w:styleId="ListBullet3">
    <w:name w:val="List Bullet 3"/>
    <w:basedOn w:val="Normal"/>
    <w:uiPriority w:val="99"/>
    <w:semiHidden/>
    <w:unhideWhenUsed/>
    <w:rsid w:val="00030C54"/>
    <w:pPr>
      <w:numPr>
        <w:numId w:val="12"/>
      </w:numPr>
      <w:contextualSpacing/>
    </w:pPr>
  </w:style>
  <w:style w:type="paragraph" w:styleId="ListBullet4">
    <w:name w:val="List Bullet 4"/>
    <w:basedOn w:val="Normal"/>
    <w:uiPriority w:val="99"/>
    <w:semiHidden/>
    <w:unhideWhenUsed/>
    <w:rsid w:val="00030C54"/>
    <w:pPr>
      <w:numPr>
        <w:numId w:val="13"/>
      </w:numPr>
      <w:contextualSpacing/>
    </w:pPr>
  </w:style>
  <w:style w:type="paragraph" w:styleId="ListBullet5">
    <w:name w:val="List Bullet 5"/>
    <w:basedOn w:val="Normal"/>
    <w:uiPriority w:val="99"/>
    <w:semiHidden/>
    <w:unhideWhenUsed/>
    <w:rsid w:val="00030C54"/>
    <w:pPr>
      <w:numPr>
        <w:numId w:val="14"/>
      </w:numPr>
      <w:contextualSpacing/>
    </w:pPr>
  </w:style>
  <w:style w:type="paragraph" w:styleId="ListContinue">
    <w:name w:val="List Continue"/>
    <w:basedOn w:val="Normal"/>
    <w:uiPriority w:val="99"/>
    <w:semiHidden/>
    <w:unhideWhenUsed/>
    <w:rsid w:val="00030C54"/>
    <w:pPr>
      <w:spacing w:after="120"/>
      <w:ind w:left="283"/>
      <w:contextualSpacing/>
    </w:pPr>
  </w:style>
  <w:style w:type="paragraph" w:styleId="ListContinue2">
    <w:name w:val="List Continue 2"/>
    <w:basedOn w:val="Normal"/>
    <w:uiPriority w:val="99"/>
    <w:semiHidden/>
    <w:unhideWhenUsed/>
    <w:rsid w:val="00030C54"/>
    <w:pPr>
      <w:spacing w:after="120"/>
      <w:ind w:left="566"/>
      <w:contextualSpacing/>
    </w:pPr>
  </w:style>
  <w:style w:type="paragraph" w:styleId="ListContinue3">
    <w:name w:val="List Continue 3"/>
    <w:basedOn w:val="Normal"/>
    <w:uiPriority w:val="99"/>
    <w:semiHidden/>
    <w:unhideWhenUsed/>
    <w:rsid w:val="00030C54"/>
    <w:pPr>
      <w:spacing w:after="120"/>
      <w:ind w:left="849"/>
      <w:contextualSpacing/>
    </w:pPr>
  </w:style>
  <w:style w:type="paragraph" w:styleId="ListContinue4">
    <w:name w:val="List Continue 4"/>
    <w:basedOn w:val="Normal"/>
    <w:uiPriority w:val="99"/>
    <w:semiHidden/>
    <w:unhideWhenUsed/>
    <w:rsid w:val="00030C54"/>
    <w:pPr>
      <w:spacing w:after="120"/>
      <w:ind w:left="1132"/>
      <w:contextualSpacing/>
    </w:pPr>
  </w:style>
  <w:style w:type="paragraph" w:styleId="ListContinue5">
    <w:name w:val="List Continue 5"/>
    <w:basedOn w:val="Normal"/>
    <w:uiPriority w:val="99"/>
    <w:semiHidden/>
    <w:unhideWhenUsed/>
    <w:rsid w:val="00030C54"/>
    <w:pPr>
      <w:spacing w:after="120"/>
      <w:ind w:left="1415"/>
      <w:contextualSpacing/>
    </w:pPr>
  </w:style>
  <w:style w:type="paragraph" w:styleId="ListNumber">
    <w:name w:val="List Number"/>
    <w:basedOn w:val="Normal"/>
    <w:uiPriority w:val="99"/>
    <w:semiHidden/>
    <w:unhideWhenUsed/>
    <w:rsid w:val="00030C54"/>
    <w:pPr>
      <w:numPr>
        <w:numId w:val="15"/>
      </w:numPr>
      <w:contextualSpacing/>
    </w:pPr>
  </w:style>
  <w:style w:type="paragraph" w:styleId="ListNumber2">
    <w:name w:val="List Number 2"/>
    <w:basedOn w:val="Normal"/>
    <w:uiPriority w:val="99"/>
    <w:semiHidden/>
    <w:unhideWhenUsed/>
    <w:rsid w:val="00030C54"/>
    <w:pPr>
      <w:numPr>
        <w:numId w:val="16"/>
      </w:numPr>
      <w:contextualSpacing/>
    </w:pPr>
  </w:style>
  <w:style w:type="paragraph" w:styleId="ListNumber3">
    <w:name w:val="List Number 3"/>
    <w:basedOn w:val="Normal"/>
    <w:uiPriority w:val="99"/>
    <w:semiHidden/>
    <w:unhideWhenUsed/>
    <w:rsid w:val="00030C54"/>
    <w:pPr>
      <w:numPr>
        <w:numId w:val="17"/>
      </w:numPr>
      <w:contextualSpacing/>
    </w:pPr>
  </w:style>
  <w:style w:type="paragraph" w:styleId="ListNumber4">
    <w:name w:val="List Number 4"/>
    <w:basedOn w:val="Normal"/>
    <w:uiPriority w:val="99"/>
    <w:semiHidden/>
    <w:unhideWhenUsed/>
    <w:rsid w:val="00030C54"/>
    <w:pPr>
      <w:numPr>
        <w:numId w:val="18"/>
      </w:numPr>
      <w:contextualSpacing/>
    </w:pPr>
  </w:style>
  <w:style w:type="paragraph" w:styleId="ListNumber5">
    <w:name w:val="List Number 5"/>
    <w:basedOn w:val="Normal"/>
    <w:uiPriority w:val="99"/>
    <w:semiHidden/>
    <w:unhideWhenUsed/>
    <w:rsid w:val="00030C54"/>
    <w:pPr>
      <w:numPr>
        <w:numId w:val="19"/>
      </w:numPr>
      <w:contextualSpacing/>
    </w:pPr>
  </w:style>
  <w:style w:type="paragraph" w:styleId="MacroText">
    <w:name w:val="macro"/>
    <w:link w:val="MacroTextChar"/>
    <w:uiPriority w:val="99"/>
    <w:semiHidden/>
    <w:unhideWhenUsed/>
    <w:rsid w:val="00030C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0C54"/>
    <w:rPr>
      <w:rFonts w:ascii="Consolas" w:hAnsi="Consolas"/>
      <w:sz w:val="20"/>
      <w:szCs w:val="20"/>
    </w:rPr>
  </w:style>
  <w:style w:type="paragraph" w:styleId="MessageHeader">
    <w:name w:val="Message Header"/>
    <w:basedOn w:val="Normal"/>
    <w:link w:val="MessageHeaderChar"/>
    <w:uiPriority w:val="99"/>
    <w:semiHidden/>
    <w:unhideWhenUsed/>
    <w:rsid w:val="00030C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0C54"/>
    <w:rPr>
      <w:rFonts w:asciiTheme="majorHAnsi" w:eastAsiaTheme="majorEastAsia" w:hAnsiTheme="majorHAnsi" w:cstheme="majorBidi"/>
      <w:sz w:val="24"/>
      <w:szCs w:val="24"/>
      <w:shd w:val="pct20" w:color="auto" w:fill="auto"/>
    </w:rPr>
  </w:style>
  <w:style w:type="paragraph" w:styleId="NoSpacing">
    <w:name w:val="No Spacing"/>
    <w:uiPriority w:val="1"/>
    <w:qFormat/>
    <w:rsid w:val="00030C54"/>
    <w:pPr>
      <w:spacing w:after="0" w:line="240" w:lineRule="auto"/>
    </w:pPr>
  </w:style>
  <w:style w:type="paragraph" w:styleId="NormalIndent">
    <w:name w:val="Normal Indent"/>
    <w:basedOn w:val="Normal"/>
    <w:uiPriority w:val="99"/>
    <w:semiHidden/>
    <w:unhideWhenUsed/>
    <w:rsid w:val="00030C54"/>
    <w:pPr>
      <w:ind w:left="720"/>
    </w:pPr>
  </w:style>
  <w:style w:type="paragraph" w:styleId="NoteHeading">
    <w:name w:val="Note Heading"/>
    <w:basedOn w:val="Normal"/>
    <w:next w:val="Normal"/>
    <w:link w:val="NoteHeadingChar"/>
    <w:uiPriority w:val="99"/>
    <w:semiHidden/>
    <w:unhideWhenUsed/>
    <w:rsid w:val="00030C54"/>
    <w:pPr>
      <w:spacing w:after="0" w:line="240" w:lineRule="auto"/>
    </w:pPr>
  </w:style>
  <w:style w:type="character" w:customStyle="1" w:styleId="NoteHeadingChar">
    <w:name w:val="Note Heading Char"/>
    <w:basedOn w:val="DefaultParagraphFont"/>
    <w:link w:val="NoteHeading"/>
    <w:uiPriority w:val="99"/>
    <w:semiHidden/>
    <w:rsid w:val="00030C54"/>
  </w:style>
  <w:style w:type="paragraph" w:styleId="PlainText">
    <w:name w:val="Plain Text"/>
    <w:basedOn w:val="Normal"/>
    <w:link w:val="PlainTextChar"/>
    <w:uiPriority w:val="99"/>
    <w:semiHidden/>
    <w:unhideWhenUsed/>
    <w:rsid w:val="00030C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0C54"/>
    <w:rPr>
      <w:rFonts w:ascii="Consolas" w:hAnsi="Consolas"/>
      <w:sz w:val="21"/>
      <w:szCs w:val="21"/>
    </w:rPr>
  </w:style>
  <w:style w:type="paragraph" w:styleId="Quote">
    <w:name w:val="Quote"/>
    <w:basedOn w:val="Normal"/>
    <w:next w:val="Normal"/>
    <w:link w:val="QuoteChar"/>
    <w:uiPriority w:val="29"/>
    <w:rsid w:val="00030C5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0C54"/>
    <w:rPr>
      <w:i/>
      <w:iCs/>
      <w:color w:val="404040" w:themeColor="text1" w:themeTint="BF"/>
    </w:rPr>
  </w:style>
  <w:style w:type="paragraph" w:styleId="Salutation">
    <w:name w:val="Salutation"/>
    <w:basedOn w:val="Normal"/>
    <w:next w:val="Normal"/>
    <w:link w:val="SalutationChar"/>
    <w:uiPriority w:val="99"/>
    <w:semiHidden/>
    <w:unhideWhenUsed/>
    <w:rsid w:val="00030C54"/>
  </w:style>
  <w:style w:type="character" w:customStyle="1" w:styleId="SalutationChar">
    <w:name w:val="Salutation Char"/>
    <w:basedOn w:val="DefaultParagraphFont"/>
    <w:link w:val="Salutation"/>
    <w:uiPriority w:val="99"/>
    <w:semiHidden/>
    <w:rsid w:val="00030C54"/>
  </w:style>
  <w:style w:type="paragraph" w:styleId="Signature">
    <w:name w:val="Signature"/>
    <w:basedOn w:val="Normal"/>
    <w:link w:val="SignatureChar"/>
    <w:uiPriority w:val="99"/>
    <w:semiHidden/>
    <w:unhideWhenUsed/>
    <w:rsid w:val="00030C54"/>
    <w:pPr>
      <w:spacing w:after="0" w:line="240" w:lineRule="auto"/>
      <w:ind w:left="4252"/>
    </w:pPr>
  </w:style>
  <w:style w:type="character" w:customStyle="1" w:styleId="SignatureChar">
    <w:name w:val="Signature Char"/>
    <w:basedOn w:val="DefaultParagraphFont"/>
    <w:link w:val="Signature"/>
    <w:uiPriority w:val="99"/>
    <w:semiHidden/>
    <w:rsid w:val="00030C54"/>
  </w:style>
  <w:style w:type="paragraph" w:styleId="TableofAuthorities">
    <w:name w:val="table of authorities"/>
    <w:basedOn w:val="Normal"/>
    <w:next w:val="Normal"/>
    <w:uiPriority w:val="99"/>
    <w:semiHidden/>
    <w:unhideWhenUsed/>
    <w:rsid w:val="00030C54"/>
    <w:pPr>
      <w:spacing w:after="0"/>
      <w:ind w:left="220" w:hanging="220"/>
    </w:pPr>
  </w:style>
  <w:style w:type="paragraph" w:styleId="TableofFigures">
    <w:name w:val="table of figures"/>
    <w:basedOn w:val="Normal"/>
    <w:next w:val="Normal"/>
    <w:uiPriority w:val="99"/>
    <w:semiHidden/>
    <w:unhideWhenUsed/>
    <w:rsid w:val="00030C54"/>
    <w:pPr>
      <w:spacing w:after="0"/>
    </w:pPr>
  </w:style>
  <w:style w:type="paragraph" w:styleId="Title">
    <w:name w:val="Title"/>
    <w:basedOn w:val="Normal"/>
    <w:next w:val="Normal"/>
    <w:link w:val="TitleChar"/>
    <w:uiPriority w:val="10"/>
    <w:qFormat/>
    <w:rsid w:val="00030C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C5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30C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30C54"/>
    <w:pPr>
      <w:spacing w:after="100"/>
    </w:pPr>
  </w:style>
  <w:style w:type="paragraph" w:styleId="TOC2">
    <w:name w:val="toc 2"/>
    <w:basedOn w:val="Normal"/>
    <w:next w:val="Normal"/>
    <w:autoRedefine/>
    <w:uiPriority w:val="39"/>
    <w:semiHidden/>
    <w:unhideWhenUsed/>
    <w:rsid w:val="00030C54"/>
    <w:pPr>
      <w:spacing w:after="100"/>
      <w:ind w:left="220"/>
    </w:pPr>
  </w:style>
  <w:style w:type="paragraph" w:styleId="TOC3">
    <w:name w:val="toc 3"/>
    <w:basedOn w:val="Normal"/>
    <w:next w:val="Normal"/>
    <w:autoRedefine/>
    <w:uiPriority w:val="39"/>
    <w:semiHidden/>
    <w:unhideWhenUsed/>
    <w:rsid w:val="00030C54"/>
    <w:pPr>
      <w:spacing w:after="100"/>
      <w:ind w:left="440"/>
    </w:pPr>
  </w:style>
  <w:style w:type="paragraph" w:styleId="TOC4">
    <w:name w:val="toc 4"/>
    <w:basedOn w:val="Normal"/>
    <w:next w:val="Normal"/>
    <w:autoRedefine/>
    <w:uiPriority w:val="39"/>
    <w:semiHidden/>
    <w:unhideWhenUsed/>
    <w:rsid w:val="00030C54"/>
    <w:pPr>
      <w:spacing w:after="100"/>
      <w:ind w:left="660"/>
    </w:pPr>
  </w:style>
  <w:style w:type="paragraph" w:styleId="TOC5">
    <w:name w:val="toc 5"/>
    <w:basedOn w:val="Normal"/>
    <w:next w:val="Normal"/>
    <w:autoRedefine/>
    <w:uiPriority w:val="39"/>
    <w:semiHidden/>
    <w:unhideWhenUsed/>
    <w:rsid w:val="00030C54"/>
    <w:pPr>
      <w:spacing w:after="100"/>
      <w:ind w:left="880"/>
    </w:pPr>
  </w:style>
  <w:style w:type="paragraph" w:styleId="TOC6">
    <w:name w:val="toc 6"/>
    <w:basedOn w:val="Normal"/>
    <w:next w:val="Normal"/>
    <w:autoRedefine/>
    <w:uiPriority w:val="39"/>
    <w:semiHidden/>
    <w:unhideWhenUsed/>
    <w:rsid w:val="00030C54"/>
    <w:pPr>
      <w:spacing w:after="100"/>
      <w:ind w:left="1100"/>
    </w:pPr>
  </w:style>
  <w:style w:type="paragraph" w:styleId="TOC7">
    <w:name w:val="toc 7"/>
    <w:basedOn w:val="Normal"/>
    <w:next w:val="Normal"/>
    <w:autoRedefine/>
    <w:uiPriority w:val="39"/>
    <w:semiHidden/>
    <w:unhideWhenUsed/>
    <w:rsid w:val="00030C54"/>
    <w:pPr>
      <w:spacing w:after="100"/>
      <w:ind w:left="1320"/>
    </w:pPr>
  </w:style>
  <w:style w:type="paragraph" w:styleId="TOC8">
    <w:name w:val="toc 8"/>
    <w:basedOn w:val="Normal"/>
    <w:next w:val="Normal"/>
    <w:autoRedefine/>
    <w:uiPriority w:val="39"/>
    <w:semiHidden/>
    <w:unhideWhenUsed/>
    <w:rsid w:val="00030C54"/>
    <w:pPr>
      <w:spacing w:after="100"/>
      <w:ind w:left="1540"/>
    </w:pPr>
  </w:style>
  <w:style w:type="paragraph" w:styleId="TOC9">
    <w:name w:val="toc 9"/>
    <w:basedOn w:val="Normal"/>
    <w:next w:val="Normal"/>
    <w:autoRedefine/>
    <w:uiPriority w:val="39"/>
    <w:semiHidden/>
    <w:unhideWhenUsed/>
    <w:rsid w:val="00030C54"/>
    <w:pPr>
      <w:spacing w:after="100"/>
      <w:ind w:left="1760"/>
    </w:pPr>
  </w:style>
  <w:style w:type="paragraph" w:styleId="TOCHeading">
    <w:name w:val="TOC Heading"/>
    <w:basedOn w:val="Heading1"/>
    <w:next w:val="Normal"/>
    <w:uiPriority w:val="39"/>
    <w:semiHidden/>
    <w:unhideWhenUsed/>
    <w:qFormat/>
    <w:rsid w:val="00030C54"/>
    <w:pPr>
      <w:keepNext/>
      <w:keepLines/>
      <w:spacing w:before="240"/>
      <w:outlineLvl w:val="9"/>
    </w:pPr>
    <w:rPr>
      <w:rFonts w:asciiTheme="majorHAnsi" w:eastAsiaTheme="majorEastAsia" w:hAnsiTheme="majorHAnsi" w:cstheme="majorBidi"/>
      <w:b w:val="0"/>
      <w:color w:val="2F5496" w:themeColor="accent1" w:themeShade="BF"/>
      <w:sz w:val="32"/>
      <w:szCs w:val="32"/>
    </w:rPr>
  </w:style>
  <w:style w:type="character" w:styleId="UnresolvedMention">
    <w:name w:val="Unresolved Mention"/>
    <w:basedOn w:val="DefaultParagraphFont"/>
    <w:uiPriority w:val="99"/>
    <w:semiHidden/>
    <w:unhideWhenUsed/>
    <w:rsid w:val="007D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0707">
      <w:bodyDiv w:val="1"/>
      <w:marLeft w:val="0"/>
      <w:marRight w:val="0"/>
      <w:marTop w:val="0"/>
      <w:marBottom w:val="0"/>
      <w:divBdr>
        <w:top w:val="none" w:sz="0" w:space="0" w:color="auto"/>
        <w:left w:val="none" w:sz="0" w:space="0" w:color="auto"/>
        <w:bottom w:val="none" w:sz="0" w:space="0" w:color="auto"/>
        <w:right w:val="none" w:sz="0" w:space="0" w:color="auto"/>
      </w:divBdr>
    </w:div>
    <w:div w:id="87123890">
      <w:bodyDiv w:val="1"/>
      <w:marLeft w:val="0"/>
      <w:marRight w:val="0"/>
      <w:marTop w:val="0"/>
      <w:marBottom w:val="0"/>
      <w:divBdr>
        <w:top w:val="none" w:sz="0" w:space="0" w:color="auto"/>
        <w:left w:val="none" w:sz="0" w:space="0" w:color="auto"/>
        <w:bottom w:val="none" w:sz="0" w:space="0" w:color="auto"/>
        <w:right w:val="none" w:sz="0" w:space="0" w:color="auto"/>
      </w:divBdr>
    </w:div>
    <w:div w:id="119031325">
      <w:bodyDiv w:val="1"/>
      <w:marLeft w:val="0"/>
      <w:marRight w:val="0"/>
      <w:marTop w:val="0"/>
      <w:marBottom w:val="0"/>
      <w:divBdr>
        <w:top w:val="none" w:sz="0" w:space="0" w:color="auto"/>
        <w:left w:val="none" w:sz="0" w:space="0" w:color="auto"/>
        <w:bottom w:val="none" w:sz="0" w:space="0" w:color="auto"/>
        <w:right w:val="none" w:sz="0" w:space="0" w:color="auto"/>
      </w:divBdr>
    </w:div>
    <w:div w:id="193201844">
      <w:bodyDiv w:val="1"/>
      <w:marLeft w:val="0"/>
      <w:marRight w:val="0"/>
      <w:marTop w:val="0"/>
      <w:marBottom w:val="0"/>
      <w:divBdr>
        <w:top w:val="none" w:sz="0" w:space="0" w:color="auto"/>
        <w:left w:val="none" w:sz="0" w:space="0" w:color="auto"/>
        <w:bottom w:val="none" w:sz="0" w:space="0" w:color="auto"/>
        <w:right w:val="none" w:sz="0" w:space="0" w:color="auto"/>
      </w:divBdr>
      <w:divsChild>
        <w:div w:id="1388457085">
          <w:marLeft w:val="446"/>
          <w:marRight w:val="0"/>
          <w:marTop w:val="0"/>
          <w:marBottom w:val="0"/>
          <w:divBdr>
            <w:top w:val="none" w:sz="0" w:space="0" w:color="auto"/>
            <w:left w:val="none" w:sz="0" w:space="0" w:color="auto"/>
            <w:bottom w:val="none" w:sz="0" w:space="0" w:color="auto"/>
            <w:right w:val="none" w:sz="0" w:space="0" w:color="auto"/>
          </w:divBdr>
        </w:div>
        <w:div w:id="469176785">
          <w:marLeft w:val="446"/>
          <w:marRight w:val="0"/>
          <w:marTop w:val="0"/>
          <w:marBottom w:val="0"/>
          <w:divBdr>
            <w:top w:val="none" w:sz="0" w:space="0" w:color="auto"/>
            <w:left w:val="none" w:sz="0" w:space="0" w:color="auto"/>
            <w:bottom w:val="none" w:sz="0" w:space="0" w:color="auto"/>
            <w:right w:val="none" w:sz="0" w:space="0" w:color="auto"/>
          </w:divBdr>
        </w:div>
      </w:divsChild>
    </w:div>
    <w:div w:id="255793188">
      <w:bodyDiv w:val="1"/>
      <w:marLeft w:val="0"/>
      <w:marRight w:val="0"/>
      <w:marTop w:val="0"/>
      <w:marBottom w:val="0"/>
      <w:divBdr>
        <w:top w:val="none" w:sz="0" w:space="0" w:color="auto"/>
        <w:left w:val="none" w:sz="0" w:space="0" w:color="auto"/>
        <w:bottom w:val="none" w:sz="0" w:space="0" w:color="auto"/>
        <w:right w:val="none" w:sz="0" w:space="0" w:color="auto"/>
      </w:divBdr>
    </w:div>
    <w:div w:id="276375888">
      <w:bodyDiv w:val="1"/>
      <w:marLeft w:val="0"/>
      <w:marRight w:val="0"/>
      <w:marTop w:val="0"/>
      <w:marBottom w:val="0"/>
      <w:divBdr>
        <w:top w:val="none" w:sz="0" w:space="0" w:color="auto"/>
        <w:left w:val="none" w:sz="0" w:space="0" w:color="auto"/>
        <w:bottom w:val="none" w:sz="0" w:space="0" w:color="auto"/>
        <w:right w:val="none" w:sz="0" w:space="0" w:color="auto"/>
      </w:divBdr>
    </w:div>
    <w:div w:id="288821639">
      <w:bodyDiv w:val="1"/>
      <w:marLeft w:val="0"/>
      <w:marRight w:val="0"/>
      <w:marTop w:val="0"/>
      <w:marBottom w:val="0"/>
      <w:divBdr>
        <w:top w:val="none" w:sz="0" w:space="0" w:color="auto"/>
        <w:left w:val="none" w:sz="0" w:space="0" w:color="auto"/>
        <w:bottom w:val="none" w:sz="0" w:space="0" w:color="auto"/>
        <w:right w:val="none" w:sz="0" w:space="0" w:color="auto"/>
      </w:divBdr>
    </w:div>
    <w:div w:id="322853975">
      <w:bodyDiv w:val="1"/>
      <w:marLeft w:val="0"/>
      <w:marRight w:val="0"/>
      <w:marTop w:val="0"/>
      <w:marBottom w:val="0"/>
      <w:divBdr>
        <w:top w:val="none" w:sz="0" w:space="0" w:color="auto"/>
        <w:left w:val="none" w:sz="0" w:space="0" w:color="auto"/>
        <w:bottom w:val="none" w:sz="0" w:space="0" w:color="auto"/>
        <w:right w:val="none" w:sz="0" w:space="0" w:color="auto"/>
      </w:divBdr>
    </w:div>
    <w:div w:id="342367187">
      <w:bodyDiv w:val="1"/>
      <w:marLeft w:val="0"/>
      <w:marRight w:val="0"/>
      <w:marTop w:val="0"/>
      <w:marBottom w:val="0"/>
      <w:divBdr>
        <w:top w:val="none" w:sz="0" w:space="0" w:color="auto"/>
        <w:left w:val="none" w:sz="0" w:space="0" w:color="auto"/>
        <w:bottom w:val="none" w:sz="0" w:space="0" w:color="auto"/>
        <w:right w:val="none" w:sz="0" w:space="0" w:color="auto"/>
      </w:divBdr>
    </w:div>
    <w:div w:id="443691085">
      <w:bodyDiv w:val="1"/>
      <w:marLeft w:val="0"/>
      <w:marRight w:val="0"/>
      <w:marTop w:val="0"/>
      <w:marBottom w:val="0"/>
      <w:divBdr>
        <w:top w:val="none" w:sz="0" w:space="0" w:color="auto"/>
        <w:left w:val="none" w:sz="0" w:space="0" w:color="auto"/>
        <w:bottom w:val="none" w:sz="0" w:space="0" w:color="auto"/>
        <w:right w:val="none" w:sz="0" w:space="0" w:color="auto"/>
      </w:divBdr>
    </w:div>
    <w:div w:id="444623128">
      <w:bodyDiv w:val="1"/>
      <w:marLeft w:val="0"/>
      <w:marRight w:val="0"/>
      <w:marTop w:val="0"/>
      <w:marBottom w:val="0"/>
      <w:divBdr>
        <w:top w:val="none" w:sz="0" w:space="0" w:color="auto"/>
        <w:left w:val="none" w:sz="0" w:space="0" w:color="auto"/>
        <w:bottom w:val="none" w:sz="0" w:space="0" w:color="auto"/>
        <w:right w:val="none" w:sz="0" w:space="0" w:color="auto"/>
      </w:divBdr>
    </w:div>
    <w:div w:id="454563374">
      <w:bodyDiv w:val="1"/>
      <w:marLeft w:val="0"/>
      <w:marRight w:val="0"/>
      <w:marTop w:val="0"/>
      <w:marBottom w:val="0"/>
      <w:divBdr>
        <w:top w:val="none" w:sz="0" w:space="0" w:color="auto"/>
        <w:left w:val="none" w:sz="0" w:space="0" w:color="auto"/>
        <w:bottom w:val="none" w:sz="0" w:space="0" w:color="auto"/>
        <w:right w:val="none" w:sz="0" w:space="0" w:color="auto"/>
      </w:divBdr>
    </w:div>
    <w:div w:id="509294408">
      <w:bodyDiv w:val="1"/>
      <w:marLeft w:val="0"/>
      <w:marRight w:val="0"/>
      <w:marTop w:val="0"/>
      <w:marBottom w:val="0"/>
      <w:divBdr>
        <w:top w:val="none" w:sz="0" w:space="0" w:color="auto"/>
        <w:left w:val="none" w:sz="0" w:space="0" w:color="auto"/>
        <w:bottom w:val="none" w:sz="0" w:space="0" w:color="auto"/>
        <w:right w:val="none" w:sz="0" w:space="0" w:color="auto"/>
      </w:divBdr>
    </w:div>
    <w:div w:id="528186020">
      <w:bodyDiv w:val="1"/>
      <w:marLeft w:val="0"/>
      <w:marRight w:val="0"/>
      <w:marTop w:val="0"/>
      <w:marBottom w:val="0"/>
      <w:divBdr>
        <w:top w:val="none" w:sz="0" w:space="0" w:color="auto"/>
        <w:left w:val="none" w:sz="0" w:space="0" w:color="auto"/>
        <w:bottom w:val="none" w:sz="0" w:space="0" w:color="auto"/>
        <w:right w:val="none" w:sz="0" w:space="0" w:color="auto"/>
      </w:divBdr>
    </w:div>
    <w:div w:id="544373479">
      <w:bodyDiv w:val="1"/>
      <w:marLeft w:val="0"/>
      <w:marRight w:val="0"/>
      <w:marTop w:val="0"/>
      <w:marBottom w:val="0"/>
      <w:divBdr>
        <w:top w:val="none" w:sz="0" w:space="0" w:color="auto"/>
        <w:left w:val="none" w:sz="0" w:space="0" w:color="auto"/>
        <w:bottom w:val="none" w:sz="0" w:space="0" w:color="auto"/>
        <w:right w:val="none" w:sz="0" w:space="0" w:color="auto"/>
      </w:divBdr>
    </w:div>
    <w:div w:id="610010470">
      <w:bodyDiv w:val="1"/>
      <w:marLeft w:val="0"/>
      <w:marRight w:val="0"/>
      <w:marTop w:val="0"/>
      <w:marBottom w:val="0"/>
      <w:divBdr>
        <w:top w:val="none" w:sz="0" w:space="0" w:color="auto"/>
        <w:left w:val="none" w:sz="0" w:space="0" w:color="auto"/>
        <w:bottom w:val="none" w:sz="0" w:space="0" w:color="auto"/>
        <w:right w:val="none" w:sz="0" w:space="0" w:color="auto"/>
      </w:divBdr>
    </w:div>
    <w:div w:id="626662309">
      <w:bodyDiv w:val="1"/>
      <w:marLeft w:val="0"/>
      <w:marRight w:val="0"/>
      <w:marTop w:val="0"/>
      <w:marBottom w:val="0"/>
      <w:divBdr>
        <w:top w:val="none" w:sz="0" w:space="0" w:color="auto"/>
        <w:left w:val="none" w:sz="0" w:space="0" w:color="auto"/>
        <w:bottom w:val="none" w:sz="0" w:space="0" w:color="auto"/>
        <w:right w:val="none" w:sz="0" w:space="0" w:color="auto"/>
      </w:divBdr>
    </w:div>
    <w:div w:id="687558508">
      <w:bodyDiv w:val="1"/>
      <w:marLeft w:val="0"/>
      <w:marRight w:val="0"/>
      <w:marTop w:val="0"/>
      <w:marBottom w:val="0"/>
      <w:divBdr>
        <w:top w:val="none" w:sz="0" w:space="0" w:color="auto"/>
        <w:left w:val="none" w:sz="0" w:space="0" w:color="auto"/>
        <w:bottom w:val="none" w:sz="0" w:space="0" w:color="auto"/>
        <w:right w:val="none" w:sz="0" w:space="0" w:color="auto"/>
      </w:divBdr>
    </w:div>
    <w:div w:id="725031692">
      <w:bodyDiv w:val="1"/>
      <w:marLeft w:val="0"/>
      <w:marRight w:val="0"/>
      <w:marTop w:val="0"/>
      <w:marBottom w:val="0"/>
      <w:divBdr>
        <w:top w:val="none" w:sz="0" w:space="0" w:color="auto"/>
        <w:left w:val="none" w:sz="0" w:space="0" w:color="auto"/>
        <w:bottom w:val="none" w:sz="0" w:space="0" w:color="auto"/>
        <w:right w:val="none" w:sz="0" w:space="0" w:color="auto"/>
      </w:divBdr>
    </w:div>
    <w:div w:id="767235684">
      <w:bodyDiv w:val="1"/>
      <w:marLeft w:val="0"/>
      <w:marRight w:val="0"/>
      <w:marTop w:val="0"/>
      <w:marBottom w:val="0"/>
      <w:divBdr>
        <w:top w:val="none" w:sz="0" w:space="0" w:color="auto"/>
        <w:left w:val="none" w:sz="0" w:space="0" w:color="auto"/>
        <w:bottom w:val="none" w:sz="0" w:space="0" w:color="auto"/>
        <w:right w:val="none" w:sz="0" w:space="0" w:color="auto"/>
      </w:divBdr>
    </w:div>
    <w:div w:id="784037404">
      <w:bodyDiv w:val="1"/>
      <w:marLeft w:val="0"/>
      <w:marRight w:val="0"/>
      <w:marTop w:val="0"/>
      <w:marBottom w:val="0"/>
      <w:divBdr>
        <w:top w:val="none" w:sz="0" w:space="0" w:color="auto"/>
        <w:left w:val="none" w:sz="0" w:space="0" w:color="auto"/>
        <w:bottom w:val="none" w:sz="0" w:space="0" w:color="auto"/>
        <w:right w:val="none" w:sz="0" w:space="0" w:color="auto"/>
      </w:divBdr>
    </w:div>
    <w:div w:id="786195956">
      <w:bodyDiv w:val="1"/>
      <w:marLeft w:val="0"/>
      <w:marRight w:val="0"/>
      <w:marTop w:val="0"/>
      <w:marBottom w:val="0"/>
      <w:divBdr>
        <w:top w:val="none" w:sz="0" w:space="0" w:color="auto"/>
        <w:left w:val="none" w:sz="0" w:space="0" w:color="auto"/>
        <w:bottom w:val="none" w:sz="0" w:space="0" w:color="auto"/>
        <w:right w:val="none" w:sz="0" w:space="0" w:color="auto"/>
      </w:divBdr>
    </w:div>
    <w:div w:id="803549419">
      <w:bodyDiv w:val="1"/>
      <w:marLeft w:val="0"/>
      <w:marRight w:val="0"/>
      <w:marTop w:val="0"/>
      <w:marBottom w:val="0"/>
      <w:divBdr>
        <w:top w:val="none" w:sz="0" w:space="0" w:color="auto"/>
        <w:left w:val="none" w:sz="0" w:space="0" w:color="auto"/>
        <w:bottom w:val="none" w:sz="0" w:space="0" w:color="auto"/>
        <w:right w:val="none" w:sz="0" w:space="0" w:color="auto"/>
      </w:divBdr>
    </w:div>
    <w:div w:id="818116537">
      <w:bodyDiv w:val="1"/>
      <w:marLeft w:val="0"/>
      <w:marRight w:val="0"/>
      <w:marTop w:val="0"/>
      <w:marBottom w:val="0"/>
      <w:divBdr>
        <w:top w:val="none" w:sz="0" w:space="0" w:color="auto"/>
        <w:left w:val="none" w:sz="0" w:space="0" w:color="auto"/>
        <w:bottom w:val="none" w:sz="0" w:space="0" w:color="auto"/>
        <w:right w:val="none" w:sz="0" w:space="0" w:color="auto"/>
      </w:divBdr>
    </w:div>
    <w:div w:id="909509882">
      <w:bodyDiv w:val="1"/>
      <w:marLeft w:val="0"/>
      <w:marRight w:val="0"/>
      <w:marTop w:val="0"/>
      <w:marBottom w:val="0"/>
      <w:divBdr>
        <w:top w:val="none" w:sz="0" w:space="0" w:color="auto"/>
        <w:left w:val="none" w:sz="0" w:space="0" w:color="auto"/>
        <w:bottom w:val="none" w:sz="0" w:space="0" w:color="auto"/>
        <w:right w:val="none" w:sz="0" w:space="0" w:color="auto"/>
      </w:divBdr>
    </w:div>
    <w:div w:id="1009213555">
      <w:bodyDiv w:val="1"/>
      <w:marLeft w:val="0"/>
      <w:marRight w:val="0"/>
      <w:marTop w:val="0"/>
      <w:marBottom w:val="0"/>
      <w:divBdr>
        <w:top w:val="none" w:sz="0" w:space="0" w:color="auto"/>
        <w:left w:val="none" w:sz="0" w:space="0" w:color="auto"/>
        <w:bottom w:val="none" w:sz="0" w:space="0" w:color="auto"/>
        <w:right w:val="none" w:sz="0" w:space="0" w:color="auto"/>
      </w:divBdr>
    </w:div>
    <w:div w:id="1055542892">
      <w:bodyDiv w:val="1"/>
      <w:marLeft w:val="0"/>
      <w:marRight w:val="0"/>
      <w:marTop w:val="0"/>
      <w:marBottom w:val="0"/>
      <w:divBdr>
        <w:top w:val="none" w:sz="0" w:space="0" w:color="auto"/>
        <w:left w:val="none" w:sz="0" w:space="0" w:color="auto"/>
        <w:bottom w:val="none" w:sz="0" w:space="0" w:color="auto"/>
        <w:right w:val="none" w:sz="0" w:space="0" w:color="auto"/>
      </w:divBdr>
    </w:div>
    <w:div w:id="1213619221">
      <w:bodyDiv w:val="1"/>
      <w:marLeft w:val="0"/>
      <w:marRight w:val="0"/>
      <w:marTop w:val="0"/>
      <w:marBottom w:val="0"/>
      <w:divBdr>
        <w:top w:val="none" w:sz="0" w:space="0" w:color="auto"/>
        <w:left w:val="none" w:sz="0" w:space="0" w:color="auto"/>
        <w:bottom w:val="none" w:sz="0" w:space="0" w:color="auto"/>
        <w:right w:val="none" w:sz="0" w:space="0" w:color="auto"/>
      </w:divBdr>
    </w:div>
    <w:div w:id="1221752081">
      <w:bodyDiv w:val="1"/>
      <w:marLeft w:val="0"/>
      <w:marRight w:val="0"/>
      <w:marTop w:val="0"/>
      <w:marBottom w:val="0"/>
      <w:divBdr>
        <w:top w:val="none" w:sz="0" w:space="0" w:color="auto"/>
        <w:left w:val="none" w:sz="0" w:space="0" w:color="auto"/>
        <w:bottom w:val="none" w:sz="0" w:space="0" w:color="auto"/>
        <w:right w:val="none" w:sz="0" w:space="0" w:color="auto"/>
      </w:divBdr>
    </w:div>
    <w:div w:id="1303773205">
      <w:bodyDiv w:val="1"/>
      <w:marLeft w:val="0"/>
      <w:marRight w:val="0"/>
      <w:marTop w:val="0"/>
      <w:marBottom w:val="0"/>
      <w:divBdr>
        <w:top w:val="none" w:sz="0" w:space="0" w:color="auto"/>
        <w:left w:val="none" w:sz="0" w:space="0" w:color="auto"/>
        <w:bottom w:val="none" w:sz="0" w:space="0" w:color="auto"/>
        <w:right w:val="none" w:sz="0" w:space="0" w:color="auto"/>
      </w:divBdr>
    </w:div>
    <w:div w:id="1305309344">
      <w:bodyDiv w:val="1"/>
      <w:marLeft w:val="0"/>
      <w:marRight w:val="0"/>
      <w:marTop w:val="0"/>
      <w:marBottom w:val="0"/>
      <w:divBdr>
        <w:top w:val="none" w:sz="0" w:space="0" w:color="auto"/>
        <w:left w:val="none" w:sz="0" w:space="0" w:color="auto"/>
        <w:bottom w:val="none" w:sz="0" w:space="0" w:color="auto"/>
        <w:right w:val="none" w:sz="0" w:space="0" w:color="auto"/>
      </w:divBdr>
    </w:div>
    <w:div w:id="1441141661">
      <w:bodyDiv w:val="1"/>
      <w:marLeft w:val="0"/>
      <w:marRight w:val="0"/>
      <w:marTop w:val="0"/>
      <w:marBottom w:val="0"/>
      <w:divBdr>
        <w:top w:val="none" w:sz="0" w:space="0" w:color="auto"/>
        <w:left w:val="none" w:sz="0" w:space="0" w:color="auto"/>
        <w:bottom w:val="none" w:sz="0" w:space="0" w:color="auto"/>
        <w:right w:val="none" w:sz="0" w:space="0" w:color="auto"/>
      </w:divBdr>
    </w:div>
    <w:div w:id="1482653019">
      <w:bodyDiv w:val="1"/>
      <w:marLeft w:val="0"/>
      <w:marRight w:val="0"/>
      <w:marTop w:val="0"/>
      <w:marBottom w:val="0"/>
      <w:divBdr>
        <w:top w:val="none" w:sz="0" w:space="0" w:color="auto"/>
        <w:left w:val="none" w:sz="0" w:space="0" w:color="auto"/>
        <w:bottom w:val="none" w:sz="0" w:space="0" w:color="auto"/>
        <w:right w:val="none" w:sz="0" w:space="0" w:color="auto"/>
      </w:divBdr>
    </w:div>
    <w:div w:id="1494684966">
      <w:bodyDiv w:val="1"/>
      <w:marLeft w:val="0"/>
      <w:marRight w:val="0"/>
      <w:marTop w:val="0"/>
      <w:marBottom w:val="0"/>
      <w:divBdr>
        <w:top w:val="none" w:sz="0" w:space="0" w:color="auto"/>
        <w:left w:val="none" w:sz="0" w:space="0" w:color="auto"/>
        <w:bottom w:val="none" w:sz="0" w:space="0" w:color="auto"/>
        <w:right w:val="none" w:sz="0" w:space="0" w:color="auto"/>
      </w:divBdr>
    </w:div>
    <w:div w:id="1579559411">
      <w:bodyDiv w:val="1"/>
      <w:marLeft w:val="0"/>
      <w:marRight w:val="0"/>
      <w:marTop w:val="0"/>
      <w:marBottom w:val="0"/>
      <w:divBdr>
        <w:top w:val="none" w:sz="0" w:space="0" w:color="auto"/>
        <w:left w:val="none" w:sz="0" w:space="0" w:color="auto"/>
        <w:bottom w:val="none" w:sz="0" w:space="0" w:color="auto"/>
        <w:right w:val="none" w:sz="0" w:space="0" w:color="auto"/>
      </w:divBdr>
    </w:div>
    <w:div w:id="1701589201">
      <w:bodyDiv w:val="1"/>
      <w:marLeft w:val="0"/>
      <w:marRight w:val="0"/>
      <w:marTop w:val="0"/>
      <w:marBottom w:val="0"/>
      <w:divBdr>
        <w:top w:val="none" w:sz="0" w:space="0" w:color="auto"/>
        <w:left w:val="none" w:sz="0" w:space="0" w:color="auto"/>
        <w:bottom w:val="none" w:sz="0" w:space="0" w:color="auto"/>
        <w:right w:val="none" w:sz="0" w:space="0" w:color="auto"/>
      </w:divBdr>
    </w:div>
    <w:div w:id="1729914348">
      <w:bodyDiv w:val="1"/>
      <w:marLeft w:val="0"/>
      <w:marRight w:val="0"/>
      <w:marTop w:val="0"/>
      <w:marBottom w:val="0"/>
      <w:divBdr>
        <w:top w:val="none" w:sz="0" w:space="0" w:color="auto"/>
        <w:left w:val="none" w:sz="0" w:space="0" w:color="auto"/>
        <w:bottom w:val="none" w:sz="0" w:space="0" w:color="auto"/>
        <w:right w:val="none" w:sz="0" w:space="0" w:color="auto"/>
      </w:divBdr>
    </w:div>
    <w:div w:id="1761870087">
      <w:bodyDiv w:val="1"/>
      <w:marLeft w:val="0"/>
      <w:marRight w:val="0"/>
      <w:marTop w:val="0"/>
      <w:marBottom w:val="0"/>
      <w:divBdr>
        <w:top w:val="none" w:sz="0" w:space="0" w:color="auto"/>
        <w:left w:val="none" w:sz="0" w:space="0" w:color="auto"/>
        <w:bottom w:val="none" w:sz="0" w:space="0" w:color="auto"/>
        <w:right w:val="none" w:sz="0" w:space="0" w:color="auto"/>
      </w:divBdr>
    </w:div>
    <w:div w:id="1817331357">
      <w:bodyDiv w:val="1"/>
      <w:marLeft w:val="0"/>
      <w:marRight w:val="0"/>
      <w:marTop w:val="0"/>
      <w:marBottom w:val="0"/>
      <w:divBdr>
        <w:top w:val="none" w:sz="0" w:space="0" w:color="auto"/>
        <w:left w:val="none" w:sz="0" w:space="0" w:color="auto"/>
        <w:bottom w:val="none" w:sz="0" w:space="0" w:color="auto"/>
        <w:right w:val="none" w:sz="0" w:space="0" w:color="auto"/>
      </w:divBdr>
    </w:div>
    <w:div w:id="1826509498">
      <w:bodyDiv w:val="1"/>
      <w:marLeft w:val="0"/>
      <w:marRight w:val="0"/>
      <w:marTop w:val="0"/>
      <w:marBottom w:val="0"/>
      <w:divBdr>
        <w:top w:val="none" w:sz="0" w:space="0" w:color="auto"/>
        <w:left w:val="none" w:sz="0" w:space="0" w:color="auto"/>
        <w:bottom w:val="none" w:sz="0" w:space="0" w:color="auto"/>
        <w:right w:val="none" w:sz="0" w:space="0" w:color="auto"/>
      </w:divBdr>
    </w:div>
    <w:div w:id="1841191538">
      <w:bodyDiv w:val="1"/>
      <w:marLeft w:val="0"/>
      <w:marRight w:val="0"/>
      <w:marTop w:val="0"/>
      <w:marBottom w:val="0"/>
      <w:divBdr>
        <w:top w:val="none" w:sz="0" w:space="0" w:color="auto"/>
        <w:left w:val="none" w:sz="0" w:space="0" w:color="auto"/>
        <w:bottom w:val="none" w:sz="0" w:space="0" w:color="auto"/>
        <w:right w:val="none" w:sz="0" w:space="0" w:color="auto"/>
      </w:divBdr>
    </w:div>
    <w:div w:id="1855144700">
      <w:bodyDiv w:val="1"/>
      <w:marLeft w:val="0"/>
      <w:marRight w:val="0"/>
      <w:marTop w:val="0"/>
      <w:marBottom w:val="0"/>
      <w:divBdr>
        <w:top w:val="none" w:sz="0" w:space="0" w:color="auto"/>
        <w:left w:val="none" w:sz="0" w:space="0" w:color="auto"/>
        <w:bottom w:val="none" w:sz="0" w:space="0" w:color="auto"/>
        <w:right w:val="none" w:sz="0" w:space="0" w:color="auto"/>
      </w:divBdr>
    </w:div>
    <w:div w:id="1864054835">
      <w:bodyDiv w:val="1"/>
      <w:marLeft w:val="0"/>
      <w:marRight w:val="0"/>
      <w:marTop w:val="0"/>
      <w:marBottom w:val="0"/>
      <w:divBdr>
        <w:top w:val="none" w:sz="0" w:space="0" w:color="auto"/>
        <w:left w:val="none" w:sz="0" w:space="0" w:color="auto"/>
        <w:bottom w:val="none" w:sz="0" w:space="0" w:color="auto"/>
        <w:right w:val="none" w:sz="0" w:space="0" w:color="auto"/>
      </w:divBdr>
    </w:div>
    <w:div w:id="1882746969">
      <w:bodyDiv w:val="1"/>
      <w:marLeft w:val="0"/>
      <w:marRight w:val="0"/>
      <w:marTop w:val="0"/>
      <w:marBottom w:val="0"/>
      <w:divBdr>
        <w:top w:val="none" w:sz="0" w:space="0" w:color="auto"/>
        <w:left w:val="none" w:sz="0" w:space="0" w:color="auto"/>
        <w:bottom w:val="none" w:sz="0" w:space="0" w:color="auto"/>
        <w:right w:val="none" w:sz="0" w:space="0" w:color="auto"/>
      </w:divBdr>
    </w:div>
    <w:div w:id="1994721188">
      <w:bodyDiv w:val="1"/>
      <w:marLeft w:val="0"/>
      <w:marRight w:val="0"/>
      <w:marTop w:val="0"/>
      <w:marBottom w:val="0"/>
      <w:divBdr>
        <w:top w:val="none" w:sz="0" w:space="0" w:color="auto"/>
        <w:left w:val="none" w:sz="0" w:space="0" w:color="auto"/>
        <w:bottom w:val="none" w:sz="0" w:space="0" w:color="auto"/>
        <w:right w:val="none" w:sz="0" w:space="0" w:color="auto"/>
      </w:divBdr>
    </w:div>
    <w:div w:id="2022471585">
      <w:bodyDiv w:val="1"/>
      <w:marLeft w:val="0"/>
      <w:marRight w:val="0"/>
      <w:marTop w:val="0"/>
      <w:marBottom w:val="0"/>
      <w:divBdr>
        <w:top w:val="none" w:sz="0" w:space="0" w:color="auto"/>
        <w:left w:val="none" w:sz="0" w:space="0" w:color="auto"/>
        <w:bottom w:val="none" w:sz="0" w:space="0" w:color="auto"/>
        <w:right w:val="none" w:sz="0" w:space="0" w:color="auto"/>
      </w:divBdr>
    </w:div>
    <w:div w:id="2036735272">
      <w:bodyDiv w:val="1"/>
      <w:marLeft w:val="0"/>
      <w:marRight w:val="0"/>
      <w:marTop w:val="0"/>
      <w:marBottom w:val="0"/>
      <w:divBdr>
        <w:top w:val="none" w:sz="0" w:space="0" w:color="auto"/>
        <w:left w:val="none" w:sz="0" w:space="0" w:color="auto"/>
        <w:bottom w:val="none" w:sz="0" w:space="0" w:color="auto"/>
        <w:right w:val="none" w:sz="0" w:space="0" w:color="auto"/>
      </w:divBdr>
    </w:div>
    <w:div w:id="2051416156">
      <w:bodyDiv w:val="1"/>
      <w:marLeft w:val="0"/>
      <w:marRight w:val="0"/>
      <w:marTop w:val="0"/>
      <w:marBottom w:val="0"/>
      <w:divBdr>
        <w:top w:val="none" w:sz="0" w:space="0" w:color="auto"/>
        <w:left w:val="none" w:sz="0" w:space="0" w:color="auto"/>
        <w:bottom w:val="none" w:sz="0" w:space="0" w:color="auto"/>
        <w:right w:val="none" w:sz="0" w:space="0" w:color="auto"/>
      </w:divBdr>
    </w:div>
    <w:div w:id="2056004140">
      <w:bodyDiv w:val="1"/>
      <w:marLeft w:val="0"/>
      <w:marRight w:val="0"/>
      <w:marTop w:val="0"/>
      <w:marBottom w:val="0"/>
      <w:divBdr>
        <w:top w:val="none" w:sz="0" w:space="0" w:color="auto"/>
        <w:left w:val="none" w:sz="0" w:space="0" w:color="auto"/>
        <w:bottom w:val="none" w:sz="0" w:space="0" w:color="auto"/>
        <w:right w:val="none" w:sz="0" w:space="0" w:color="auto"/>
      </w:divBdr>
    </w:div>
    <w:div w:id="2113475233">
      <w:bodyDiv w:val="1"/>
      <w:marLeft w:val="0"/>
      <w:marRight w:val="0"/>
      <w:marTop w:val="0"/>
      <w:marBottom w:val="0"/>
      <w:divBdr>
        <w:top w:val="none" w:sz="0" w:space="0" w:color="auto"/>
        <w:left w:val="none" w:sz="0" w:space="0" w:color="auto"/>
        <w:bottom w:val="none" w:sz="0" w:space="0" w:color="auto"/>
        <w:right w:val="none" w:sz="0" w:space="0" w:color="auto"/>
      </w:divBdr>
    </w:div>
    <w:div w:id="2114663232">
      <w:bodyDiv w:val="1"/>
      <w:marLeft w:val="0"/>
      <w:marRight w:val="0"/>
      <w:marTop w:val="0"/>
      <w:marBottom w:val="0"/>
      <w:divBdr>
        <w:top w:val="none" w:sz="0" w:space="0" w:color="auto"/>
        <w:left w:val="none" w:sz="0" w:space="0" w:color="auto"/>
        <w:bottom w:val="none" w:sz="0" w:space="0" w:color="auto"/>
        <w:right w:val="none" w:sz="0" w:space="0" w:color="auto"/>
      </w:divBdr>
    </w:div>
    <w:div w:id="2117212305">
      <w:bodyDiv w:val="1"/>
      <w:marLeft w:val="0"/>
      <w:marRight w:val="0"/>
      <w:marTop w:val="0"/>
      <w:marBottom w:val="0"/>
      <w:divBdr>
        <w:top w:val="none" w:sz="0" w:space="0" w:color="auto"/>
        <w:left w:val="none" w:sz="0" w:space="0" w:color="auto"/>
        <w:bottom w:val="none" w:sz="0" w:space="0" w:color="auto"/>
        <w:right w:val="none" w:sz="0" w:space="0" w:color="auto"/>
      </w:divBdr>
    </w:div>
    <w:div w:id="21275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cor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A37CB-5C3C-417A-BB49-413404A3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13969</Words>
  <Characters>76956</Characters>
  <Application>Microsoft Office Word</Application>
  <DocSecurity>0</DocSecurity>
  <Lines>641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Bhangoo</dc:creator>
  <cp:keywords/>
  <dc:description/>
  <cp:lastModifiedBy>Alison Odea</cp:lastModifiedBy>
  <cp:revision>17</cp:revision>
  <cp:lastPrinted>2022-05-20T17:21:00Z</cp:lastPrinted>
  <dcterms:created xsi:type="dcterms:W3CDTF">2022-05-23T15:39:00Z</dcterms:created>
  <dcterms:modified xsi:type="dcterms:W3CDTF">2022-05-24T06:12:00Z</dcterms:modified>
</cp:coreProperties>
</file>