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6E67" w14:textId="77777777" w:rsidR="00604E70" w:rsidRDefault="003F6C98">
      <w:pPr>
        <w:pStyle w:val="Title"/>
      </w:pPr>
      <w:r>
        <w:t>GRIT</w:t>
      </w:r>
      <w:r>
        <w:rPr>
          <w:spacing w:val="-5"/>
        </w:rPr>
        <w:t xml:space="preserve"> </w:t>
      </w:r>
      <w:r>
        <w:t>REAL</w:t>
      </w:r>
      <w:r>
        <w:rPr>
          <w:spacing w:val="-4"/>
        </w:rPr>
        <w:t xml:space="preserve"> </w:t>
      </w:r>
      <w:r>
        <w:t>ESTATE</w:t>
      </w:r>
      <w:r>
        <w:rPr>
          <w:spacing w:val="-3"/>
        </w:rPr>
        <w:t xml:space="preserve"> </w:t>
      </w:r>
      <w:r>
        <w:t>INCOME</w:t>
      </w:r>
      <w:r>
        <w:rPr>
          <w:spacing w:val="-5"/>
        </w:rPr>
        <w:t xml:space="preserve"> </w:t>
      </w:r>
      <w:r>
        <w:t>GROUP</w:t>
      </w:r>
      <w:r>
        <w:rPr>
          <w:spacing w:val="-2"/>
        </w:rPr>
        <w:t xml:space="preserve"> LIMITED</w:t>
      </w:r>
    </w:p>
    <w:p w14:paraId="47552DE0" w14:textId="77777777" w:rsidR="00604E70" w:rsidRDefault="003F6C98">
      <w:pPr>
        <w:spacing w:line="292" w:lineRule="exact"/>
        <w:ind w:left="2550" w:right="2550"/>
        <w:jc w:val="center"/>
        <w:rPr>
          <w:b/>
          <w:sz w:val="24"/>
        </w:rPr>
      </w:pPr>
      <w:r>
        <w:rPr>
          <w:b/>
          <w:sz w:val="24"/>
        </w:rPr>
        <w:t>(the</w:t>
      </w:r>
      <w:r>
        <w:rPr>
          <w:b/>
          <w:spacing w:val="-3"/>
          <w:sz w:val="24"/>
        </w:rPr>
        <w:t xml:space="preserve"> </w:t>
      </w:r>
      <w:r>
        <w:rPr>
          <w:b/>
          <w:spacing w:val="-2"/>
          <w:sz w:val="24"/>
        </w:rPr>
        <w:t>“Company”)</w:t>
      </w:r>
    </w:p>
    <w:p w14:paraId="29CDB6A7" w14:textId="77777777" w:rsidR="00604E70" w:rsidRDefault="00604E70">
      <w:pPr>
        <w:pStyle w:val="BodyText"/>
        <w:rPr>
          <w:b/>
          <w:sz w:val="24"/>
        </w:rPr>
      </w:pPr>
    </w:p>
    <w:p w14:paraId="53E4FB0F" w14:textId="77777777" w:rsidR="00604E70" w:rsidRDefault="00604E70">
      <w:pPr>
        <w:pStyle w:val="BodyText"/>
        <w:spacing w:before="2"/>
        <w:rPr>
          <w:b/>
          <w:sz w:val="24"/>
        </w:rPr>
      </w:pPr>
    </w:p>
    <w:p w14:paraId="128058DA" w14:textId="7C1CD346" w:rsidR="00604E70" w:rsidRDefault="000E3C62">
      <w:pPr>
        <w:pStyle w:val="Heading1"/>
        <w:ind w:left="180" w:right="184"/>
        <w:jc w:val="both"/>
      </w:pPr>
      <w:r>
        <w:t xml:space="preserve">EXTRACT OF THE </w:t>
      </w:r>
      <w:r w:rsidR="003F6C98">
        <w:t>MINUTES OF THE ANNUAL GENERAL MEETING OF THE SHAREHOLDERS OF THE COMPANY HELD ON 30 NOVEMBER 2022 AT 13.00. MAURITIUS TIME AT 3</w:t>
      </w:r>
      <w:r w:rsidR="003F6C98">
        <w:rPr>
          <w:vertAlign w:val="superscript"/>
        </w:rPr>
        <w:t>RD</w:t>
      </w:r>
      <w:r w:rsidR="003F6C98">
        <w:t xml:space="preserve"> FLOOR, LA CROISETTE SHOPPING CENTRE, GRAND BAIE, MAURITIUS</w:t>
      </w:r>
    </w:p>
    <w:p w14:paraId="60DD53F9" w14:textId="77777777" w:rsidR="00604E70" w:rsidRDefault="003F6C98">
      <w:pPr>
        <w:pStyle w:val="BodyText"/>
        <w:spacing w:before="2"/>
        <w:rPr>
          <w:b/>
          <w:sz w:val="18"/>
        </w:rPr>
      </w:pPr>
      <w:r>
        <w:pict w14:anchorId="7D5E897A">
          <v:rect id="docshape2" o:spid="_x0000_s1031" style="position:absolute;margin-left:45pt;margin-top:12.3pt;width:497.75pt;height:.7pt;z-index:-15728640;mso-wrap-distance-left:0;mso-wrap-distance-right:0;mso-position-horizontal-relative:page" fillcolor="black" stroked="f">
            <w10:wrap type="topAndBottom" anchorx="page"/>
          </v:rect>
        </w:pict>
      </w:r>
    </w:p>
    <w:p w14:paraId="2F3F05A9" w14:textId="77777777" w:rsidR="00604E70" w:rsidRDefault="00604E70">
      <w:pPr>
        <w:pStyle w:val="BodyText"/>
        <w:spacing w:before="6"/>
        <w:rPr>
          <w:b/>
          <w:sz w:val="11"/>
        </w:rPr>
      </w:pPr>
    </w:p>
    <w:p w14:paraId="695273BB" w14:textId="4D0E3B45" w:rsidR="00604E70" w:rsidRDefault="000E3C62">
      <w:pPr>
        <w:pStyle w:val="BodyText"/>
        <w:spacing w:before="1" w:line="276" w:lineRule="auto"/>
        <w:ind w:left="463" w:right="149"/>
        <w:jc w:val="both"/>
      </w:pPr>
      <w:r>
        <w:t>“[…]</w:t>
      </w:r>
    </w:p>
    <w:p w14:paraId="093F0BD2" w14:textId="77777777" w:rsidR="00604E70" w:rsidRDefault="00604E70">
      <w:pPr>
        <w:pStyle w:val="BodyText"/>
        <w:spacing w:before="11"/>
      </w:pPr>
    </w:p>
    <w:p w14:paraId="52B53F4B" w14:textId="77777777" w:rsidR="00604E70" w:rsidRDefault="003F6C98" w:rsidP="000E3C62">
      <w:pPr>
        <w:pStyle w:val="Heading1"/>
        <w:numPr>
          <w:ilvl w:val="0"/>
          <w:numId w:val="1"/>
        </w:numPr>
        <w:tabs>
          <w:tab w:val="left" w:pos="541"/>
          <w:tab w:val="left" w:pos="1823"/>
          <w:tab w:val="left" w:pos="3308"/>
          <w:tab w:val="left" w:pos="4431"/>
          <w:tab w:val="left" w:pos="4918"/>
          <w:tab w:val="left" w:pos="5237"/>
          <w:tab w:val="left" w:pos="6864"/>
          <w:tab w:val="left" w:pos="8110"/>
          <w:tab w:val="left" w:pos="8878"/>
          <w:tab w:val="left" w:pos="9437"/>
        </w:tabs>
      </w:pPr>
      <w:r>
        <w:rPr>
          <w:spacing w:val="-2"/>
        </w:rPr>
        <w:t>ORDINARY</w:t>
      </w:r>
      <w:r>
        <w:tab/>
      </w:r>
      <w:r>
        <w:rPr>
          <w:spacing w:val="-2"/>
        </w:rPr>
        <w:t>RESOLUTION</w:t>
      </w:r>
      <w:r>
        <w:tab/>
      </w:r>
      <w:r>
        <w:rPr>
          <w:spacing w:val="-2"/>
        </w:rPr>
        <w:t>NUMBER</w:t>
      </w:r>
      <w:r>
        <w:tab/>
      </w:r>
      <w:r>
        <w:rPr>
          <w:spacing w:val="-5"/>
        </w:rPr>
        <w:t>12</w:t>
      </w:r>
      <w:r>
        <w:tab/>
      </w:r>
      <w:r>
        <w:rPr>
          <w:spacing w:val="-10"/>
        </w:rPr>
        <w:t>-</w:t>
      </w:r>
      <w:r>
        <w:tab/>
      </w:r>
      <w:r>
        <w:rPr>
          <w:spacing w:val="-2"/>
        </w:rPr>
        <w:t>NON-BINDING</w:t>
      </w:r>
      <w:r>
        <w:tab/>
      </w:r>
      <w:r>
        <w:rPr>
          <w:spacing w:val="-2"/>
        </w:rPr>
        <w:t>ADVISORY</w:t>
      </w:r>
      <w:r>
        <w:tab/>
      </w:r>
      <w:r>
        <w:rPr>
          <w:spacing w:val="-4"/>
        </w:rPr>
        <w:t>VOTE</w:t>
      </w:r>
      <w:r>
        <w:tab/>
      </w:r>
      <w:r>
        <w:rPr>
          <w:spacing w:val="-5"/>
        </w:rPr>
        <w:t>ON</w:t>
      </w:r>
      <w:r>
        <w:tab/>
      </w:r>
      <w:r>
        <w:rPr>
          <w:spacing w:val="-2"/>
        </w:rPr>
        <w:t>GRIT’S</w:t>
      </w:r>
    </w:p>
    <w:p w14:paraId="0E4A0F71" w14:textId="77777777" w:rsidR="00604E70" w:rsidRDefault="003F6C98">
      <w:pPr>
        <w:ind w:left="540"/>
        <w:rPr>
          <w:b/>
          <w:sz w:val="23"/>
        </w:rPr>
      </w:pPr>
      <w:r>
        <w:rPr>
          <w:b/>
          <w:sz w:val="23"/>
        </w:rPr>
        <w:t>IMPLEMENTATION</w:t>
      </w:r>
      <w:r>
        <w:rPr>
          <w:b/>
          <w:spacing w:val="-8"/>
          <w:sz w:val="23"/>
        </w:rPr>
        <w:t xml:space="preserve"> </w:t>
      </w:r>
      <w:r>
        <w:rPr>
          <w:b/>
          <w:sz w:val="23"/>
        </w:rPr>
        <w:t>REPORT</w:t>
      </w:r>
      <w:r>
        <w:rPr>
          <w:b/>
          <w:spacing w:val="-4"/>
          <w:sz w:val="23"/>
        </w:rPr>
        <w:t xml:space="preserve"> </w:t>
      </w:r>
      <w:r>
        <w:rPr>
          <w:b/>
          <w:sz w:val="23"/>
        </w:rPr>
        <w:t>ON</w:t>
      </w:r>
      <w:r>
        <w:rPr>
          <w:b/>
          <w:spacing w:val="-7"/>
          <w:sz w:val="23"/>
        </w:rPr>
        <w:t xml:space="preserve"> </w:t>
      </w:r>
      <w:r>
        <w:rPr>
          <w:b/>
          <w:sz w:val="23"/>
        </w:rPr>
        <w:t>THE</w:t>
      </w:r>
      <w:r>
        <w:rPr>
          <w:b/>
          <w:spacing w:val="-4"/>
          <w:sz w:val="23"/>
        </w:rPr>
        <w:t xml:space="preserve"> </w:t>
      </w:r>
      <w:r>
        <w:rPr>
          <w:b/>
          <w:sz w:val="23"/>
        </w:rPr>
        <w:t>REMUNERATION</w:t>
      </w:r>
      <w:r>
        <w:rPr>
          <w:b/>
          <w:spacing w:val="-5"/>
          <w:sz w:val="23"/>
        </w:rPr>
        <w:t xml:space="preserve"> </w:t>
      </w:r>
      <w:r>
        <w:rPr>
          <w:b/>
          <w:spacing w:val="-2"/>
          <w:sz w:val="23"/>
        </w:rPr>
        <w:t>POLICY</w:t>
      </w:r>
    </w:p>
    <w:p w14:paraId="4A3F2ACE" w14:textId="77777777" w:rsidR="00604E70" w:rsidRDefault="00604E70">
      <w:pPr>
        <w:pStyle w:val="BodyText"/>
        <w:rPr>
          <w:b/>
        </w:rPr>
      </w:pPr>
    </w:p>
    <w:p w14:paraId="745A08FC" w14:textId="77777777" w:rsidR="00604E70" w:rsidRDefault="003F6C98">
      <w:pPr>
        <w:pStyle w:val="BodyText"/>
        <w:ind w:left="540" w:right="145"/>
        <w:jc w:val="both"/>
      </w:pPr>
      <w:r>
        <w:t>The Chairman invited the shareholders present to record their votes in respect of ordinary resolution number 12 which dealt with the Company’s implementation report in respect of its remuneration policy, to be endorsed by way of a non-binding advisory vote</w:t>
      </w:r>
      <w:r>
        <w:t>.</w:t>
      </w:r>
    </w:p>
    <w:p w14:paraId="3D1797D2" w14:textId="77777777" w:rsidR="00604E70" w:rsidRDefault="00604E70">
      <w:pPr>
        <w:pStyle w:val="BodyText"/>
      </w:pPr>
    </w:p>
    <w:p w14:paraId="4D2818E6" w14:textId="77777777" w:rsidR="00604E70" w:rsidRDefault="003F6C98">
      <w:pPr>
        <w:pStyle w:val="Heading1"/>
      </w:pPr>
      <w:r>
        <w:t>RESULTS</w:t>
      </w:r>
      <w:r>
        <w:rPr>
          <w:spacing w:val="-4"/>
        </w:rPr>
        <w:t xml:space="preserve"> </w:t>
      </w:r>
      <w:r>
        <w:t>OF</w:t>
      </w:r>
      <w:r>
        <w:rPr>
          <w:spacing w:val="-2"/>
        </w:rPr>
        <w:t xml:space="preserve"> </w:t>
      </w:r>
      <w:r>
        <w:t>THE</w:t>
      </w:r>
      <w:r>
        <w:rPr>
          <w:spacing w:val="-2"/>
        </w:rPr>
        <w:t xml:space="preserve"> </w:t>
      </w:r>
      <w:r>
        <w:rPr>
          <w:spacing w:val="-4"/>
        </w:rPr>
        <w:t>POLL</w:t>
      </w:r>
    </w:p>
    <w:p w14:paraId="164FFF95" w14:textId="77777777" w:rsidR="00604E70" w:rsidRDefault="00604E70">
      <w:pPr>
        <w:pStyle w:val="BodyText"/>
        <w:rPr>
          <w:b/>
        </w:rPr>
      </w:pPr>
    </w:p>
    <w:p w14:paraId="160CAA4F" w14:textId="77777777" w:rsidR="00604E70" w:rsidRDefault="003F6C98">
      <w:pPr>
        <w:pStyle w:val="BodyText"/>
        <w:spacing w:line="276" w:lineRule="auto"/>
        <w:ind w:left="463" w:right="145"/>
        <w:jc w:val="both"/>
      </w:pPr>
      <w:r>
        <w:t xml:space="preserve">70.22% of the total of 403,147,314 shares that voted were </w:t>
      </w:r>
      <w:r>
        <w:rPr>
          <w:b/>
        </w:rPr>
        <w:t>IN FAVOUR</w:t>
      </w:r>
      <w:r>
        <w:t xml:space="preserve">, 29.78% of the shares that voted were </w:t>
      </w:r>
      <w:r>
        <w:rPr>
          <w:b/>
        </w:rPr>
        <w:t xml:space="preserve">AGAINST </w:t>
      </w:r>
      <w:r>
        <w:t>and no shares abstained from voting. Ordinary resolution number 12 was accordingly passed and the Company’s implementa</w:t>
      </w:r>
      <w:r>
        <w:t>tion report in respect of its remuneration policy was endorsed by way of a non-advisory vote.</w:t>
      </w:r>
    </w:p>
    <w:p w14:paraId="7EEE4E7F" w14:textId="77777777" w:rsidR="00604E70" w:rsidRDefault="00604E70">
      <w:pPr>
        <w:pStyle w:val="BodyText"/>
        <w:rPr>
          <w:sz w:val="22"/>
        </w:rPr>
      </w:pPr>
    </w:p>
    <w:p w14:paraId="17464803" w14:textId="77777777" w:rsidR="00604E70" w:rsidRDefault="00604E70">
      <w:pPr>
        <w:pStyle w:val="BodyText"/>
        <w:rPr>
          <w:sz w:val="24"/>
        </w:rPr>
      </w:pPr>
    </w:p>
    <w:p w14:paraId="7E4567E3" w14:textId="77777777" w:rsidR="00604E70" w:rsidRDefault="003F6C98">
      <w:pPr>
        <w:pStyle w:val="Heading1"/>
        <w:numPr>
          <w:ilvl w:val="0"/>
          <w:numId w:val="1"/>
        </w:numPr>
        <w:tabs>
          <w:tab w:val="left" w:pos="541"/>
        </w:tabs>
        <w:spacing w:before="1"/>
        <w:jc w:val="left"/>
      </w:pPr>
      <w:r>
        <w:t>SPECIAL</w:t>
      </w:r>
      <w:r>
        <w:rPr>
          <w:spacing w:val="-2"/>
        </w:rPr>
        <w:t xml:space="preserve"> </w:t>
      </w:r>
      <w:r>
        <w:t>RESOLUTION</w:t>
      </w:r>
      <w:r>
        <w:rPr>
          <w:spacing w:val="-3"/>
        </w:rPr>
        <w:t xml:space="preserve"> </w:t>
      </w:r>
      <w:r>
        <w:t>NUMBER</w:t>
      </w:r>
      <w:r>
        <w:rPr>
          <w:spacing w:val="-5"/>
        </w:rPr>
        <w:t xml:space="preserve"> </w:t>
      </w:r>
      <w:r>
        <w:t>1</w:t>
      </w:r>
      <w:r>
        <w:rPr>
          <w:spacing w:val="1"/>
        </w:rPr>
        <w:t xml:space="preserve"> </w:t>
      </w:r>
      <w:r>
        <w:t>–</w:t>
      </w:r>
      <w:r>
        <w:rPr>
          <w:spacing w:val="-5"/>
        </w:rPr>
        <w:t xml:space="preserve"> </w:t>
      </w:r>
      <w:r>
        <w:t>MARKET PURCHASE</w:t>
      </w:r>
      <w:r>
        <w:rPr>
          <w:spacing w:val="-2"/>
        </w:rPr>
        <w:t xml:space="preserve"> </w:t>
      </w:r>
      <w:r>
        <w:t>OF</w:t>
      </w:r>
      <w:r>
        <w:rPr>
          <w:spacing w:val="-2"/>
        </w:rPr>
        <w:t xml:space="preserve"> </w:t>
      </w:r>
      <w:r>
        <w:t>OWN</w:t>
      </w:r>
      <w:r>
        <w:rPr>
          <w:spacing w:val="-4"/>
        </w:rPr>
        <w:t xml:space="preserve"> </w:t>
      </w:r>
      <w:r>
        <w:t>SHARES</w:t>
      </w:r>
      <w:r>
        <w:rPr>
          <w:spacing w:val="-1"/>
        </w:rPr>
        <w:t xml:space="preserve"> </w:t>
      </w:r>
      <w:r>
        <w:t>/</w:t>
      </w:r>
      <w:r>
        <w:rPr>
          <w:spacing w:val="-6"/>
        </w:rPr>
        <w:t xml:space="preserve"> </w:t>
      </w:r>
      <w:r>
        <w:t>SHARE</w:t>
      </w:r>
      <w:r>
        <w:rPr>
          <w:spacing w:val="-2"/>
        </w:rPr>
        <w:t xml:space="preserve"> </w:t>
      </w:r>
      <w:r>
        <w:t>BUY</w:t>
      </w:r>
      <w:r>
        <w:rPr>
          <w:spacing w:val="-2"/>
        </w:rPr>
        <w:t xml:space="preserve"> </w:t>
      </w:r>
      <w:r>
        <w:rPr>
          <w:spacing w:val="-4"/>
        </w:rPr>
        <w:t>BACK</w:t>
      </w:r>
    </w:p>
    <w:p w14:paraId="47AF76A3" w14:textId="77777777" w:rsidR="00604E70" w:rsidRDefault="00604E70">
      <w:pPr>
        <w:pStyle w:val="BodyText"/>
        <w:spacing w:before="12"/>
        <w:rPr>
          <w:b/>
          <w:sz w:val="22"/>
        </w:rPr>
      </w:pPr>
    </w:p>
    <w:p w14:paraId="316718C4" w14:textId="55D51883" w:rsidR="00604E70" w:rsidRDefault="003F6C98">
      <w:pPr>
        <w:pStyle w:val="BodyText"/>
        <w:spacing w:line="276" w:lineRule="auto"/>
        <w:ind w:left="463" w:right="145"/>
        <w:jc w:val="both"/>
        <w:rPr>
          <w:spacing w:val="-2"/>
        </w:rPr>
      </w:pPr>
      <w:r>
        <w:t>The Chairman invited the shareholders present to record their votes in respect of special resolution number 1 which dealt with authorising the Company to make market purchases of its own shares on such terms</w:t>
      </w:r>
      <w:r>
        <w:rPr>
          <w:spacing w:val="-1"/>
        </w:rPr>
        <w:t xml:space="preserve"> </w:t>
      </w:r>
      <w:r>
        <w:t>and in</w:t>
      </w:r>
      <w:r>
        <w:rPr>
          <w:spacing w:val="-3"/>
        </w:rPr>
        <w:t xml:space="preserve"> </w:t>
      </w:r>
      <w:r>
        <w:t>such manner as the</w:t>
      </w:r>
      <w:r>
        <w:rPr>
          <w:spacing w:val="-1"/>
        </w:rPr>
        <w:t xml:space="preserve"> </w:t>
      </w:r>
      <w:r>
        <w:t>directors</w:t>
      </w:r>
      <w:r>
        <w:rPr>
          <w:spacing w:val="-3"/>
        </w:rPr>
        <w:t xml:space="preserve"> </w:t>
      </w:r>
      <w:r>
        <w:t>shall from</w:t>
      </w:r>
      <w:r>
        <w:rPr>
          <w:spacing w:val="-1"/>
        </w:rPr>
        <w:t xml:space="preserve"> </w:t>
      </w:r>
      <w:r>
        <w:t>t</w:t>
      </w:r>
      <w:r>
        <w:t>ime</w:t>
      </w:r>
      <w:r>
        <w:rPr>
          <w:spacing w:val="-1"/>
        </w:rPr>
        <w:t xml:space="preserve"> </w:t>
      </w:r>
      <w:r>
        <w:t>to</w:t>
      </w:r>
      <w:r>
        <w:rPr>
          <w:spacing w:val="-1"/>
        </w:rPr>
        <w:t xml:space="preserve"> </w:t>
      </w:r>
      <w:r>
        <w:t>time</w:t>
      </w:r>
      <w:r>
        <w:rPr>
          <w:spacing w:val="-1"/>
        </w:rPr>
        <w:t xml:space="preserve"> </w:t>
      </w:r>
      <w:r>
        <w:t>determine as</w:t>
      </w:r>
      <w:r>
        <w:rPr>
          <w:spacing w:val="-1"/>
        </w:rPr>
        <w:t xml:space="preserve"> </w:t>
      </w:r>
      <w:r>
        <w:t>elaborated in</w:t>
      </w:r>
      <w:r>
        <w:rPr>
          <w:spacing w:val="-3"/>
        </w:rPr>
        <w:t xml:space="preserve"> </w:t>
      </w:r>
      <w:r>
        <w:t xml:space="preserve">the </w:t>
      </w:r>
      <w:r>
        <w:rPr>
          <w:spacing w:val="-2"/>
        </w:rPr>
        <w:t>notice.</w:t>
      </w:r>
    </w:p>
    <w:p w14:paraId="6B1A2D82" w14:textId="77777777" w:rsidR="000E3C62" w:rsidRDefault="000E3C62">
      <w:pPr>
        <w:pStyle w:val="BodyText"/>
        <w:spacing w:line="276" w:lineRule="auto"/>
        <w:ind w:left="463" w:right="145"/>
        <w:jc w:val="both"/>
      </w:pPr>
    </w:p>
    <w:p w14:paraId="0C8224CD" w14:textId="77777777" w:rsidR="00604E70" w:rsidRDefault="003F6C98">
      <w:pPr>
        <w:pStyle w:val="Heading1"/>
        <w:spacing w:before="38"/>
        <w:jc w:val="both"/>
      </w:pPr>
      <w:r>
        <w:t>RESULTS</w:t>
      </w:r>
      <w:r>
        <w:rPr>
          <w:spacing w:val="-6"/>
        </w:rPr>
        <w:t xml:space="preserve"> </w:t>
      </w:r>
      <w:r>
        <w:t>OF</w:t>
      </w:r>
      <w:r>
        <w:rPr>
          <w:spacing w:val="-3"/>
        </w:rPr>
        <w:t xml:space="preserve"> </w:t>
      </w:r>
      <w:r>
        <w:t>THE</w:t>
      </w:r>
      <w:r>
        <w:rPr>
          <w:spacing w:val="-2"/>
        </w:rPr>
        <w:t xml:space="preserve"> </w:t>
      </w:r>
      <w:r>
        <w:rPr>
          <w:spacing w:val="-4"/>
        </w:rPr>
        <w:t>POLL</w:t>
      </w:r>
    </w:p>
    <w:p w14:paraId="77CA839E" w14:textId="77777777" w:rsidR="00604E70" w:rsidRDefault="00604E70">
      <w:pPr>
        <w:pStyle w:val="BodyText"/>
        <w:rPr>
          <w:b/>
        </w:rPr>
      </w:pPr>
    </w:p>
    <w:p w14:paraId="2F28389D" w14:textId="6C9A8FDF" w:rsidR="00604E70" w:rsidRDefault="003F6C98">
      <w:pPr>
        <w:pStyle w:val="BodyText"/>
        <w:spacing w:line="276" w:lineRule="auto"/>
        <w:ind w:left="463" w:right="145"/>
        <w:jc w:val="both"/>
      </w:pPr>
      <w:r>
        <w:t>99.99%</w:t>
      </w:r>
      <w:r>
        <w:rPr>
          <w:spacing w:val="-1"/>
        </w:rPr>
        <w:t xml:space="preserve"> </w:t>
      </w:r>
      <w:r>
        <w:t>of</w:t>
      </w:r>
      <w:r>
        <w:rPr>
          <w:spacing w:val="-2"/>
        </w:rPr>
        <w:t xml:space="preserve"> </w:t>
      </w:r>
      <w:r>
        <w:t>the total</w:t>
      </w:r>
      <w:r>
        <w:rPr>
          <w:spacing w:val="-1"/>
        </w:rPr>
        <w:t xml:space="preserve"> </w:t>
      </w:r>
      <w:r>
        <w:t>of</w:t>
      </w:r>
      <w:r>
        <w:rPr>
          <w:spacing w:val="-2"/>
        </w:rPr>
        <w:t xml:space="preserve"> </w:t>
      </w:r>
      <w:r>
        <w:t>403,147,314</w:t>
      </w:r>
      <w:r>
        <w:rPr>
          <w:spacing w:val="-1"/>
        </w:rPr>
        <w:t xml:space="preserve"> </w:t>
      </w:r>
      <w:r>
        <w:t xml:space="preserve">shares that voted were </w:t>
      </w:r>
      <w:r>
        <w:rPr>
          <w:b/>
        </w:rPr>
        <w:t>IN</w:t>
      </w:r>
      <w:r>
        <w:rPr>
          <w:b/>
          <w:spacing w:val="-2"/>
        </w:rPr>
        <w:t xml:space="preserve"> </w:t>
      </w:r>
      <w:r>
        <w:rPr>
          <w:b/>
        </w:rPr>
        <w:t>FAVOUR</w:t>
      </w:r>
      <w:r>
        <w:t>,</w:t>
      </w:r>
      <w:r>
        <w:rPr>
          <w:spacing w:val="-2"/>
        </w:rPr>
        <w:t xml:space="preserve"> </w:t>
      </w:r>
      <w:r>
        <w:t>0.01%</w:t>
      </w:r>
      <w:r>
        <w:rPr>
          <w:spacing w:val="-1"/>
        </w:rPr>
        <w:t xml:space="preserve"> </w:t>
      </w:r>
      <w:r>
        <w:t>of the</w:t>
      </w:r>
      <w:r>
        <w:rPr>
          <w:spacing w:val="-1"/>
        </w:rPr>
        <w:t xml:space="preserve"> </w:t>
      </w:r>
      <w:r>
        <w:t xml:space="preserve">shares that voted were </w:t>
      </w:r>
      <w:r>
        <w:rPr>
          <w:b/>
        </w:rPr>
        <w:t xml:space="preserve">AGAINST </w:t>
      </w:r>
      <w:r>
        <w:t>and no shares abstained from voting. Special resoluti</w:t>
      </w:r>
      <w:r>
        <w:t>on number 1 was accordingly passed and the Company was authorised to make market purchases of its own shares on such terms and in such manner as the directors shall from time to time determine as elaborated in the notice of the meeting.”</w:t>
      </w:r>
    </w:p>
    <w:p w14:paraId="5BFECD27" w14:textId="77777777" w:rsidR="00604E70" w:rsidRDefault="00604E70">
      <w:pPr>
        <w:pStyle w:val="BodyText"/>
        <w:rPr>
          <w:sz w:val="31"/>
        </w:rPr>
      </w:pPr>
    </w:p>
    <w:sectPr w:rsidR="00604E70">
      <w:footerReference w:type="default" r:id="rId7"/>
      <w:pgSz w:w="11910" w:h="16850"/>
      <w:pgMar w:top="960" w:right="980" w:bottom="620" w:left="72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F9D7" w14:textId="77777777" w:rsidR="00000000" w:rsidRDefault="003F6C98">
      <w:r>
        <w:separator/>
      </w:r>
    </w:p>
  </w:endnote>
  <w:endnote w:type="continuationSeparator" w:id="0">
    <w:p w14:paraId="01134313" w14:textId="77777777" w:rsidR="00000000" w:rsidRDefault="003F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2F24" w14:textId="77777777" w:rsidR="00604E70" w:rsidRDefault="003F6C98">
    <w:pPr>
      <w:pStyle w:val="BodyText"/>
      <w:spacing w:line="14" w:lineRule="auto"/>
      <w:rPr>
        <w:sz w:val="20"/>
      </w:rPr>
    </w:pPr>
    <w:r>
      <w:pict w14:anchorId="0A411FC5">
        <v:shapetype id="_x0000_t202" coordsize="21600,21600" o:spt="202" path="m,l,21600r21600,l21600,xe">
          <v:stroke joinstyle="miter"/>
          <v:path gradientshapeok="t" o:connecttype="rect"/>
        </v:shapetype>
        <v:shape id="docshape1" o:spid="_x0000_s2049" type="#_x0000_t202" style="position:absolute;margin-left:512.75pt;margin-top:809.35pt;width:26.95pt;height:12pt;z-index:-251658752;mso-position-horizontal-relative:page;mso-position-vertical-relative:page" filled="f" stroked="f">
          <v:textbox inset="0,0,0,0">
            <w:txbxContent>
              <w:p w14:paraId="5810DC99" w14:textId="77777777" w:rsidR="00604E70" w:rsidRDefault="003F6C98">
                <w:pPr>
                  <w:spacing w:line="223" w:lineRule="exact"/>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DF5D" w14:textId="77777777" w:rsidR="00000000" w:rsidRDefault="003F6C98">
      <w:r>
        <w:separator/>
      </w:r>
    </w:p>
  </w:footnote>
  <w:footnote w:type="continuationSeparator" w:id="0">
    <w:p w14:paraId="4B67112E" w14:textId="77777777" w:rsidR="00000000" w:rsidRDefault="003F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B6FE1"/>
    <w:multiLevelType w:val="hybridMultilevel"/>
    <w:tmpl w:val="8B641352"/>
    <w:lvl w:ilvl="0" w:tplc="79448BBA">
      <w:start w:val="14"/>
      <w:numFmt w:val="decimal"/>
      <w:lvlText w:val="%1."/>
      <w:lvlJc w:val="left"/>
      <w:pPr>
        <w:ind w:left="540" w:hanging="361"/>
        <w:jc w:val="right"/>
      </w:pPr>
      <w:rPr>
        <w:rFonts w:ascii="Calibri" w:eastAsia="Calibri" w:hAnsi="Calibri" w:cs="Calibri" w:hint="default"/>
        <w:b/>
        <w:bCs/>
        <w:i w:val="0"/>
        <w:iCs w:val="0"/>
        <w:w w:val="100"/>
        <w:sz w:val="23"/>
        <w:szCs w:val="23"/>
        <w:lang w:val="en-US" w:eastAsia="en-US" w:bidi="ar-SA"/>
      </w:rPr>
    </w:lvl>
    <w:lvl w:ilvl="1" w:tplc="14E4D018">
      <w:numFmt w:val="bullet"/>
      <w:lvlText w:val="•"/>
      <w:lvlJc w:val="left"/>
      <w:pPr>
        <w:ind w:left="1506" w:hanging="361"/>
      </w:pPr>
      <w:rPr>
        <w:rFonts w:hint="default"/>
        <w:lang w:val="en-US" w:eastAsia="en-US" w:bidi="ar-SA"/>
      </w:rPr>
    </w:lvl>
    <w:lvl w:ilvl="2" w:tplc="BF2A667E">
      <w:numFmt w:val="bullet"/>
      <w:lvlText w:val="•"/>
      <w:lvlJc w:val="left"/>
      <w:pPr>
        <w:ind w:left="2473" w:hanging="361"/>
      </w:pPr>
      <w:rPr>
        <w:rFonts w:hint="default"/>
        <w:lang w:val="en-US" w:eastAsia="en-US" w:bidi="ar-SA"/>
      </w:rPr>
    </w:lvl>
    <w:lvl w:ilvl="3" w:tplc="82CAEE88">
      <w:numFmt w:val="bullet"/>
      <w:lvlText w:val="•"/>
      <w:lvlJc w:val="left"/>
      <w:pPr>
        <w:ind w:left="3439" w:hanging="361"/>
      </w:pPr>
      <w:rPr>
        <w:rFonts w:hint="default"/>
        <w:lang w:val="en-US" w:eastAsia="en-US" w:bidi="ar-SA"/>
      </w:rPr>
    </w:lvl>
    <w:lvl w:ilvl="4" w:tplc="728E342A">
      <w:numFmt w:val="bullet"/>
      <w:lvlText w:val="•"/>
      <w:lvlJc w:val="left"/>
      <w:pPr>
        <w:ind w:left="4406" w:hanging="361"/>
      </w:pPr>
      <w:rPr>
        <w:rFonts w:hint="default"/>
        <w:lang w:val="en-US" w:eastAsia="en-US" w:bidi="ar-SA"/>
      </w:rPr>
    </w:lvl>
    <w:lvl w:ilvl="5" w:tplc="A80C4B3E">
      <w:numFmt w:val="bullet"/>
      <w:lvlText w:val="•"/>
      <w:lvlJc w:val="left"/>
      <w:pPr>
        <w:ind w:left="5373" w:hanging="361"/>
      </w:pPr>
      <w:rPr>
        <w:rFonts w:hint="default"/>
        <w:lang w:val="en-US" w:eastAsia="en-US" w:bidi="ar-SA"/>
      </w:rPr>
    </w:lvl>
    <w:lvl w:ilvl="6" w:tplc="1A7ECC46">
      <w:numFmt w:val="bullet"/>
      <w:lvlText w:val="•"/>
      <w:lvlJc w:val="left"/>
      <w:pPr>
        <w:ind w:left="6339" w:hanging="361"/>
      </w:pPr>
      <w:rPr>
        <w:rFonts w:hint="default"/>
        <w:lang w:val="en-US" w:eastAsia="en-US" w:bidi="ar-SA"/>
      </w:rPr>
    </w:lvl>
    <w:lvl w:ilvl="7" w:tplc="17D82940">
      <w:numFmt w:val="bullet"/>
      <w:lvlText w:val="•"/>
      <w:lvlJc w:val="left"/>
      <w:pPr>
        <w:ind w:left="7306" w:hanging="361"/>
      </w:pPr>
      <w:rPr>
        <w:rFonts w:hint="default"/>
        <w:lang w:val="en-US" w:eastAsia="en-US" w:bidi="ar-SA"/>
      </w:rPr>
    </w:lvl>
    <w:lvl w:ilvl="8" w:tplc="08DC3434">
      <w:numFmt w:val="bullet"/>
      <w:lvlText w:val="•"/>
      <w:lvlJc w:val="left"/>
      <w:pPr>
        <w:ind w:left="8273" w:hanging="361"/>
      </w:pPr>
      <w:rPr>
        <w:rFonts w:hint="default"/>
        <w:lang w:val="en-US" w:eastAsia="en-US" w:bidi="ar-SA"/>
      </w:rPr>
    </w:lvl>
  </w:abstractNum>
  <w:num w:numId="1" w16cid:durableId="44296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4E70"/>
    <w:rsid w:val="000E3C62"/>
    <w:rsid w:val="003F6C98"/>
    <w:rsid w:val="00604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7B20C9"/>
  <w15:docId w15:val="{ABCB1A30-C7C5-469C-A264-0A8BF23A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9" w:line="341" w:lineRule="exact"/>
      <w:ind w:left="2550" w:right="2552"/>
      <w:jc w:val="center"/>
    </w:pPr>
    <w:rPr>
      <w:b/>
      <w:bCs/>
      <w:sz w:val="28"/>
      <w:szCs w:val="28"/>
    </w:rPr>
  </w:style>
  <w:style w:type="paragraph" w:styleId="ListParagraph">
    <w:name w:val="List Paragraph"/>
    <w:basedOn w:val="Normal"/>
    <w:uiPriority w:val="1"/>
    <w:qFormat/>
    <w:pPr>
      <w:ind w:left="540" w:hanging="361"/>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Annual General Meeting</dc:title>
  <dc:creator>paula</dc:creator>
  <cp:lastModifiedBy>Sophie Spraggon</cp:lastModifiedBy>
  <cp:revision>3</cp:revision>
  <dcterms:created xsi:type="dcterms:W3CDTF">2022-12-06T11:11:00Z</dcterms:created>
  <dcterms:modified xsi:type="dcterms:W3CDTF">2022-12-06T11:14:00Z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for Microsoft 365</vt:lpwstr>
  </property>
  <property fmtid="{D5CDD505-2E9C-101B-9397-08002B2CF9AE}" pid="4" name="LastSaved">
    <vt:filetime>2022-12-06T00:00:00Z</vt:filetime>
  </property>
  <property fmtid="{D5CDD505-2E9C-101B-9397-08002B2CF9AE}" pid="5" name="Producer">
    <vt:lpwstr>Microsoft® Word for Microsoft 365</vt:lpwstr>
  </property>
</Properties>
</file>