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5"/>
        <w:kinsoku w:val="0"/>
        <w:overflowPunct w:val="0"/>
        <w:spacing w:before="7" w:beforeLines="0" w:afterLines="0"/>
        <w:rPr>
          <w:rFonts w:hint="default" w:ascii="Times New Roman" w:eastAsia="Times New Roman"/>
          <w:sz w:val="20"/>
          <w:lang w:eastAsia="zh-TW"/>
        </w:rPr>
      </w:pPr>
      <w:r>
        <w:rPr>
          <w:rFonts w:hint="default" w:ascii="Times New Roman" w:eastAsia="Times New Roman"/>
          <w:sz w:val="24"/>
          <w:lang w:val="en-US"/>
        </w:rPr>
        <mc:AlternateContent>
          <mc:Choice Requires="wps">
            <w:drawing>
              <wp:anchor distT="0" distB="0" distL="0" distR="0" simplePos="0" relativeHeight="251658240" behindDoc="0" locked="0" layoutInCell="0" allowOverlap="1">
                <wp:simplePos x="0" y="0"/>
                <wp:positionH relativeFrom="page">
                  <wp:posOffset>2792730</wp:posOffset>
                </wp:positionH>
                <wp:positionV relativeFrom="paragraph">
                  <wp:posOffset>182880</wp:posOffset>
                </wp:positionV>
                <wp:extent cx="1981200" cy="609600"/>
                <wp:effectExtent l="0" t="0" r="0" b="0"/>
                <wp:wrapTopAndBottom/>
                <wp:docPr id="1" name="矩形 2"/>
                <wp:cNvGraphicFramePr/>
                <a:graphic xmlns:a="http://schemas.openxmlformats.org/drawingml/2006/main">
                  <a:graphicData uri="http://schemas.microsoft.com/office/word/2010/wordprocessingShape">
                    <wps:wsp>
                      <wps:cNvSpPr/>
                      <wps:spPr>
                        <a:xfrm>
                          <a:off x="0" y="0"/>
                          <a:ext cx="1981200" cy="609600"/>
                        </a:xfrm>
                        <a:prstGeom prst="rect">
                          <a:avLst/>
                        </a:prstGeom>
                        <a:noFill/>
                        <a:ln>
                          <a:noFill/>
                        </a:ln>
                      </wps:spPr>
                      <wps:txbx>
                        <w:txbxContent>
                          <w:p>
                            <w:pPr>
                              <w:widowControl/>
                              <w:autoSpaceDE/>
                              <w:autoSpaceDN/>
                              <w:adjustRightInd/>
                              <w:spacing w:beforeLines="0" w:afterLines="0" w:line="960" w:lineRule="atLeast"/>
                              <w:rPr>
                                <w:rFonts w:hint="default" w:ascii="Times New Roman" w:eastAsia="Times New Roman"/>
                                <w:sz w:val="24"/>
                              </w:rPr>
                            </w:pPr>
                            <w:r>
                              <w:rPr>
                                <w:rFonts w:hint="default" w:ascii="Times New Roman" w:eastAsia="Times New Roman"/>
                                <w:sz w:val="22"/>
                              </w:rPr>
                              <w:drawing>
                                <wp:inline distT="0" distB="0" distL="114300" distR="114300">
                                  <wp:extent cx="1974850" cy="615950"/>
                                  <wp:effectExtent l="0" t="0" r="635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1974850" cy="615950"/>
                                          </a:xfrm>
                                          <a:prstGeom prst="rect">
                                            <a:avLst/>
                                          </a:prstGeom>
                                          <a:noFill/>
                                          <a:ln>
                                            <a:noFill/>
                                          </a:ln>
                                        </pic:spPr>
                                      </pic:pic>
                                    </a:graphicData>
                                  </a:graphic>
                                </wp:inline>
                              </w:drawing>
                            </w:r>
                          </w:p>
                          <w:p>
                            <w:pPr>
                              <w:spacing w:beforeLines="0" w:afterLines="0"/>
                              <w:rPr>
                                <w:rFonts w:hint="default" w:ascii="Times New Roman" w:eastAsia="Times New Roman"/>
                                <w:sz w:val="24"/>
                              </w:rPr>
                            </w:pPr>
                          </w:p>
                        </w:txbxContent>
                      </wps:txbx>
                      <wps:bodyPr wrap="square" lIns="0" tIns="0" rIns="0" bIns="0" upright="1"/>
                    </wps:wsp>
                  </a:graphicData>
                </a:graphic>
              </wp:anchor>
            </w:drawing>
          </mc:Choice>
          <mc:Fallback>
            <w:pict>
              <v:rect id="矩形 2" o:spid="_x0000_s1026" o:spt="1" style="position:absolute;left:0pt;margin-left:219.9pt;margin-top:14.4pt;height:48pt;width:156pt;mso-position-horizontal-relative:page;mso-wrap-distance-bottom:0pt;mso-wrap-distance-top:0pt;z-index:251658240;mso-width-relative:page;mso-height-relative:page;" filled="f" stroked="f" coordsize="21600,21600" o:allowincell="f" o:gfxdata="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">
                <v:fill on="f" focussize="0,0"/>
                <v:stroke on="f"/>
                <v:imagedata o:title=""/>
                <o:lock v:ext="edit" aspectratio="f"/>
                <v:textbox inset="0mm,0mm,0mm,0mm">
                  <w:txbxContent>
                    <w:p>
                      <w:pPr>
                        <w:widowControl/>
                        <w:autoSpaceDE/>
                        <w:autoSpaceDN/>
                        <w:adjustRightInd/>
                        <w:spacing w:beforeLines="0" w:afterLines="0" w:line="960" w:lineRule="atLeast"/>
                        <w:rPr>
                          <w:rFonts w:hint="default" w:ascii="Times New Roman" w:eastAsia="Times New Roman"/>
                          <w:sz w:val="24"/>
                        </w:rPr>
                      </w:pPr>
                      <w:r>
                        <w:rPr>
                          <w:rFonts w:hint="default" w:ascii="Times New Roman" w:eastAsia="Times New Roman"/>
                          <w:sz w:val="22"/>
                        </w:rPr>
                        <w:drawing>
                          <wp:inline distT="0" distB="0" distL="114300" distR="114300">
                            <wp:extent cx="1974850" cy="615950"/>
                            <wp:effectExtent l="0" t="0" r="635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1974850" cy="615950"/>
                                    </a:xfrm>
                                    <a:prstGeom prst="rect">
                                      <a:avLst/>
                                    </a:prstGeom>
                                    <a:noFill/>
                                    <a:ln>
                                      <a:noFill/>
                                    </a:ln>
                                  </pic:spPr>
                                </pic:pic>
                              </a:graphicData>
                            </a:graphic>
                          </wp:inline>
                        </w:drawing>
                      </w:r>
                    </w:p>
                    <w:p>
                      <w:pPr>
                        <w:spacing w:beforeLines="0" w:afterLines="0"/>
                        <w:rPr>
                          <w:rFonts w:hint="default" w:ascii="Times New Roman" w:eastAsia="Times New Roman"/>
                          <w:sz w:val="24"/>
                        </w:rPr>
                      </w:pPr>
                    </w:p>
                  </w:txbxContent>
                </v:textbox>
                <w10:wrap type="topAndBottom"/>
              </v:rect>
            </w:pict>
          </mc:Fallback>
        </mc:AlternateContent>
      </w:r>
    </w:p>
    <w:p>
      <w:pPr>
        <w:pStyle w:val="3"/>
        <w:kinsoku w:val="0"/>
        <w:overflowPunct w:val="0"/>
        <w:spacing w:beforeLines="0" w:afterLines="0" w:line="419" w:lineRule="exact"/>
        <w:ind w:left="0" w:leftChars="0" w:right="313" w:firstLine="0" w:firstLineChars="0"/>
        <w:jc w:val="both"/>
        <w:rPr>
          <w:rFonts w:hint="default" w:ascii="Times New Roman" w:eastAsia="宋体"/>
          <w:color w:val="231F20"/>
          <w:sz w:val="24"/>
          <w:lang w:eastAsia="zh-TW"/>
        </w:rPr>
      </w:pPr>
    </w:p>
    <w:p>
      <w:pPr>
        <w:pStyle w:val="3"/>
        <w:kinsoku w:val="0"/>
        <w:overflowPunct w:val="0"/>
        <w:spacing w:beforeLines="0" w:afterLines="0" w:line="419" w:lineRule="exact"/>
        <w:ind w:left="433" w:right="313"/>
        <w:jc w:val="center"/>
        <w:rPr>
          <w:rFonts w:hint="default" w:ascii="Times New Roman" w:eastAsia="宋体"/>
          <w:color w:val="231F20"/>
          <w:sz w:val="24"/>
          <w:lang w:eastAsia="zh-TW"/>
        </w:rPr>
      </w:pPr>
      <w:r>
        <w:rPr>
          <w:rFonts w:hint="default" w:ascii="Times New Roman" w:eastAsia="宋体"/>
          <w:color w:val="231F20"/>
          <w:sz w:val="24"/>
          <w:lang w:eastAsia="zh-TW"/>
        </w:rPr>
        <w:t>(</w:t>
      </w:r>
      <w:r>
        <w:rPr>
          <w:rFonts w:hint="eastAsia" w:ascii="Times New Roman" w:eastAsia="宋体"/>
          <w:color w:val="231F20"/>
          <w:sz w:val="24"/>
          <w:lang w:val="en-US" w:eastAsia="zh-CN"/>
        </w:rPr>
        <w:t xml:space="preserve">GDR under the symbol </w:t>
      </w:r>
      <w:r>
        <w:rPr>
          <w:rFonts w:hint="default" w:ascii="Times New Roman" w:eastAsia="宋体"/>
          <w:color w:val="231F20"/>
          <w:sz w:val="24"/>
          <w:lang w:val="en-US" w:eastAsia="zh-CN"/>
        </w:rPr>
        <w:t>“</w:t>
      </w:r>
      <w:r>
        <w:rPr>
          <w:rFonts w:hint="eastAsia" w:ascii="Times New Roman" w:eastAsia="宋体"/>
          <w:color w:val="231F20"/>
          <w:sz w:val="24"/>
          <w:lang w:val="en-US" w:eastAsia="zh-CN"/>
        </w:rPr>
        <w:t>HTSC</w:t>
      </w:r>
      <w:r>
        <w:rPr>
          <w:rFonts w:hint="default" w:ascii="Times New Roman" w:eastAsia="宋体"/>
          <w:color w:val="231F20"/>
          <w:sz w:val="24"/>
          <w:lang w:val="en-US" w:eastAsia="zh-CN"/>
        </w:rPr>
        <w:t>”</w:t>
      </w:r>
      <w:r>
        <w:rPr>
          <w:rFonts w:hint="default" w:ascii="Times New Roman" w:eastAsia="宋体"/>
          <w:color w:val="231F20"/>
          <w:sz w:val="24"/>
          <w:lang w:eastAsia="zh-TW"/>
        </w:rPr>
        <w:t>)</w:t>
      </w:r>
    </w:p>
    <w:p>
      <w:pPr>
        <w:rPr>
          <w:rFonts w:hint="default" w:ascii="Times New Roman" w:eastAsia="宋体"/>
          <w:color w:val="231F20"/>
          <w:sz w:val="24"/>
          <w:lang w:eastAsia="zh-TW"/>
        </w:rPr>
      </w:pPr>
    </w:p>
    <w:p>
      <w:pPr>
        <w:rPr>
          <w:rFonts w:hint="default" w:ascii="Times New Roman" w:eastAsia="宋体"/>
          <w:color w:val="231F20"/>
          <w:sz w:val="24"/>
          <w:lang w:eastAsia="zh-TW"/>
        </w:rPr>
      </w:pPr>
    </w:p>
    <w:p>
      <w:pPr>
        <w:pStyle w:val="5"/>
        <w:kinsoku w:val="0"/>
        <w:overflowPunct w:val="0"/>
        <w:spacing w:before="2" w:beforeLines="0" w:afterLines="0"/>
        <w:rPr>
          <w:rFonts w:hint="default" w:ascii="Times New Roman" w:eastAsia="Times New Roman"/>
          <w:b/>
          <w:sz w:val="18"/>
          <w:lang w:eastAsia="zh-TW"/>
        </w:rPr>
      </w:pPr>
    </w:p>
    <w:p>
      <w:pPr>
        <w:pStyle w:val="9"/>
        <w:kinsoku w:val="0"/>
        <w:overflowPunct w:val="0"/>
        <w:spacing w:beforeLines="0" w:afterLines="0"/>
        <w:rPr>
          <w:rFonts w:hint="default" w:ascii="Times New Roman" w:eastAsia="宋体"/>
          <w:color w:val="231F20"/>
          <w:sz w:val="28"/>
          <w:lang w:val="en-US" w:eastAsia="zh-CN"/>
        </w:rPr>
      </w:pPr>
      <w:r>
        <w:rPr>
          <w:rFonts w:hint="default" w:ascii="Times New Roman" w:eastAsia="宋体"/>
          <w:color w:val="231F20"/>
          <w:sz w:val="28"/>
          <w:lang w:eastAsia="zh-TW"/>
        </w:rPr>
        <w:t>ANNOUNCEMENT</w:t>
      </w:r>
      <w:r>
        <w:rPr>
          <w:rFonts w:hint="eastAsia" w:ascii="Times New Roman" w:eastAsia="宋体"/>
          <w:color w:val="231F20"/>
          <w:sz w:val="28"/>
          <w:lang w:val="en-US" w:eastAsia="zh-CN"/>
        </w:rPr>
        <w:t xml:space="preserve"> ON</w:t>
      </w:r>
    </w:p>
    <w:p>
      <w:pPr>
        <w:pStyle w:val="9"/>
        <w:kinsoku w:val="0"/>
        <w:overflowPunct w:val="0"/>
        <w:spacing w:beforeLines="0" w:afterLines="0"/>
        <w:rPr>
          <w:rFonts w:hint="default" w:ascii="Times New Roman" w:eastAsia="宋体"/>
          <w:color w:val="231F20"/>
          <w:sz w:val="28"/>
        </w:rPr>
      </w:pPr>
      <w:r>
        <w:rPr>
          <w:rFonts w:hint="default" w:ascii="Times New Roman" w:eastAsia="宋体"/>
          <w:color w:val="231F20"/>
          <w:sz w:val="28"/>
          <w:lang w:eastAsia="zh-TW"/>
        </w:rPr>
        <w:t>PRELIMINARY FINANCIAL DATA FOR THE YEAR OF 20</w:t>
      </w:r>
      <w:r>
        <w:rPr>
          <w:rFonts w:hint="default" w:ascii="Times New Roman" w:eastAsia="宋体"/>
          <w:color w:val="231F20"/>
          <w:sz w:val="28"/>
        </w:rPr>
        <w:t>21</w:t>
      </w:r>
    </w:p>
    <w:p>
      <w:pPr>
        <w:pStyle w:val="5"/>
        <w:kinsoku w:val="0"/>
        <w:overflowPunct w:val="0"/>
        <w:spacing w:before="9" w:beforeLines="0" w:afterLines="0"/>
        <w:rPr>
          <w:rFonts w:hint="default" w:ascii="Times New Roman" w:eastAsia="Times New Roman"/>
          <w:b/>
          <w:sz w:val="23"/>
          <w:lang w:eastAsia="zh-TW"/>
        </w:rPr>
      </w:pPr>
    </w:p>
    <w:p>
      <w:pPr>
        <w:pStyle w:val="5"/>
        <w:kinsoku w:val="0"/>
        <w:overflowPunct w:val="0"/>
        <w:spacing w:beforeLines="0" w:afterLines="0"/>
        <w:ind w:left="277"/>
        <w:jc w:val="both"/>
        <w:rPr>
          <w:rFonts w:hint="default" w:ascii="Times New Roman"/>
          <w:color w:val="231F20"/>
          <w:sz w:val="24"/>
          <w:lang w:val="en-US" w:eastAsia="zh-TW"/>
        </w:rPr>
      </w:pPr>
      <w:r>
        <w:rPr>
          <w:rFonts w:hint="default" w:ascii="Times New Roman"/>
          <w:color w:val="231F20"/>
          <w:sz w:val="24"/>
          <w:lang w:eastAsia="zh-TW"/>
        </w:rPr>
        <w:t>The Board of Huatai Securities Co., Ltd. (the "Company") hereby announces</w:t>
      </w:r>
      <w:r>
        <w:rPr>
          <w:rFonts w:hint="eastAsia" w:ascii="Times New Roman"/>
          <w:color w:val="231F20"/>
          <w:sz w:val="24"/>
          <w:lang w:val="en-US" w:eastAsia="zh-CN"/>
        </w:rPr>
        <w:t xml:space="preserve"> Preliminary Financial Data for the Year of 2021.</w:t>
      </w:r>
    </w:p>
    <w:p>
      <w:pPr>
        <w:pStyle w:val="5"/>
        <w:kinsoku w:val="0"/>
        <w:overflowPunct w:val="0"/>
        <w:spacing w:before="8" w:beforeLines="0" w:afterLines="0"/>
        <w:rPr>
          <w:rFonts w:hint="default" w:ascii="Times New Roman" w:eastAsia="Times New Roman"/>
          <w:color w:val="231F20"/>
          <w:sz w:val="24"/>
          <w:lang w:eastAsia="zh-TW"/>
        </w:rPr>
      </w:pPr>
      <w:bookmarkStart w:id="0" w:name="_GoBack"/>
    </w:p>
    <w:bookmarkEnd w:id="0"/>
    <w:p>
      <w:pPr>
        <w:pStyle w:val="5"/>
        <w:kinsoku w:val="0"/>
        <w:overflowPunct w:val="0"/>
        <w:spacing w:beforeLines="0" w:afterLines="0"/>
        <w:ind w:left="277"/>
        <w:jc w:val="both"/>
        <w:rPr>
          <w:rFonts w:hint="default" w:ascii="Times New Roman"/>
          <w:color w:val="231F20"/>
          <w:sz w:val="24"/>
          <w:lang w:eastAsia="zh-TW"/>
        </w:rPr>
      </w:pPr>
      <w:r>
        <w:rPr>
          <w:rFonts w:hint="default" w:ascii="Times New Roman"/>
          <w:color w:val="231F20"/>
          <w:sz w:val="24"/>
          <w:lang w:eastAsia="zh-TW"/>
        </w:rPr>
        <w:t>The key financial data of the Company for the year of 2021 as contained herein prepared in accordance with the China Accounting Standards for Business Enterprises are preliminary financial data which have not been audited by an accounting firm. The final data will be disclosed in the Company’s 2021 annual report. Shareholders of the Company and potential investors are hereby reminded of the investment risks that may result therefrom.</w:t>
      </w:r>
    </w:p>
    <w:p>
      <w:pPr>
        <w:pStyle w:val="5"/>
        <w:kinsoku w:val="0"/>
        <w:overflowPunct w:val="0"/>
        <w:spacing w:before="3" w:beforeLines="0" w:afterLines="0"/>
        <w:rPr>
          <w:rFonts w:hint="default" w:ascii="Times New Roman" w:eastAsia="Times New Roman"/>
          <w:color w:val="231F20"/>
          <w:sz w:val="24"/>
          <w:lang w:eastAsia="zh-TW"/>
        </w:rPr>
      </w:pPr>
    </w:p>
    <w:p>
      <w:pPr>
        <w:snapToGrid w:val="0"/>
        <w:spacing w:beforeLines="0" w:afterLines="0" w:line="360" w:lineRule="auto"/>
        <w:ind w:firstLine="277"/>
        <w:rPr>
          <w:rFonts w:hint="default" w:ascii="Times New Roman"/>
          <w:b/>
          <w:color w:val="231F20"/>
          <w:sz w:val="24"/>
          <w:lang w:eastAsia="zh-TW"/>
        </w:rPr>
      </w:pPr>
      <w:r>
        <w:rPr>
          <w:rFonts w:hint="default" w:ascii="Times New Roman"/>
          <w:b/>
          <w:color w:val="231F20"/>
          <w:sz w:val="24"/>
          <w:lang w:eastAsia="zh-TW"/>
        </w:rPr>
        <w:t>I.</w:t>
      </w:r>
      <w:r>
        <w:rPr>
          <w:rFonts w:hint="default" w:ascii="Times New Roman" w:eastAsia="Times New Roman"/>
          <w:b/>
          <w:color w:val="231F20"/>
          <w:sz w:val="24"/>
        </w:rPr>
        <w:tab/>
      </w:r>
      <w:r>
        <w:rPr>
          <w:rFonts w:hint="default" w:ascii="Times New Roman"/>
          <w:b/>
          <w:color w:val="231F20"/>
          <w:sz w:val="24"/>
          <w:lang w:eastAsia="zh-TW"/>
        </w:rPr>
        <w:t>Key Financial Data and Indicators for 2021</w:t>
      </w:r>
    </w:p>
    <w:p>
      <w:pPr>
        <w:snapToGrid w:val="0"/>
        <w:spacing w:beforeLines="0" w:afterLines="0" w:line="360" w:lineRule="auto"/>
        <w:ind w:firstLine="480" w:firstLineChars="200"/>
        <w:jc w:val="right"/>
        <w:rPr>
          <w:rFonts w:hint="default" w:ascii="Times New Roman" w:eastAsia="Times New Roman"/>
          <w:i/>
          <w:sz w:val="24"/>
        </w:rPr>
      </w:pPr>
      <w:r>
        <w:rPr>
          <w:rFonts w:hint="default" w:ascii="Times New Roman"/>
          <w:i/>
          <w:color w:val="231F20"/>
          <w:sz w:val="24"/>
          <w:lang w:eastAsia="zh-TW"/>
        </w:rPr>
        <w:t>Unit: in RMB ten thousand</w:t>
      </w:r>
    </w:p>
    <w:p>
      <w:pPr>
        <w:snapToGrid w:val="0"/>
        <w:spacing w:beforeLines="0" w:afterLines="0" w:line="360" w:lineRule="auto"/>
        <w:ind w:firstLine="480" w:firstLineChars="200"/>
        <w:rPr>
          <w:rFonts w:hint="default" w:ascii="Times New Roman" w:eastAsia="Times New Roman"/>
          <w:i/>
          <w:sz w:val="24"/>
        </w:rPr>
      </w:pPr>
    </w:p>
    <w:tbl>
      <w:tblPr>
        <w:tblStyle w:val="11"/>
        <w:tblW w:w="8860" w:type="dxa"/>
        <w:jc w:val="center"/>
        <w:tblInd w:w="13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28"/>
        <w:gridCol w:w="2205"/>
        <w:gridCol w:w="2190"/>
        <w:gridCol w:w="1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028" w:type="dxa"/>
            <w:tcBorders>
              <w:top w:val="single" w:color="auto" w:sz="4" w:space="0"/>
              <w:left w:val="single" w:color="auto" w:sz="4" w:space="0"/>
              <w:bottom w:val="single" w:color="auto" w:sz="4" w:space="0"/>
              <w:right w:val="single" w:color="auto" w:sz="4" w:space="0"/>
              <w:tl2br w:val="nil"/>
              <w:tr2bl w:val="nil"/>
            </w:tcBorders>
            <w:shd w:val="clear" w:color="auto" w:fill="E6E6E6"/>
            <w:noWrap w:val="0"/>
            <w:vAlign w:val="center"/>
          </w:tcPr>
          <w:p>
            <w:pPr>
              <w:spacing w:beforeLines="0" w:afterLines="0" w:line="360" w:lineRule="exact"/>
              <w:rPr>
                <w:rFonts w:hint="default" w:ascii="Times New Roman" w:eastAsia="Times New Roman"/>
                <w:b/>
                <w:sz w:val="24"/>
              </w:rPr>
            </w:pPr>
            <w:r>
              <w:rPr>
                <w:rFonts w:hint="default" w:ascii="Times New Roman"/>
                <w:b/>
                <w:sz w:val="24"/>
              </w:rPr>
              <w:t>Items</w:t>
            </w:r>
          </w:p>
        </w:tc>
        <w:tc>
          <w:tcPr>
            <w:tcW w:w="2205" w:type="dxa"/>
            <w:tcBorders>
              <w:top w:val="single" w:color="auto" w:sz="4" w:space="0"/>
              <w:left w:val="single" w:color="auto" w:sz="4" w:space="0"/>
              <w:bottom w:val="single" w:color="auto" w:sz="4" w:space="0"/>
              <w:right w:val="single" w:color="auto" w:sz="4" w:space="0"/>
              <w:tl2br w:val="nil"/>
              <w:tr2bl w:val="nil"/>
            </w:tcBorders>
            <w:shd w:val="clear" w:color="auto" w:fill="E6E6E6"/>
            <w:noWrap w:val="0"/>
            <w:vAlign w:val="center"/>
          </w:tcPr>
          <w:p>
            <w:pPr>
              <w:spacing w:beforeLines="0" w:afterLines="0" w:line="360" w:lineRule="exact"/>
              <w:jc w:val="right"/>
              <w:rPr>
                <w:rFonts w:hint="default" w:ascii="Times New Roman" w:eastAsia="Times New Roman"/>
                <w:b/>
                <w:sz w:val="24"/>
              </w:rPr>
            </w:pPr>
            <w:r>
              <w:rPr>
                <w:rFonts w:hint="default" w:ascii="Times New Roman"/>
                <w:b/>
                <w:sz w:val="24"/>
              </w:rPr>
              <w:t>For the reporting period</w:t>
            </w:r>
          </w:p>
        </w:tc>
        <w:tc>
          <w:tcPr>
            <w:tcW w:w="2190" w:type="dxa"/>
            <w:tcBorders>
              <w:top w:val="single" w:color="auto" w:sz="4" w:space="0"/>
              <w:left w:val="single" w:color="auto" w:sz="4" w:space="0"/>
              <w:bottom w:val="single" w:color="auto" w:sz="4" w:space="0"/>
              <w:right w:val="single" w:color="auto" w:sz="4" w:space="0"/>
              <w:tl2br w:val="nil"/>
              <w:tr2bl w:val="nil"/>
            </w:tcBorders>
            <w:shd w:val="clear" w:color="auto" w:fill="E6E6E6"/>
            <w:noWrap w:val="0"/>
            <w:vAlign w:val="center"/>
          </w:tcPr>
          <w:p>
            <w:pPr>
              <w:spacing w:beforeLines="0" w:afterLines="0" w:line="360" w:lineRule="exact"/>
              <w:jc w:val="right"/>
              <w:rPr>
                <w:rFonts w:hint="default" w:ascii="Times New Roman" w:eastAsia="Times New Roman"/>
                <w:b/>
                <w:sz w:val="24"/>
              </w:rPr>
            </w:pPr>
            <w:r>
              <w:rPr>
                <w:rFonts w:hint="default" w:ascii="Times New Roman"/>
                <w:b/>
                <w:sz w:val="24"/>
              </w:rPr>
              <w:t>For the same period last year</w:t>
            </w:r>
          </w:p>
        </w:tc>
        <w:tc>
          <w:tcPr>
            <w:tcW w:w="1437" w:type="dxa"/>
            <w:tcBorders>
              <w:top w:val="single" w:color="auto" w:sz="4" w:space="0"/>
              <w:left w:val="single" w:color="auto" w:sz="4" w:space="0"/>
              <w:bottom w:val="single" w:color="auto" w:sz="4" w:space="0"/>
              <w:right w:val="single" w:color="auto" w:sz="4" w:space="0"/>
              <w:tl2br w:val="nil"/>
              <w:tr2bl w:val="nil"/>
            </w:tcBorders>
            <w:shd w:val="clear" w:color="auto" w:fill="E6E6E6"/>
            <w:noWrap w:val="0"/>
            <w:vAlign w:val="top"/>
          </w:tcPr>
          <w:p>
            <w:pPr>
              <w:spacing w:beforeLines="0" w:afterLines="0" w:line="360" w:lineRule="exact"/>
              <w:jc w:val="right"/>
              <w:rPr>
                <w:rFonts w:hint="default" w:ascii="Times New Roman" w:eastAsia="Times New Roman"/>
                <w:b/>
                <w:sz w:val="24"/>
              </w:rPr>
            </w:pPr>
            <w:r>
              <w:rPr>
                <w:rFonts w:hint="default" w:ascii="Times New Roman"/>
                <w:b/>
                <w:sz w:val="24"/>
              </w:rPr>
              <w:t>Change</w:t>
            </w:r>
          </w:p>
          <w:p>
            <w:pPr>
              <w:spacing w:beforeLines="0" w:afterLines="0" w:line="360" w:lineRule="exact"/>
              <w:jc w:val="right"/>
              <w:rPr>
                <w:rFonts w:hint="default" w:ascii="Times New Roman" w:eastAsia="Times New Roman"/>
                <w:b/>
                <w:sz w:val="24"/>
              </w:rPr>
            </w:pPr>
            <w:r>
              <w:rPr>
                <w:rFonts w:hint="default" w:ascii="Times New Roman"/>
                <w:b/>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3028" w:type="dxa"/>
            <w:tcBorders>
              <w:top w:val="single" w:color="auto" w:sz="4" w:space="0"/>
              <w:left w:val="single" w:color="auto" w:sz="4" w:space="0"/>
              <w:bottom w:val="single" w:color="auto" w:sz="4" w:space="0"/>
              <w:right w:val="single" w:color="auto" w:sz="4" w:space="0"/>
              <w:tl2br w:val="nil"/>
              <w:tr2bl w:val="nil"/>
            </w:tcBorders>
            <w:shd w:val="clear" w:color="auto" w:fill="E6E6E6"/>
            <w:noWrap w:val="0"/>
            <w:vAlign w:val="center"/>
          </w:tcPr>
          <w:p>
            <w:pPr>
              <w:spacing w:beforeLines="0" w:afterLines="0" w:line="360" w:lineRule="exact"/>
              <w:rPr>
                <w:rFonts w:hint="default" w:ascii="Times New Roman" w:eastAsia="Times New Roman"/>
                <w:color w:val="231F20"/>
                <w:sz w:val="24"/>
                <w:lang w:eastAsia="zh-TW"/>
              </w:rPr>
            </w:pPr>
            <w:r>
              <w:rPr>
                <w:rFonts w:hint="default" w:ascii="Times New Roman"/>
                <w:color w:val="231F20"/>
                <w:sz w:val="24"/>
                <w:lang w:eastAsia="zh-TW"/>
              </w:rPr>
              <w:t>Total operating income</w:t>
            </w:r>
          </w:p>
        </w:tc>
        <w:tc>
          <w:tcPr>
            <w:tcW w:w="22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3,790,544.37</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3,144,454.61</w:t>
            </w:r>
          </w:p>
        </w:tc>
        <w:tc>
          <w:tcPr>
            <w:tcW w:w="143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20.55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3028" w:type="dxa"/>
            <w:tcBorders>
              <w:top w:val="single" w:color="auto" w:sz="4" w:space="0"/>
              <w:left w:val="single" w:color="auto" w:sz="4" w:space="0"/>
              <w:bottom w:val="single" w:color="auto" w:sz="4" w:space="0"/>
              <w:right w:val="single" w:color="auto" w:sz="4" w:space="0"/>
              <w:tl2br w:val="nil"/>
              <w:tr2bl w:val="nil"/>
            </w:tcBorders>
            <w:shd w:val="clear" w:color="auto" w:fill="E6E6E6"/>
            <w:noWrap w:val="0"/>
            <w:vAlign w:val="center"/>
          </w:tcPr>
          <w:p>
            <w:pPr>
              <w:spacing w:beforeLines="0" w:afterLines="0" w:line="360" w:lineRule="exact"/>
              <w:rPr>
                <w:rFonts w:hint="default" w:ascii="Times New Roman" w:eastAsia="Times New Roman"/>
                <w:color w:val="231F20"/>
                <w:sz w:val="24"/>
                <w:lang w:eastAsia="zh-TW"/>
              </w:rPr>
            </w:pPr>
            <w:r>
              <w:rPr>
                <w:rFonts w:hint="default" w:ascii="Times New Roman"/>
                <w:color w:val="231F20"/>
                <w:sz w:val="24"/>
                <w:lang w:eastAsia="zh-TW"/>
              </w:rPr>
              <w:t>Operating profit</w:t>
            </w:r>
          </w:p>
        </w:tc>
        <w:tc>
          <w:tcPr>
            <w:tcW w:w="22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1,633,882.07</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1,350,082.47</w:t>
            </w:r>
          </w:p>
        </w:tc>
        <w:tc>
          <w:tcPr>
            <w:tcW w:w="143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21.02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3028" w:type="dxa"/>
            <w:tcBorders>
              <w:top w:val="single" w:color="auto" w:sz="4" w:space="0"/>
              <w:left w:val="single" w:color="auto" w:sz="4" w:space="0"/>
              <w:bottom w:val="single" w:color="auto" w:sz="4" w:space="0"/>
              <w:right w:val="single" w:color="auto" w:sz="4" w:space="0"/>
              <w:tl2br w:val="nil"/>
              <w:tr2bl w:val="nil"/>
            </w:tcBorders>
            <w:shd w:val="clear" w:color="auto" w:fill="E6E6E6"/>
            <w:noWrap w:val="0"/>
            <w:vAlign w:val="center"/>
          </w:tcPr>
          <w:p>
            <w:pPr>
              <w:spacing w:beforeLines="0" w:afterLines="0" w:line="360" w:lineRule="exact"/>
              <w:rPr>
                <w:rFonts w:hint="default" w:ascii="Times New Roman" w:eastAsia="Times New Roman"/>
                <w:color w:val="231F20"/>
                <w:sz w:val="24"/>
                <w:lang w:eastAsia="zh-TW"/>
              </w:rPr>
            </w:pPr>
            <w:r>
              <w:rPr>
                <w:rFonts w:hint="default" w:ascii="Times New Roman"/>
                <w:color w:val="231F20"/>
                <w:sz w:val="24"/>
                <w:lang w:eastAsia="zh-TW"/>
              </w:rPr>
              <w:t>Total profit</w:t>
            </w:r>
          </w:p>
        </w:tc>
        <w:tc>
          <w:tcPr>
            <w:tcW w:w="22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1,627,256.25</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1,350,437.60</w:t>
            </w:r>
          </w:p>
        </w:tc>
        <w:tc>
          <w:tcPr>
            <w:tcW w:w="143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20.50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3028" w:type="dxa"/>
            <w:tcBorders>
              <w:top w:val="single" w:color="auto" w:sz="4" w:space="0"/>
              <w:left w:val="single" w:color="auto" w:sz="4" w:space="0"/>
              <w:bottom w:val="single" w:color="auto" w:sz="4" w:space="0"/>
              <w:right w:val="single" w:color="auto" w:sz="4" w:space="0"/>
              <w:tl2br w:val="nil"/>
              <w:tr2bl w:val="nil"/>
            </w:tcBorders>
            <w:shd w:val="clear" w:color="auto" w:fill="E6E6E6"/>
            <w:noWrap w:val="0"/>
            <w:vAlign w:val="center"/>
          </w:tcPr>
          <w:p>
            <w:pPr>
              <w:spacing w:beforeLines="0" w:afterLines="0" w:line="360" w:lineRule="exact"/>
              <w:rPr>
                <w:rFonts w:hint="default" w:ascii="Times New Roman" w:eastAsia="Times New Roman"/>
                <w:color w:val="231F20"/>
                <w:sz w:val="24"/>
                <w:lang w:eastAsia="zh-TW"/>
              </w:rPr>
            </w:pPr>
            <w:r>
              <w:rPr>
                <w:rFonts w:hint="default" w:ascii="Times New Roman"/>
                <w:color w:val="231F20"/>
                <w:sz w:val="24"/>
                <w:lang w:eastAsia="zh-TW"/>
              </w:rPr>
              <w:t>Net profit attributable to shareholders of the listed company</w:t>
            </w:r>
          </w:p>
        </w:tc>
        <w:tc>
          <w:tcPr>
            <w:tcW w:w="22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1,334,610.67</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1,082,249.69</w:t>
            </w:r>
          </w:p>
        </w:tc>
        <w:tc>
          <w:tcPr>
            <w:tcW w:w="143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23.32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3028" w:type="dxa"/>
            <w:tcBorders>
              <w:top w:val="single" w:color="auto" w:sz="4" w:space="0"/>
              <w:left w:val="single" w:color="auto" w:sz="4" w:space="0"/>
              <w:bottom w:val="single" w:color="auto" w:sz="4" w:space="0"/>
              <w:right w:val="single" w:color="auto" w:sz="4" w:space="0"/>
              <w:tl2br w:val="nil"/>
              <w:tr2bl w:val="nil"/>
            </w:tcBorders>
            <w:shd w:val="clear" w:color="auto" w:fill="E6E6E6"/>
            <w:noWrap w:val="0"/>
            <w:vAlign w:val="center"/>
          </w:tcPr>
          <w:p>
            <w:pPr>
              <w:spacing w:beforeLines="0" w:afterLines="0" w:line="360" w:lineRule="exact"/>
              <w:rPr>
                <w:rFonts w:hint="default" w:ascii="Times New Roman" w:eastAsia="Times New Roman"/>
                <w:color w:val="231F20"/>
                <w:sz w:val="24"/>
                <w:lang w:eastAsia="zh-TW"/>
              </w:rPr>
            </w:pPr>
            <w:r>
              <w:rPr>
                <w:rFonts w:hint="default" w:ascii="Times New Roman"/>
                <w:color w:val="231F20"/>
                <w:sz w:val="24"/>
                <w:lang w:eastAsia="zh-TW"/>
              </w:rPr>
              <w:t>Net profit after extraordinary profit and loss attributable to shareholders of the listed company</w:t>
            </w:r>
          </w:p>
        </w:tc>
        <w:tc>
          <w:tcPr>
            <w:tcW w:w="22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1,319,162.78</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1,061,915.97</w:t>
            </w:r>
          </w:p>
        </w:tc>
        <w:tc>
          <w:tcPr>
            <w:tcW w:w="143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24.22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3028" w:type="dxa"/>
            <w:tcBorders>
              <w:top w:val="single" w:color="auto" w:sz="4" w:space="0"/>
              <w:left w:val="single" w:color="auto" w:sz="4" w:space="0"/>
              <w:bottom w:val="single" w:color="auto" w:sz="4" w:space="0"/>
              <w:right w:val="single" w:color="auto" w:sz="4" w:space="0"/>
              <w:tl2br w:val="nil"/>
              <w:tr2bl w:val="nil"/>
            </w:tcBorders>
            <w:shd w:val="clear" w:color="auto" w:fill="E6E6E6"/>
            <w:noWrap w:val="0"/>
            <w:vAlign w:val="center"/>
          </w:tcPr>
          <w:p>
            <w:pPr>
              <w:spacing w:beforeLines="0" w:afterLines="0" w:line="360" w:lineRule="exact"/>
              <w:rPr>
                <w:rFonts w:hint="default" w:ascii="Times New Roman" w:eastAsia="Times New Roman"/>
                <w:color w:val="231F20"/>
                <w:sz w:val="24"/>
                <w:lang w:eastAsia="zh-TW"/>
              </w:rPr>
            </w:pPr>
            <w:r>
              <w:rPr>
                <w:rFonts w:hint="default" w:ascii="Times New Roman"/>
                <w:color w:val="231F20"/>
                <w:sz w:val="24"/>
                <w:lang w:eastAsia="zh-TW"/>
              </w:rPr>
              <w:t>Basic earnings per share (RMB)</w:t>
            </w:r>
          </w:p>
        </w:tc>
        <w:tc>
          <w:tcPr>
            <w:tcW w:w="22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1.47</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1.20</w:t>
            </w:r>
          </w:p>
        </w:tc>
        <w:tc>
          <w:tcPr>
            <w:tcW w:w="143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22.50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3028" w:type="dxa"/>
            <w:tcBorders>
              <w:top w:val="single" w:color="auto" w:sz="4" w:space="0"/>
              <w:left w:val="single" w:color="auto" w:sz="4" w:space="0"/>
              <w:bottom w:val="single" w:color="auto" w:sz="4" w:space="0"/>
              <w:right w:val="single" w:color="auto" w:sz="4" w:space="0"/>
              <w:tl2br w:val="nil"/>
              <w:tr2bl w:val="nil"/>
            </w:tcBorders>
            <w:shd w:val="clear" w:color="auto" w:fill="E6E6E6"/>
            <w:noWrap w:val="0"/>
            <w:vAlign w:val="center"/>
          </w:tcPr>
          <w:p>
            <w:pPr>
              <w:spacing w:beforeLines="0" w:afterLines="0" w:line="360" w:lineRule="exact"/>
              <w:rPr>
                <w:rFonts w:hint="default" w:ascii="Times New Roman" w:eastAsia="Times New Roman"/>
                <w:color w:val="231F20"/>
                <w:sz w:val="24"/>
                <w:lang w:eastAsia="zh-TW"/>
              </w:rPr>
            </w:pPr>
            <w:r>
              <w:rPr>
                <w:rFonts w:hint="default" w:ascii="Times New Roman"/>
                <w:color w:val="231F20"/>
                <w:sz w:val="24"/>
                <w:lang w:eastAsia="zh-TW"/>
              </w:rPr>
              <w:t>Weighted average return on net assets</w:t>
            </w:r>
          </w:p>
        </w:tc>
        <w:tc>
          <w:tcPr>
            <w:tcW w:w="22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9.84</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8.61</w:t>
            </w:r>
          </w:p>
        </w:tc>
        <w:tc>
          <w:tcPr>
            <w:tcW w:w="143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eastAsia="Times New Roman"/>
                <w:sz w:val="24"/>
              </w:rPr>
            </w:pPr>
            <w:r>
              <w:rPr>
                <w:rFonts w:hint="default" w:ascii="Times New Roman"/>
                <w:sz w:val="24"/>
              </w:rPr>
              <w:t>Increase by 1.23 percentage points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3028" w:type="dxa"/>
            <w:tcBorders>
              <w:top w:val="single" w:color="auto" w:sz="4" w:space="0"/>
              <w:left w:val="single" w:color="auto" w:sz="4" w:space="0"/>
              <w:bottom w:val="single" w:color="auto" w:sz="4" w:space="0"/>
              <w:right w:val="single" w:color="auto" w:sz="4" w:space="0"/>
              <w:tl2br w:val="nil"/>
              <w:tr2bl w:val="nil"/>
            </w:tcBorders>
            <w:shd w:val="clear" w:color="auto" w:fill="E6E6E6"/>
            <w:noWrap w:val="0"/>
            <w:vAlign w:val="center"/>
          </w:tcPr>
          <w:p>
            <w:pPr>
              <w:spacing w:beforeLines="0" w:afterLines="0" w:line="360" w:lineRule="exact"/>
              <w:jc w:val="center"/>
              <w:rPr>
                <w:rFonts w:hint="default" w:ascii="Times New Roman" w:eastAsia="Times New Roman"/>
                <w:sz w:val="24"/>
              </w:rPr>
            </w:pPr>
          </w:p>
        </w:tc>
        <w:tc>
          <w:tcPr>
            <w:tcW w:w="2205" w:type="dxa"/>
            <w:tcBorders>
              <w:top w:val="single" w:color="auto" w:sz="4" w:space="0"/>
              <w:left w:val="single" w:color="auto" w:sz="4" w:space="0"/>
              <w:bottom w:val="single" w:color="auto" w:sz="4" w:space="0"/>
              <w:right w:val="single" w:color="auto" w:sz="4" w:space="0"/>
              <w:tl2br w:val="nil"/>
              <w:tr2bl w:val="nil"/>
            </w:tcBorders>
            <w:shd w:val="clear" w:color="auto" w:fill="E6E6E6"/>
            <w:noWrap w:val="0"/>
            <w:vAlign w:val="center"/>
          </w:tcPr>
          <w:p>
            <w:pPr>
              <w:spacing w:beforeLines="0" w:afterLines="0"/>
              <w:jc w:val="right"/>
              <w:rPr>
                <w:rFonts w:hint="default" w:ascii="Times New Roman" w:eastAsia="Times New Roman"/>
                <w:b/>
                <w:sz w:val="24"/>
              </w:rPr>
            </w:pPr>
            <w:r>
              <w:rPr>
                <w:rFonts w:hint="default" w:ascii="Times New Roman"/>
                <w:b/>
                <w:sz w:val="24"/>
              </w:rPr>
              <w:t>At the end of the reporting period</w:t>
            </w:r>
          </w:p>
        </w:tc>
        <w:tc>
          <w:tcPr>
            <w:tcW w:w="2190" w:type="dxa"/>
            <w:tcBorders>
              <w:top w:val="single" w:color="auto" w:sz="4" w:space="0"/>
              <w:left w:val="single" w:color="auto" w:sz="4" w:space="0"/>
              <w:bottom w:val="single" w:color="auto" w:sz="4" w:space="0"/>
              <w:right w:val="single" w:color="auto" w:sz="4" w:space="0"/>
              <w:tl2br w:val="nil"/>
              <w:tr2bl w:val="nil"/>
            </w:tcBorders>
            <w:shd w:val="clear" w:color="auto" w:fill="E6E6E6"/>
            <w:noWrap w:val="0"/>
            <w:vAlign w:val="center"/>
          </w:tcPr>
          <w:p>
            <w:pPr>
              <w:spacing w:beforeLines="0" w:afterLines="0" w:line="360" w:lineRule="exact"/>
              <w:jc w:val="right"/>
              <w:rPr>
                <w:rFonts w:hint="default" w:ascii="Times New Roman" w:eastAsia="Times New Roman"/>
                <w:b/>
                <w:sz w:val="24"/>
              </w:rPr>
            </w:pPr>
            <w:r>
              <w:rPr>
                <w:rFonts w:hint="default" w:ascii="Times New Roman"/>
                <w:b/>
                <w:sz w:val="24"/>
              </w:rPr>
              <w:t>At the beginning of the reporting period</w:t>
            </w:r>
          </w:p>
        </w:tc>
        <w:tc>
          <w:tcPr>
            <w:tcW w:w="1437" w:type="dxa"/>
            <w:tcBorders>
              <w:top w:val="single" w:color="auto" w:sz="4" w:space="0"/>
              <w:left w:val="single" w:color="auto" w:sz="4" w:space="0"/>
              <w:bottom w:val="single" w:color="auto" w:sz="4" w:space="0"/>
              <w:right w:val="single" w:color="auto" w:sz="4" w:space="0"/>
              <w:tl2br w:val="nil"/>
              <w:tr2bl w:val="nil"/>
            </w:tcBorders>
            <w:shd w:val="clear" w:color="auto" w:fill="E6E6E6"/>
            <w:noWrap w:val="0"/>
            <w:vAlign w:val="center"/>
          </w:tcPr>
          <w:p>
            <w:pPr>
              <w:spacing w:beforeLines="0" w:afterLines="0" w:line="360" w:lineRule="exact"/>
              <w:jc w:val="right"/>
              <w:rPr>
                <w:rFonts w:hint="default" w:ascii="Times New Roman"/>
                <w:b/>
                <w:sz w:val="24"/>
              </w:rPr>
            </w:pPr>
            <w:r>
              <w:rPr>
                <w:rFonts w:hint="default" w:ascii="Times New Roman"/>
                <w:b/>
                <w:sz w:val="24"/>
              </w:rPr>
              <w:t>Change</w:t>
            </w:r>
          </w:p>
          <w:p>
            <w:pPr>
              <w:spacing w:beforeLines="0" w:afterLines="0" w:line="360" w:lineRule="exact"/>
              <w:jc w:val="right"/>
              <w:rPr>
                <w:rFonts w:hint="default" w:ascii="Times New Roman" w:eastAsia="Times New Roman"/>
                <w:b/>
                <w:sz w:val="24"/>
              </w:rPr>
            </w:pPr>
            <w:r>
              <w:rPr>
                <w:rFonts w:hint="default" w:ascii="Times New Roman"/>
                <w:b/>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3028" w:type="dxa"/>
            <w:tcBorders>
              <w:top w:val="single" w:color="auto" w:sz="4" w:space="0"/>
              <w:left w:val="single" w:color="auto" w:sz="4" w:space="0"/>
              <w:bottom w:val="single" w:color="auto" w:sz="4" w:space="0"/>
              <w:right w:val="single" w:color="auto" w:sz="4" w:space="0"/>
              <w:tl2br w:val="nil"/>
              <w:tr2bl w:val="nil"/>
            </w:tcBorders>
            <w:shd w:val="clear" w:color="auto" w:fill="E6E6E6"/>
            <w:noWrap w:val="0"/>
            <w:vAlign w:val="center"/>
          </w:tcPr>
          <w:p>
            <w:pPr>
              <w:spacing w:beforeLines="0" w:afterLines="0" w:line="360" w:lineRule="exact"/>
              <w:rPr>
                <w:rFonts w:hint="default" w:ascii="Times New Roman" w:eastAsia="Times New Roman"/>
                <w:color w:val="231F20"/>
                <w:sz w:val="24"/>
                <w:lang w:eastAsia="zh-TW"/>
              </w:rPr>
            </w:pPr>
            <w:r>
              <w:rPr>
                <w:rFonts w:hint="default" w:ascii="Times New Roman"/>
                <w:color w:val="231F20"/>
                <w:sz w:val="24"/>
                <w:lang w:eastAsia="zh-TW"/>
              </w:rPr>
              <w:t>Total assets</w:t>
            </w:r>
          </w:p>
        </w:tc>
        <w:tc>
          <w:tcPr>
            <w:tcW w:w="22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80,665,083.27</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71,675,123.50</w:t>
            </w:r>
          </w:p>
        </w:tc>
        <w:tc>
          <w:tcPr>
            <w:tcW w:w="143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12.54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3028" w:type="dxa"/>
            <w:tcBorders>
              <w:top w:val="single" w:color="auto" w:sz="4" w:space="0"/>
              <w:left w:val="single" w:color="auto" w:sz="4" w:space="0"/>
              <w:bottom w:val="single" w:color="auto" w:sz="4" w:space="0"/>
              <w:right w:val="single" w:color="auto" w:sz="4" w:space="0"/>
              <w:tl2br w:val="nil"/>
              <w:tr2bl w:val="nil"/>
            </w:tcBorders>
            <w:shd w:val="clear" w:color="auto" w:fill="E6E6E6"/>
            <w:noWrap w:val="0"/>
            <w:vAlign w:val="center"/>
          </w:tcPr>
          <w:p>
            <w:pPr>
              <w:spacing w:beforeLines="0" w:afterLines="0" w:line="360" w:lineRule="exact"/>
              <w:rPr>
                <w:rFonts w:hint="default" w:ascii="Times New Roman" w:eastAsia="Times New Roman"/>
                <w:color w:val="231F20"/>
                <w:sz w:val="24"/>
                <w:lang w:eastAsia="zh-TW"/>
              </w:rPr>
            </w:pPr>
            <w:r>
              <w:rPr>
                <w:rFonts w:hint="default" w:ascii="Times New Roman"/>
                <w:color w:val="231F20"/>
                <w:sz w:val="24"/>
                <w:lang w:eastAsia="zh-TW"/>
              </w:rPr>
              <w:t>Equity attributable to shareholders of the listed company</w:t>
            </w:r>
          </w:p>
        </w:tc>
        <w:tc>
          <w:tcPr>
            <w:tcW w:w="22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14,842,280.99</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12,907,149.94</w:t>
            </w:r>
          </w:p>
        </w:tc>
        <w:tc>
          <w:tcPr>
            <w:tcW w:w="143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14.99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3028" w:type="dxa"/>
            <w:tcBorders>
              <w:top w:val="single" w:color="auto" w:sz="4" w:space="0"/>
              <w:left w:val="single" w:color="auto" w:sz="4" w:space="0"/>
              <w:bottom w:val="single" w:color="auto" w:sz="4" w:space="0"/>
              <w:right w:val="single" w:color="auto" w:sz="4" w:space="0"/>
              <w:tl2br w:val="nil"/>
              <w:tr2bl w:val="nil"/>
            </w:tcBorders>
            <w:shd w:val="clear" w:color="auto" w:fill="E6E6E6"/>
            <w:noWrap w:val="0"/>
            <w:vAlign w:val="center"/>
          </w:tcPr>
          <w:p>
            <w:pPr>
              <w:spacing w:beforeLines="0" w:afterLines="0" w:line="360" w:lineRule="exact"/>
              <w:rPr>
                <w:rFonts w:hint="default" w:ascii="Times New Roman" w:eastAsia="Times New Roman"/>
                <w:color w:val="231F20"/>
                <w:sz w:val="24"/>
                <w:lang w:eastAsia="zh-TW"/>
              </w:rPr>
            </w:pPr>
            <w:r>
              <w:rPr>
                <w:rFonts w:hint="default" w:ascii="Times New Roman"/>
                <w:color w:val="231F20"/>
                <w:sz w:val="24"/>
                <w:lang w:eastAsia="zh-TW"/>
              </w:rPr>
              <w:t>Share capital</w:t>
            </w:r>
          </w:p>
        </w:tc>
        <w:tc>
          <w:tcPr>
            <w:tcW w:w="22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907,665.00</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907,665.00</w:t>
            </w:r>
          </w:p>
        </w:tc>
        <w:tc>
          <w:tcPr>
            <w:tcW w:w="143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3028" w:type="dxa"/>
            <w:tcBorders>
              <w:top w:val="single" w:color="auto" w:sz="4" w:space="0"/>
              <w:left w:val="single" w:color="auto" w:sz="4" w:space="0"/>
              <w:bottom w:val="single" w:color="auto" w:sz="4" w:space="0"/>
              <w:right w:val="single" w:color="auto" w:sz="4" w:space="0"/>
              <w:tl2br w:val="nil"/>
              <w:tr2bl w:val="nil"/>
            </w:tcBorders>
            <w:shd w:val="clear" w:color="auto" w:fill="E6E6E6"/>
            <w:noWrap w:val="0"/>
            <w:vAlign w:val="center"/>
          </w:tcPr>
          <w:p>
            <w:pPr>
              <w:spacing w:beforeLines="0" w:afterLines="0" w:line="360" w:lineRule="exact"/>
              <w:rPr>
                <w:rFonts w:hint="default" w:ascii="Times New Roman" w:eastAsia="Times New Roman"/>
                <w:color w:val="231F20"/>
                <w:sz w:val="24"/>
                <w:lang w:eastAsia="zh-TW"/>
              </w:rPr>
            </w:pPr>
            <w:r>
              <w:rPr>
                <w:rFonts w:hint="default" w:ascii="Times New Roman"/>
                <w:color w:val="231F20"/>
                <w:sz w:val="24"/>
                <w:lang w:eastAsia="zh-TW"/>
              </w:rPr>
              <w:t>Net assets per share attributable to shareholders of the listed company (RMB) Note</w:t>
            </w:r>
          </w:p>
        </w:tc>
        <w:tc>
          <w:tcPr>
            <w:tcW w:w="220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16.35</w:t>
            </w:r>
          </w:p>
        </w:tc>
        <w:tc>
          <w:tcPr>
            <w:tcW w:w="219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14.22</w:t>
            </w:r>
          </w:p>
        </w:tc>
        <w:tc>
          <w:tcPr>
            <w:tcW w:w="1437"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right"/>
              <w:rPr>
                <w:rFonts w:hint="default" w:ascii="Times New Roman"/>
                <w:sz w:val="24"/>
              </w:rPr>
            </w:pPr>
            <w:r>
              <w:rPr>
                <w:rFonts w:hint="default" w:ascii="Times New Roman"/>
                <w:sz w:val="24"/>
              </w:rPr>
              <w:t>14.99</w:t>
            </w:r>
          </w:p>
        </w:tc>
      </w:tr>
    </w:tbl>
    <w:p>
      <w:pPr>
        <w:spacing w:beforeLines="0" w:afterLines="0" w:line="360" w:lineRule="auto"/>
        <w:jc w:val="both"/>
        <w:rPr>
          <w:rFonts w:hint="default" w:ascii="Times New Roman" w:eastAsia="Times New Roman"/>
          <w:sz w:val="24"/>
        </w:rPr>
      </w:pPr>
    </w:p>
    <w:p>
      <w:pPr>
        <w:pStyle w:val="5"/>
        <w:kinsoku w:val="0"/>
        <w:overflowPunct w:val="0"/>
        <w:spacing w:before="1" w:beforeLines="0" w:afterLines="0"/>
        <w:ind w:left="1440" w:right="295" w:rightChars="134" w:hanging="720"/>
        <w:jc w:val="both"/>
        <w:rPr>
          <w:rFonts w:hint="default" w:ascii="Times New Roman" w:eastAsia="Times New Roman"/>
          <w:color w:val="231F20"/>
          <w:sz w:val="24"/>
          <w:lang w:eastAsia="zh-TW"/>
        </w:rPr>
      </w:pPr>
      <w:r>
        <w:rPr>
          <w:rFonts w:hint="default" w:ascii="Times New Roman"/>
          <w:i/>
          <w:color w:val="231F20"/>
          <w:sz w:val="24"/>
          <w:lang w:eastAsia="zh-TW"/>
        </w:rPr>
        <w:t>Note:</w:t>
      </w:r>
      <w:r>
        <w:rPr>
          <w:rFonts w:hint="default" w:ascii="Times New Roman" w:eastAsia="Times New Roman"/>
          <w:color w:val="231F20"/>
          <w:sz w:val="24"/>
          <w:lang w:eastAsia="zh-TW"/>
        </w:rPr>
        <w:tab/>
      </w:r>
      <w:r>
        <w:rPr>
          <w:rFonts w:hint="default" w:ascii="Times New Roman"/>
          <w:color w:val="231F20"/>
          <w:sz w:val="24"/>
          <w:lang w:eastAsia="zh-TW"/>
        </w:rPr>
        <w:t>The net assets per share attributable to owners of the listed company presented in the above table includes the perpetual bonds issued by the Company. After excluding th</w:t>
      </w:r>
      <w:r>
        <w:rPr>
          <w:rFonts w:hint="eastAsia" w:ascii="Times New Roman"/>
          <w:color w:val="231F20"/>
          <w:sz w:val="24"/>
          <w:lang w:val="en-US" w:eastAsia="zh-CN"/>
        </w:rPr>
        <w:t>is</w:t>
      </w:r>
      <w:r>
        <w:rPr>
          <w:rFonts w:hint="default" w:ascii="Times New Roman"/>
          <w:color w:val="231F20"/>
          <w:sz w:val="24"/>
          <w:lang w:eastAsia="zh-TW"/>
        </w:rPr>
        <w:t xml:space="preserve"> impact, the net assets per share attributable to ordinary shareholders of the listed company was RMB15.25 at the end of the reporting period</w:t>
      </w:r>
      <w:r>
        <w:rPr>
          <w:rFonts w:hint="default" w:ascii="Times New Roman" w:eastAsia="Times New Roman"/>
          <w:color w:val="231F20"/>
          <w:sz w:val="24"/>
          <w:lang w:eastAsia="zh-TW"/>
        </w:rPr>
        <w:t>.</w:t>
      </w:r>
    </w:p>
    <w:p>
      <w:pPr>
        <w:spacing w:beforeLines="0" w:afterLines="0" w:line="360" w:lineRule="auto"/>
        <w:ind w:right="295" w:rightChars="134" w:firstLine="480" w:firstLineChars="200"/>
        <w:rPr>
          <w:rFonts w:hint="default" w:ascii="Times New Roman" w:eastAsia="Times New Roman"/>
          <w:b/>
          <w:sz w:val="24"/>
        </w:rPr>
      </w:pPr>
    </w:p>
    <w:p>
      <w:pPr>
        <w:pStyle w:val="5"/>
        <w:kinsoku w:val="0"/>
        <w:overflowPunct w:val="0"/>
        <w:spacing w:before="1" w:beforeLines="0" w:afterLines="0"/>
        <w:ind w:left="277" w:right="295" w:rightChars="134"/>
        <w:jc w:val="both"/>
        <w:rPr>
          <w:rFonts w:hint="default" w:ascii="Times New Roman" w:eastAsia="Times New Roman"/>
          <w:b/>
          <w:color w:val="231F20"/>
          <w:sz w:val="24"/>
        </w:rPr>
      </w:pPr>
      <w:r>
        <w:rPr>
          <w:rFonts w:hint="default" w:ascii="Times New Roman"/>
          <w:b/>
          <w:color w:val="231F20"/>
          <w:sz w:val="24"/>
          <w:lang w:eastAsia="zh-TW"/>
        </w:rPr>
        <w:t>II.</w:t>
      </w:r>
      <w:r>
        <w:rPr>
          <w:rFonts w:hint="default" w:ascii="Times New Roman" w:eastAsia="Times New Roman"/>
          <w:b/>
          <w:color w:val="231F20"/>
          <w:sz w:val="24"/>
        </w:rPr>
        <w:tab/>
      </w:r>
      <w:r>
        <w:rPr>
          <w:rFonts w:hint="default" w:ascii="Times New Roman"/>
          <w:b/>
          <w:color w:val="231F20"/>
          <w:sz w:val="24"/>
          <w:lang w:eastAsia="zh-TW"/>
        </w:rPr>
        <w:t>Explanations on the Operating Results and Financial Conditions</w:t>
      </w:r>
    </w:p>
    <w:p>
      <w:pPr>
        <w:pStyle w:val="5"/>
        <w:kinsoku w:val="0"/>
        <w:overflowPunct w:val="0"/>
        <w:spacing w:before="1" w:beforeLines="0" w:afterLines="0"/>
        <w:ind w:left="277" w:right="295" w:rightChars="134"/>
        <w:jc w:val="both"/>
        <w:rPr>
          <w:rFonts w:hint="default" w:ascii="Times New Roman" w:eastAsia="Times New Roman"/>
          <w:b/>
          <w:color w:val="231F20"/>
          <w:sz w:val="24"/>
        </w:rPr>
      </w:pPr>
    </w:p>
    <w:p>
      <w:pPr>
        <w:pStyle w:val="5"/>
        <w:kinsoku w:val="0"/>
        <w:overflowPunct w:val="0"/>
        <w:spacing w:before="1" w:beforeLines="0" w:afterLines="0"/>
        <w:ind w:left="720" w:right="295" w:rightChars="134"/>
        <w:jc w:val="both"/>
        <w:rPr>
          <w:rFonts w:hint="default" w:ascii="Times New Roman" w:eastAsia="Times New Roman"/>
          <w:color w:val="231F20"/>
          <w:sz w:val="24"/>
          <w:lang w:eastAsia="zh-TW"/>
        </w:rPr>
      </w:pPr>
      <w:r>
        <w:rPr>
          <w:rFonts w:hint="default" w:ascii="Times New Roman"/>
          <w:color w:val="231F20"/>
          <w:sz w:val="24"/>
          <w:lang w:eastAsia="zh-TW"/>
        </w:rPr>
        <w:t>In 2021, the domestic economy overcame the impact of the epidemic and continued to improve,</w:t>
      </w:r>
      <w:r>
        <w:rPr>
          <w:rFonts w:hint="eastAsia" w:ascii="Times New Roman"/>
          <w:color w:val="231F20"/>
          <w:sz w:val="24"/>
          <w:lang w:val="en-US" w:eastAsia="zh-CN"/>
        </w:rPr>
        <w:t xml:space="preserve"> </w:t>
      </w:r>
      <w:r>
        <w:rPr>
          <w:rFonts w:hint="default" w:ascii="Times New Roman"/>
          <w:color w:val="231F20"/>
          <w:sz w:val="24"/>
          <w:lang w:eastAsia="zh-TW"/>
        </w:rPr>
        <w:t>the capital market flouris</w:t>
      </w:r>
      <w:r>
        <w:rPr>
          <w:rFonts w:hint="eastAsia" w:ascii="Times New Roman"/>
          <w:color w:val="231F20"/>
          <w:sz w:val="24"/>
          <w:lang w:val="en-US" w:eastAsia="zh-CN"/>
        </w:rPr>
        <w:t>hing</w:t>
      </w:r>
      <w:r>
        <w:rPr>
          <w:rFonts w:hint="default" w:ascii="Times New Roman"/>
          <w:color w:val="231F20"/>
          <w:sz w:val="24"/>
          <w:lang w:eastAsia="zh-TW"/>
        </w:rPr>
        <w:t>. The Company promoted technology empowerment from partial breakthroughs to overall coverage and speeded up in unleashing the energy of the platform-based operation. As more and more customers consider Huatai as the prioritized institute for continuous services, the ideal on empowering customers through platforms is gradually coming true. In 2021</w:t>
      </w:r>
      <w:r>
        <w:rPr>
          <w:rFonts w:hint="default" w:ascii="Times New Roman" w:eastAsia="Times New Roman"/>
          <w:color w:val="231F20"/>
          <w:sz w:val="24"/>
          <w:lang w:eastAsia="zh-TW"/>
        </w:rPr>
        <w:t>,</w:t>
      </w:r>
      <w:r>
        <w:rPr>
          <w:rFonts w:hint="default" w:ascii="Times New Roman"/>
          <w:color w:val="231F20"/>
          <w:sz w:val="24"/>
          <w:lang w:eastAsia="zh-TW"/>
        </w:rPr>
        <w:t xml:space="preserve"> the overall business performance of the Company set a historical high and our comprehensive domestic and overseas strength soundly ranked in the forefront of the industry. As of the end of 2021, total assets of the Group amounted to RMB806,651 million and net assets attributable to shareholders of the listed company amounted to RMB148,423 million. In 2021, the Group recorded operating income of RMB37,905 million and net profit attributable to shareholders of the listed company of RMB13,346 million.</w:t>
      </w:r>
    </w:p>
    <w:p>
      <w:pPr>
        <w:pStyle w:val="5"/>
        <w:kinsoku w:val="0"/>
        <w:overflowPunct w:val="0"/>
        <w:spacing w:before="3" w:beforeLines="0" w:afterLines="0"/>
        <w:ind w:right="295" w:rightChars="134"/>
        <w:rPr>
          <w:rFonts w:hint="default" w:ascii="Times New Roman" w:eastAsia="Times New Roman"/>
          <w:sz w:val="26"/>
          <w:lang w:eastAsia="zh-TW"/>
        </w:rPr>
      </w:pPr>
    </w:p>
    <w:p>
      <w:pPr>
        <w:pStyle w:val="5"/>
        <w:kinsoku w:val="0"/>
        <w:overflowPunct w:val="0"/>
        <w:spacing w:before="1" w:beforeLines="0" w:afterLines="0"/>
        <w:ind w:left="277" w:right="295" w:rightChars="134"/>
        <w:jc w:val="both"/>
        <w:rPr>
          <w:rFonts w:hint="default" w:ascii="Times New Roman"/>
          <w:b/>
          <w:color w:val="231F20"/>
          <w:sz w:val="24"/>
          <w:lang w:eastAsia="zh-TW"/>
        </w:rPr>
      </w:pPr>
      <w:r>
        <w:rPr>
          <w:rFonts w:hint="default" w:ascii="Times New Roman"/>
          <w:b/>
          <w:color w:val="231F20"/>
          <w:sz w:val="24"/>
          <w:lang w:eastAsia="zh-TW"/>
        </w:rPr>
        <w:t>Shareholders of the Company and potential investors are advised to exercise caution when dealing in the securities of the Company.</w:t>
      </w:r>
    </w:p>
    <w:p>
      <w:pPr>
        <w:pStyle w:val="5"/>
        <w:kinsoku w:val="0"/>
        <w:overflowPunct w:val="0"/>
        <w:spacing w:before="10" w:beforeLines="0" w:afterLines="0"/>
        <w:ind w:right="295" w:rightChars="134"/>
        <w:rPr>
          <w:rFonts w:hint="default" w:ascii="Times New Roman" w:eastAsia="Times New Roman"/>
          <w:b/>
          <w:sz w:val="19"/>
          <w:lang w:eastAsia="zh-TW"/>
        </w:rPr>
      </w:pPr>
    </w:p>
    <w:p>
      <w:pPr>
        <w:pStyle w:val="5"/>
        <w:kinsoku w:val="0"/>
        <w:overflowPunct w:val="0"/>
        <w:spacing w:beforeLines="0" w:afterLines="0"/>
        <w:ind w:left="277" w:right="295" w:rightChars="134"/>
        <w:rPr>
          <w:rFonts w:hint="default" w:ascii="Times New Roman" w:eastAsia="Times New Roman"/>
          <w:b/>
          <w:color w:val="231F20"/>
          <w:sz w:val="26"/>
          <w:lang w:eastAsia="zh-TW"/>
        </w:rPr>
      </w:pPr>
      <w:r>
        <w:rPr>
          <w:rFonts w:hint="default" w:ascii="Times New Roman"/>
          <w:b/>
          <w:color w:val="231F20"/>
          <w:sz w:val="26"/>
          <w:lang w:eastAsia="zh-TW"/>
        </w:rPr>
        <w:t>DEFINITIONS</w:t>
      </w:r>
    </w:p>
    <w:p>
      <w:pPr>
        <w:pStyle w:val="5"/>
        <w:kinsoku w:val="0"/>
        <w:overflowPunct w:val="0"/>
        <w:spacing w:beforeLines="0" w:afterLines="0"/>
        <w:ind w:right="295" w:rightChars="134"/>
        <w:rPr>
          <w:rFonts w:hint="default" w:ascii="Times New Roman" w:eastAsia="Times New Roman"/>
          <w:b/>
          <w:sz w:val="24"/>
          <w:lang w:eastAsia="zh-TW"/>
        </w:rPr>
      </w:pPr>
    </w:p>
    <w:p>
      <w:pPr>
        <w:pStyle w:val="5"/>
        <w:kinsoku w:val="0"/>
        <w:overflowPunct w:val="0"/>
        <w:spacing w:before="1" w:beforeLines="0" w:afterLines="0"/>
        <w:ind w:left="277" w:right="295" w:rightChars="134"/>
        <w:jc w:val="both"/>
        <w:rPr>
          <w:rFonts w:hint="default" w:ascii="Times New Roman"/>
          <w:color w:val="231F20"/>
          <w:sz w:val="24"/>
          <w:lang w:eastAsia="zh-TW"/>
        </w:rPr>
      </w:pPr>
      <w:r>
        <w:rPr>
          <w:rFonts w:hint="default" w:ascii="Times New Roman"/>
          <w:color w:val="231F20"/>
          <w:sz w:val="24"/>
          <w:lang w:eastAsia="zh-TW"/>
        </w:rPr>
        <w:t>In this announcement, the following expressions have the meanings set out below unless the context otherwise requires.</w:t>
      </w:r>
    </w:p>
    <w:p>
      <w:pPr>
        <w:pStyle w:val="5"/>
        <w:kinsoku w:val="0"/>
        <w:overflowPunct w:val="0"/>
        <w:spacing w:beforeLines="0" w:afterLines="0"/>
        <w:ind w:right="295" w:rightChars="134"/>
        <w:rPr>
          <w:rFonts w:hint="default" w:ascii="Times New Roman" w:eastAsia="Times New Roman"/>
          <w:sz w:val="20"/>
          <w:lang w:eastAsia="zh-TW"/>
        </w:rPr>
      </w:pPr>
    </w:p>
    <w:p>
      <w:pPr>
        <w:pStyle w:val="5"/>
        <w:kinsoku w:val="0"/>
        <w:overflowPunct w:val="0"/>
        <w:spacing w:before="1" w:beforeLines="0" w:afterLines="0"/>
        <w:ind w:right="295" w:rightChars="134"/>
        <w:rPr>
          <w:rFonts w:hint="default" w:ascii="Times New Roman" w:eastAsia="Times New Roman"/>
          <w:sz w:val="17"/>
          <w:lang w:eastAsia="zh-TW"/>
        </w:rPr>
      </w:pPr>
    </w:p>
    <w:tbl>
      <w:tblPr>
        <w:tblStyle w:val="11"/>
        <w:tblW w:w="9214" w:type="dxa"/>
        <w:tblInd w:w="29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126"/>
        <w:gridCol w:w="70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153" w:hRule="atLeast"/>
        </w:trPr>
        <w:tc>
          <w:tcPr>
            <w:tcW w:w="2126" w:type="dxa"/>
            <w:tcBorders>
              <w:tl2br w:val="nil"/>
              <w:tr2bl w:val="nil"/>
            </w:tcBorders>
            <w:noWrap w:val="0"/>
            <w:tcMar>
              <w:top w:w="0" w:type="dxa"/>
              <w:left w:w="0" w:type="dxa"/>
              <w:bottom w:w="0" w:type="dxa"/>
              <w:right w:w="0" w:type="dxa"/>
            </w:tcMar>
            <w:vAlign w:val="top"/>
          </w:tcPr>
          <w:p>
            <w:pPr>
              <w:pStyle w:val="15"/>
              <w:kinsoku w:val="0"/>
              <w:overflowPunct w:val="0"/>
              <w:spacing w:before="17" w:beforeLines="0" w:afterLines="0"/>
              <w:ind w:left="50" w:right="295" w:rightChars="134"/>
              <w:jc w:val="left"/>
              <w:rPr>
                <w:rFonts w:hint="default" w:ascii="Times New Roman" w:eastAsia="Times New Roman"/>
                <w:color w:val="231F20"/>
                <w:sz w:val="24"/>
              </w:rPr>
            </w:pPr>
            <w:r>
              <w:rPr>
                <w:rFonts w:hint="default" w:ascii="Times New Roman"/>
                <w:color w:val="231F20"/>
                <w:sz w:val="24"/>
              </w:rPr>
              <w:t>“Company”</w:t>
            </w:r>
          </w:p>
        </w:tc>
        <w:tc>
          <w:tcPr>
            <w:tcW w:w="7088" w:type="dxa"/>
            <w:tcBorders>
              <w:tl2br w:val="nil"/>
              <w:tr2bl w:val="nil"/>
            </w:tcBorders>
            <w:noWrap w:val="0"/>
            <w:tcMar>
              <w:top w:w="0" w:type="dxa"/>
              <w:left w:w="0" w:type="dxa"/>
              <w:bottom w:w="0" w:type="dxa"/>
              <w:right w:w="0" w:type="dxa"/>
            </w:tcMar>
            <w:vAlign w:val="top"/>
          </w:tcPr>
          <w:p>
            <w:pPr>
              <w:pStyle w:val="5"/>
              <w:kinsoku w:val="0"/>
              <w:overflowPunct w:val="0"/>
              <w:spacing w:before="1" w:beforeLines="0" w:afterLines="0"/>
              <w:ind w:left="277" w:right="295" w:rightChars="134"/>
              <w:jc w:val="both"/>
              <w:rPr>
                <w:rFonts w:hint="default" w:ascii="Times New Roman" w:eastAsia="Times New Roman"/>
                <w:color w:val="231F20"/>
                <w:sz w:val="24"/>
              </w:rPr>
            </w:pPr>
            <w:r>
              <w:rPr>
                <w:rFonts w:hint="default" w:ascii="Times New Roman"/>
                <w:color w:val="231F20"/>
                <w:sz w:val="24"/>
                <w:lang w:eastAsia="zh-TW"/>
              </w:rPr>
              <w:t xml:space="preserve">a joint stock company incorporated in the People’s Republic of China with limited liability under the corporate name </w:t>
            </w:r>
            <w:r>
              <w:rPr>
                <w:rFonts w:hint="eastAsia" w:ascii="Times New Roman"/>
                <w:color w:val="231F20"/>
                <w:sz w:val="24"/>
                <w:lang w:eastAsia="zh-TW"/>
              </w:rPr>
              <w:t>华泰证券股份有限公司</w:t>
            </w:r>
            <w:r>
              <w:rPr>
                <w:rFonts w:hint="default" w:ascii="Times New Roman"/>
                <w:color w:val="231F20"/>
                <w:sz w:val="24"/>
                <w:lang w:eastAsia="zh-TW"/>
              </w:rPr>
              <w:t xml:space="preserve"> (Huatai Securities Co., Ltd.), converted from our predecessor </w:t>
            </w:r>
            <w:r>
              <w:rPr>
                <w:rFonts w:hint="eastAsia" w:ascii="Times New Roman"/>
                <w:color w:val="231F20"/>
                <w:sz w:val="24"/>
                <w:lang w:eastAsia="zh-TW"/>
              </w:rPr>
              <w:t>华泰证券有限责任公司</w:t>
            </w:r>
            <w:r>
              <w:rPr>
                <w:rFonts w:hint="default" w:ascii="Times New Roman"/>
                <w:color w:val="231F20"/>
                <w:sz w:val="24"/>
                <w:lang w:eastAsia="zh-TW"/>
              </w:rPr>
              <w:t xml:space="preserve"> (Huatai Securities Limited Liability Company) on December 7, 2007, carrying on business in Hong Kong as “HTSC”</w:t>
            </w:r>
            <w:r>
              <w:rPr>
                <w:rFonts w:hint="default" w:ascii="Times New Roman" w:eastAsia="Times New Roman"/>
                <w:color w:val="231F20"/>
                <w:sz w:val="24"/>
                <w:lang w:eastAsia="zh-TW"/>
              </w:rPr>
              <w:t>,</w:t>
            </w:r>
            <w:r>
              <w:rPr>
                <w:rFonts w:hint="default" w:ascii="Times New Roman"/>
                <w:color w:val="231F20"/>
                <w:sz w:val="24"/>
              </w:rPr>
              <w:t xml:space="preserve"> </w:t>
            </w:r>
            <w:r>
              <w:rPr>
                <w:rFonts w:hint="default" w:ascii="Times New Roman"/>
                <w:color w:val="231F20"/>
                <w:sz w:val="24"/>
                <w:lang w:eastAsia="zh-TW"/>
              </w:rPr>
              <w:t>and was registered as a registered non-Hong Kong company under Part 16 of the Companies Ordinance under the Chinese approved name of “</w:t>
            </w:r>
            <w:r>
              <w:rPr>
                <w:rFonts w:hint="eastAsia" w:ascii="Times New Roman"/>
                <w:color w:val="231F20"/>
                <w:sz w:val="24"/>
                <w:lang w:eastAsia="zh-TW"/>
              </w:rPr>
              <w:t>華泰六八八六股份有限公司</w:t>
            </w:r>
            <w:r>
              <w:rPr>
                <w:rFonts w:hint="default" w:ascii="Times New Roman"/>
                <w:color w:val="231F20"/>
                <w:sz w:val="24"/>
                <w:lang w:eastAsia="zh-TW"/>
              </w:rPr>
              <w:t xml:space="preserve">” and English name of “Huatai Securities Co., Ltd.”; the H Shares of which have been listed on the main board of </w:t>
            </w:r>
            <w:r>
              <w:rPr>
                <w:rFonts w:hint="eastAsia" w:ascii="Times New Roman"/>
                <w:color w:val="231F20"/>
                <w:sz w:val="24"/>
                <w:lang w:val="en-US" w:eastAsia="zh-CN"/>
              </w:rPr>
              <w:t>t</w:t>
            </w:r>
            <w:r>
              <w:rPr>
                <w:rFonts w:hint="default" w:ascii="Times New Roman"/>
                <w:color w:val="231F20"/>
                <w:sz w:val="24"/>
                <w:lang w:eastAsia="zh-TW"/>
              </w:rPr>
              <w:t>he Hong Kong Stock Exchange since June 1, 2015 (Stock Code: 6886); the A Shares of which have been listed on the Shanghai Stock Exchange since February 26, 2010 (Stock Code: 601688); the global depository receipts of which have been listed on the London Stock Exchange plc since June 2019 (Symbol: HTSC), unless the context otherwise requires, including its predecessor</w:t>
            </w:r>
          </w:p>
          <w:p>
            <w:pPr>
              <w:pStyle w:val="5"/>
              <w:kinsoku w:val="0"/>
              <w:overflowPunct w:val="0"/>
              <w:spacing w:before="1" w:beforeLines="0" w:afterLines="0"/>
              <w:ind w:left="277" w:right="295" w:rightChars="134"/>
              <w:jc w:val="both"/>
              <w:rPr>
                <w:rFonts w:hint="default" w:ascii="Times New Roman" w:eastAsia="Times New Roman"/>
                <w:color w:val="231F2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53" w:hRule="atLeast"/>
        </w:trPr>
        <w:tc>
          <w:tcPr>
            <w:tcW w:w="2126" w:type="dxa"/>
            <w:tcBorders>
              <w:tl2br w:val="nil"/>
              <w:tr2bl w:val="nil"/>
            </w:tcBorders>
            <w:noWrap w:val="0"/>
            <w:tcMar>
              <w:top w:w="0" w:type="dxa"/>
              <w:left w:w="0" w:type="dxa"/>
              <w:bottom w:w="0" w:type="dxa"/>
              <w:right w:w="0" w:type="dxa"/>
            </w:tcMar>
            <w:vAlign w:val="top"/>
          </w:tcPr>
          <w:p>
            <w:pPr>
              <w:pStyle w:val="5"/>
              <w:kinsoku w:val="0"/>
              <w:overflowPunct w:val="0"/>
              <w:spacing w:before="1" w:beforeLines="0" w:afterLines="0"/>
              <w:ind w:right="295" w:rightChars="134"/>
              <w:jc w:val="left"/>
              <w:rPr>
                <w:rFonts w:hint="default" w:ascii="Times New Roman" w:eastAsia="Times New Roman"/>
                <w:color w:val="231F20"/>
                <w:sz w:val="24"/>
                <w:lang w:eastAsia="zh-TW"/>
              </w:rPr>
            </w:pPr>
            <w:r>
              <w:rPr>
                <w:rFonts w:hint="default" w:ascii="Times New Roman"/>
                <w:color w:val="231F20"/>
                <w:sz w:val="24"/>
                <w:lang w:eastAsia="zh-TW"/>
              </w:rPr>
              <w:t>“Hong</w:t>
            </w:r>
            <w:r>
              <w:rPr>
                <w:rFonts w:hint="eastAsia" w:ascii="Times New Roman"/>
                <w:color w:val="231F20"/>
                <w:sz w:val="24"/>
                <w:lang w:val="en-US" w:eastAsia="zh-CN"/>
              </w:rPr>
              <w:t xml:space="preserve"> </w:t>
            </w:r>
            <w:r>
              <w:rPr>
                <w:rFonts w:hint="default" w:ascii="Times New Roman"/>
                <w:color w:val="231F20"/>
                <w:sz w:val="24"/>
                <w:lang w:eastAsia="zh-TW"/>
              </w:rPr>
              <w:t>Kong Stock Exchange”</w:t>
            </w:r>
          </w:p>
          <w:p>
            <w:pPr>
              <w:pStyle w:val="5"/>
              <w:kinsoku w:val="0"/>
              <w:overflowPunct w:val="0"/>
              <w:spacing w:before="1" w:beforeLines="0" w:afterLines="0"/>
              <w:ind w:right="295" w:rightChars="134"/>
              <w:jc w:val="both"/>
              <w:rPr>
                <w:rFonts w:hint="default" w:ascii="Times New Roman" w:eastAsia="Times New Roman"/>
                <w:color w:val="231F20"/>
                <w:sz w:val="24"/>
                <w:lang w:eastAsia="zh-TW"/>
              </w:rPr>
            </w:pPr>
          </w:p>
        </w:tc>
        <w:tc>
          <w:tcPr>
            <w:tcW w:w="7088" w:type="dxa"/>
            <w:tcBorders>
              <w:tl2br w:val="nil"/>
              <w:tr2bl w:val="nil"/>
            </w:tcBorders>
            <w:noWrap w:val="0"/>
            <w:tcMar>
              <w:top w:w="0" w:type="dxa"/>
              <w:left w:w="0" w:type="dxa"/>
              <w:bottom w:w="0" w:type="dxa"/>
              <w:right w:w="0" w:type="dxa"/>
            </w:tcMar>
            <w:vAlign w:val="top"/>
          </w:tcPr>
          <w:p>
            <w:pPr>
              <w:pStyle w:val="5"/>
              <w:kinsoku w:val="0"/>
              <w:overflowPunct w:val="0"/>
              <w:spacing w:before="1" w:beforeLines="0" w:afterLines="0"/>
              <w:ind w:left="277" w:right="295" w:rightChars="134"/>
              <w:jc w:val="both"/>
              <w:rPr>
                <w:rFonts w:hint="default" w:ascii="Times New Roman" w:eastAsia="Times New Roman"/>
                <w:color w:val="231F20"/>
                <w:sz w:val="24"/>
                <w:lang w:eastAsia="zh-TW"/>
              </w:rPr>
            </w:pPr>
            <w:r>
              <w:rPr>
                <w:rFonts w:hint="default" w:ascii="Times New Roman"/>
                <w:color w:val="231F20"/>
                <w:sz w:val="24"/>
                <w:lang w:eastAsia="zh-TW"/>
              </w:rPr>
              <w:t>The Stock Exchange of Hong Kong Limited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53" w:hRule="atLeast"/>
        </w:trPr>
        <w:tc>
          <w:tcPr>
            <w:tcW w:w="2126" w:type="dxa"/>
            <w:tcBorders>
              <w:tl2br w:val="nil"/>
              <w:tr2bl w:val="nil"/>
            </w:tcBorders>
            <w:noWrap w:val="0"/>
            <w:tcMar>
              <w:top w:w="0" w:type="dxa"/>
              <w:left w:w="0" w:type="dxa"/>
              <w:bottom w:w="0" w:type="dxa"/>
              <w:right w:w="0" w:type="dxa"/>
            </w:tcMar>
            <w:vAlign w:val="top"/>
          </w:tcPr>
          <w:p>
            <w:pPr>
              <w:pStyle w:val="5"/>
              <w:kinsoku w:val="0"/>
              <w:overflowPunct w:val="0"/>
              <w:spacing w:before="1" w:beforeLines="0" w:afterLines="0"/>
              <w:ind w:right="295" w:rightChars="134"/>
              <w:jc w:val="both"/>
              <w:rPr>
                <w:rFonts w:hint="default" w:ascii="Times New Roman" w:eastAsia="Times New Roman"/>
                <w:color w:val="231F20"/>
                <w:sz w:val="24"/>
              </w:rPr>
            </w:pPr>
            <w:r>
              <w:rPr>
                <w:rFonts w:hint="default" w:ascii="Times New Roman"/>
                <w:color w:val="231F20"/>
                <w:sz w:val="24"/>
                <w:lang w:eastAsia="zh-TW"/>
              </w:rPr>
              <w:t>“Listing Rules”</w:t>
            </w:r>
          </w:p>
        </w:tc>
        <w:tc>
          <w:tcPr>
            <w:tcW w:w="7088" w:type="dxa"/>
            <w:tcBorders>
              <w:tl2br w:val="nil"/>
              <w:tr2bl w:val="nil"/>
            </w:tcBorders>
            <w:noWrap w:val="0"/>
            <w:tcMar>
              <w:top w:w="0" w:type="dxa"/>
              <w:left w:w="0" w:type="dxa"/>
              <w:bottom w:w="0" w:type="dxa"/>
              <w:right w:w="0" w:type="dxa"/>
            </w:tcMar>
            <w:vAlign w:val="top"/>
          </w:tcPr>
          <w:p>
            <w:pPr>
              <w:pStyle w:val="5"/>
              <w:kinsoku w:val="0"/>
              <w:overflowPunct w:val="0"/>
              <w:spacing w:before="1" w:beforeLines="0" w:afterLines="0"/>
              <w:ind w:left="277" w:right="295" w:rightChars="134"/>
              <w:jc w:val="both"/>
              <w:rPr>
                <w:rFonts w:hint="default" w:ascii="Times New Roman" w:eastAsia="Times New Roman"/>
                <w:color w:val="231F20"/>
                <w:sz w:val="24"/>
              </w:rPr>
            </w:pPr>
            <w:r>
              <w:rPr>
                <w:rFonts w:hint="default" w:ascii="Times New Roman"/>
                <w:color w:val="231F20"/>
                <w:sz w:val="24"/>
                <w:lang w:eastAsia="zh-TW"/>
              </w:rPr>
              <w:t>the Rules Governing the Listing of Securities on The Stock Exchange of Hong Kong Limited, as amended, supplemented or otherwise modified from time to time</w:t>
            </w:r>
          </w:p>
          <w:p>
            <w:pPr>
              <w:pStyle w:val="5"/>
              <w:kinsoku w:val="0"/>
              <w:overflowPunct w:val="0"/>
              <w:spacing w:before="1" w:beforeLines="0" w:afterLines="0"/>
              <w:ind w:left="277" w:right="295" w:rightChars="134"/>
              <w:jc w:val="both"/>
              <w:rPr>
                <w:rFonts w:hint="default" w:ascii="Times New Roman" w:eastAsia="Times New Roman"/>
                <w:color w:val="231F2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55" w:hRule="atLeast"/>
        </w:trPr>
        <w:tc>
          <w:tcPr>
            <w:tcW w:w="2126" w:type="dxa"/>
            <w:tcBorders>
              <w:tl2br w:val="nil"/>
              <w:tr2bl w:val="nil"/>
            </w:tcBorders>
            <w:noWrap w:val="0"/>
            <w:tcMar>
              <w:top w:w="0" w:type="dxa"/>
              <w:left w:w="0" w:type="dxa"/>
              <w:bottom w:w="0" w:type="dxa"/>
              <w:right w:w="0" w:type="dxa"/>
            </w:tcMar>
            <w:vAlign w:val="top"/>
          </w:tcPr>
          <w:p>
            <w:pPr>
              <w:pStyle w:val="5"/>
              <w:kinsoku w:val="0"/>
              <w:overflowPunct w:val="0"/>
              <w:spacing w:before="1" w:beforeLines="0" w:afterLines="0"/>
              <w:ind w:right="295" w:rightChars="134"/>
              <w:jc w:val="both"/>
              <w:rPr>
                <w:rFonts w:hint="default" w:ascii="Times New Roman" w:eastAsia="Times New Roman"/>
                <w:color w:val="231F20"/>
                <w:sz w:val="24"/>
              </w:rPr>
            </w:pPr>
            <w:r>
              <w:rPr>
                <w:rFonts w:hint="default" w:ascii="Times New Roman"/>
                <w:color w:val="231F20"/>
                <w:sz w:val="24"/>
                <w:lang w:eastAsia="zh-TW"/>
              </w:rPr>
              <w:t>“%”</w:t>
            </w:r>
          </w:p>
        </w:tc>
        <w:tc>
          <w:tcPr>
            <w:tcW w:w="7088" w:type="dxa"/>
            <w:tcBorders>
              <w:tl2br w:val="nil"/>
              <w:tr2bl w:val="nil"/>
            </w:tcBorders>
            <w:noWrap w:val="0"/>
            <w:tcMar>
              <w:top w:w="0" w:type="dxa"/>
              <w:left w:w="0" w:type="dxa"/>
              <w:bottom w:w="0" w:type="dxa"/>
              <w:right w:w="0" w:type="dxa"/>
            </w:tcMar>
            <w:vAlign w:val="top"/>
          </w:tcPr>
          <w:p>
            <w:pPr>
              <w:pStyle w:val="5"/>
              <w:kinsoku w:val="0"/>
              <w:overflowPunct w:val="0"/>
              <w:spacing w:before="1" w:beforeLines="0" w:afterLines="0"/>
              <w:ind w:left="277" w:right="295" w:rightChars="134"/>
              <w:jc w:val="both"/>
              <w:rPr>
                <w:rFonts w:hint="default" w:ascii="Times New Roman" w:eastAsia="Times New Roman"/>
                <w:color w:val="231F20"/>
                <w:sz w:val="24"/>
              </w:rPr>
            </w:pPr>
            <w:r>
              <w:rPr>
                <w:rFonts w:hint="default" w:ascii="Times New Roman"/>
                <w:color w:val="231F20"/>
                <w:sz w:val="24"/>
                <w:lang w:eastAsia="zh-TW"/>
              </w:rPr>
              <w:t>per cent.</w:t>
            </w:r>
          </w:p>
        </w:tc>
      </w:tr>
    </w:tbl>
    <w:p>
      <w:pPr>
        <w:pStyle w:val="5"/>
        <w:kinsoku w:val="0"/>
        <w:overflowPunct w:val="0"/>
        <w:spacing w:before="11" w:beforeLines="0" w:afterLines="0"/>
        <w:ind w:right="295" w:rightChars="134"/>
        <w:rPr>
          <w:rFonts w:hint="default" w:ascii="Times New Roman" w:eastAsia="Times New Roman"/>
          <w:sz w:val="27"/>
        </w:rPr>
      </w:pPr>
    </w:p>
    <w:p>
      <w:pPr>
        <w:pStyle w:val="5"/>
        <w:kinsoku w:val="0"/>
        <w:overflowPunct w:val="0"/>
        <w:spacing w:before="117" w:beforeLines="0" w:afterLines="0"/>
        <w:ind w:left="4320" w:right="295" w:rightChars="134" w:firstLine="1881" w:firstLineChars="784"/>
        <w:rPr>
          <w:rFonts w:hint="default" w:ascii="Times New Roman" w:eastAsia="宋体"/>
          <w:color w:val="231F20"/>
          <w:sz w:val="24"/>
          <w:lang w:val="en-US" w:eastAsia="zh-CN"/>
        </w:rPr>
      </w:pPr>
      <w:r>
        <w:rPr>
          <w:rFonts w:hint="eastAsia" w:ascii="Times New Roman"/>
          <w:color w:val="231F20"/>
          <w:sz w:val="24"/>
          <w:lang w:val="en-US" w:eastAsia="zh-CN"/>
        </w:rPr>
        <w:t>Huatai Securities Co., Ltd.</w:t>
      </w:r>
    </w:p>
    <w:p>
      <w:pPr>
        <w:pStyle w:val="5"/>
        <w:kinsoku w:val="0"/>
        <w:overflowPunct w:val="0"/>
        <w:spacing w:before="1" w:beforeLines="0" w:afterLines="0"/>
        <w:ind w:right="295" w:rightChars="134"/>
        <w:rPr>
          <w:rFonts w:hint="default" w:ascii="Times New Roman" w:eastAsia="Times New Roman"/>
          <w:b/>
          <w:sz w:val="18"/>
        </w:rPr>
      </w:pPr>
    </w:p>
    <w:p>
      <w:pPr>
        <w:pStyle w:val="5"/>
        <w:kinsoku w:val="0"/>
        <w:overflowPunct w:val="0"/>
        <w:spacing w:before="117" w:beforeLines="0" w:afterLines="0"/>
        <w:ind w:right="295" w:rightChars="134" w:firstLine="6720" w:firstLineChars="2800"/>
        <w:jc w:val="both"/>
        <w:rPr>
          <w:rFonts w:hint="default" w:ascii="Times New Roman" w:eastAsia="Times New Roman"/>
          <w:color w:val="231F20"/>
          <w:sz w:val="24"/>
        </w:rPr>
      </w:pPr>
      <w:r>
        <w:rPr>
          <w:rFonts w:hint="default" w:ascii="Times New Roman"/>
          <w:color w:val="231F20"/>
          <w:sz w:val="24"/>
        </w:rPr>
        <w:t xml:space="preserve"> March 27, 2022</w:t>
      </w:r>
    </w:p>
    <w:p>
      <w:pPr>
        <w:pStyle w:val="5"/>
        <w:kinsoku w:val="0"/>
        <w:overflowPunct w:val="0"/>
        <w:spacing w:before="1" w:beforeLines="0" w:afterLines="0"/>
        <w:ind w:right="295" w:rightChars="134"/>
        <w:jc w:val="both"/>
        <w:rPr>
          <w:rFonts w:hint="default" w:ascii="Times New Roman"/>
          <w:i/>
          <w:color w:val="231F20"/>
          <w:sz w:val="22"/>
          <w:lang w:eastAsia="zh-TW"/>
        </w:rPr>
      </w:pPr>
    </w:p>
    <w:sectPr>
      <w:footerReference r:id="rId3" w:type="default"/>
      <w:pgSz w:w="11910" w:h="15880"/>
      <w:pgMar w:top="1180" w:right="1260" w:bottom="1080" w:left="1140" w:header="0" w:footer="89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MS Mincho">
    <w:altName w:val="MS Gothic"/>
    <w:panose1 w:val="02020609040205080304"/>
    <w:charset w:val="80"/>
    <w:family w:val="roman"/>
    <w:pitch w:val="default"/>
    <w:sig w:usb0="00000000" w:usb1="00000000" w:usb2="00000000" w:usb3="00000000" w:csb0="00020000" w:csb1="00000000"/>
  </w:font>
  <w:font w:name="Calibri Light">
    <w:panose1 w:val="020F03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insoku w:val="0"/>
      <w:overflowPunct w:val="0"/>
      <w:spacing w:beforeLines="0" w:afterLines="0" w:line="14" w:lineRule="auto"/>
      <w:rPr>
        <w:rFonts w:hint="default" w:ascii="Times New Roman" w:eastAsia="等线"/>
        <w:sz w:val="20"/>
      </w:rPr>
    </w:pPr>
    <w:r>
      <w:rPr>
        <w:rFonts w:hint="default"/>
        <w:sz w:val="24"/>
        <w:lang w:val="en-US"/>
      </w:rPr>
      <mc:AlternateContent>
        <mc:Choice Requires="wps">
          <w:drawing>
            <wp:anchor distT="0" distB="0" distL="114300" distR="114300" simplePos="0" relativeHeight="251658240" behindDoc="1" locked="0" layoutInCell="0" allowOverlap="1">
              <wp:simplePos x="0" y="0"/>
              <wp:positionH relativeFrom="page">
                <wp:posOffset>3599815</wp:posOffset>
              </wp:positionH>
              <wp:positionV relativeFrom="page">
                <wp:posOffset>9375140</wp:posOffset>
              </wp:positionV>
              <wp:extent cx="360680" cy="195580"/>
              <wp:effectExtent l="0" t="0" r="0" b="0"/>
              <wp:wrapNone/>
              <wp:docPr id="3" name="文本框 1"/>
              <wp:cNvGraphicFramePr/>
              <a:graphic xmlns:a="http://schemas.openxmlformats.org/drawingml/2006/main">
                <a:graphicData uri="http://schemas.microsoft.com/office/word/2010/wordprocessingShape">
                  <wps:wsp>
                    <wps:cNvSpPr txBox="1"/>
                    <wps:spPr>
                      <a:xfrm>
                        <a:off x="0" y="0"/>
                        <a:ext cx="360680" cy="195580"/>
                      </a:xfrm>
                      <a:prstGeom prst="rect">
                        <a:avLst/>
                      </a:prstGeom>
                      <a:noFill/>
                      <a:ln>
                        <a:noFill/>
                      </a:ln>
                    </wps:spPr>
                    <wps:txbx>
                      <w:txbxContent>
                        <w:p>
                          <w:pPr>
                            <w:pStyle w:val="5"/>
                            <w:kinsoku w:val="0"/>
                            <w:overflowPunct w:val="0"/>
                            <w:spacing w:before="11" w:beforeLines="0" w:afterLines="0"/>
                            <w:ind w:left="20"/>
                            <w:rPr>
                              <w:rFonts w:hint="default" w:ascii="Times New Roman" w:eastAsia="等线"/>
                              <w:color w:val="231F20"/>
                              <w:sz w:val="24"/>
                            </w:rPr>
                          </w:pPr>
                          <w:r>
                            <w:rPr>
                              <w:rFonts w:hint="default" w:ascii="Times New Roman" w:eastAsia="等线"/>
                              <w:color w:val="231F20"/>
                              <w:sz w:val="24"/>
                            </w:rPr>
                            <w:t>–</w:t>
                          </w:r>
                          <w:r>
                            <w:rPr>
                              <w:rFonts w:hint="default" w:ascii="Times New Roman" w:eastAsia="等线"/>
                              <w:color w:val="231F20"/>
                              <w:spacing w:val="23"/>
                              <w:sz w:val="24"/>
                            </w:rPr>
                            <w:t xml:space="preserve"> </w:t>
                          </w:r>
                          <w:r>
                            <w:rPr>
                              <w:rFonts w:hint="default" w:ascii="Times New Roman" w:eastAsia="等线"/>
                              <w:color w:val="231F20"/>
                              <w:sz w:val="24"/>
                            </w:rPr>
                            <w:fldChar w:fldCharType="begin"/>
                          </w:r>
                          <w:r>
                            <w:rPr>
                              <w:rFonts w:hint="default" w:ascii="Times New Roman" w:eastAsia="等线"/>
                              <w:color w:val="231F20"/>
                              <w:sz w:val="24"/>
                            </w:rPr>
                            <w:instrText xml:space="preserve"> PAGE </w:instrText>
                          </w:r>
                          <w:r>
                            <w:rPr>
                              <w:rFonts w:hint="default" w:ascii="Times New Roman" w:eastAsia="等线"/>
                              <w:color w:val="231F20"/>
                              <w:sz w:val="24"/>
                            </w:rPr>
                            <w:fldChar w:fldCharType="separate"/>
                          </w:r>
                          <w:r>
                            <w:rPr>
                              <w:rFonts w:hint="default" w:ascii="Times New Roman" w:eastAsia="等线"/>
                              <w:color w:val="231F20"/>
                              <w:sz w:val="24"/>
                            </w:rPr>
                            <w:t>2</w:t>
                          </w:r>
                          <w:r>
                            <w:rPr>
                              <w:rFonts w:hint="default" w:ascii="Times New Roman" w:eastAsia="等线"/>
                              <w:color w:val="231F20"/>
                              <w:sz w:val="24"/>
                            </w:rPr>
                            <w:fldChar w:fldCharType="end"/>
                          </w:r>
                          <w:r>
                            <w:rPr>
                              <w:rFonts w:hint="default" w:ascii="Times New Roman" w:eastAsia="等线"/>
                              <w:color w:val="231F20"/>
                              <w:spacing w:val="23"/>
                              <w:sz w:val="24"/>
                            </w:rPr>
                            <w:t xml:space="preserve"> </w:t>
                          </w:r>
                          <w:r>
                            <w:rPr>
                              <w:rFonts w:hint="default" w:ascii="Times New Roman" w:eastAsia="等线"/>
                              <w:color w:val="231F20"/>
                              <w:sz w:val="24"/>
                            </w:rPr>
                            <w:t>–</w:t>
                          </w:r>
                        </w:p>
                      </w:txbxContent>
                    </wps:txbx>
                    <wps:bodyPr wrap="square" lIns="0" tIns="0" rIns="0" bIns="0" upright="1"/>
                  </wps:wsp>
                </a:graphicData>
              </a:graphic>
            </wp:anchor>
          </w:drawing>
        </mc:Choice>
        <mc:Fallback>
          <w:pict>
            <v:shape id="文本框 1" o:spid="_x0000_s1026" o:spt="202" type="#_x0000_t202" style="position:absolute;left:0pt;margin-left:283.45pt;margin-top:738.2pt;height:15.4pt;width:28.4pt;mso-position-horizontal-relative:page;mso-position-vertical-relative:page;z-index:-251658240;mso-width-relative:page;mso-height-relative:page;" filled="f" stroked="f" coordsize="21600,21600" o:allowincell="f" o:gfxdata="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BjSjjNsAAAAN&#10;AQAADwAAAAAAAAABACAAAAAiAAAAZHJzL2Rvd25yZXYueG1sUEsBAhQAFAAAAAgAh07iQIIQwsCn&#10;AQAAMQMAAA4AAAAAAAAAAQAgAAAAKgEAAGRycy9lMm9Eb2MueG1sUEsFBgAAAAAGAAYAWQEAAEMF&#10;AAAAAA==&#10;">
              <v:fill on="f" focussize="0,0"/>
              <v:stroke on="f"/>
              <v:imagedata o:title=""/>
              <o:lock v:ext="edit" aspectratio="f"/>
              <v:textbox inset="0mm,0mm,0mm,0mm">
                <w:txbxContent>
                  <w:p>
                    <w:pPr>
                      <w:pStyle w:val="5"/>
                      <w:kinsoku w:val="0"/>
                      <w:overflowPunct w:val="0"/>
                      <w:spacing w:before="11" w:beforeLines="0" w:afterLines="0"/>
                      <w:ind w:left="20"/>
                      <w:rPr>
                        <w:rFonts w:hint="default" w:ascii="Times New Roman" w:eastAsia="等线"/>
                        <w:color w:val="231F20"/>
                        <w:sz w:val="24"/>
                      </w:rPr>
                    </w:pPr>
                    <w:r>
                      <w:rPr>
                        <w:rFonts w:hint="default" w:ascii="Times New Roman" w:eastAsia="等线"/>
                        <w:color w:val="231F20"/>
                        <w:sz w:val="24"/>
                      </w:rPr>
                      <w:t>–</w:t>
                    </w:r>
                    <w:r>
                      <w:rPr>
                        <w:rFonts w:hint="default" w:ascii="Times New Roman" w:eastAsia="等线"/>
                        <w:color w:val="231F20"/>
                        <w:spacing w:val="23"/>
                        <w:sz w:val="24"/>
                      </w:rPr>
                      <w:t xml:space="preserve"> </w:t>
                    </w:r>
                    <w:r>
                      <w:rPr>
                        <w:rFonts w:hint="default" w:ascii="Times New Roman" w:eastAsia="等线"/>
                        <w:color w:val="231F20"/>
                        <w:sz w:val="24"/>
                      </w:rPr>
                      <w:fldChar w:fldCharType="begin"/>
                    </w:r>
                    <w:r>
                      <w:rPr>
                        <w:rFonts w:hint="default" w:ascii="Times New Roman" w:eastAsia="等线"/>
                        <w:color w:val="231F20"/>
                        <w:sz w:val="24"/>
                      </w:rPr>
                      <w:instrText xml:space="preserve"> PAGE </w:instrText>
                    </w:r>
                    <w:r>
                      <w:rPr>
                        <w:rFonts w:hint="default" w:ascii="Times New Roman" w:eastAsia="等线"/>
                        <w:color w:val="231F20"/>
                        <w:sz w:val="24"/>
                      </w:rPr>
                      <w:fldChar w:fldCharType="separate"/>
                    </w:r>
                    <w:r>
                      <w:rPr>
                        <w:rFonts w:hint="default" w:ascii="Times New Roman" w:eastAsia="等线"/>
                        <w:color w:val="231F20"/>
                        <w:sz w:val="24"/>
                      </w:rPr>
                      <w:t>2</w:t>
                    </w:r>
                    <w:r>
                      <w:rPr>
                        <w:rFonts w:hint="default" w:ascii="Times New Roman" w:eastAsia="等线"/>
                        <w:color w:val="231F20"/>
                        <w:sz w:val="24"/>
                      </w:rPr>
                      <w:fldChar w:fldCharType="end"/>
                    </w:r>
                    <w:r>
                      <w:rPr>
                        <w:rFonts w:hint="default" w:ascii="Times New Roman" w:eastAsia="等线"/>
                        <w:color w:val="231F20"/>
                        <w:spacing w:val="23"/>
                        <w:sz w:val="24"/>
                      </w:rPr>
                      <w:t xml:space="preserve"> </w:t>
                    </w:r>
                    <w:r>
                      <w:rPr>
                        <w:rFonts w:hint="default" w:ascii="Times New Roman" w:eastAsia="等线"/>
                        <w:color w:val="231F20"/>
                        <w:sz w:val="24"/>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120"/>
  <w:drawingGridVerticalSpacing w:val="120"/>
  <w:displayHorizontalDrawingGridEvery w:val="0"/>
  <w:displayVerticalDrawingGridEvery w:val="3"/>
  <w:doNotShadeFormData w:val="1"/>
  <w:characterSpacingControl w:val="doNotCompress"/>
  <w:doNotValidateAgainstSchema/>
  <w:doNotDemarcateInvalidXml/>
  <w:hdrShapeDefaults>
    <o:shapelayout v:ext="edit">
      <o:idmap v:ext="edit" data="1"/>
    </o:shapelayout>
  </w:hdrShapeDefaults>
  <w:compat>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310416A"/>
    <w:rsid w:val="235F0792"/>
    <w:rsid w:val="3B2E7C09"/>
    <w:rsid w:val="64B4595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iPriority="1" w:semiHidden="0" w:name="Normal"/>
    <w:lsdException w:qFormat="1" w:uiPriority="1" w:semiHidden="0" w:name="heading 1"/>
    <w:lsdException w:qFormat="1" w:uiPriority="1" w:semiHidden="0" w:name="heading 2"/>
    <w:lsdException w:qFormat="1" w:unhideWhenUsed="0" w:uiPriority="9" w:semiHidden="0" w:name="heading 3" w:locked="1"/>
    <w:lsdException w:qFormat="1" w:unhideWhenUsed="0" w:uiPriority="9" w:semiHidden="0" w:name="heading 4" w:locked="1"/>
    <w:lsdException w:qFormat="1" w:unhideWhenUsed="0" w:uiPriority="9" w:semiHidden="0" w:name="heading 5" w:locked="1"/>
    <w:lsdException w:qFormat="1" w:unhideWhenUsed="0" w:uiPriority="9" w:semiHidden="0" w:name="heading 6" w:locked="1"/>
    <w:lsdException w:qFormat="1" w:unhideWhenUsed="0" w:uiPriority="9" w:semiHidden="0" w:name="heading 7" w:locked="1"/>
    <w:lsdException w:qFormat="1" w:unhideWhenUsed="0" w:uiPriority="9" w:semiHidden="0" w:name="heading 8" w:locked="1"/>
    <w:lsdException w:qFormat="1" w:unhideWhenUsed="0" w:uiPriority="9" w:semiHidden="0"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qFormat="1" w:unhideWhenUsed="0" w:uiPriority="39" w:semiHidden="0" w:name="toc 4" w:locked="1"/>
    <w:lsdException w:qFormat="1" w:unhideWhenUsed="0" w:uiPriority="39" w:semiHidden="0" w:name="toc 5" w:locked="1"/>
    <w:lsdException w:qFormat="1" w:unhideWhenUsed="0" w:uiPriority="39" w:semiHidden="0" w:name="toc 6" w:locked="1"/>
    <w:lsdException w:qFormat="1" w:unhideWhenUsed="0" w:uiPriority="39" w:semiHidden="0" w:name="toc 7" w:locked="1"/>
    <w:lsdException w:qFormat="1" w:unhideWhenUsed="0" w:uiPriority="39" w:semiHidden="0" w:name="toc 8" w:locked="1"/>
    <w:lsdException w:qFormat="1" w:unhideWhenUsed="0" w:uiPriority="39" w:semiHidden="0" w:name="toc 9" w:locked="1"/>
    <w:lsdException w:uiPriority="99" w:name="Normal Indent" w:locked="1"/>
    <w:lsdException w:uiPriority="99" w:name="footnote text" w:locked="1"/>
    <w:lsdException w:uiPriority="99" w:semiHidden="0" w:name="annotation text" w:locked="1"/>
    <w:lsdException w:qFormat="1" w:uiPriority="99" w:semiHidden="0" w:name="header"/>
    <w:lsdException w:qFormat="1" w:uiPriority="99" w:semiHidden="0" w:name="footer"/>
    <w:lsdException w:uiPriority="99" w:name="index heading" w:locked="1"/>
    <w:lsdException w:qFormat="1" w:unhideWhenUsed="0" w:uiPriority="35" w:semiHidden="0"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semiHidden="0"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iPriority="1" w:semiHidden="0" w:name="Title"/>
    <w:lsdException w:uiPriority="99" w:name="Closing" w:locked="1"/>
    <w:lsdException w:uiPriority="99" w:name="Signature" w:locked="1"/>
    <w:lsdException w:uiPriority="1" w:semiHidden="0" w:name="Default Paragraph Font"/>
    <w:lsdException w:qFormat="1" w:uiPriority="1"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qFormat="1" w:unhideWhenUsed="0" w:uiPriority="99" w:semiHidden="0" w:name="Note Heading"/>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uiPriority="99" w:name="Normal Table"/>
    <w:lsdException w:qFormat="1" w:uiPriority="99" w:semiHidden="0"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semiHidden="0" w:name="Balloon Text" w:locked="1"/>
    <w:lsdException w:qFormat="1" w:unhideWhenUsed="0" w:uiPriority="3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1"/>
    <w:pPr>
      <w:widowControl w:val="0"/>
      <w:autoSpaceDE w:val="0"/>
      <w:autoSpaceDN w:val="0"/>
      <w:adjustRightInd w:val="0"/>
      <w:spacing w:beforeLines="0" w:afterLines="0"/>
    </w:pPr>
    <w:rPr>
      <w:rFonts w:hint="eastAsia" w:ascii="宋体" w:hAnsi="Times New Roman" w:eastAsia="宋体" w:cs="Times New Roman"/>
      <w:sz w:val="22"/>
      <w:lang w:val="en-GB" w:eastAsia="zh-CN"/>
    </w:rPr>
  </w:style>
  <w:style w:type="paragraph" w:styleId="2">
    <w:name w:val="heading 1"/>
    <w:basedOn w:val="1"/>
    <w:next w:val="1"/>
    <w:link w:val="16"/>
    <w:unhideWhenUsed/>
    <w:qFormat/>
    <w:uiPriority w:val="1"/>
    <w:pPr>
      <w:spacing w:beforeLines="0" w:afterLines="0"/>
      <w:ind w:right="313"/>
      <w:jc w:val="center"/>
      <w:outlineLvl w:val="0"/>
    </w:pPr>
    <w:rPr>
      <w:rFonts w:hint="eastAsia"/>
      <w:sz w:val="25"/>
    </w:rPr>
  </w:style>
  <w:style w:type="paragraph" w:styleId="3">
    <w:name w:val="heading 2"/>
    <w:basedOn w:val="1"/>
    <w:next w:val="1"/>
    <w:link w:val="17"/>
    <w:unhideWhenUsed/>
    <w:qFormat/>
    <w:uiPriority w:val="1"/>
    <w:pPr>
      <w:spacing w:beforeLines="0" w:afterLines="0"/>
      <w:ind w:left="277"/>
      <w:outlineLvl w:val="1"/>
    </w:pPr>
    <w:rPr>
      <w:rFonts w:hint="eastAsia" w:ascii="Microsoft JhengHei UI" w:eastAsia="Microsoft JhengHei UI"/>
      <w:b/>
      <w:sz w:val="24"/>
    </w:rPr>
  </w:style>
  <w:style w:type="character" w:default="1" w:styleId="12">
    <w:name w:val="Default Paragraph Font"/>
    <w:unhideWhenUsed/>
    <w:uiPriority w:val="1"/>
    <w:rPr>
      <w:rFonts w:hint="default"/>
      <w:sz w:val="24"/>
    </w:rPr>
  </w:style>
  <w:style w:type="table" w:default="1" w:styleId="11">
    <w:name w:val="Normal Table"/>
    <w:semiHidden/>
    <w:unhideWhenUsed/>
    <w:uiPriority w:val="99"/>
    <w:tblPr>
      <w:tblLayout w:type="fixed"/>
      <w:tblCellMar>
        <w:top w:w="0" w:type="dxa"/>
        <w:left w:w="108" w:type="dxa"/>
        <w:bottom w:w="0" w:type="dxa"/>
        <w:right w:w="108" w:type="dxa"/>
      </w:tblCellMar>
    </w:tblPr>
  </w:style>
  <w:style w:type="paragraph" w:styleId="4">
    <w:name w:val="annotation text"/>
    <w:basedOn w:val="1"/>
    <w:link w:val="23"/>
    <w:unhideWhenUsed/>
    <w:locked/>
    <w:uiPriority w:val="99"/>
    <w:pPr>
      <w:spacing w:beforeLines="0" w:afterLines="0"/>
    </w:pPr>
    <w:rPr>
      <w:rFonts w:hint="eastAsia"/>
      <w:sz w:val="22"/>
    </w:rPr>
  </w:style>
  <w:style w:type="paragraph" w:styleId="5">
    <w:name w:val="Body Text"/>
    <w:basedOn w:val="1"/>
    <w:link w:val="19"/>
    <w:unhideWhenUsed/>
    <w:qFormat/>
    <w:uiPriority w:val="1"/>
    <w:pPr>
      <w:spacing w:beforeLines="0" w:afterLines="0"/>
    </w:pPr>
    <w:rPr>
      <w:rFonts w:hint="eastAsia"/>
      <w:sz w:val="24"/>
    </w:rPr>
  </w:style>
  <w:style w:type="paragraph" w:styleId="6">
    <w:name w:val="Balloon Text"/>
    <w:basedOn w:val="1"/>
    <w:link w:val="22"/>
    <w:unhideWhenUsed/>
    <w:locked/>
    <w:uiPriority w:val="99"/>
    <w:pPr>
      <w:spacing w:beforeLines="0" w:afterLines="0"/>
    </w:pPr>
    <w:rPr>
      <w:rFonts w:hint="eastAsia"/>
      <w:sz w:val="18"/>
    </w:rPr>
  </w:style>
  <w:style w:type="paragraph" w:styleId="7">
    <w:name w:val="footer"/>
    <w:basedOn w:val="1"/>
    <w:link w:val="21"/>
    <w:unhideWhenUsed/>
    <w:qFormat/>
    <w:uiPriority w:val="99"/>
    <w:pPr>
      <w:tabs>
        <w:tab w:val="center" w:pos="4153"/>
        <w:tab w:val="right" w:pos="8306"/>
      </w:tabs>
      <w:spacing w:beforeLines="0" w:afterLines="0"/>
    </w:pPr>
    <w:rPr>
      <w:rFonts w:hint="eastAsia"/>
      <w:sz w:val="22"/>
    </w:rPr>
  </w:style>
  <w:style w:type="paragraph" w:styleId="8">
    <w:name w:val="header"/>
    <w:basedOn w:val="1"/>
    <w:link w:val="20"/>
    <w:unhideWhenUsed/>
    <w:qFormat/>
    <w:uiPriority w:val="99"/>
    <w:pPr>
      <w:tabs>
        <w:tab w:val="center" w:pos="4153"/>
        <w:tab w:val="right" w:pos="8306"/>
      </w:tabs>
      <w:spacing w:beforeLines="0" w:afterLines="0"/>
    </w:pPr>
    <w:rPr>
      <w:rFonts w:hint="eastAsia"/>
      <w:sz w:val="22"/>
    </w:rPr>
  </w:style>
  <w:style w:type="paragraph" w:styleId="9">
    <w:name w:val="Title"/>
    <w:basedOn w:val="1"/>
    <w:next w:val="1"/>
    <w:link w:val="18"/>
    <w:unhideWhenUsed/>
    <w:qFormat/>
    <w:uiPriority w:val="1"/>
    <w:pPr>
      <w:spacing w:beforeLines="0" w:afterLines="0"/>
      <w:ind w:left="398" w:right="313"/>
      <w:jc w:val="center"/>
    </w:pPr>
    <w:rPr>
      <w:rFonts w:hint="eastAsia" w:ascii="Microsoft JhengHei UI" w:eastAsia="Microsoft JhengHei UI"/>
      <w:b/>
      <w:sz w:val="28"/>
    </w:rPr>
  </w:style>
  <w:style w:type="paragraph" w:styleId="10">
    <w:name w:val="annotation subject"/>
    <w:basedOn w:val="4"/>
    <w:next w:val="4"/>
    <w:link w:val="24"/>
    <w:unhideWhenUsed/>
    <w:qFormat/>
    <w:locked/>
    <w:uiPriority w:val="99"/>
    <w:pPr>
      <w:spacing w:beforeLines="0" w:afterLines="0"/>
    </w:pPr>
    <w:rPr>
      <w:rFonts w:hint="eastAsia"/>
      <w:b/>
      <w:sz w:val="22"/>
    </w:rPr>
  </w:style>
  <w:style w:type="character" w:styleId="13">
    <w:name w:val="annotation reference"/>
    <w:basedOn w:val="12"/>
    <w:unhideWhenUsed/>
    <w:locked/>
    <w:uiPriority w:val="99"/>
    <w:rPr>
      <w:rFonts w:hint="default" w:ascii="Times New Roman"/>
      <w:sz w:val="21"/>
    </w:rPr>
  </w:style>
  <w:style w:type="paragraph" w:styleId="14">
    <w:name w:val="List Paragraph"/>
    <w:basedOn w:val="1"/>
    <w:unhideWhenUsed/>
    <w:qFormat/>
    <w:uiPriority w:val="1"/>
    <w:pPr>
      <w:spacing w:beforeLines="0" w:afterLines="0"/>
    </w:pPr>
    <w:rPr>
      <w:rFonts w:hint="eastAsia" w:ascii="Times New Roman" w:eastAsia="MS Mincho"/>
      <w:sz w:val="24"/>
    </w:rPr>
  </w:style>
  <w:style w:type="paragraph" w:customStyle="1" w:styleId="15">
    <w:name w:val="Table Paragraph"/>
    <w:basedOn w:val="1"/>
    <w:unhideWhenUsed/>
    <w:qFormat/>
    <w:uiPriority w:val="1"/>
    <w:pPr>
      <w:spacing w:beforeLines="0" w:afterLines="0"/>
      <w:jc w:val="right"/>
    </w:pPr>
    <w:rPr>
      <w:rFonts w:hint="eastAsia"/>
      <w:sz w:val="24"/>
    </w:rPr>
  </w:style>
  <w:style w:type="character" w:customStyle="1" w:styleId="16">
    <w:name w:val="标题 1 Char"/>
    <w:basedOn w:val="12"/>
    <w:link w:val="2"/>
    <w:unhideWhenUsed/>
    <w:qFormat/>
    <w:locked/>
    <w:uiPriority w:val="9"/>
    <w:rPr>
      <w:rFonts w:hint="default" w:ascii="Calibri Light"/>
      <w:b/>
      <w:kern w:val="32"/>
      <w:sz w:val="32"/>
    </w:rPr>
  </w:style>
  <w:style w:type="character" w:customStyle="1" w:styleId="17">
    <w:name w:val="标题 2 Char"/>
    <w:basedOn w:val="12"/>
    <w:link w:val="3"/>
    <w:unhideWhenUsed/>
    <w:qFormat/>
    <w:locked/>
    <w:uiPriority w:val="9"/>
    <w:rPr>
      <w:rFonts w:hint="default" w:ascii="Calibri Light"/>
      <w:b/>
      <w:i/>
      <w:sz w:val="28"/>
    </w:rPr>
  </w:style>
  <w:style w:type="character" w:customStyle="1" w:styleId="18">
    <w:name w:val="标题 Char"/>
    <w:basedOn w:val="12"/>
    <w:link w:val="9"/>
    <w:unhideWhenUsed/>
    <w:locked/>
    <w:uiPriority w:val="10"/>
    <w:rPr>
      <w:rFonts w:hint="default" w:ascii="Calibri Light"/>
      <w:b/>
      <w:kern w:val="28"/>
      <w:sz w:val="32"/>
    </w:rPr>
  </w:style>
  <w:style w:type="character" w:customStyle="1" w:styleId="19">
    <w:name w:val="正文文本 Char"/>
    <w:basedOn w:val="12"/>
    <w:link w:val="5"/>
    <w:unhideWhenUsed/>
    <w:locked/>
    <w:uiPriority w:val="99"/>
    <w:rPr>
      <w:rFonts w:hint="eastAsia" w:ascii="宋体" w:hAnsi="Times New Roman" w:eastAsia="宋体"/>
      <w:sz w:val="24"/>
    </w:rPr>
  </w:style>
  <w:style w:type="character" w:customStyle="1" w:styleId="20">
    <w:name w:val="页眉 Char"/>
    <w:basedOn w:val="12"/>
    <w:link w:val="8"/>
    <w:unhideWhenUsed/>
    <w:qFormat/>
    <w:locked/>
    <w:uiPriority w:val="99"/>
    <w:rPr>
      <w:rFonts w:hint="eastAsia" w:ascii="宋体" w:hAnsi="Times New Roman" w:eastAsia="宋体"/>
      <w:sz w:val="24"/>
    </w:rPr>
  </w:style>
  <w:style w:type="character" w:customStyle="1" w:styleId="21">
    <w:name w:val="页脚 Char"/>
    <w:basedOn w:val="12"/>
    <w:link w:val="7"/>
    <w:unhideWhenUsed/>
    <w:locked/>
    <w:uiPriority w:val="99"/>
    <w:rPr>
      <w:rFonts w:hint="eastAsia" w:ascii="宋体" w:hAnsi="Times New Roman" w:eastAsia="宋体"/>
      <w:sz w:val="24"/>
    </w:rPr>
  </w:style>
  <w:style w:type="character" w:customStyle="1" w:styleId="22">
    <w:name w:val="批注框文本 Char"/>
    <w:basedOn w:val="12"/>
    <w:link w:val="6"/>
    <w:unhideWhenUsed/>
    <w:qFormat/>
    <w:locked/>
    <w:uiPriority w:val="99"/>
    <w:rPr>
      <w:rFonts w:hint="eastAsia" w:ascii="宋体" w:hAnsi="Times New Roman" w:eastAsia="宋体"/>
      <w:sz w:val="18"/>
      <w:lang w:val="en-GB"/>
    </w:rPr>
  </w:style>
  <w:style w:type="character" w:customStyle="1" w:styleId="23">
    <w:name w:val="批注文字 Char"/>
    <w:basedOn w:val="12"/>
    <w:link w:val="4"/>
    <w:unhideWhenUsed/>
    <w:locked/>
    <w:uiPriority w:val="99"/>
    <w:rPr>
      <w:rFonts w:hint="eastAsia" w:ascii="宋体" w:hAnsi="Times New Roman" w:eastAsia="宋体"/>
      <w:sz w:val="22"/>
      <w:lang w:val="en-GB"/>
    </w:rPr>
  </w:style>
  <w:style w:type="character" w:customStyle="1" w:styleId="24">
    <w:name w:val="批注主题 Char"/>
    <w:basedOn w:val="23"/>
    <w:link w:val="10"/>
    <w:unhideWhenUsed/>
    <w:locked/>
    <w:uiPriority w:val="99"/>
    <w:rPr>
      <w:rFonts w:hint="eastAsia"/>
      <w:b/>
      <w:sz w:val="22"/>
    </w:rPr>
  </w:style>
  <w:style w:type="character" w:customStyle="1" w:styleId="25">
    <w:name w:val="al"/>
    <w:basedOn w:val="12"/>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4</TotalTime>
  <ScaleCrop>false</ScaleCrop>
  <LinksUpToDate>false</LinksUpToDate>
  <Application>WPS Office_11.8.2.8361_F1E327BC-269C-435d-A152-05C5408002CA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2022-03-27T08:33:00Z</dcterms:created>
  <dc:creator>017337</dc:creator>
  <cp:lastModifiedBy>014936</cp:lastModifiedBy>
  <dcterms:modified xsi:type="dcterms:W3CDTF">2022-03-27T09:55:03Z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