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F7B1" w14:textId="04568140" w:rsidR="00387789" w:rsidRPr="00387789" w:rsidRDefault="00387789" w:rsidP="00387789">
      <w:pPr>
        <w:tabs>
          <w:tab w:val="left" w:pos="1200"/>
        </w:tabs>
        <w:jc w:val="center"/>
        <w:rPr>
          <w:sz w:val="40"/>
          <w:szCs w:val="40"/>
        </w:rPr>
      </w:pPr>
      <w:r w:rsidRPr="00387789">
        <w:rPr>
          <w:sz w:val="40"/>
          <w:szCs w:val="40"/>
        </w:rPr>
        <w:t>Annual General Meeting</w:t>
      </w:r>
      <w:r w:rsidR="008F503B">
        <w:rPr>
          <w:sz w:val="40"/>
          <w:szCs w:val="40"/>
        </w:rPr>
        <w:t xml:space="preserve"> Results</w:t>
      </w:r>
    </w:p>
    <w:p w14:paraId="42532153" w14:textId="64F87979" w:rsidR="00387789" w:rsidRPr="00387789" w:rsidRDefault="00387789" w:rsidP="00387789">
      <w:pPr>
        <w:tabs>
          <w:tab w:val="left" w:pos="1200"/>
        </w:tabs>
        <w:rPr>
          <w:b/>
          <w:bCs/>
          <w:sz w:val="24"/>
          <w:szCs w:val="24"/>
        </w:rPr>
      </w:pPr>
      <w:r w:rsidRPr="00387789">
        <w:rPr>
          <w:b/>
          <w:bCs/>
          <w:sz w:val="24"/>
          <w:szCs w:val="24"/>
        </w:rPr>
        <w:t>JERSEY ELECTRICITY PLC</w:t>
      </w:r>
    </w:p>
    <w:p w14:paraId="7AC52640" w14:textId="4B05AB61" w:rsidR="00387789" w:rsidRDefault="00E037F1" w:rsidP="00387789">
      <w:pPr>
        <w:tabs>
          <w:tab w:val="left" w:pos="1200"/>
        </w:tabs>
        <w:jc w:val="both"/>
      </w:pPr>
      <w:r>
        <w:t>The following resolutions representing special business were passed at the Annual General Meeting of Jersey Electricity Plc held on 5 March 2024.</w:t>
      </w:r>
    </w:p>
    <w:p w14:paraId="1950BC69" w14:textId="10D1EAC6" w:rsidR="00387789" w:rsidRDefault="00387789" w:rsidP="00387789">
      <w:pPr>
        <w:tabs>
          <w:tab w:val="left" w:pos="1200"/>
        </w:tabs>
      </w:pPr>
      <w:r w:rsidRPr="00387789">
        <w:rPr>
          <w:b/>
          <w:bCs/>
        </w:rPr>
        <w:t>Ordinary Resolutions</w:t>
      </w:r>
    </w:p>
    <w:p w14:paraId="2BC3476F" w14:textId="1B4072DB" w:rsidR="003C11F3" w:rsidRDefault="00E456D1" w:rsidP="00301F77">
      <w:pPr>
        <w:tabs>
          <w:tab w:val="left" w:pos="1200"/>
        </w:tabs>
        <w:ind w:left="567" w:hanging="567"/>
      </w:pPr>
      <w:r>
        <w:t>1.</w:t>
      </w:r>
      <w:r>
        <w:tab/>
        <w:t xml:space="preserve">An </w:t>
      </w:r>
      <w:r w:rsidR="009E1A6C">
        <w:t xml:space="preserve">increase in the </w:t>
      </w:r>
      <w:r w:rsidR="00A67B2E">
        <w:t xml:space="preserve">maximum </w:t>
      </w:r>
      <w:r w:rsidR="009E1A6C">
        <w:t xml:space="preserve">aggregate </w:t>
      </w:r>
      <w:r w:rsidR="007E7B16" w:rsidRPr="00024E24">
        <w:t xml:space="preserve">Non-Executive Directors </w:t>
      </w:r>
      <w:r w:rsidR="00DA0A05">
        <w:t>r</w:t>
      </w:r>
      <w:r w:rsidR="007E7B16" w:rsidRPr="00024E24">
        <w:t>emuneration</w:t>
      </w:r>
      <w:r w:rsidR="00DA0A05">
        <w:t xml:space="preserve"> to £325,000</w:t>
      </w:r>
      <w:r w:rsidR="00AA6E72">
        <w:t xml:space="preserve"> annually</w:t>
      </w:r>
      <w:r w:rsidR="002B5E13">
        <w:t>.</w:t>
      </w:r>
    </w:p>
    <w:p w14:paraId="258740DD" w14:textId="56D7EC16" w:rsidR="00387789" w:rsidRDefault="00387789" w:rsidP="00387789">
      <w:pPr>
        <w:tabs>
          <w:tab w:val="left" w:pos="1200"/>
        </w:tabs>
      </w:pPr>
      <w:r w:rsidRPr="007E7B16">
        <w:rPr>
          <w:b/>
          <w:bCs/>
        </w:rPr>
        <w:t>Special Resolution</w:t>
      </w:r>
      <w:r w:rsidR="00D046CB">
        <w:rPr>
          <w:b/>
          <w:bCs/>
        </w:rPr>
        <w:t>s</w:t>
      </w:r>
    </w:p>
    <w:p w14:paraId="69D2AA8D" w14:textId="492B2460" w:rsidR="002C34EA" w:rsidRPr="00084365" w:rsidRDefault="002C34EA" w:rsidP="00084365">
      <w:pPr>
        <w:tabs>
          <w:tab w:val="left" w:pos="1200"/>
        </w:tabs>
        <w:jc w:val="both"/>
      </w:pPr>
      <w:r w:rsidRPr="00084365">
        <w:t>THAT with effect from the conclusion of the 2024 annual general meeting of the Company the articles</w:t>
      </w:r>
      <w:r w:rsidR="00084365" w:rsidRPr="00084365">
        <w:t xml:space="preserve"> </w:t>
      </w:r>
      <w:r w:rsidRPr="00084365">
        <w:t>of association of the Company shall be amended as follows:</w:t>
      </w:r>
    </w:p>
    <w:p w14:paraId="1943E48B" w14:textId="3A3C05F6" w:rsidR="008D506C" w:rsidRPr="00084365" w:rsidRDefault="00815B5E" w:rsidP="00084365">
      <w:pPr>
        <w:pStyle w:val="ListParagraph"/>
        <w:numPr>
          <w:ilvl w:val="0"/>
          <w:numId w:val="5"/>
        </w:numPr>
        <w:spacing w:after="240" w:line="312" w:lineRule="auto"/>
        <w:jc w:val="both"/>
        <w:rPr>
          <w:rFonts w:cs="Calibri"/>
          <w:bCs/>
          <w:szCs w:val="21"/>
          <w:u w:val="single"/>
        </w:rPr>
      </w:pPr>
      <w:r w:rsidRPr="00084365">
        <w:rPr>
          <w:rFonts w:cs="Calibri"/>
          <w:bCs/>
          <w:szCs w:val="21"/>
        </w:rPr>
        <w:t>article 82 be amended</w:t>
      </w:r>
      <w:r w:rsidR="00CF4693" w:rsidRPr="00084365">
        <w:rPr>
          <w:rFonts w:cs="Calibri"/>
          <w:bCs/>
          <w:szCs w:val="21"/>
        </w:rPr>
        <w:t xml:space="preserve"> </w:t>
      </w:r>
      <w:r w:rsidR="00C310F9" w:rsidRPr="00084365">
        <w:rPr>
          <w:rFonts w:cs="Calibri"/>
          <w:bCs/>
          <w:szCs w:val="21"/>
          <w14:ligatures w14:val="standard"/>
        </w:rPr>
        <w:t xml:space="preserve">by the insertion of a new final sentence at the end of article </w:t>
      </w:r>
      <w:r w:rsidR="00113591" w:rsidRPr="00084365">
        <w:rPr>
          <w:rFonts w:cs="Calibri"/>
          <w:bCs/>
          <w:szCs w:val="21"/>
          <w14:ligatures w14:val="standard"/>
        </w:rPr>
        <w:t>82</w:t>
      </w:r>
      <w:r w:rsidR="00C310F9" w:rsidRPr="00084365">
        <w:rPr>
          <w:rFonts w:cs="Calibri"/>
          <w:bCs/>
          <w:szCs w:val="21"/>
          <w14:ligatures w14:val="standard"/>
        </w:rPr>
        <w:t xml:space="preserve"> (being those words in bold and underlined) so that the revised article </w:t>
      </w:r>
      <w:r w:rsidR="003038CA" w:rsidRPr="00084365">
        <w:rPr>
          <w:rFonts w:cs="Calibri"/>
          <w:bCs/>
          <w:szCs w:val="21"/>
          <w14:ligatures w14:val="standard"/>
        </w:rPr>
        <w:t>82</w:t>
      </w:r>
      <w:r w:rsidR="00C310F9" w:rsidRPr="00084365">
        <w:rPr>
          <w:rFonts w:cs="Calibri"/>
          <w:bCs/>
          <w:szCs w:val="21"/>
          <w14:ligatures w14:val="standard"/>
        </w:rPr>
        <w:t xml:space="preserve"> shall read as follows: "A</w:t>
      </w:r>
      <w:r w:rsidR="003038CA" w:rsidRPr="00084365">
        <w:rPr>
          <w:rFonts w:cs="Calibri"/>
          <w:bCs/>
          <w:szCs w:val="21"/>
          <w14:ligatures w14:val="standard"/>
        </w:rPr>
        <w:t>t least twenty-one days</w:t>
      </w:r>
      <w:r w:rsidR="00FA34EF" w:rsidRPr="00084365">
        <w:rPr>
          <w:rFonts w:cs="Calibri"/>
          <w:bCs/>
          <w:szCs w:val="21"/>
          <w14:ligatures w14:val="standard"/>
        </w:rPr>
        <w:t>’</w:t>
      </w:r>
      <w:r w:rsidR="003038CA" w:rsidRPr="00084365">
        <w:rPr>
          <w:rFonts w:cs="Calibri"/>
          <w:bCs/>
          <w:szCs w:val="21"/>
          <w14:ligatures w14:val="standard"/>
        </w:rPr>
        <w:t xml:space="preserve"> </w:t>
      </w:r>
      <w:r w:rsidR="00F356CE" w:rsidRPr="00084365">
        <w:rPr>
          <w:rFonts w:cs="Calibri"/>
          <w:bCs/>
          <w:szCs w:val="21"/>
          <w14:ligatures w14:val="standard"/>
        </w:rPr>
        <w:t>notice shall be given of every gener</w:t>
      </w:r>
      <w:r w:rsidR="00FA34EF" w:rsidRPr="00084365">
        <w:rPr>
          <w:rFonts w:cs="Calibri"/>
          <w:bCs/>
          <w:szCs w:val="21"/>
          <w14:ligatures w14:val="standard"/>
        </w:rPr>
        <w:t>al meeting.  The notice shall be exclusive of the day on which it is served or deemed to be serv</w:t>
      </w:r>
      <w:r w:rsidR="004D1ADB" w:rsidRPr="00084365">
        <w:rPr>
          <w:rFonts w:cs="Calibri"/>
          <w:bCs/>
          <w:szCs w:val="21"/>
          <w14:ligatures w14:val="standard"/>
        </w:rPr>
        <w:t>ed and of the day for which it is given.  Every notice shall be in writing</w:t>
      </w:r>
      <w:r w:rsidR="004C454C" w:rsidRPr="00084365">
        <w:rPr>
          <w:rFonts w:cs="Calibri"/>
          <w:bCs/>
          <w:szCs w:val="21"/>
          <w14:ligatures w14:val="standard"/>
        </w:rPr>
        <w:t xml:space="preserve"> and shall specify the place, the day and the time of the meeting and in the case of special business</w:t>
      </w:r>
      <w:r w:rsidR="00AB3425" w:rsidRPr="00084365">
        <w:rPr>
          <w:rFonts w:cs="Calibri"/>
          <w:bCs/>
          <w:szCs w:val="21"/>
          <w14:ligatures w14:val="standard"/>
        </w:rPr>
        <w:t xml:space="preserve">, the general nature of such business and, </w:t>
      </w:r>
      <w:r w:rsidR="003855D0" w:rsidRPr="00084365">
        <w:rPr>
          <w:rFonts w:cs="Calibri"/>
          <w:bCs/>
          <w:szCs w:val="21"/>
          <w14:ligatures w14:val="standard"/>
        </w:rPr>
        <w:t>in the case of an annual general meeting, shall specify</w:t>
      </w:r>
      <w:r w:rsidR="00B035EF" w:rsidRPr="00084365">
        <w:rPr>
          <w:rFonts w:cs="Calibri"/>
          <w:bCs/>
          <w:szCs w:val="21"/>
          <w14:ligatures w14:val="standard"/>
        </w:rPr>
        <w:t xml:space="preserve"> the meeting as such.  Notices of every meeting shall be given in the manner hereinafter mentio</w:t>
      </w:r>
      <w:r w:rsidR="00B633A8" w:rsidRPr="00084365">
        <w:rPr>
          <w:rFonts w:cs="Calibri"/>
          <w:bCs/>
          <w:szCs w:val="21"/>
          <w14:ligatures w14:val="standard"/>
        </w:rPr>
        <w:t>ned to all the Members and to the auditors for the time being of the Company.</w:t>
      </w:r>
      <w:r w:rsidR="00C310F9" w:rsidRPr="00084365">
        <w:rPr>
          <w:rFonts w:cs="Calibri"/>
          <w:bCs/>
          <w:szCs w:val="21"/>
          <w14:ligatures w14:val="standard"/>
        </w:rPr>
        <w:t xml:space="preserve"> </w:t>
      </w:r>
      <w:r w:rsidR="00C310F9" w:rsidRPr="00084365">
        <w:rPr>
          <w:rFonts w:cs="Calibri"/>
          <w:b/>
          <w:bCs/>
          <w:szCs w:val="21"/>
          <w:u w:val="single"/>
          <w14:ligatures w14:val="standard"/>
        </w:rPr>
        <w:t xml:space="preserve">Notwithstanding the above the Board (at its absolute discretion) </w:t>
      </w:r>
      <w:r w:rsidR="00861795" w:rsidRPr="00084365">
        <w:rPr>
          <w:rFonts w:cs="Calibri"/>
          <w:b/>
          <w:bCs/>
          <w:szCs w:val="21"/>
          <w:u w:val="single"/>
          <w14:ligatures w14:val="standard"/>
        </w:rPr>
        <w:t xml:space="preserve">is permitted to provide notices of general meetings, including annual general meetings, </w:t>
      </w:r>
      <w:r w:rsidR="00192999" w:rsidRPr="00084365">
        <w:rPr>
          <w:rFonts w:cs="Calibri"/>
          <w:b/>
          <w:bCs/>
          <w:szCs w:val="21"/>
          <w:u w:val="single"/>
          <w14:ligatures w14:val="standard"/>
        </w:rPr>
        <w:t xml:space="preserve">by electronic means including </w:t>
      </w:r>
      <w:r w:rsidR="00B75A7A" w:rsidRPr="00084365">
        <w:rPr>
          <w:rFonts w:cs="Calibri"/>
          <w:b/>
          <w:bCs/>
          <w:szCs w:val="21"/>
          <w:u w:val="single"/>
          <w14:ligatures w14:val="standard"/>
        </w:rPr>
        <w:t xml:space="preserve">by </w:t>
      </w:r>
      <w:r w:rsidR="00192999" w:rsidRPr="00084365">
        <w:rPr>
          <w:rFonts w:cs="Calibri"/>
          <w:b/>
          <w:bCs/>
          <w:szCs w:val="21"/>
          <w:u w:val="single"/>
          <w14:ligatures w14:val="standard"/>
        </w:rPr>
        <w:t xml:space="preserve">email to any </w:t>
      </w:r>
      <w:r w:rsidR="00A567A0" w:rsidRPr="00084365">
        <w:rPr>
          <w:rFonts w:cs="Calibri"/>
          <w:b/>
          <w:bCs/>
          <w:szCs w:val="21"/>
          <w:u w:val="single"/>
          <w14:ligatures w14:val="standard"/>
        </w:rPr>
        <w:t>Member</w:t>
      </w:r>
      <w:r w:rsidR="00B85F08" w:rsidRPr="00084365">
        <w:rPr>
          <w:rFonts w:cs="Calibri"/>
          <w:b/>
          <w:bCs/>
          <w:szCs w:val="21"/>
          <w:u w:val="single"/>
          <w14:ligatures w14:val="standard"/>
        </w:rPr>
        <w:t xml:space="preserve"> </w:t>
      </w:r>
      <w:r w:rsidR="00C66F88" w:rsidRPr="00084365">
        <w:rPr>
          <w:rFonts w:cs="Calibri"/>
          <w:b/>
          <w:bCs/>
          <w:szCs w:val="21"/>
          <w:u w:val="single"/>
          <w14:ligatures w14:val="standard"/>
        </w:rPr>
        <w:t>at</w:t>
      </w:r>
      <w:r w:rsidR="00D96A69" w:rsidRPr="00084365">
        <w:rPr>
          <w:rFonts w:cs="Calibri"/>
          <w:b/>
          <w:bCs/>
          <w:szCs w:val="21"/>
          <w:u w:val="single"/>
          <w14:ligatures w14:val="standard"/>
        </w:rPr>
        <w:t xml:space="preserve"> an address the</w:t>
      </w:r>
      <w:r w:rsidR="00B75A7A" w:rsidRPr="00084365">
        <w:rPr>
          <w:rFonts w:cs="Calibri"/>
          <w:b/>
          <w:bCs/>
          <w:szCs w:val="21"/>
          <w:u w:val="single"/>
          <w14:ligatures w14:val="standard"/>
        </w:rPr>
        <w:t xml:space="preserve"> Member</w:t>
      </w:r>
      <w:r w:rsidR="00D96A69" w:rsidRPr="00084365">
        <w:rPr>
          <w:rFonts w:cs="Calibri"/>
          <w:b/>
          <w:bCs/>
          <w:szCs w:val="21"/>
          <w:u w:val="single"/>
          <w14:ligatures w14:val="standard"/>
        </w:rPr>
        <w:t xml:space="preserve"> ha</w:t>
      </w:r>
      <w:r w:rsidR="00B75A7A" w:rsidRPr="00084365">
        <w:rPr>
          <w:rFonts w:cs="Calibri"/>
          <w:b/>
          <w:bCs/>
          <w:szCs w:val="21"/>
          <w:u w:val="single"/>
          <w14:ligatures w14:val="standard"/>
        </w:rPr>
        <w:t>s</w:t>
      </w:r>
      <w:r w:rsidR="00D96A69" w:rsidRPr="00084365">
        <w:rPr>
          <w:rFonts w:cs="Calibri"/>
          <w:b/>
          <w:bCs/>
          <w:szCs w:val="21"/>
          <w:u w:val="single"/>
          <w14:ligatures w14:val="standard"/>
        </w:rPr>
        <w:t xml:space="preserve"> provided for </w:t>
      </w:r>
      <w:r w:rsidR="00344776" w:rsidRPr="00084365">
        <w:rPr>
          <w:rFonts w:cs="Calibri"/>
          <w:b/>
          <w:bCs/>
          <w:szCs w:val="21"/>
          <w:u w:val="single"/>
          <w14:ligatures w14:val="standard"/>
        </w:rPr>
        <w:t xml:space="preserve">that purpose </w:t>
      </w:r>
      <w:r w:rsidR="00D96A69" w:rsidRPr="00084365">
        <w:rPr>
          <w:rFonts w:cs="Calibri"/>
          <w:b/>
          <w:bCs/>
          <w:szCs w:val="21"/>
          <w:u w:val="single"/>
          <w14:ligatures w14:val="standard"/>
        </w:rPr>
        <w:t>or</w:t>
      </w:r>
      <w:r w:rsidR="00497710" w:rsidRPr="00084365">
        <w:rPr>
          <w:rFonts w:cs="Calibri"/>
          <w:b/>
          <w:bCs/>
          <w:szCs w:val="21"/>
          <w:u w:val="single"/>
          <w14:ligatures w14:val="standard"/>
        </w:rPr>
        <w:t xml:space="preserve"> in</w:t>
      </w:r>
      <w:r w:rsidR="005B6EF9" w:rsidRPr="00084365">
        <w:rPr>
          <w:rFonts w:cs="Calibri"/>
          <w:b/>
          <w:bCs/>
          <w:szCs w:val="21"/>
          <w:u w:val="single"/>
          <w14:ligatures w14:val="standard"/>
        </w:rPr>
        <w:t xml:space="preserve"> such manner as the Member has</w:t>
      </w:r>
      <w:r w:rsidR="00D96A69" w:rsidRPr="00084365">
        <w:rPr>
          <w:rFonts w:cs="Calibri"/>
          <w:b/>
          <w:bCs/>
          <w:szCs w:val="21"/>
          <w:u w:val="single"/>
          <w14:ligatures w14:val="standard"/>
        </w:rPr>
        <w:t xml:space="preserve"> agreed to for those purposes</w:t>
      </w:r>
      <w:r w:rsidR="00E57DC0" w:rsidRPr="00084365">
        <w:rPr>
          <w:rFonts w:cs="Calibri"/>
          <w:b/>
          <w:bCs/>
          <w:szCs w:val="21"/>
          <w:u w:val="single"/>
          <w14:ligatures w14:val="standard"/>
        </w:rPr>
        <w:t>.</w:t>
      </w:r>
      <w:r w:rsidR="00C310F9" w:rsidRPr="00084365">
        <w:rPr>
          <w:rFonts w:cs="Calibri"/>
          <w:bCs/>
          <w:szCs w:val="21"/>
          <w14:ligatures w14:val="standard"/>
        </w:rPr>
        <w:t>"</w:t>
      </w:r>
    </w:p>
    <w:p w14:paraId="7E09F0D9" w14:textId="77777777" w:rsidR="005A1BD0" w:rsidRPr="005A1BD0" w:rsidRDefault="002C34EA" w:rsidP="00084365">
      <w:pPr>
        <w:pStyle w:val="ListParagraph"/>
        <w:numPr>
          <w:ilvl w:val="0"/>
          <w:numId w:val="5"/>
        </w:numPr>
        <w:spacing w:after="240" w:line="312" w:lineRule="auto"/>
        <w:jc w:val="both"/>
        <w:rPr>
          <w:rFonts w:cs="Calibri"/>
          <w:bCs/>
          <w:szCs w:val="21"/>
        </w:rPr>
      </w:pPr>
      <w:r w:rsidRPr="00084365">
        <w:rPr>
          <w:rFonts w:cs="Calibri"/>
          <w:bCs/>
          <w:szCs w:val="21"/>
          <w14:ligatures w14:val="standard"/>
        </w:rPr>
        <w:t xml:space="preserve">article 105 be deleted in its entirety and replaced by a new article 105 as follows: </w:t>
      </w:r>
    </w:p>
    <w:p w14:paraId="51E5E419" w14:textId="48BC620A" w:rsidR="002C34EA" w:rsidRPr="00084365" w:rsidRDefault="002C34EA" w:rsidP="005A1BD0">
      <w:pPr>
        <w:pStyle w:val="ListParagraph"/>
        <w:spacing w:after="240" w:line="312" w:lineRule="auto"/>
        <w:jc w:val="both"/>
        <w:rPr>
          <w:rFonts w:cs="Calibri"/>
          <w:bCs/>
          <w:szCs w:val="21"/>
        </w:rPr>
      </w:pPr>
      <w:r w:rsidRPr="00084365">
        <w:rPr>
          <w:rFonts w:cs="Calibri"/>
          <w:bCs/>
          <w:i/>
          <w:iCs/>
          <w:szCs w:val="21"/>
          <w14:ligatures w14:val="standard"/>
        </w:rPr>
        <w:t>"</w:t>
      </w:r>
      <w:r w:rsidRPr="00084365">
        <w:rPr>
          <w:rFonts w:cs="Calibri"/>
          <w:bCs/>
          <w:i/>
          <w:iCs/>
          <w:szCs w:val="21"/>
        </w:rPr>
        <w:t>The instrument appointing a proxy shall be in writing in any common form (including, but not limited to, hard copy form or electronic form) or as approved by the Board and shall be executed or authenticated by the appointor in any manner as the Board may approve or be signed by the appointor or by their attorney or agent duly authorised in writing or if the appointor is a corporation either under seal or signed by a duly authorised officer, attorney or other representative.  A proxy need not be a Member. No instrument appointing a proxy shall be valid after the expiration of twelve months from the date of its signature or authentication.";</w:t>
      </w:r>
      <w:r w:rsidRPr="00084365">
        <w:rPr>
          <w:rFonts w:cs="Calibri"/>
          <w:bCs/>
          <w:szCs w:val="21"/>
        </w:rPr>
        <w:t xml:space="preserve"> </w:t>
      </w:r>
    </w:p>
    <w:p w14:paraId="298404E4" w14:textId="77777777" w:rsidR="005A1BD0" w:rsidRPr="005A1BD0" w:rsidRDefault="002C34EA" w:rsidP="004B6F5F">
      <w:pPr>
        <w:pStyle w:val="ListParagraph"/>
        <w:numPr>
          <w:ilvl w:val="0"/>
          <w:numId w:val="5"/>
        </w:numPr>
        <w:spacing w:after="210" w:line="312" w:lineRule="auto"/>
        <w:jc w:val="both"/>
        <w:rPr>
          <w:rFonts w:cs="Calibri"/>
          <w:bCs/>
          <w:i/>
          <w:iCs/>
          <w:szCs w:val="21"/>
        </w:rPr>
      </w:pPr>
      <w:r w:rsidRPr="004B6F5F">
        <w:rPr>
          <w:rFonts w:cs="Calibri"/>
          <w:bCs/>
          <w:szCs w:val="21"/>
        </w:rPr>
        <w:t>article 106 be deleted in its entirety and replaced by a new article 106 as follows:</w:t>
      </w:r>
      <w:r w:rsidRPr="00553FDD">
        <w:t xml:space="preserve"> </w:t>
      </w:r>
    </w:p>
    <w:p w14:paraId="7B6C7D1A" w14:textId="4304C846" w:rsidR="002C34EA" w:rsidRPr="004B6F5F" w:rsidRDefault="002C34EA" w:rsidP="005A1BD0">
      <w:pPr>
        <w:pStyle w:val="ListParagraph"/>
        <w:spacing w:after="210" w:line="312" w:lineRule="auto"/>
        <w:jc w:val="both"/>
        <w:rPr>
          <w:rFonts w:cs="Calibri"/>
          <w:bCs/>
          <w:i/>
          <w:iCs/>
          <w:szCs w:val="21"/>
        </w:rPr>
      </w:pPr>
      <w:r w:rsidRPr="00553FDD">
        <w:t>"</w:t>
      </w:r>
      <w:r w:rsidRPr="004B6F5F">
        <w:rPr>
          <w:rFonts w:cs="Calibri"/>
          <w:bCs/>
          <w:i/>
          <w:iCs/>
          <w:szCs w:val="21"/>
        </w:rPr>
        <w:t xml:space="preserve">The instrument appointing a proxy and the power of attorney or other authority (if any) under which it is signed or a </w:t>
      </w:r>
      <w:proofErr w:type="spellStart"/>
      <w:r w:rsidRPr="004B6F5F">
        <w:rPr>
          <w:rFonts w:cs="Calibri"/>
          <w:bCs/>
          <w:i/>
          <w:iCs/>
          <w:szCs w:val="21"/>
        </w:rPr>
        <w:t>notarially</w:t>
      </w:r>
      <w:proofErr w:type="spellEnd"/>
      <w:r w:rsidRPr="004B6F5F">
        <w:rPr>
          <w:rFonts w:cs="Calibri"/>
          <w:bCs/>
          <w:i/>
          <w:iCs/>
          <w:szCs w:val="21"/>
        </w:rPr>
        <w:t xml:space="preserve"> certified copy of that power or authority shall:</w:t>
      </w:r>
    </w:p>
    <w:p w14:paraId="0C084F7A" w14:textId="77777777" w:rsidR="002C34EA" w:rsidRPr="00553FDD" w:rsidRDefault="002C34EA" w:rsidP="004B6F5F">
      <w:pPr>
        <w:numPr>
          <w:ilvl w:val="1"/>
          <w:numId w:val="5"/>
        </w:numPr>
        <w:spacing w:after="210" w:line="312" w:lineRule="auto"/>
        <w:jc w:val="both"/>
        <w:rPr>
          <w:rFonts w:cs="Calibri"/>
          <w:bCs/>
          <w:i/>
          <w:iCs/>
          <w:szCs w:val="21"/>
        </w:rPr>
      </w:pPr>
      <w:r w:rsidRPr="00553FDD">
        <w:rPr>
          <w:rFonts w:cs="Calibri"/>
          <w:bCs/>
          <w:i/>
          <w:iCs/>
          <w:szCs w:val="21"/>
        </w:rPr>
        <w:t xml:space="preserve">not less than 48 hours before the time for holding the meeting or adjourned meeting, be deposited or received at such place or address as is specified for that purpose by </w:t>
      </w:r>
      <w:r w:rsidRPr="00553FDD">
        <w:rPr>
          <w:rFonts w:cs="Calibri"/>
          <w:bCs/>
          <w:i/>
          <w:iCs/>
          <w:szCs w:val="21"/>
        </w:rPr>
        <w:lastRenderedPageBreak/>
        <w:t xml:space="preserve">the instrument or the notice convening the meeting or adjourned meeting at which the person named in the instrument proposes to vote; </w:t>
      </w:r>
    </w:p>
    <w:p w14:paraId="35DDA6B4" w14:textId="77777777" w:rsidR="002C34EA" w:rsidRPr="00553FDD" w:rsidRDefault="002C34EA" w:rsidP="004B6F5F">
      <w:pPr>
        <w:numPr>
          <w:ilvl w:val="1"/>
          <w:numId w:val="5"/>
        </w:numPr>
        <w:spacing w:after="210" w:line="312" w:lineRule="auto"/>
        <w:jc w:val="both"/>
        <w:rPr>
          <w:rFonts w:cs="Calibri"/>
          <w:bCs/>
          <w:i/>
          <w:iCs/>
          <w:szCs w:val="21"/>
        </w:rPr>
      </w:pPr>
      <w:r w:rsidRPr="00553FDD">
        <w:rPr>
          <w:rFonts w:cs="Calibri"/>
          <w:bCs/>
          <w:i/>
          <w:iCs/>
          <w:szCs w:val="21"/>
        </w:rPr>
        <w:t>in the case of a poll taken more than 48 hours after it is demanded, be deposited or received as aforesaid after the poll has been demanded and not less than 24 hours before the time appointed for taking the poll; or</w:t>
      </w:r>
    </w:p>
    <w:p w14:paraId="135127C0" w14:textId="77777777" w:rsidR="002C34EA" w:rsidRPr="00553FDD" w:rsidRDefault="002C34EA" w:rsidP="004B6F5F">
      <w:pPr>
        <w:numPr>
          <w:ilvl w:val="1"/>
          <w:numId w:val="5"/>
        </w:numPr>
        <w:spacing w:after="210" w:line="312" w:lineRule="auto"/>
        <w:jc w:val="both"/>
        <w:rPr>
          <w:rFonts w:cs="Calibri"/>
          <w:bCs/>
          <w:i/>
          <w:iCs/>
          <w:szCs w:val="21"/>
        </w:rPr>
      </w:pPr>
      <w:r w:rsidRPr="00553FDD">
        <w:rPr>
          <w:rFonts w:cs="Calibri"/>
          <w:bCs/>
          <w:i/>
          <w:iCs/>
          <w:szCs w:val="21"/>
        </w:rPr>
        <w:t>where the poll is not taken forthwith but is taken not more than 48 hours after it was demanded, be delivered at the meeting at which the poll was demanded to the chair or the Secretary or to any Director.</w:t>
      </w:r>
    </w:p>
    <w:p w14:paraId="2B6EBADB" w14:textId="77777777" w:rsidR="002C34EA" w:rsidRPr="009B1AE6" w:rsidRDefault="002C34EA" w:rsidP="002C34EA">
      <w:pPr>
        <w:spacing w:after="210"/>
        <w:ind w:left="1440"/>
        <w:rPr>
          <w:rFonts w:cs="Calibri"/>
          <w:bCs/>
          <w:i/>
          <w:iCs/>
          <w:szCs w:val="21"/>
        </w:rPr>
      </w:pPr>
      <w:r w:rsidRPr="009B1AE6">
        <w:rPr>
          <w:rFonts w:cs="Calibri"/>
          <w:bCs/>
          <w:i/>
          <w:iCs/>
          <w:szCs w:val="21"/>
        </w:rPr>
        <w:t>An instrument of proxy which is not deposited or received in the manner so required shall be valid only if it is approved by the Board or all the other Members who are present at the meeting.";</w:t>
      </w:r>
    </w:p>
    <w:p w14:paraId="52032FAF" w14:textId="77777777" w:rsidR="002C34EA" w:rsidRPr="008A139B" w:rsidRDefault="002C34EA" w:rsidP="00084365">
      <w:pPr>
        <w:numPr>
          <w:ilvl w:val="1"/>
          <w:numId w:val="5"/>
        </w:numPr>
        <w:spacing w:after="240" w:line="312" w:lineRule="auto"/>
        <w:jc w:val="both"/>
        <w:rPr>
          <w:rFonts w:cs="Calibri"/>
          <w:bCs/>
          <w:szCs w:val="21"/>
        </w:rPr>
      </w:pPr>
      <w:r w:rsidRPr="008A139B">
        <w:rPr>
          <w:rFonts w:cs="Calibri"/>
          <w:bCs/>
          <w:szCs w:val="21"/>
        </w:rPr>
        <w:t xml:space="preserve">a new article 106A be inserted as follows: </w:t>
      </w:r>
      <w:r w:rsidRPr="008A139B">
        <w:rPr>
          <w:rFonts w:cs="Calibri"/>
          <w:bCs/>
          <w:i/>
          <w:iCs/>
          <w:szCs w:val="21"/>
        </w:rPr>
        <w:t>"Notwithstanding any other provision of these Articles, the Board may utilise, or approve the utilisation of, any telephone or internet-based systems or any other electronic systems as they in their absolute discretion may think fit with respect to the appointment of proxies and/or the receipt of proxy forms and/or receipt of, or processing of, voting instructions for use at any annual general meetings or extraordinary general meetings.</w:t>
      </w:r>
      <w:r w:rsidRPr="008A139B">
        <w:rPr>
          <w:rFonts w:cs="Calibri"/>
          <w:bCs/>
          <w:szCs w:val="21"/>
        </w:rPr>
        <w:t>"; and</w:t>
      </w:r>
    </w:p>
    <w:p w14:paraId="66BCAC93" w14:textId="77777777" w:rsidR="009B315B" w:rsidRPr="009B315B" w:rsidRDefault="002C34EA" w:rsidP="009B315B">
      <w:pPr>
        <w:pStyle w:val="ListParagraph"/>
        <w:numPr>
          <w:ilvl w:val="0"/>
          <w:numId w:val="5"/>
        </w:numPr>
        <w:spacing w:after="240" w:line="312" w:lineRule="auto"/>
        <w:jc w:val="both"/>
        <w:rPr>
          <w:b/>
          <w:bCs/>
        </w:rPr>
      </w:pPr>
      <w:r w:rsidRPr="009B315B">
        <w:rPr>
          <w:rFonts w:cs="Calibri"/>
          <w:bCs/>
          <w:szCs w:val="21"/>
        </w:rPr>
        <w:t xml:space="preserve">article 176 be amended </w:t>
      </w:r>
      <w:r w:rsidRPr="009B315B">
        <w:rPr>
          <w:rFonts w:cs="Calibri"/>
          <w:bCs/>
          <w:szCs w:val="21"/>
          <w14:ligatures w14:val="standard"/>
        </w:rPr>
        <w:t>by the insertion of a new final sentence at the end of article 176 (being those words in bold and underlined) so that the revised article 176 shall read as follows:</w:t>
      </w:r>
      <w:r w:rsidRPr="009B315B">
        <w:rPr>
          <w:rFonts w:cs="Calibri"/>
          <w:bCs/>
          <w:i/>
          <w:iCs/>
          <w:szCs w:val="21"/>
          <w14:ligatures w14:val="standard"/>
        </w:rPr>
        <w:t xml:space="preserve"> </w:t>
      </w:r>
    </w:p>
    <w:p w14:paraId="33819CCA" w14:textId="4DFFBB2E" w:rsidR="00CA54E6" w:rsidRPr="009B315B" w:rsidRDefault="002C34EA" w:rsidP="009B315B">
      <w:pPr>
        <w:pStyle w:val="ListParagraph"/>
        <w:spacing w:after="240" w:line="312" w:lineRule="auto"/>
        <w:jc w:val="both"/>
        <w:rPr>
          <w:b/>
          <w:bCs/>
        </w:rPr>
      </w:pPr>
      <w:r w:rsidRPr="009B315B">
        <w:rPr>
          <w:rFonts w:cs="Calibri"/>
          <w:bCs/>
          <w:i/>
          <w:iCs/>
          <w:szCs w:val="21"/>
          <w14:ligatures w14:val="standard"/>
        </w:rPr>
        <w:t xml:space="preserve">"A printed copy of every account, balance sheet and report which is laid before the Company in general meeting in accordance with Articles 174 and 175 shall not less than 21 days previous to the meeting be delivered or sent by post to the registered address of every Member and holder of debentures of the Company and to the auditors, PROVIDED THAT this Article shall not require a copy of these documents to be sent to more than one of the joint holders of any shares or debentures. </w:t>
      </w:r>
      <w:r w:rsidRPr="009B315B">
        <w:rPr>
          <w:rFonts w:cs="Calibri"/>
          <w:b/>
          <w:bCs/>
          <w:i/>
          <w:iCs/>
          <w:szCs w:val="21"/>
          <w:u w:val="single"/>
          <w14:ligatures w14:val="standard"/>
        </w:rPr>
        <w:t>Notwithstanding the above the Board (at its absolute discretion) may decide to make any of the account, balance sheet, report and/or any other document to be laid before an annual general meeting available on the Company's website instead of delivering or sending them in the manner set out in this Article 176.</w:t>
      </w:r>
      <w:r w:rsidRPr="009B315B">
        <w:rPr>
          <w:rFonts w:cs="Calibri"/>
          <w:bCs/>
          <w:i/>
          <w:iCs/>
          <w:szCs w:val="21"/>
          <w14:ligatures w14:val="standard"/>
        </w:rPr>
        <w:t>"</w:t>
      </w:r>
    </w:p>
    <w:p w14:paraId="4F41EE10" w14:textId="77777777" w:rsidR="004352D2" w:rsidRDefault="004352D2" w:rsidP="004352D2">
      <w:pPr>
        <w:jc w:val="both"/>
      </w:pPr>
      <w:r>
        <w:t>Fiona Wilson</w:t>
      </w:r>
    </w:p>
    <w:p w14:paraId="2F56BFC5" w14:textId="77777777" w:rsidR="004352D2" w:rsidRDefault="004352D2" w:rsidP="004352D2">
      <w:pPr>
        <w:jc w:val="both"/>
      </w:pPr>
      <w:r>
        <w:t>Company Secretary</w:t>
      </w:r>
    </w:p>
    <w:p w14:paraId="2E07A7E2" w14:textId="77777777" w:rsidR="004352D2" w:rsidRDefault="004352D2" w:rsidP="004352D2">
      <w:pPr>
        <w:jc w:val="both"/>
      </w:pPr>
      <w:r>
        <w:t>Tel: 01534 505253</w:t>
      </w:r>
    </w:p>
    <w:p w14:paraId="76C04F3B" w14:textId="77777777" w:rsidR="004352D2" w:rsidRDefault="004352D2" w:rsidP="004352D2">
      <w:pPr>
        <w:jc w:val="both"/>
      </w:pPr>
      <w:r>
        <w:t xml:space="preserve">Email: </w:t>
      </w:r>
      <w:hyperlink r:id="rId11" w:history="1">
        <w:r w:rsidRPr="00491C40">
          <w:rPr>
            <w:rStyle w:val="Hyperlink"/>
          </w:rPr>
          <w:t>Fwilson@jec.co.uk</w:t>
        </w:r>
      </w:hyperlink>
    </w:p>
    <w:p w14:paraId="34802F38" w14:textId="5994FFD9" w:rsidR="00387789" w:rsidRDefault="00387789" w:rsidP="00387789">
      <w:pPr>
        <w:tabs>
          <w:tab w:val="left" w:pos="1200"/>
        </w:tabs>
        <w:spacing w:after="0" w:line="240" w:lineRule="auto"/>
        <w:jc w:val="both"/>
      </w:pPr>
    </w:p>
    <w:p w14:paraId="2E88A63B" w14:textId="33857C75" w:rsidR="003909C1" w:rsidRDefault="003909C1" w:rsidP="00387789">
      <w:pPr>
        <w:spacing w:after="0" w:line="240" w:lineRule="auto"/>
        <w:jc w:val="both"/>
      </w:pPr>
    </w:p>
    <w:sectPr w:rsidR="003909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CE01" w14:textId="77777777" w:rsidR="0057542B" w:rsidRDefault="0057542B" w:rsidP="002C3327">
      <w:pPr>
        <w:spacing w:after="0" w:line="240" w:lineRule="auto"/>
      </w:pPr>
      <w:r>
        <w:separator/>
      </w:r>
    </w:p>
  </w:endnote>
  <w:endnote w:type="continuationSeparator" w:id="0">
    <w:p w14:paraId="0A95B6D1" w14:textId="77777777" w:rsidR="0057542B" w:rsidRDefault="0057542B" w:rsidP="002C3327">
      <w:pPr>
        <w:spacing w:after="0" w:line="240" w:lineRule="auto"/>
      </w:pPr>
      <w:r>
        <w:continuationSeparator/>
      </w:r>
    </w:p>
  </w:endnote>
  <w:endnote w:type="continuationNotice" w:id="1">
    <w:p w14:paraId="23072080" w14:textId="77777777" w:rsidR="0057542B" w:rsidRDefault="00575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468F" w14:textId="77777777" w:rsidR="0057542B" w:rsidRDefault="0057542B" w:rsidP="002C3327">
      <w:pPr>
        <w:spacing w:after="0" w:line="240" w:lineRule="auto"/>
      </w:pPr>
      <w:r>
        <w:separator/>
      </w:r>
    </w:p>
  </w:footnote>
  <w:footnote w:type="continuationSeparator" w:id="0">
    <w:p w14:paraId="6CBD7DEE" w14:textId="77777777" w:rsidR="0057542B" w:rsidRDefault="0057542B" w:rsidP="002C3327">
      <w:pPr>
        <w:spacing w:after="0" w:line="240" w:lineRule="auto"/>
      </w:pPr>
      <w:r>
        <w:continuationSeparator/>
      </w:r>
    </w:p>
  </w:footnote>
  <w:footnote w:type="continuationNotice" w:id="1">
    <w:p w14:paraId="3A09E194" w14:textId="77777777" w:rsidR="0057542B" w:rsidRDefault="005754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552E"/>
    <w:multiLevelType w:val="hybridMultilevel"/>
    <w:tmpl w:val="82600532"/>
    <w:lvl w:ilvl="0" w:tplc="372C0728">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6F8E1CF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7397B"/>
    <w:multiLevelType w:val="hybridMultilevel"/>
    <w:tmpl w:val="82600532"/>
    <w:lvl w:ilvl="0" w:tplc="FFFFFFFF">
      <w:start w:val="14"/>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A5375AA"/>
    <w:multiLevelType w:val="hybridMultilevel"/>
    <w:tmpl w:val="7DB877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9814E59"/>
    <w:multiLevelType w:val="hybridMultilevel"/>
    <w:tmpl w:val="FC10BFF8"/>
    <w:lvl w:ilvl="0" w:tplc="E67CB6D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72F8A"/>
    <w:multiLevelType w:val="hybridMultilevel"/>
    <w:tmpl w:val="42147FAA"/>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556499">
    <w:abstractNumId w:val="3"/>
  </w:num>
  <w:num w:numId="2" w16cid:durableId="590622516">
    <w:abstractNumId w:val="0"/>
  </w:num>
  <w:num w:numId="3" w16cid:durableId="512691564">
    <w:abstractNumId w:val="2"/>
  </w:num>
  <w:num w:numId="4" w16cid:durableId="1797603858">
    <w:abstractNumId w:val="1"/>
  </w:num>
  <w:num w:numId="5" w16cid:durableId="144322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89"/>
    <w:rsid w:val="0001276B"/>
    <w:rsid w:val="00024E24"/>
    <w:rsid w:val="00027FFE"/>
    <w:rsid w:val="0003681D"/>
    <w:rsid w:val="00044FDA"/>
    <w:rsid w:val="0005540B"/>
    <w:rsid w:val="00057830"/>
    <w:rsid w:val="00061C3F"/>
    <w:rsid w:val="000727A2"/>
    <w:rsid w:val="00084365"/>
    <w:rsid w:val="000C337D"/>
    <w:rsid w:val="000E1D2A"/>
    <w:rsid w:val="000F12B7"/>
    <w:rsid w:val="000F2820"/>
    <w:rsid w:val="000F44CC"/>
    <w:rsid w:val="00113591"/>
    <w:rsid w:val="00121B39"/>
    <w:rsid w:val="00137BCB"/>
    <w:rsid w:val="001875B2"/>
    <w:rsid w:val="00192999"/>
    <w:rsid w:val="001A0128"/>
    <w:rsid w:val="001A3532"/>
    <w:rsid w:val="001B3575"/>
    <w:rsid w:val="001C778C"/>
    <w:rsid w:val="00201825"/>
    <w:rsid w:val="00224C72"/>
    <w:rsid w:val="00226343"/>
    <w:rsid w:val="00236181"/>
    <w:rsid w:val="00236855"/>
    <w:rsid w:val="002515BB"/>
    <w:rsid w:val="002704C7"/>
    <w:rsid w:val="002829D1"/>
    <w:rsid w:val="002833AA"/>
    <w:rsid w:val="00294F85"/>
    <w:rsid w:val="002965A0"/>
    <w:rsid w:val="002B5E13"/>
    <w:rsid w:val="002C3327"/>
    <w:rsid w:val="002C34EA"/>
    <w:rsid w:val="002E3E84"/>
    <w:rsid w:val="00301F77"/>
    <w:rsid w:val="003038CA"/>
    <w:rsid w:val="00311487"/>
    <w:rsid w:val="00344776"/>
    <w:rsid w:val="00360F0A"/>
    <w:rsid w:val="003719C1"/>
    <w:rsid w:val="00371FD4"/>
    <w:rsid w:val="003855D0"/>
    <w:rsid w:val="00385AB4"/>
    <w:rsid w:val="003864D8"/>
    <w:rsid w:val="00387789"/>
    <w:rsid w:val="003909C1"/>
    <w:rsid w:val="003A1C03"/>
    <w:rsid w:val="003A7948"/>
    <w:rsid w:val="003B2AEF"/>
    <w:rsid w:val="003C11F3"/>
    <w:rsid w:val="003C3CDB"/>
    <w:rsid w:val="003C51A2"/>
    <w:rsid w:val="003D0496"/>
    <w:rsid w:val="003E5ECD"/>
    <w:rsid w:val="00414713"/>
    <w:rsid w:val="004170B6"/>
    <w:rsid w:val="00423CE3"/>
    <w:rsid w:val="00426084"/>
    <w:rsid w:val="004352D2"/>
    <w:rsid w:val="004808CA"/>
    <w:rsid w:val="00483874"/>
    <w:rsid w:val="00497710"/>
    <w:rsid w:val="004A735A"/>
    <w:rsid w:val="004B22F9"/>
    <w:rsid w:val="004B6F5F"/>
    <w:rsid w:val="004C454C"/>
    <w:rsid w:val="004C4874"/>
    <w:rsid w:val="004C7E32"/>
    <w:rsid w:val="004D1ADB"/>
    <w:rsid w:val="004D3B1E"/>
    <w:rsid w:val="004D6B5C"/>
    <w:rsid w:val="004E0F04"/>
    <w:rsid w:val="004E4541"/>
    <w:rsid w:val="004F7A66"/>
    <w:rsid w:val="00503607"/>
    <w:rsid w:val="00510E45"/>
    <w:rsid w:val="0052204A"/>
    <w:rsid w:val="00553FDD"/>
    <w:rsid w:val="00565B65"/>
    <w:rsid w:val="0057542B"/>
    <w:rsid w:val="0057721E"/>
    <w:rsid w:val="00590A30"/>
    <w:rsid w:val="005952A8"/>
    <w:rsid w:val="005A1BD0"/>
    <w:rsid w:val="005A4CC2"/>
    <w:rsid w:val="005B5FA0"/>
    <w:rsid w:val="005B6EF9"/>
    <w:rsid w:val="005C4DCE"/>
    <w:rsid w:val="005F3650"/>
    <w:rsid w:val="00615912"/>
    <w:rsid w:val="00644CF0"/>
    <w:rsid w:val="00657F63"/>
    <w:rsid w:val="006A3666"/>
    <w:rsid w:val="006C4309"/>
    <w:rsid w:val="006C4B03"/>
    <w:rsid w:val="006F01C3"/>
    <w:rsid w:val="00704590"/>
    <w:rsid w:val="00712F0B"/>
    <w:rsid w:val="00717B6C"/>
    <w:rsid w:val="007478C2"/>
    <w:rsid w:val="00753527"/>
    <w:rsid w:val="00766F65"/>
    <w:rsid w:val="00772CB5"/>
    <w:rsid w:val="00777B98"/>
    <w:rsid w:val="00784D18"/>
    <w:rsid w:val="00791926"/>
    <w:rsid w:val="00791AD6"/>
    <w:rsid w:val="007B7167"/>
    <w:rsid w:val="007D08D7"/>
    <w:rsid w:val="007D5FFC"/>
    <w:rsid w:val="007D7EEF"/>
    <w:rsid w:val="007E0131"/>
    <w:rsid w:val="007E5B69"/>
    <w:rsid w:val="007E7B16"/>
    <w:rsid w:val="007F1E94"/>
    <w:rsid w:val="007F793A"/>
    <w:rsid w:val="00811712"/>
    <w:rsid w:val="00815B5E"/>
    <w:rsid w:val="00840BF7"/>
    <w:rsid w:val="0084162F"/>
    <w:rsid w:val="008421B4"/>
    <w:rsid w:val="00861795"/>
    <w:rsid w:val="0089435E"/>
    <w:rsid w:val="00895BA1"/>
    <w:rsid w:val="008A139B"/>
    <w:rsid w:val="008A4266"/>
    <w:rsid w:val="008D506C"/>
    <w:rsid w:val="008F503B"/>
    <w:rsid w:val="009011B5"/>
    <w:rsid w:val="00905A10"/>
    <w:rsid w:val="00921BFE"/>
    <w:rsid w:val="00922C43"/>
    <w:rsid w:val="0092590D"/>
    <w:rsid w:val="009350BD"/>
    <w:rsid w:val="00946579"/>
    <w:rsid w:val="00957D99"/>
    <w:rsid w:val="00976288"/>
    <w:rsid w:val="0098061D"/>
    <w:rsid w:val="00985A75"/>
    <w:rsid w:val="00993157"/>
    <w:rsid w:val="009A2384"/>
    <w:rsid w:val="009B1AE6"/>
    <w:rsid w:val="009B315B"/>
    <w:rsid w:val="009C0B5E"/>
    <w:rsid w:val="009C3159"/>
    <w:rsid w:val="009C7AB7"/>
    <w:rsid w:val="009E1A6C"/>
    <w:rsid w:val="00A04B82"/>
    <w:rsid w:val="00A217DA"/>
    <w:rsid w:val="00A24A43"/>
    <w:rsid w:val="00A567A0"/>
    <w:rsid w:val="00A67B2E"/>
    <w:rsid w:val="00A728AC"/>
    <w:rsid w:val="00AA6E72"/>
    <w:rsid w:val="00AA7596"/>
    <w:rsid w:val="00AB3425"/>
    <w:rsid w:val="00AB3C8D"/>
    <w:rsid w:val="00AB686C"/>
    <w:rsid w:val="00AD5A6C"/>
    <w:rsid w:val="00AE1E65"/>
    <w:rsid w:val="00B035EF"/>
    <w:rsid w:val="00B06083"/>
    <w:rsid w:val="00B1271A"/>
    <w:rsid w:val="00B359D9"/>
    <w:rsid w:val="00B3644A"/>
    <w:rsid w:val="00B3749C"/>
    <w:rsid w:val="00B55073"/>
    <w:rsid w:val="00B633A8"/>
    <w:rsid w:val="00B75A7A"/>
    <w:rsid w:val="00B7619D"/>
    <w:rsid w:val="00B85F08"/>
    <w:rsid w:val="00B866A0"/>
    <w:rsid w:val="00BA4FC8"/>
    <w:rsid w:val="00BD03D8"/>
    <w:rsid w:val="00BE1303"/>
    <w:rsid w:val="00BF41C4"/>
    <w:rsid w:val="00C00343"/>
    <w:rsid w:val="00C16EBB"/>
    <w:rsid w:val="00C30238"/>
    <w:rsid w:val="00C310F9"/>
    <w:rsid w:val="00C31532"/>
    <w:rsid w:val="00C5158D"/>
    <w:rsid w:val="00C66F88"/>
    <w:rsid w:val="00CA54E6"/>
    <w:rsid w:val="00CF4693"/>
    <w:rsid w:val="00D046CB"/>
    <w:rsid w:val="00D37565"/>
    <w:rsid w:val="00D767E2"/>
    <w:rsid w:val="00D82F25"/>
    <w:rsid w:val="00D87C54"/>
    <w:rsid w:val="00D96A69"/>
    <w:rsid w:val="00DA0A05"/>
    <w:rsid w:val="00DB1234"/>
    <w:rsid w:val="00DE2CEE"/>
    <w:rsid w:val="00E037F1"/>
    <w:rsid w:val="00E278BB"/>
    <w:rsid w:val="00E456D1"/>
    <w:rsid w:val="00E5209D"/>
    <w:rsid w:val="00E57DC0"/>
    <w:rsid w:val="00E834B2"/>
    <w:rsid w:val="00EB2C08"/>
    <w:rsid w:val="00EC0DF5"/>
    <w:rsid w:val="00ED510A"/>
    <w:rsid w:val="00EF1667"/>
    <w:rsid w:val="00EF1A96"/>
    <w:rsid w:val="00EF76FC"/>
    <w:rsid w:val="00F076FE"/>
    <w:rsid w:val="00F101AE"/>
    <w:rsid w:val="00F161FE"/>
    <w:rsid w:val="00F17510"/>
    <w:rsid w:val="00F356CE"/>
    <w:rsid w:val="00F50EDE"/>
    <w:rsid w:val="00F51AB0"/>
    <w:rsid w:val="00F829F6"/>
    <w:rsid w:val="00F86ACB"/>
    <w:rsid w:val="00F90256"/>
    <w:rsid w:val="00F94F66"/>
    <w:rsid w:val="00FA34EF"/>
    <w:rsid w:val="00FA616B"/>
    <w:rsid w:val="00FC2898"/>
    <w:rsid w:val="00FC5565"/>
    <w:rsid w:val="00FE1EA8"/>
    <w:rsid w:val="00FE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B3DA"/>
  <w15:chartTrackingRefBased/>
  <w15:docId w15:val="{D5893C22-4FC7-4FCE-A502-7EEFADC7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327"/>
  </w:style>
  <w:style w:type="paragraph" w:styleId="Footer">
    <w:name w:val="footer"/>
    <w:basedOn w:val="Normal"/>
    <w:link w:val="FooterChar"/>
    <w:uiPriority w:val="99"/>
    <w:unhideWhenUsed/>
    <w:rsid w:val="002C3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327"/>
  </w:style>
  <w:style w:type="character" w:customStyle="1" w:styleId="normaltextrun">
    <w:name w:val="normaltextrun"/>
    <w:basedOn w:val="DefaultParagraphFont"/>
    <w:rsid w:val="00957D99"/>
  </w:style>
  <w:style w:type="paragraph" w:styleId="ListParagraph">
    <w:name w:val="List Paragraph"/>
    <w:basedOn w:val="Normal"/>
    <w:uiPriority w:val="34"/>
    <w:qFormat/>
    <w:rsid w:val="007F793A"/>
    <w:pPr>
      <w:ind w:left="720"/>
      <w:contextualSpacing/>
    </w:pPr>
  </w:style>
  <w:style w:type="paragraph" w:styleId="Revision">
    <w:name w:val="Revision"/>
    <w:hidden/>
    <w:uiPriority w:val="99"/>
    <w:semiHidden/>
    <w:rsid w:val="00AB3C8D"/>
    <w:pPr>
      <w:spacing w:after="0" w:line="240" w:lineRule="auto"/>
    </w:pPr>
  </w:style>
  <w:style w:type="character" w:styleId="Hyperlink">
    <w:name w:val="Hyperlink"/>
    <w:basedOn w:val="DefaultParagraphFont"/>
    <w:uiPriority w:val="99"/>
    <w:unhideWhenUsed/>
    <w:rsid w:val="00435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1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wilson@jec.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D11F1F9F1C5488BA372DAF65859FD" ma:contentTypeVersion="18" ma:contentTypeDescription="Create a new document." ma:contentTypeScope="" ma:versionID="5ee06e226664959cf6ae17580a3e5e90">
  <xsd:schema xmlns:xsd="http://www.w3.org/2001/XMLSchema" xmlns:xs="http://www.w3.org/2001/XMLSchema" xmlns:p="http://schemas.microsoft.com/office/2006/metadata/properties" xmlns:ns2="14b0f549-c752-4369-88a5-b7b55505f00e" xmlns:ns3="c06ab4ab-afe8-490e-b3f7-b79f35b44fa5" targetNamespace="http://schemas.microsoft.com/office/2006/metadata/properties" ma:root="true" ma:fieldsID="5fb9de8ac8edd2c8d59b0983560e8eba" ns2:_="" ns3:_="">
    <xsd:import namespace="14b0f549-c752-4369-88a5-b7b55505f00e"/>
    <xsd:import namespace="c06ab4ab-afe8-490e-b3f7-b79f35b44f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0f549-c752-4369-88a5-b7b55505f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26181d-148a-48bf-b178-67f6b73bb7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ab4ab-afe8-490e-b3f7-b79f35b44f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a7565b-3a77-42ac-9c81-3e7389c7c4ce}" ma:internalName="TaxCatchAll" ma:showField="CatchAllData" ma:web="c06ab4ab-afe8-490e-b3f7-b79f35b44f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b0f549-c752-4369-88a5-b7b55505f00e">
      <Terms xmlns="http://schemas.microsoft.com/office/infopath/2007/PartnerControls"/>
    </lcf76f155ced4ddcb4097134ff3c332f>
    <TaxCatchAll xmlns="c06ab4ab-afe8-490e-b3f7-b79f35b44fa5" xsi:nil="true"/>
  </documentManagement>
</p:properties>
</file>

<file path=customXml/itemProps1.xml><?xml version="1.0" encoding="utf-8"?>
<ds:datastoreItem xmlns:ds="http://schemas.openxmlformats.org/officeDocument/2006/customXml" ds:itemID="{18B6B792-68C4-4944-9A75-F77F6ED42634}"/>
</file>

<file path=customXml/itemProps2.xml><?xml version="1.0" encoding="utf-8"?>
<ds:datastoreItem xmlns:ds="http://schemas.openxmlformats.org/officeDocument/2006/customXml" ds:itemID="{26F47B11-7830-4CD1-94A1-A5A41F5FBC7E}">
  <ds:schemaRefs>
    <ds:schemaRef ds:uri="http://schemas.microsoft.com/sharepoint/v3/contenttype/forms"/>
  </ds:schemaRefs>
</ds:datastoreItem>
</file>

<file path=customXml/itemProps3.xml><?xml version="1.0" encoding="utf-8"?>
<ds:datastoreItem xmlns:ds="http://schemas.openxmlformats.org/officeDocument/2006/customXml" ds:itemID="{548334F5-EDC8-41AD-9587-E4C1EA184326}">
  <ds:schemaRefs>
    <ds:schemaRef ds:uri="http://schemas.openxmlformats.org/officeDocument/2006/bibliography"/>
  </ds:schemaRefs>
</ds:datastoreItem>
</file>

<file path=customXml/itemProps4.xml><?xml version="1.0" encoding="utf-8"?>
<ds:datastoreItem xmlns:ds="http://schemas.openxmlformats.org/officeDocument/2006/customXml" ds:itemID="{986852D4-6781-405D-8472-0C478B84E844}">
  <ds:schemaRefs>
    <ds:schemaRef ds:uri="http://schemas.microsoft.com/office/2006/metadata/properties"/>
    <ds:schemaRef ds:uri="http://schemas.microsoft.com/office/infopath/2007/PartnerControls"/>
    <ds:schemaRef ds:uri="14b0f549-c752-4369-88a5-b7b55505f00e"/>
    <ds:schemaRef ds:uri="c06ab4ab-afe8-490e-b3f7-b79f35b44fa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Elstone</dc:creator>
  <cp:keywords/>
  <dc:description/>
  <cp:lastModifiedBy>Fiona Wilson</cp:lastModifiedBy>
  <cp:revision>15</cp:revision>
  <dcterms:created xsi:type="dcterms:W3CDTF">2024-03-05T16:31:00Z</dcterms:created>
  <dcterms:modified xsi:type="dcterms:W3CDTF">2024-03-05T16:48:00Z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0x0101009ECD11F1F9F1C5488BA372DAF65859FD</vt:lpwstr>
  </property>
  <property fmtid="{D5CDD505-2E9C-101B-9397-08002B2CF9AE}" pid="3" name="MediaServiceImageTags">
    <vt:lpwstr/>
  </property>
</Properties>
</file>