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Rangedleft"/>
        <w:tblW w:w="0" w:type="auto"/>
        <w:tblLook w:val="04A0" w:firstRow="1" w:lastRow="0" w:firstColumn="1" w:lastColumn="0" w:noHBand="0" w:noVBand="1"/>
      </w:tblPr>
      <w:tblGrid>
        <w:gridCol w:w="7304"/>
        <w:gridCol w:w="2328"/>
      </w:tblGrid>
      <w:tr w:rsidR="008A5082" w:rsidRPr="00811BA1" w14:paraId="2ACDAA88" w14:textId="77777777">
        <w:tc>
          <w:tcPr>
            <w:tcW w:w="7479" w:type="dxa"/>
          </w:tcPr>
          <w:p w14:paraId="4DE68AE4" w14:textId="5B779E48" w:rsidR="008A5082" w:rsidRPr="00811BA1" w:rsidRDefault="008A5082" w:rsidP="00EB7E49">
            <w:pPr>
              <w:pStyle w:val="Heading2"/>
            </w:pPr>
            <w:bookmarkStart w:id="0" w:name="_Hlk37771211"/>
            <w:r w:rsidRPr="00811BA1">
              <w:t>Annual Report and Financial Statements</w:t>
            </w:r>
          </w:p>
          <w:p w14:paraId="206B3B93" w14:textId="5CA6DEFF" w:rsidR="008A5082" w:rsidRPr="00811BA1" w:rsidRDefault="008A5082" w:rsidP="00EB7E49">
            <w:pPr>
              <w:pStyle w:val="Heading2"/>
              <w:rPr>
                <w:b w:val="0"/>
              </w:rPr>
            </w:pPr>
            <w:r w:rsidRPr="00811BA1">
              <w:rPr>
                <w:b w:val="0"/>
              </w:rPr>
              <w:t xml:space="preserve">for the </w:t>
            </w:r>
            <w:r w:rsidR="003E1B08" w:rsidRPr="00811BA1">
              <w:rPr>
                <w:b w:val="0"/>
              </w:rPr>
              <w:t>year</w:t>
            </w:r>
            <w:r w:rsidRPr="00811BA1">
              <w:rPr>
                <w:b w:val="0"/>
              </w:rPr>
              <w:t xml:space="preserve"> ended 31 December 201</w:t>
            </w:r>
            <w:r w:rsidR="008F3390">
              <w:rPr>
                <w:b w:val="0"/>
              </w:rPr>
              <w:t>9</w:t>
            </w:r>
          </w:p>
          <w:p w14:paraId="4CD93BB6" w14:textId="77777777" w:rsidR="008A5082" w:rsidRPr="00811BA1" w:rsidRDefault="008A5082" w:rsidP="00EB7E49">
            <w:pPr>
              <w:pStyle w:val="Pulloutcaption"/>
            </w:pPr>
          </w:p>
          <w:p w14:paraId="44D48FA1" w14:textId="77777777" w:rsidR="008A5082" w:rsidRPr="00811BA1" w:rsidRDefault="008A5082" w:rsidP="00EB7E49">
            <w:pPr>
              <w:pStyle w:val="Pulloutcaption"/>
            </w:pPr>
          </w:p>
          <w:p w14:paraId="2996FD83" w14:textId="77777777" w:rsidR="008A5082" w:rsidRPr="00811BA1" w:rsidRDefault="008A5082" w:rsidP="00EB7E49"/>
          <w:p w14:paraId="20886541" w14:textId="77777777" w:rsidR="008A5082" w:rsidRPr="00811BA1" w:rsidRDefault="008A5082" w:rsidP="00EB7E49">
            <w:pPr>
              <w:pStyle w:val="Pulloutcaption"/>
            </w:pPr>
            <w:r w:rsidRPr="00811BA1">
              <w:t>A focus on long-term capital growth</w:t>
            </w:r>
          </w:p>
        </w:tc>
        <w:tc>
          <w:tcPr>
            <w:tcW w:w="2368" w:type="dxa"/>
          </w:tcPr>
          <w:p w14:paraId="1A3E93FB" w14:textId="393B241C" w:rsidR="008A5082" w:rsidRPr="00811BA1" w:rsidRDefault="008A5082" w:rsidP="00EB7E49">
            <w:r w:rsidRPr="00811BA1">
              <w:t xml:space="preserve">Riverstone </w:t>
            </w:r>
          </w:p>
          <w:p w14:paraId="6DBFCF8F" w14:textId="77777777" w:rsidR="008A5082" w:rsidRPr="00811BA1" w:rsidRDefault="008A5082" w:rsidP="00EB7E49">
            <w:r w:rsidRPr="00811BA1">
              <w:t xml:space="preserve">Energy </w:t>
            </w:r>
          </w:p>
          <w:p w14:paraId="728A96CF" w14:textId="77777777" w:rsidR="008A5082" w:rsidRPr="00811BA1" w:rsidRDefault="008A5082" w:rsidP="00EB7E49">
            <w:r w:rsidRPr="00811BA1">
              <w:t>Limited</w:t>
            </w:r>
          </w:p>
          <w:p w14:paraId="49C878C3" w14:textId="77777777" w:rsidR="008A5082" w:rsidRPr="00811BA1" w:rsidRDefault="008A5082" w:rsidP="00EB7E49">
            <w:r w:rsidRPr="00811BA1">
              <w:t>(LSE: RSE)</w:t>
            </w:r>
          </w:p>
        </w:tc>
      </w:tr>
    </w:tbl>
    <w:p w14:paraId="2F13E725" w14:textId="77777777" w:rsidR="008A5082" w:rsidRPr="00811BA1" w:rsidRDefault="008A5082" w:rsidP="00EB7E49">
      <w:pPr>
        <w:pStyle w:val="Bodytext"/>
      </w:pPr>
    </w:p>
    <w:p w14:paraId="26923A48" w14:textId="77777777" w:rsidR="008A5082" w:rsidRPr="00811BA1" w:rsidRDefault="008A5082" w:rsidP="00EB7E49">
      <w:pPr>
        <w:pStyle w:val="Bodytext"/>
      </w:pPr>
    </w:p>
    <w:p w14:paraId="52D292EE" w14:textId="77777777" w:rsidR="00097732" w:rsidRPr="00811BA1" w:rsidRDefault="00097732" w:rsidP="00EB7E49">
      <w:pPr>
        <w:pStyle w:val="Heading1"/>
      </w:pPr>
      <w:r w:rsidRPr="00811BA1">
        <w:t>Who We Are…</w:t>
      </w:r>
    </w:p>
    <w:p w14:paraId="735B85D5" w14:textId="77777777" w:rsidR="00097732" w:rsidRPr="00811BA1" w:rsidRDefault="00097732" w:rsidP="00EB7E49">
      <w:pPr>
        <w:pStyle w:val="Bodytext"/>
      </w:pPr>
    </w:p>
    <w:p w14:paraId="192A2043" w14:textId="77777777" w:rsidR="00097732" w:rsidRPr="00811BA1" w:rsidRDefault="00097732" w:rsidP="00EB7E49">
      <w:pPr>
        <w:pStyle w:val="Heading2"/>
      </w:pPr>
      <w:r w:rsidRPr="00811BA1">
        <w:t>Riverstone Energy Limited</w:t>
      </w:r>
    </w:p>
    <w:p w14:paraId="002462C4" w14:textId="77777777" w:rsidR="00097732" w:rsidRPr="00811BA1" w:rsidRDefault="00097732" w:rsidP="00EB7E49">
      <w:pPr>
        <w:pStyle w:val="Bodytext"/>
      </w:pPr>
    </w:p>
    <w:p w14:paraId="3B2866CC" w14:textId="77777777" w:rsidR="006B20FF" w:rsidRPr="00811BA1" w:rsidRDefault="006B20FF" w:rsidP="006B20FF">
      <w:pPr>
        <w:pStyle w:val="Bodytext"/>
      </w:pPr>
    </w:p>
    <w:p w14:paraId="17FC777B" w14:textId="77777777" w:rsidR="006B20FF" w:rsidRPr="003C6765" w:rsidRDefault="006B20FF" w:rsidP="00397967">
      <w:pPr>
        <w:pStyle w:val="Bodytext"/>
        <w:jc w:val="both"/>
      </w:pPr>
      <w:r w:rsidRPr="003C6765">
        <w:t>The Company’s investment manager is Riverstone International Limited, which is majority-owned and controlled by affiliates of Riverstone.</w:t>
      </w:r>
    </w:p>
    <w:p w14:paraId="45D5EE6B" w14:textId="77777777" w:rsidR="006B20FF" w:rsidRDefault="006B20FF" w:rsidP="00397967">
      <w:pPr>
        <w:pStyle w:val="Bodytext"/>
        <w:jc w:val="both"/>
      </w:pPr>
    </w:p>
    <w:p w14:paraId="278048D0" w14:textId="29C84977" w:rsidR="006B20FF" w:rsidRPr="003C6765" w:rsidRDefault="006B20FF" w:rsidP="00397967">
      <w:pPr>
        <w:pStyle w:val="Bodytext"/>
        <w:jc w:val="both"/>
      </w:pPr>
      <w:r w:rsidRPr="003C6765">
        <w:rPr>
          <w:rFonts w:eastAsia="Times New Roman" w:cs="Times New Roman"/>
        </w:rPr>
        <w:t xml:space="preserve">Riverstone is an energy and power-focussed private investment firm founded in 2000 by David M. Leuschen and Pierre F. Lapeyre with </w:t>
      </w:r>
      <w:r>
        <w:rPr>
          <w:rFonts w:eastAsia="Times New Roman" w:cs="Times New Roman"/>
        </w:rPr>
        <w:t>approximately</w:t>
      </w:r>
      <w:r w:rsidRPr="003C6765">
        <w:rPr>
          <w:rFonts w:eastAsia="Times New Roman" w:cs="Times New Roman"/>
        </w:rPr>
        <w:t xml:space="preserve"> $</w:t>
      </w:r>
      <w:r w:rsidR="00017AAB">
        <w:t>40</w:t>
      </w:r>
      <w:r w:rsidRPr="003C6765">
        <w:rPr>
          <w:rFonts w:eastAsia="Times New Roman" w:cs="Times New Roman"/>
        </w:rPr>
        <w:t xml:space="preserve"> billion of capital raised. Riverstone conducts </w:t>
      </w:r>
      <w:r w:rsidR="00481B35">
        <w:rPr>
          <w:rFonts w:eastAsia="Times New Roman" w:cs="Times New Roman"/>
        </w:rPr>
        <w:t xml:space="preserve">private equity and credit </w:t>
      </w:r>
      <w:r w:rsidRPr="003C6765">
        <w:rPr>
          <w:rFonts w:eastAsia="Times New Roman" w:cs="Times New Roman"/>
        </w:rPr>
        <w:t>investments in the E&amp;P, midstream, oilfield services, power and renewable sectors of the global energy industry. With offices in New York, London, Houston</w:t>
      </w:r>
      <w:r>
        <w:rPr>
          <w:rFonts w:eastAsia="Times New Roman" w:cs="Times New Roman"/>
        </w:rPr>
        <w:t xml:space="preserve">, </w:t>
      </w:r>
      <w:r w:rsidRPr="003C6765">
        <w:rPr>
          <w:rFonts w:eastAsia="Times New Roman" w:cs="Times New Roman"/>
        </w:rPr>
        <w:t>Mexico City</w:t>
      </w:r>
      <w:r>
        <w:rPr>
          <w:rFonts w:eastAsia="Times New Roman" w:cs="Times New Roman"/>
        </w:rPr>
        <w:t xml:space="preserve"> and Amsterdam</w:t>
      </w:r>
      <w:r w:rsidRPr="003C6765">
        <w:rPr>
          <w:rFonts w:eastAsia="Times New Roman" w:cs="Times New Roman"/>
        </w:rPr>
        <w:t xml:space="preserve">, the firm has committed </w:t>
      </w:r>
      <w:r>
        <w:rPr>
          <w:rFonts w:eastAsia="Times New Roman" w:cs="Times New Roman"/>
        </w:rPr>
        <w:t>approximately</w:t>
      </w:r>
      <w:r w:rsidRPr="003C6765">
        <w:rPr>
          <w:rFonts w:eastAsia="Times New Roman" w:cs="Times New Roman"/>
        </w:rPr>
        <w:t xml:space="preserve"> $</w:t>
      </w:r>
      <w:r w:rsidR="00926940">
        <w:t>40</w:t>
      </w:r>
      <w:r w:rsidRPr="003C6765">
        <w:rPr>
          <w:rFonts w:eastAsia="Times New Roman" w:cs="Times New Roman"/>
        </w:rPr>
        <w:t xml:space="preserve"> billion to </w:t>
      </w:r>
      <w:r w:rsidR="00C306CA">
        <w:rPr>
          <w:rFonts w:eastAsia="Times New Roman" w:cs="Times New Roman"/>
        </w:rPr>
        <w:t xml:space="preserve">over </w:t>
      </w:r>
      <w:r>
        <w:rPr>
          <w:rFonts w:eastAsia="Times New Roman" w:cs="Times New Roman"/>
        </w:rPr>
        <w:t>18</w:t>
      </w:r>
      <w:r w:rsidR="00C306CA">
        <w:rPr>
          <w:rFonts w:eastAsia="Times New Roman" w:cs="Times New Roman"/>
        </w:rPr>
        <w:t>5</w:t>
      </w:r>
      <w:r>
        <w:rPr>
          <w:rFonts w:eastAsia="Times New Roman" w:cs="Times New Roman"/>
        </w:rPr>
        <w:t xml:space="preserve"> </w:t>
      </w:r>
      <w:r w:rsidRPr="003C6765">
        <w:rPr>
          <w:rFonts w:eastAsia="Times New Roman" w:cs="Times New Roman"/>
        </w:rPr>
        <w:t xml:space="preserve">investments in North America, </w:t>
      </w:r>
      <w:r>
        <w:rPr>
          <w:rFonts w:eastAsia="Times New Roman" w:cs="Times New Roman"/>
        </w:rPr>
        <w:t>South</w:t>
      </w:r>
      <w:r w:rsidRPr="003C6765">
        <w:rPr>
          <w:rFonts w:eastAsia="Times New Roman" w:cs="Times New Roman"/>
        </w:rPr>
        <w:t xml:space="preserve"> America, Europe, Africa, Asia and Australia.</w:t>
      </w:r>
    </w:p>
    <w:p w14:paraId="72C5C0BF" w14:textId="77777777" w:rsidR="006B20FF" w:rsidRDefault="006B20FF" w:rsidP="00397967">
      <w:pPr>
        <w:pStyle w:val="Bodytext"/>
        <w:jc w:val="both"/>
      </w:pPr>
    </w:p>
    <w:p w14:paraId="4C9613D2" w14:textId="0E0718C8" w:rsidR="00097732" w:rsidRPr="003C6765" w:rsidRDefault="00097732" w:rsidP="00397967">
      <w:pPr>
        <w:pStyle w:val="Bodytext"/>
        <w:jc w:val="both"/>
      </w:pPr>
      <w:r w:rsidRPr="00811BA1">
        <w:t xml:space="preserve">Riverstone Energy Limited seeks to achieve superior risk adjusted returns through investing in the energy sector. The energy sector is global and a significant component of virtually all major economies. </w:t>
      </w:r>
      <w:r w:rsidR="001E2510">
        <w:t>Long</w:t>
      </w:r>
      <w:r w:rsidR="0090070C">
        <w:t>-</w:t>
      </w:r>
      <w:r w:rsidR="001E2510">
        <w:t>term</w:t>
      </w:r>
      <w:r w:rsidRPr="00811BA1">
        <w:t xml:space="preserve"> market drivers of economic expansion, population growth, development of markets, deregulation and privatisation will continue to create opportunities globally for investors in energy.</w:t>
      </w:r>
    </w:p>
    <w:p w14:paraId="29365888" w14:textId="77777777" w:rsidR="00097732" w:rsidRPr="003C6765" w:rsidRDefault="00097732" w:rsidP="00397967">
      <w:pPr>
        <w:pStyle w:val="Bodytext"/>
        <w:jc w:val="both"/>
      </w:pPr>
    </w:p>
    <w:p w14:paraId="5FFD9B54" w14:textId="39382B8B" w:rsidR="00397967" w:rsidRPr="00397967" w:rsidRDefault="00D43624" w:rsidP="00397967">
      <w:pPr>
        <w:pStyle w:val="Bodytext"/>
        <w:jc w:val="both"/>
      </w:pPr>
      <w:r w:rsidRPr="006A4CA2">
        <w:t xml:space="preserve">With effect from 29 April 2019, </w:t>
      </w:r>
      <w:r>
        <w:t xml:space="preserve">the </w:t>
      </w:r>
      <w:r w:rsidR="00097732" w:rsidRPr="003C6765">
        <w:t xml:space="preserve">registered office of the Company is </w:t>
      </w:r>
      <w:r w:rsidR="008F3390" w:rsidRPr="008F3390">
        <w:t>PO Box 286, Floor 2, Trafalgar Court, Les Banques, St Peter Port, Guernsey, GY1 4LY.</w:t>
      </w:r>
    </w:p>
    <w:p w14:paraId="3A719BCC" w14:textId="79D9C1B3" w:rsidR="00097732" w:rsidRDefault="00097732" w:rsidP="00397967">
      <w:pPr>
        <w:pStyle w:val="Heading1"/>
        <w:tabs>
          <w:tab w:val="left" w:pos="1032"/>
        </w:tabs>
      </w:pPr>
      <w:r w:rsidRPr="00811BA1">
        <w:t>Financial and Operational Highlights</w:t>
      </w:r>
      <w:r w:rsidR="00AB45BF" w:rsidRPr="00AB45BF">
        <w:rPr>
          <w:vertAlign w:val="superscript"/>
        </w:rPr>
        <w:t>(1)</w:t>
      </w:r>
    </w:p>
    <w:p w14:paraId="6C857FB0" w14:textId="77777777" w:rsidR="0053228B" w:rsidRPr="0053228B" w:rsidRDefault="0053228B" w:rsidP="0053228B"/>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6056"/>
      </w:tblGrid>
      <w:tr w:rsidR="00184565" w:rsidRPr="00035261" w14:paraId="0C907822" w14:textId="77777777" w:rsidTr="006B20FF">
        <w:tc>
          <w:tcPr>
            <w:tcW w:w="3576" w:type="dxa"/>
          </w:tcPr>
          <w:p w14:paraId="7761A7FE" w14:textId="77777777" w:rsidR="00184565" w:rsidRPr="00035261" w:rsidRDefault="00184565" w:rsidP="00184565">
            <w:pPr>
              <w:rPr>
                <w:rFonts w:ascii="Arial" w:hAnsi="Arial" w:cs="Arial"/>
              </w:rPr>
            </w:pPr>
            <w:r>
              <w:rPr>
                <w:rFonts w:ascii="Arial" w:hAnsi="Arial" w:cs="Arial"/>
              </w:rPr>
              <w:t xml:space="preserve">Net </w:t>
            </w:r>
            <w:r w:rsidRPr="00035261">
              <w:rPr>
                <w:rFonts w:ascii="Arial" w:hAnsi="Arial" w:cs="Arial"/>
              </w:rPr>
              <w:t>Committed Capital to Date</w:t>
            </w:r>
          </w:p>
        </w:tc>
        <w:tc>
          <w:tcPr>
            <w:tcW w:w="6056" w:type="dxa"/>
          </w:tcPr>
          <w:p w14:paraId="7876BDF2" w14:textId="6C0C7359" w:rsidR="00184565" w:rsidRPr="00CE2C17" w:rsidRDefault="00184565" w:rsidP="00184565">
            <w:pPr>
              <w:rPr>
                <w:rFonts w:ascii="Arial" w:hAnsi="Arial" w:cs="Arial"/>
              </w:rPr>
            </w:pPr>
            <w:r w:rsidRPr="00CE2C17">
              <w:rPr>
                <w:rFonts w:ascii="Arial" w:hAnsi="Arial" w:cs="Arial"/>
              </w:rPr>
              <w:t>$</w:t>
            </w:r>
            <w:r w:rsidR="00576A31">
              <w:rPr>
                <w:rFonts w:ascii="Arial" w:hAnsi="Arial" w:cs="Arial"/>
              </w:rPr>
              <w:t>1,219</w:t>
            </w:r>
            <w:r w:rsidR="00DA1357">
              <w:rPr>
                <w:rFonts w:ascii="Arial" w:hAnsi="Arial" w:cs="Arial"/>
              </w:rPr>
              <w:t xml:space="preserve"> </w:t>
            </w:r>
            <w:r w:rsidRPr="00CE2C17">
              <w:rPr>
                <w:rFonts w:ascii="Arial" w:hAnsi="Arial" w:cs="Arial"/>
              </w:rPr>
              <w:t>million</w:t>
            </w:r>
            <w:r w:rsidR="003202FF" w:rsidRPr="003202FF">
              <w:rPr>
                <w:rFonts w:ascii="Arial" w:hAnsi="Arial" w:cs="Arial"/>
                <w:vertAlign w:val="superscript"/>
              </w:rPr>
              <w:t>(</w:t>
            </w:r>
            <w:r w:rsidR="003202FF">
              <w:rPr>
                <w:rFonts w:ascii="Arial" w:hAnsi="Arial" w:cs="Arial"/>
                <w:vertAlign w:val="superscript"/>
              </w:rPr>
              <w:t>2</w:t>
            </w:r>
            <w:r w:rsidR="003202FF" w:rsidRPr="003202FF">
              <w:rPr>
                <w:rFonts w:ascii="Arial" w:hAnsi="Arial" w:cs="Arial"/>
                <w:vertAlign w:val="superscript"/>
              </w:rPr>
              <w:t>)</w:t>
            </w:r>
            <w:r w:rsidR="004D7780">
              <w:rPr>
                <w:rFonts w:ascii="Arial" w:hAnsi="Arial" w:cs="Arial"/>
              </w:rPr>
              <w:t xml:space="preserve"> </w:t>
            </w:r>
            <w:r w:rsidRPr="00CE2C17">
              <w:rPr>
                <w:rFonts w:ascii="Arial" w:hAnsi="Arial" w:cs="Arial"/>
              </w:rPr>
              <w:t xml:space="preserve">/ </w:t>
            </w:r>
            <w:r w:rsidR="00576A31">
              <w:rPr>
                <w:rFonts w:ascii="Arial" w:hAnsi="Arial" w:cs="Arial"/>
              </w:rPr>
              <w:t>10</w:t>
            </w:r>
            <w:r w:rsidR="00926940">
              <w:rPr>
                <w:rFonts w:ascii="Arial" w:hAnsi="Arial" w:cs="Arial"/>
              </w:rPr>
              <w:t>3</w:t>
            </w:r>
            <w:r w:rsidR="007E61F2" w:rsidRPr="00CE2C17">
              <w:rPr>
                <w:rFonts w:ascii="Arial" w:hAnsi="Arial" w:cs="Arial"/>
              </w:rPr>
              <w:t xml:space="preserve"> </w:t>
            </w:r>
            <w:r w:rsidRPr="00CE2C17">
              <w:rPr>
                <w:rFonts w:ascii="Arial" w:hAnsi="Arial" w:cs="Arial"/>
              </w:rPr>
              <w:t>per cent. of net capital available</w:t>
            </w:r>
            <w:r w:rsidRPr="00CE2C17">
              <w:rPr>
                <w:rFonts w:ascii="Arial" w:hAnsi="Arial" w:cs="Arial"/>
                <w:vertAlign w:val="superscript"/>
              </w:rPr>
              <w:t>(</w:t>
            </w:r>
            <w:r w:rsidR="00F64F30">
              <w:rPr>
                <w:rFonts w:ascii="Arial" w:hAnsi="Arial" w:cs="Arial"/>
                <w:vertAlign w:val="superscript"/>
              </w:rPr>
              <w:t>3</w:t>
            </w:r>
            <w:r w:rsidRPr="00CE2C17">
              <w:rPr>
                <w:rFonts w:ascii="Arial" w:hAnsi="Arial" w:cs="Arial"/>
                <w:vertAlign w:val="superscript"/>
              </w:rPr>
              <w:t>)</w:t>
            </w:r>
          </w:p>
          <w:p w14:paraId="7E61E4B9" w14:textId="77777777" w:rsidR="00184565" w:rsidRPr="00CE2C17" w:rsidRDefault="00184565" w:rsidP="00184565">
            <w:pPr>
              <w:rPr>
                <w:rFonts w:ascii="Arial" w:hAnsi="Arial" w:cs="Arial"/>
              </w:rPr>
            </w:pPr>
          </w:p>
        </w:tc>
      </w:tr>
      <w:tr w:rsidR="006B20FF" w:rsidRPr="00035261" w14:paraId="38A2F7E2" w14:textId="77777777" w:rsidTr="006B20FF">
        <w:trPr>
          <w:trHeight w:val="850"/>
        </w:trPr>
        <w:tc>
          <w:tcPr>
            <w:tcW w:w="3576" w:type="dxa"/>
          </w:tcPr>
          <w:p w14:paraId="12C56118" w14:textId="74B1B4A7" w:rsidR="006B20FF" w:rsidRPr="00035261" w:rsidRDefault="006B20FF" w:rsidP="006B20FF">
            <w:pPr>
              <w:rPr>
                <w:rFonts w:ascii="Arial" w:hAnsi="Arial" w:cs="Arial"/>
              </w:rPr>
            </w:pPr>
            <w:r>
              <w:rPr>
                <w:rFonts w:ascii="Arial" w:hAnsi="Arial" w:cs="Arial"/>
              </w:rPr>
              <w:t>C</w:t>
            </w:r>
            <w:r w:rsidRPr="00035261">
              <w:rPr>
                <w:rFonts w:ascii="Arial" w:hAnsi="Arial" w:cs="Arial"/>
              </w:rPr>
              <w:t>ommitments</w:t>
            </w:r>
            <w:r>
              <w:rPr>
                <w:rFonts w:ascii="Arial" w:hAnsi="Arial" w:cs="Arial"/>
              </w:rPr>
              <w:t xml:space="preserve"> during the year</w:t>
            </w:r>
            <w:r w:rsidRPr="00035261">
              <w:rPr>
                <w:rFonts w:ascii="Arial" w:hAnsi="Arial" w:cs="Arial"/>
              </w:rPr>
              <w:t xml:space="preserve"> ended </w:t>
            </w:r>
            <w:r>
              <w:rPr>
                <w:rFonts w:ascii="Arial" w:hAnsi="Arial" w:cs="Arial"/>
              </w:rPr>
              <w:t>31 December 2019</w:t>
            </w:r>
          </w:p>
          <w:p w14:paraId="23F6803D" w14:textId="1434696E" w:rsidR="006B20FF" w:rsidRPr="00035261" w:rsidRDefault="006B20FF" w:rsidP="006B20FF">
            <w:pPr>
              <w:rPr>
                <w:rFonts w:ascii="Arial" w:hAnsi="Arial" w:cs="Arial"/>
              </w:rPr>
            </w:pPr>
            <w:r w:rsidRPr="00035261">
              <w:rPr>
                <w:rFonts w:ascii="Arial" w:hAnsi="Arial" w:cs="Arial"/>
              </w:rPr>
              <w:t xml:space="preserve"> </w:t>
            </w:r>
          </w:p>
        </w:tc>
        <w:tc>
          <w:tcPr>
            <w:tcW w:w="6056" w:type="dxa"/>
          </w:tcPr>
          <w:p w14:paraId="42A276F5" w14:textId="38A911A4" w:rsidR="006B20FF" w:rsidRPr="00CE2C17" w:rsidRDefault="006B20FF" w:rsidP="006B20FF">
            <w:pPr>
              <w:rPr>
                <w:rFonts w:ascii="Arial" w:hAnsi="Arial" w:cs="Arial"/>
              </w:rPr>
            </w:pPr>
            <w:r w:rsidRPr="00CE2C17">
              <w:rPr>
                <w:rFonts w:ascii="Arial" w:hAnsi="Arial" w:cs="Arial"/>
              </w:rPr>
              <w:t xml:space="preserve">Commitments </w:t>
            </w:r>
            <w:r w:rsidR="00576A31">
              <w:rPr>
                <w:rFonts w:ascii="Arial" w:hAnsi="Arial" w:cs="Arial"/>
              </w:rPr>
              <w:t>increased</w:t>
            </w:r>
            <w:r w:rsidRPr="00CE2C17">
              <w:rPr>
                <w:rFonts w:ascii="Arial" w:hAnsi="Arial" w:cs="Arial"/>
              </w:rPr>
              <w:t xml:space="preserve"> </w:t>
            </w:r>
            <w:r>
              <w:rPr>
                <w:rFonts w:ascii="Arial" w:hAnsi="Arial" w:cs="Arial"/>
              </w:rPr>
              <w:t xml:space="preserve">by </w:t>
            </w:r>
            <w:r w:rsidRPr="00CE2C17">
              <w:rPr>
                <w:rFonts w:ascii="Arial" w:hAnsi="Arial" w:cs="Arial"/>
              </w:rPr>
              <w:t>a total of $</w:t>
            </w:r>
            <w:r w:rsidR="00576A31">
              <w:rPr>
                <w:rFonts w:ascii="Arial" w:hAnsi="Arial" w:cs="Arial"/>
              </w:rPr>
              <w:t>137</w:t>
            </w:r>
            <w:r w:rsidRPr="00CE2C17">
              <w:rPr>
                <w:rFonts w:ascii="Arial" w:hAnsi="Arial" w:cs="Arial"/>
              </w:rPr>
              <w:t xml:space="preserve"> million:</w:t>
            </w:r>
          </w:p>
          <w:p w14:paraId="6149A4C9" w14:textId="34B20974" w:rsidR="00576A31" w:rsidRDefault="00576A31" w:rsidP="006B20FF">
            <w:pPr>
              <w:numPr>
                <w:ilvl w:val="0"/>
                <w:numId w:val="1"/>
              </w:numPr>
              <w:ind w:left="567" w:hanging="567"/>
              <w:contextualSpacing/>
              <w:rPr>
                <w:rFonts w:ascii="Arial" w:hAnsi="Arial" w:cs="Arial"/>
              </w:rPr>
            </w:pPr>
            <w:r>
              <w:rPr>
                <w:rFonts w:ascii="Arial" w:hAnsi="Arial" w:cs="Arial"/>
              </w:rPr>
              <w:t>$100 million in Aleph Midstream S.A.</w:t>
            </w:r>
            <w:r w:rsidR="00E34466" w:rsidRPr="00CE2C17">
              <w:rPr>
                <w:rFonts w:ascii="Arial" w:hAnsi="Arial" w:cs="Arial"/>
                <w:vertAlign w:val="superscript"/>
              </w:rPr>
              <w:t>(</w:t>
            </w:r>
            <w:r w:rsidR="00F64F30">
              <w:rPr>
                <w:rFonts w:ascii="Arial" w:hAnsi="Arial" w:cs="Arial"/>
                <w:vertAlign w:val="superscript"/>
              </w:rPr>
              <w:t>4</w:t>
            </w:r>
            <w:r w:rsidR="00E34466" w:rsidRPr="00CE2C17">
              <w:rPr>
                <w:rFonts w:ascii="Arial" w:hAnsi="Arial" w:cs="Arial"/>
                <w:vertAlign w:val="superscript"/>
              </w:rPr>
              <w:t>)</w:t>
            </w:r>
          </w:p>
          <w:p w14:paraId="6E352938" w14:textId="6C93AE95" w:rsidR="00576A31" w:rsidRDefault="00576A31" w:rsidP="006B20FF">
            <w:pPr>
              <w:numPr>
                <w:ilvl w:val="0"/>
                <w:numId w:val="1"/>
              </w:numPr>
              <w:ind w:left="567" w:hanging="567"/>
              <w:contextualSpacing/>
              <w:rPr>
                <w:rFonts w:ascii="Arial" w:hAnsi="Arial" w:cs="Arial"/>
              </w:rPr>
            </w:pPr>
            <w:r>
              <w:rPr>
                <w:rFonts w:ascii="Arial" w:hAnsi="Arial" w:cs="Arial"/>
              </w:rPr>
              <w:t>$66 million in Onyx Strategic Investment Management I BV</w:t>
            </w:r>
          </w:p>
          <w:p w14:paraId="4EB111F9" w14:textId="7D0509E8" w:rsidR="00576A31" w:rsidRDefault="00576A31" w:rsidP="006B20FF">
            <w:pPr>
              <w:numPr>
                <w:ilvl w:val="0"/>
                <w:numId w:val="1"/>
              </w:numPr>
              <w:ind w:left="567" w:hanging="567"/>
              <w:contextualSpacing/>
              <w:rPr>
                <w:rFonts w:ascii="Arial" w:hAnsi="Arial" w:cs="Arial"/>
              </w:rPr>
            </w:pPr>
            <w:r>
              <w:rPr>
                <w:rFonts w:ascii="Arial" w:hAnsi="Arial" w:cs="Arial"/>
              </w:rPr>
              <w:t>$22 million in Ridgebury H3, LLC</w:t>
            </w:r>
          </w:p>
          <w:p w14:paraId="2C2D34B9" w14:textId="7693A440" w:rsidR="00576A31" w:rsidRDefault="00576A31" w:rsidP="006B20FF">
            <w:pPr>
              <w:numPr>
                <w:ilvl w:val="0"/>
                <w:numId w:val="1"/>
              </w:numPr>
              <w:ind w:left="567" w:hanging="567"/>
              <w:contextualSpacing/>
              <w:rPr>
                <w:rFonts w:ascii="Arial" w:hAnsi="Arial" w:cs="Arial"/>
              </w:rPr>
            </w:pPr>
            <w:r>
              <w:rPr>
                <w:rFonts w:ascii="Arial" w:hAnsi="Arial" w:cs="Arial"/>
              </w:rPr>
              <w:t>($27) million in Meritage Midstream Services III, L.P.</w:t>
            </w:r>
          </w:p>
          <w:p w14:paraId="437D6A4C" w14:textId="1B4EF47F" w:rsidR="00576A31" w:rsidRDefault="00576A31" w:rsidP="006B20FF">
            <w:pPr>
              <w:numPr>
                <w:ilvl w:val="0"/>
                <w:numId w:val="1"/>
              </w:numPr>
              <w:ind w:left="567" w:hanging="567"/>
              <w:contextualSpacing/>
              <w:rPr>
                <w:rFonts w:ascii="Arial" w:hAnsi="Arial" w:cs="Arial"/>
              </w:rPr>
            </w:pPr>
            <w:r>
              <w:rPr>
                <w:rFonts w:ascii="Arial" w:hAnsi="Arial" w:cs="Arial"/>
              </w:rPr>
              <w:t>($19) million in Sierra Oil and Gas Holdings, L.P.</w:t>
            </w:r>
          </w:p>
          <w:p w14:paraId="759CB887" w14:textId="26B7616E" w:rsidR="00576A31" w:rsidRDefault="00576A31" w:rsidP="006B20FF">
            <w:pPr>
              <w:numPr>
                <w:ilvl w:val="0"/>
                <w:numId w:val="1"/>
              </w:numPr>
              <w:ind w:left="567" w:hanging="567"/>
              <w:contextualSpacing/>
              <w:rPr>
                <w:rFonts w:ascii="Arial" w:hAnsi="Arial" w:cs="Arial"/>
              </w:rPr>
            </w:pPr>
            <w:r>
              <w:rPr>
                <w:rFonts w:ascii="Arial" w:hAnsi="Arial" w:cs="Arial"/>
              </w:rPr>
              <w:t>($5) million in Eagle Energy Exploration, LLC</w:t>
            </w:r>
          </w:p>
          <w:p w14:paraId="39C43E9E" w14:textId="77777777" w:rsidR="006B20FF" w:rsidRPr="00CE2C17" w:rsidRDefault="006B20FF" w:rsidP="00576A31">
            <w:pPr>
              <w:ind w:left="567"/>
              <w:contextualSpacing/>
              <w:rPr>
                <w:rFonts w:ascii="Arial" w:hAnsi="Arial" w:cs="Arial"/>
              </w:rPr>
            </w:pPr>
          </w:p>
        </w:tc>
      </w:tr>
      <w:tr w:rsidR="007F09D2" w:rsidRPr="00035261" w14:paraId="6CFDC4D6" w14:textId="77777777" w:rsidTr="006B20FF">
        <w:tc>
          <w:tcPr>
            <w:tcW w:w="3576" w:type="dxa"/>
          </w:tcPr>
          <w:p w14:paraId="52207CA5" w14:textId="05398612" w:rsidR="007F09D2" w:rsidRPr="007F09D2" w:rsidRDefault="007F09D2" w:rsidP="007F09D2">
            <w:pPr>
              <w:rPr>
                <w:rFonts w:ascii="Arial" w:hAnsi="Arial" w:cs="Arial"/>
              </w:rPr>
            </w:pPr>
            <w:r w:rsidRPr="007F09D2">
              <w:rPr>
                <w:rFonts w:ascii="Arial" w:hAnsi="Arial" w:cs="Arial"/>
              </w:rPr>
              <w:t xml:space="preserve">Remaining </w:t>
            </w:r>
            <w:r w:rsidR="00F579AC">
              <w:rPr>
                <w:rFonts w:ascii="Arial" w:hAnsi="Arial" w:cs="Arial"/>
              </w:rPr>
              <w:t xml:space="preserve">potential </w:t>
            </w:r>
            <w:r w:rsidRPr="007F09D2">
              <w:rPr>
                <w:rFonts w:ascii="Arial" w:hAnsi="Arial" w:cs="Arial"/>
              </w:rPr>
              <w:t>unfunded commitments at 31 December 2019</w:t>
            </w:r>
          </w:p>
          <w:p w14:paraId="1BF0505C" w14:textId="77777777" w:rsidR="007F09D2" w:rsidRPr="007F09D2" w:rsidRDefault="007F09D2" w:rsidP="006B20FF"/>
        </w:tc>
        <w:tc>
          <w:tcPr>
            <w:tcW w:w="6056" w:type="dxa"/>
          </w:tcPr>
          <w:p w14:paraId="28874C3A" w14:textId="2D21852D" w:rsidR="007F09D2" w:rsidRPr="007F09D2" w:rsidRDefault="007F09D2" w:rsidP="007F09D2">
            <w:pPr>
              <w:rPr>
                <w:rFonts w:ascii="Arial" w:hAnsi="Arial" w:cs="Arial"/>
              </w:rPr>
            </w:pPr>
            <w:r w:rsidRPr="007F09D2">
              <w:rPr>
                <w:rFonts w:ascii="Arial" w:hAnsi="Arial" w:cs="Arial"/>
              </w:rPr>
              <w:t>$</w:t>
            </w:r>
            <w:r>
              <w:rPr>
                <w:rFonts w:ascii="Arial" w:hAnsi="Arial" w:cs="Arial"/>
              </w:rPr>
              <w:t>212</w:t>
            </w:r>
            <w:r w:rsidRPr="007F09D2">
              <w:rPr>
                <w:rFonts w:ascii="Arial" w:hAnsi="Arial" w:cs="Arial"/>
              </w:rPr>
              <w:t xml:space="preserve"> million</w:t>
            </w:r>
            <w:r w:rsidRPr="007F09D2">
              <w:rPr>
                <w:rFonts w:ascii="Arial" w:hAnsi="Arial" w:cs="Arial"/>
                <w:vertAlign w:val="superscript"/>
              </w:rPr>
              <w:t>(</w:t>
            </w:r>
            <w:r w:rsidR="00F64F30">
              <w:rPr>
                <w:rFonts w:ascii="Arial" w:hAnsi="Arial" w:cs="Arial"/>
                <w:vertAlign w:val="superscript"/>
              </w:rPr>
              <w:t>5</w:t>
            </w:r>
            <w:r w:rsidRPr="007F09D2">
              <w:rPr>
                <w:rFonts w:ascii="Arial" w:hAnsi="Arial" w:cs="Arial"/>
                <w:vertAlign w:val="superscript"/>
              </w:rPr>
              <w:t>)</w:t>
            </w:r>
            <w:r w:rsidRPr="007F09D2">
              <w:rPr>
                <w:rFonts w:ascii="Arial" w:hAnsi="Arial" w:cs="Arial"/>
              </w:rPr>
              <w:t>:</w:t>
            </w:r>
          </w:p>
          <w:p w14:paraId="234E4867" w14:textId="79FEE79C" w:rsidR="00301A4B" w:rsidRDefault="00301A4B" w:rsidP="008B1170">
            <w:pPr>
              <w:numPr>
                <w:ilvl w:val="0"/>
                <w:numId w:val="24"/>
              </w:numPr>
              <w:ind w:left="567" w:hanging="567"/>
              <w:contextualSpacing/>
              <w:rPr>
                <w:rFonts w:ascii="Arial" w:hAnsi="Arial" w:cs="Arial"/>
              </w:rPr>
            </w:pPr>
            <w:r>
              <w:rPr>
                <w:rFonts w:ascii="Arial" w:hAnsi="Arial" w:cs="Arial"/>
              </w:rPr>
              <w:t>$77 million in Aleph Midstream S.A.</w:t>
            </w:r>
            <w:r w:rsidR="00E34466" w:rsidRPr="00CE2C17">
              <w:rPr>
                <w:rFonts w:ascii="Arial" w:hAnsi="Arial" w:cs="Arial"/>
                <w:vertAlign w:val="superscript"/>
              </w:rPr>
              <w:t>(</w:t>
            </w:r>
            <w:r w:rsidR="00F64F30">
              <w:rPr>
                <w:rFonts w:ascii="Arial" w:hAnsi="Arial" w:cs="Arial"/>
                <w:vertAlign w:val="superscript"/>
              </w:rPr>
              <w:t>4</w:t>
            </w:r>
            <w:r w:rsidR="00E34466" w:rsidRPr="00CE2C17">
              <w:rPr>
                <w:rFonts w:ascii="Arial" w:hAnsi="Arial" w:cs="Arial"/>
                <w:vertAlign w:val="superscript"/>
              </w:rPr>
              <w:t>)</w:t>
            </w:r>
          </w:p>
          <w:p w14:paraId="69840B09" w14:textId="6BA7E6CD" w:rsidR="007F09D2" w:rsidRPr="007F09D2" w:rsidRDefault="007F09D2" w:rsidP="008B1170">
            <w:pPr>
              <w:numPr>
                <w:ilvl w:val="0"/>
                <w:numId w:val="24"/>
              </w:numPr>
              <w:ind w:left="567" w:hanging="567"/>
              <w:contextualSpacing/>
              <w:rPr>
                <w:rFonts w:ascii="Arial" w:hAnsi="Arial" w:cs="Arial"/>
              </w:rPr>
            </w:pPr>
            <w:r w:rsidRPr="007F09D2">
              <w:rPr>
                <w:rFonts w:ascii="Arial" w:hAnsi="Arial" w:cs="Arial"/>
              </w:rPr>
              <w:t>$45 million in ILX Holdings III, LLC</w:t>
            </w:r>
          </w:p>
          <w:p w14:paraId="5CE406EE" w14:textId="787239FF" w:rsidR="00301A4B" w:rsidRDefault="00084449" w:rsidP="008B1170">
            <w:pPr>
              <w:numPr>
                <w:ilvl w:val="0"/>
                <w:numId w:val="24"/>
              </w:numPr>
              <w:ind w:left="567" w:hanging="567"/>
              <w:contextualSpacing/>
              <w:rPr>
                <w:rFonts w:ascii="Arial" w:hAnsi="Arial" w:cs="Arial"/>
              </w:rPr>
            </w:pPr>
            <w:r>
              <w:rPr>
                <w:rFonts w:ascii="Arial" w:hAnsi="Arial" w:cs="Arial"/>
              </w:rPr>
              <w:t>$35 million in Onyx Strategic Investment Management I BV</w:t>
            </w:r>
          </w:p>
          <w:p w14:paraId="09A83A6E" w14:textId="0D3C49B3" w:rsidR="007F09D2" w:rsidRPr="007F09D2" w:rsidRDefault="007F09D2" w:rsidP="008B1170">
            <w:pPr>
              <w:numPr>
                <w:ilvl w:val="0"/>
                <w:numId w:val="24"/>
              </w:numPr>
              <w:ind w:left="567" w:hanging="567"/>
              <w:contextualSpacing/>
              <w:rPr>
                <w:rFonts w:ascii="Arial" w:hAnsi="Arial" w:cs="Arial"/>
              </w:rPr>
            </w:pPr>
            <w:r w:rsidRPr="007F09D2">
              <w:rPr>
                <w:rFonts w:ascii="Arial" w:hAnsi="Arial" w:cs="Arial"/>
              </w:rPr>
              <w:t>$24 million in Carrier Energy Partners II, LLC</w:t>
            </w:r>
          </w:p>
          <w:p w14:paraId="574E7AB9" w14:textId="77777777" w:rsidR="007F09D2" w:rsidRPr="007F09D2" w:rsidRDefault="007F09D2" w:rsidP="008B1170">
            <w:pPr>
              <w:numPr>
                <w:ilvl w:val="0"/>
                <w:numId w:val="24"/>
              </w:numPr>
              <w:ind w:left="567" w:hanging="567"/>
              <w:contextualSpacing/>
              <w:rPr>
                <w:rFonts w:ascii="Arial" w:hAnsi="Arial" w:cs="Arial"/>
              </w:rPr>
            </w:pPr>
            <w:r w:rsidRPr="007F09D2">
              <w:rPr>
                <w:rFonts w:ascii="Arial" w:hAnsi="Arial" w:cs="Arial"/>
              </w:rPr>
              <w:t>$15 million in Castex Energy 2014, LLC</w:t>
            </w:r>
          </w:p>
          <w:p w14:paraId="78C6DCA7" w14:textId="77777777" w:rsidR="007F09D2" w:rsidRPr="007F09D2" w:rsidRDefault="007F09D2" w:rsidP="008B1170">
            <w:pPr>
              <w:numPr>
                <w:ilvl w:val="0"/>
                <w:numId w:val="24"/>
              </w:numPr>
              <w:ind w:left="567" w:hanging="567"/>
              <w:contextualSpacing/>
              <w:rPr>
                <w:rFonts w:ascii="Arial" w:hAnsi="Arial" w:cs="Arial"/>
              </w:rPr>
            </w:pPr>
            <w:r w:rsidRPr="007F09D2">
              <w:rPr>
                <w:rFonts w:ascii="Arial" w:hAnsi="Arial" w:cs="Arial"/>
              </w:rPr>
              <w:t>$12 million in Hammerhead Resources Inc.</w:t>
            </w:r>
          </w:p>
          <w:p w14:paraId="000BDD85" w14:textId="77777777" w:rsidR="007F09D2" w:rsidRPr="007F09D2" w:rsidRDefault="007F09D2" w:rsidP="008B1170">
            <w:pPr>
              <w:numPr>
                <w:ilvl w:val="0"/>
                <w:numId w:val="24"/>
              </w:numPr>
              <w:ind w:left="567" w:hanging="567"/>
              <w:contextualSpacing/>
              <w:rPr>
                <w:rFonts w:ascii="Arial" w:hAnsi="Arial" w:cs="Arial"/>
              </w:rPr>
            </w:pPr>
            <w:r w:rsidRPr="007F09D2">
              <w:rPr>
                <w:rFonts w:ascii="Arial" w:hAnsi="Arial" w:cs="Arial"/>
              </w:rPr>
              <w:t>$4 million in Ridgebury H3 LLC</w:t>
            </w:r>
          </w:p>
          <w:p w14:paraId="623DEBB1" w14:textId="77777777" w:rsidR="007F09D2" w:rsidRPr="007F09D2" w:rsidRDefault="007F09D2" w:rsidP="008B1170">
            <w:pPr>
              <w:numPr>
                <w:ilvl w:val="0"/>
                <w:numId w:val="24"/>
              </w:numPr>
              <w:ind w:left="567" w:hanging="567"/>
              <w:contextualSpacing/>
              <w:rPr>
                <w:rFonts w:ascii="Arial" w:hAnsi="Arial" w:cs="Arial"/>
              </w:rPr>
            </w:pPr>
            <w:r w:rsidRPr="007F09D2">
              <w:rPr>
                <w:rFonts w:ascii="Arial" w:hAnsi="Arial" w:cs="Arial"/>
              </w:rPr>
              <w:t>$1 million in Fieldwood Energy, Inc.</w:t>
            </w:r>
          </w:p>
          <w:p w14:paraId="6D478D1F" w14:textId="77777777" w:rsidR="007F09D2" w:rsidRPr="007F09D2" w:rsidRDefault="007F09D2" w:rsidP="006B20FF"/>
        </w:tc>
      </w:tr>
      <w:tr w:rsidR="006B20FF" w:rsidRPr="00035261" w14:paraId="14D5E46A" w14:textId="77777777" w:rsidTr="006B20FF">
        <w:tc>
          <w:tcPr>
            <w:tcW w:w="3576" w:type="dxa"/>
          </w:tcPr>
          <w:p w14:paraId="5F0C73B0" w14:textId="77777777" w:rsidR="006B20FF" w:rsidRPr="00035261" w:rsidRDefault="006B20FF" w:rsidP="006B20FF">
            <w:pPr>
              <w:rPr>
                <w:rFonts w:ascii="Arial" w:hAnsi="Arial" w:cs="Arial"/>
              </w:rPr>
            </w:pPr>
            <w:r w:rsidRPr="00035261">
              <w:rPr>
                <w:rFonts w:ascii="Arial" w:hAnsi="Arial" w:cs="Arial"/>
              </w:rPr>
              <w:t>Net Capital Invested to Date</w:t>
            </w:r>
          </w:p>
        </w:tc>
        <w:tc>
          <w:tcPr>
            <w:tcW w:w="6056" w:type="dxa"/>
          </w:tcPr>
          <w:p w14:paraId="7BBF17ED" w14:textId="43084AD3" w:rsidR="006B20FF" w:rsidRPr="00CE2C17" w:rsidRDefault="006B20FF" w:rsidP="006B20FF">
            <w:pPr>
              <w:rPr>
                <w:rFonts w:ascii="Arial" w:hAnsi="Arial" w:cs="Arial"/>
                <w:vertAlign w:val="superscript"/>
              </w:rPr>
            </w:pPr>
            <w:r w:rsidRPr="00CE2C17">
              <w:rPr>
                <w:rFonts w:ascii="Arial" w:hAnsi="Arial" w:cs="Arial"/>
              </w:rPr>
              <w:t>$</w:t>
            </w:r>
            <w:r w:rsidR="00DC1EA7">
              <w:rPr>
                <w:rFonts w:ascii="Arial" w:hAnsi="Arial" w:cs="Arial"/>
              </w:rPr>
              <w:t>1,007</w:t>
            </w:r>
            <w:r w:rsidRPr="00CE2C17">
              <w:rPr>
                <w:rFonts w:ascii="Arial" w:hAnsi="Arial" w:cs="Arial"/>
              </w:rPr>
              <w:t xml:space="preserve"> million</w:t>
            </w:r>
            <w:r>
              <w:rPr>
                <w:rFonts w:ascii="Arial" w:hAnsi="Arial" w:cs="Arial"/>
              </w:rPr>
              <w:t xml:space="preserve"> </w:t>
            </w:r>
            <w:r w:rsidRPr="00CE2C17">
              <w:rPr>
                <w:rFonts w:ascii="Arial" w:hAnsi="Arial" w:cs="Arial"/>
              </w:rPr>
              <w:t xml:space="preserve">/ </w:t>
            </w:r>
            <w:r w:rsidR="00DC1EA7">
              <w:rPr>
                <w:rFonts w:ascii="Arial" w:hAnsi="Arial" w:cs="Arial"/>
              </w:rPr>
              <w:t>8</w:t>
            </w:r>
            <w:r w:rsidR="007B2872">
              <w:rPr>
                <w:rFonts w:ascii="Arial" w:hAnsi="Arial" w:cs="Arial"/>
              </w:rPr>
              <w:t>5</w:t>
            </w:r>
            <w:r w:rsidRPr="00CE2C17">
              <w:rPr>
                <w:rFonts w:ascii="Arial" w:hAnsi="Arial" w:cs="Arial"/>
              </w:rPr>
              <w:t xml:space="preserve"> per cent. of net capital available</w:t>
            </w:r>
            <w:r w:rsidRPr="00CE2C17">
              <w:rPr>
                <w:rFonts w:ascii="Arial" w:hAnsi="Arial" w:cs="Arial"/>
                <w:vertAlign w:val="superscript"/>
              </w:rPr>
              <w:t>(</w:t>
            </w:r>
            <w:r w:rsidR="00F64F30">
              <w:rPr>
                <w:rFonts w:ascii="Arial" w:hAnsi="Arial" w:cs="Arial"/>
                <w:vertAlign w:val="superscript"/>
              </w:rPr>
              <w:t>3</w:t>
            </w:r>
            <w:r w:rsidRPr="00CE2C17">
              <w:rPr>
                <w:rFonts w:ascii="Arial" w:hAnsi="Arial" w:cs="Arial"/>
                <w:vertAlign w:val="superscript"/>
              </w:rPr>
              <w:t>)</w:t>
            </w:r>
          </w:p>
          <w:p w14:paraId="6D05DC00" w14:textId="77777777" w:rsidR="006B20FF" w:rsidRPr="00CE2C17" w:rsidRDefault="006B20FF" w:rsidP="006B20FF">
            <w:pPr>
              <w:rPr>
                <w:rFonts w:ascii="Arial" w:hAnsi="Arial" w:cs="Arial"/>
              </w:rPr>
            </w:pPr>
          </w:p>
        </w:tc>
      </w:tr>
      <w:tr w:rsidR="006B20FF" w:rsidRPr="00B254F4" w14:paraId="5E59E737" w14:textId="77777777" w:rsidTr="004D70A4">
        <w:trPr>
          <w:trHeight w:val="1606"/>
        </w:trPr>
        <w:tc>
          <w:tcPr>
            <w:tcW w:w="3576" w:type="dxa"/>
          </w:tcPr>
          <w:p w14:paraId="6CA86616" w14:textId="1729329D" w:rsidR="006B20FF" w:rsidRPr="00306224" w:rsidRDefault="006B20FF" w:rsidP="006B20FF">
            <w:pPr>
              <w:rPr>
                <w:rFonts w:ascii="Arial" w:hAnsi="Arial" w:cs="Arial"/>
                <w:vertAlign w:val="superscript"/>
              </w:rPr>
            </w:pPr>
            <w:r w:rsidRPr="00035261">
              <w:rPr>
                <w:rFonts w:ascii="Arial" w:hAnsi="Arial" w:cs="Arial"/>
              </w:rPr>
              <w:lastRenderedPageBreak/>
              <w:t xml:space="preserve">Investments </w:t>
            </w:r>
            <w:r>
              <w:rPr>
                <w:rFonts w:ascii="Arial" w:hAnsi="Arial" w:cs="Arial"/>
              </w:rPr>
              <w:t>during the year ended 31 December 2019</w:t>
            </w:r>
          </w:p>
        </w:tc>
        <w:tc>
          <w:tcPr>
            <w:tcW w:w="6056" w:type="dxa"/>
          </w:tcPr>
          <w:p w14:paraId="136140F2" w14:textId="302B63EF" w:rsidR="006B20FF" w:rsidRPr="00A81962" w:rsidRDefault="006B20FF" w:rsidP="006B20FF">
            <w:pPr>
              <w:rPr>
                <w:rFonts w:ascii="Arial" w:hAnsi="Arial" w:cs="Arial"/>
              </w:rPr>
            </w:pPr>
            <w:r w:rsidRPr="00A81962">
              <w:rPr>
                <w:rFonts w:ascii="Arial" w:hAnsi="Arial" w:cs="Arial"/>
              </w:rPr>
              <w:t>Invested a total of $</w:t>
            </w:r>
            <w:r w:rsidR="004D70A4">
              <w:rPr>
                <w:rFonts w:ascii="Arial" w:hAnsi="Arial" w:cs="Arial"/>
              </w:rPr>
              <w:t>81</w:t>
            </w:r>
            <w:r w:rsidRPr="00A81962">
              <w:rPr>
                <w:rFonts w:ascii="Arial" w:hAnsi="Arial" w:cs="Arial"/>
              </w:rPr>
              <w:t xml:space="preserve"> million</w:t>
            </w:r>
            <w:r w:rsidRPr="00A81962">
              <w:rPr>
                <w:rFonts w:ascii="Arial" w:hAnsi="Arial" w:cs="Arial"/>
                <w:vertAlign w:val="superscript"/>
              </w:rPr>
              <w:t>(</w:t>
            </w:r>
            <w:r w:rsidR="00F64F30">
              <w:rPr>
                <w:rFonts w:ascii="Arial" w:hAnsi="Arial" w:cs="Arial"/>
                <w:vertAlign w:val="superscript"/>
              </w:rPr>
              <w:t>5</w:t>
            </w:r>
            <w:r w:rsidRPr="00A81962">
              <w:rPr>
                <w:rFonts w:ascii="Arial" w:hAnsi="Arial" w:cs="Arial"/>
                <w:vertAlign w:val="superscript"/>
              </w:rPr>
              <w:t>)</w:t>
            </w:r>
            <w:r w:rsidRPr="00A81962">
              <w:rPr>
                <w:rFonts w:ascii="Arial" w:hAnsi="Arial" w:cs="Arial"/>
              </w:rPr>
              <w:t>:</w:t>
            </w:r>
          </w:p>
          <w:p w14:paraId="6BA45BD8" w14:textId="71A2B704" w:rsidR="004D70A4" w:rsidRDefault="004D70A4" w:rsidP="008B1170">
            <w:pPr>
              <w:numPr>
                <w:ilvl w:val="0"/>
                <w:numId w:val="21"/>
              </w:numPr>
              <w:ind w:left="567" w:hanging="567"/>
              <w:contextualSpacing/>
              <w:rPr>
                <w:rFonts w:ascii="Arial" w:hAnsi="Arial" w:cs="Arial"/>
              </w:rPr>
            </w:pPr>
            <w:r>
              <w:rPr>
                <w:rFonts w:ascii="Arial" w:hAnsi="Arial" w:cs="Arial"/>
              </w:rPr>
              <w:t>$31 million in Onyx Strategic Investment Management I BV</w:t>
            </w:r>
          </w:p>
          <w:p w14:paraId="0A540107" w14:textId="0BA59527" w:rsidR="004D70A4" w:rsidRDefault="004D70A4" w:rsidP="008B1170">
            <w:pPr>
              <w:numPr>
                <w:ilvl w:val="0"/>
                <w:numId w:val="21"/>
              </w:numPr>
              <w:ind w:left="567" w:hanging="567"/>
              <w:contextualSpacing/>
              <w:rPr>
                <w:rFonts w:ascii="Arial" w:hAnsi="Arial" w:cs="Arial"/>
              </w:rPr>
            </w:pPr>
            <w:r>
              <w:rPr>
                <w:rFonts w:ascii="Arial" w:hAnsi="Arial" w:cs="Arial"/>
              </w:rPr>
              <w:t>$23 million in Aleph Midstream S.A.</w:t>
            </w:r>
            <w:r w:rsidR="00E34466" w:rsidRPr="00CE2C17">
              <w:rPr>
                <w:rFonts w:ascii="Arial" w:hAnsi="Arial" w:cs="Arial"/>
                <w:vertAlign w:val="superscript"/>
              </w:rPr>
              <w:t>(</w:t>
            </w:r>
            <w:r w:rsidR="00F64F30">
              <w:rPr>
                <w:rFonts w:ascii="Arial" w:hAnsi="Arial" w:cs="Arial"/>
                <w:vertAlign w:val="superscript"/>
              </w:rPr>
              <w:t>4</w:t>
            </w:r>
            <w:r w:rsidR="00E34466" w:rsidRPr="00CE2C17">
              <w:rPr>
                <w:rFonts w:ascii="Arial" w:hAnsi="Arial" w:cs="Arial"/>
                <w:vertAlign w:val="superscript"/>
              </w:rPr>
              <w:t>)</w:t>
            </w:r>
          </w:p>
          <w:p w14:paraId="0A1ECC89" w14:textId="021908FB" w:rsidR="004D70A4" w:rsidRDefault="004D70A4" w:rsidP="008B1170">
            <w:pPr>
              <w:numPr>
                <w:ilvl w:val="0"/>
                <w:numId w:val="21"/>
              </w:numPr>
              <w:ind w:left="567" w:hanging="567"/>
              <w:contextualSpacing/>
              <w:rPr>
                <w:rFonts w:ascii="Arial" w:hAnsi="Arial" w:cs="Arial"/>
              </w:rPr>
            </w:pPr>
            <w:r>
              <w:rPr>
                <w:rFonts w:ascii="Arial" w:hAnsi="Arial" w:cs="Arial"/>
              </w:rPr>
              <w:t>$18 million in Ridgebury H3 LLC</w:t>
            </w:r>
          </w:p>
          <w:p w14:paraId="157A3E48" w14:textId="0DB4135F" w:rsidR="00926940" w:rsidRDefault="00926940" w:rsidP="008B1170">
            <w:pPr>
              <w:numPr>
                <w:ilvl w:val="0"/>
                <w:numId w:val="21"/>
              </w:numPr>
              <w:ind w:left="567" w:hanging="567"/>
              <w:contextualSpacing/>
              <w:rPr>
                <w:rFonts w:ascii="Arial" w:hAnsi="Arial" w:cs="Arial"/>
              </w:rPr>
            </w:pPr>
            <w:r>
              <w:rPr>
                <w:rFonts w:ascii="Arial" w:hAnsi="Arial" w:cs="Arial"/>
              </w:rPr>
              <w:t>$4 million in Castex Energy 2014, LLC</w:t>
            </w:r>
          </w:p>
          <w:p w14:paraId="22BA40EF" w14:textId="274980F7" w:rsidR="004D70A4" w:rsidRPr="00926940" w:rsidRDefault="004D70A4" w:rsidP="008B1170">
            <w:pPr>
              <w:numPr>
                <w:ilvl w:val="0"/>
                <w:numId w:val="21"/>
              </w:numPr>
              <w:ind w:left="567" w:hanging="567"/>
              <w:contextualSpacing/>
              <w:rPr>
                <w:rFonts w:ascii="Arial" w:hAnsi="Arial" w:cs="Arial"/>
              </w:rPr>
            </w:pPr>
            <w:r>
              <w:rPr>
                <w:rFonts w:ascii="Arial" w:hAnsi="Arial" w:cs="Arial"/>
              </w:rPr>
              <w:t>$4 million in ILX Holdings III, LLC</w:t>
            </w:r>
          </w:p>
        </w:tc>
      </w:tr>
      <w:tr w:rsidR="006B20FF" w:rsidRPr="00035261" w14:paraId="3E809683" w14:textId="77777777" w:rsidTr="006B20FF">
        <w:trPr>
          <w:trHeight w:val="409"/>
        </w:trPr>
        <w:tc>
          <w:tcPr>
            <w:tcW w:w="3576" w:type="dxa"/>
          </w:tcPr>
          <w:p w14:paraId="3A081361" w14:textId="4819BA47" w:rsidR="006B20FF" w:rsidRPr="00035261" w:rsidRDefault="004D70A4" w:rsidP="006B20FF">
            <w:pPr>
              <w:rPr>
                <w:rFonts w:ascii="Arial" w:hAnsi="Arial" w:cs="Arial"/>
              </w:rPr>
            </w:pPr>
            <w:r>
              <w:rPr>
                <w:rFonts w:ascii="Arial" w:hAnsi="Arial" w:cs="Arial"/>
              </w:rPr>
              <w:t xml:space="preserve">Gross </w:t>
            </w:r>
            <w:r w:rsidR="006B20FF" w:rsidRPr="00035261">
              <w:rPr>
                <w:rFonts w:ascii="Arial" w:hAnsi="Arial" w:cs="Arial"/>
              </w:rPr>
              <w:t>Realised Capital to Date</w:t>
            </w:r>
          </w:p>
        </w:tc>
        <w:tc>
          <w:tcPr>
            <w:tcW w:w="6056" w:type="dxa"/>
          </w:tcPr>
          <w:p w14:paraId="1A66BD82" w14:textId="49E54392" w:rsidR="006B20FF" w:rsidRPr="00CE2C17" w:rsidRDefault="006B20FF" w:rsidP="006B20FF">
            <w:pPr>
              <w:rPr>
                <w:rFonts w:ascii="Arial" w:eastAsia="Calibri" w:hAnsi="Arial" w:cs="Arial"/>
                <w:vertAlign w:val="superscript"/>
              </w:rPr>
            </w:pPr>
            <w:r w:rsidRPr="00CE2C17">
              <w:rPr>
                <w:rFonts w:ascii="Arial" w:eastAsia="Calibri" w:hAnsi="Arial" w:cs="Arial"/>
              </w:rPr>
              <w:t>$</w:t>
            </w:r>
            <w:r w:rsidR="004D70A4">
              <w:rPr>
                <w:rFonts w:ascii="Arial" w:hAnsi="Arial" w:cs="Arial"/>
              </w:rPr>
              <w:t>89</w:t>
            </w:r>
            <w:r w:rsidR="00926940">
              <w:rPr>
                <w:rFonts w:ascii="Arial" w:hAnsi="Arial" w:cs="Arial"/>
              </w:rPr>
              <w:t>2</w:t>
            </w:r>
            <w:r w:rsidRPr="00CE2C17">
              <w:rPr>
                <w:rFonts w:ascii="Arial" w:eastAsia="Calibri" w:hAnsi="Arial" w:cs="Arial"/>
              </w:rPr>
              <w:t xml:space="preserve"> million</w:t>
            </w:r>
            <w:r>
              <w:rPr>
                <w:rFonts w:ascii="Arial" w:eastAsia="Calibri" w:hAnsi="Arial" w:cs="Arial"/>
              </w:rPr>
              <w:t xml:space="preserve"> </w:t>
            </w:r>
            <w:r w:rsidRPr="00CE2C17">
              <w:rPr>
                <w:rFonts w:ascii="Arial" w:eastAsia="Calibri" w:hAnsi="Arial" w:cs="Arial"/>
              </w:rPr>
              <w:t xml:space="preserve">/ </w:t>
            </w:r>
            <w:r w:rsidR="004D70A4">
              <w:rPr>
                <w:rFonts w:ascii="Arial" w:hAnsi="Arial" w:cs="Arial"/>
              </w:rPr>
              <w:t>51</w:t>
            </w:r>
            <w:r w:rsidRPr="00CE2C17">
              <w:rPr>
                <w:rFonts w:ascii="Arial" w:eastAsia="Calibri" w:hAnsi="Arial" w:cs="Arial"/>
              </w:rPr>
              <w:t xml:space="preserve"> per cent. of total capital invested</w:t>
            </w:r>
          </w:p>
          <w:p w14:paraId="37AB3798" w14:textId="77777777" w:rsidR="006B20FF" w:rsidRPr="00CE2C17" w:rsidRDefault="006B20FF" w:rsidP="006B20FF">
            <w:pPr>
              <w:rPr>
                <w:rFonts w:ascii="Arial" w:hAnsi="Arial" w:cs="Arial"/>
              </w:rPr>
            </w:pPr>
          </w:p>
        </w:tc>
      </w:tr>
      <w:tr w:rsidR="006B20FF" w:rsidRPr="0032045B" w14:paraId="38F9EA48" w14:textId="77777777" w:rsidTr="006B20FF">
        <w:trPr>
          <w:trHeight w:val="1129"/>
        </w:trPr>
        <w:tc>
          <w:tcPr>
            <w:tcW w:w="3576" w:type="dxa"/>
          </w:tcPr>
          <w:p w14:paraId="661B06B0" w14:textId="2E1593E9" w:rsidR="006B20FF" w:rsidRPr="00035261" w:rsidRDefault="006B20FF" w:rsidP="006B20FF">
            <w:pPr>
              <w:rPr>
                <w:rFonts w:ascii="Arial" w:hAnsi="Arial" w:cs="Arial"/>
              </w:rPr>
            </w:pPr>
            <w:r w:rsidRPr="00035261">
              <w:rPr>
                <w:rFonts w:ascii="Arial" w:hAnsi="Arial" w:cs="Arial"/>
              </w:rPr>
              <w:t xml:space="preserve">Realisations during the </w:t>
            </w:r>
            <w:r>
              <w:rPr>
                <w:rFonts w:ascii="Arial" w:hAnsi="Arial" w:cs="Arial"/>
              </w:rPr>
              <w:t>year</w:t>
            </w:r>
            <w:r w:rsidRPr="00035261">
              <w:rPr>
                <w:rFonts w:ascii="Arial" w:hAnsi="Arial" w:cs="Arial"/>
              </w:rPr>
              <w:t xml:space="preserve"> ended </w:t>
            </w:r>
            <w:r>
              <w:rPr>
                <w:rFonts w:ascii="Arial" w:hAnsi="Arial" w:cs="Arial"/>
              </w:rPr>
              <w:t>31 December 2019</w:t>
            </w:r>
          </w:p>
        </w:tc>
        <w:tc>
          <w:tcPr>
            <w:tcW w:w="6056" w:type="dxa"/>
          </w:tcPr>
          <w:p w14:paraId="35DC8BBE" w14:textId="6A57BE06" w:rsidR="006B20FF" w:rsidRPr="00CE2C17" w:rsidRDefault="006B20FF" w:rsidP="006B20FF">
            <w:pPr>
              <w:rPr>
                <w:rFonts w:ascii="Arial" w:hAnsi="Arial" w:cs="Arial"/>
              </w:rPr>
            </w:pPr>
            <w:r w:rsidRPr="00CE2C17">
              <w:rPr>
                <w:rFonts w:ascii="Arial" w:hAnsi="Arial" w:cs="Arial"/>
              </w:rPr>
              <w:t>Realised a total of $</w:t>
            </w:r>
            <w:r w:rsidR="004D70A4">
              <w:rPr>
                <w:rFonts w:ascii="Arial" w:hAnsi="Arial" w:cs="Arial"/>
              </w:rPr>
              <w:t>16</w:t>
            </w:r>
            <w:r w:rsidR="006D30F3">
              <w:rPr>
                <w:rFonts w:ascii="Arial" w:hAnsi="Arial" w:cs="Arial"/>
              </w:rPr>
              <w:t>2</w:t>
            </w:r>
            <w:r w:rsidRPr="00CE2C17">
              <w:rPr>
                <w:rFonts w:ascii="Arial" w:hAnsi="Arial" w:cs="Arial"/>
              </w:rPr>
              <w:t xml:space="preserve"> million</w:t>
            </w:r>
            <w:r w:rsidRPr="00CE2C17">
              <w:rPr>
                <w:rFonts w:ascii="Arial" w:hAnsi="Arial" w:cs="Arial"/>
                <w:vertAlign w:val="superscript"/>
              </w:rPr>
              <w:t>(</w:t>
            </w:r>
            <w:r w:rsidR="00F64F30">
              <w:rPr>
                <w:rFonts w:ascii="Arial" w:hAnsi="Arial" w:cs="Arial"/>
                <w:vertAlign w:val="superscript"/>
              </w:rPr>
              <w:t>5</w:t>
            </w:r>
            <w:r w:rsidRPr="00CE2C17">
              <w:rPr>
                <w:rFonts w:ascii="Arial" w:hAnsi="Arial" w:cs="Arial"/>
                <w:vertAlign w:val="superscript"/>
              </w:rPr>
              <w:t>)</w:t>
            </w:r>
            <w:r w:rsidRPr="00CE2C17">
              <w:rPr>
                <w:rFonts w:ascii="Arial" w:hAnsi="Arial" w:cs="Arial"/>
              </w:rPr>
              <w:t>:</w:t>
            </w:r>
          </w:p>
          <w:p w14:paraId="7E18DB11" w14:textId="4727FCC2" w:rsidR="004D70A4" w:rsidRDefault="004D70A4" w:rsidP="008B1170">
            <w:pPr>
              <w:numPr>
                <w:ilvl w:val="0"/>
                <w:numId w:val="20"/>
              </w:numPr>
              <w:ind w:left="578" w:hanging="578"/>
              <w:contextualSpacing/>
              <w:rPr>
                <w:rFonts w:ascii="Arial" w:hAnsi="Arial" w:cs="Arial"/>
              </w:rPr>
            </w:pPr>
            <w:r>
              <w:rPr>
                <w:rFonts w:ascii="Arial" w:hAnsi="Arial" w:cs="Arial"/>
              </w:rPr>
              <w:t>$83 million in Meritage Midstream Services III, L.P.</w:t>
            </w:r>
          </w:p>
          <w:p w14:paraId="6418832E" w14:textId="064B4105" w:rsidR="004D70A4" w:rsidRDefault="004D70A4" w:rsidP="008B1170">
            <w:pPr>
              <w:numPr>
                <w:ilvl w:val="0"/>
                <w:numId w:val="20"/>
              </w:numPr>
              <w:ind w:left="578" w:hanging="578"/>
              <w:contextualSpacing/>
              <w:rPr>
                <w:rFonts w:ascii="Arial" w:hAnsi="Arial" w:cs="Arial"/>
              </w:rPr>
            </w:pPr>
            <w:r>
              <w:rPr>
                <w:rFonts w:ascii="Arial" w:hAnsi="Arial" w:cs="Arial"/>
              </w:rPr>
              <w:t>$39 million in Sierra Oil and Gas Holdings, L.P.</w:t>
            </w:r>
          </w:p>
          <w:p w14:paraId="100A1817" w14:textId="21B6AC44" w:rsidR="004D70A4" w:rsidRDefault="004D70A4" w:rsidP="008B1170">
            <w:pPr>
              <w:numPr>
                <w:ilvl w:val="0"/>
                <w:numId w:val="20"/>
              </w:numPr>
              <w:ind w:left="578" w:hanging="578"/>
              <w:contextualSpacing/>
              <w:rPr>
                <w:rFonts w:ascii="Arial" w:hAnsi="Arial" w:cs="Arial"/>
              </w:rPr>
            </w:pPr>
            <w:r>
              <w:rPr>
                <w:rFonts w:ascii="Arial" w:hAnsi="Arial" w:cs="Arial"/>
              </w:rPr>
              <w:t>$16 million in Canadian Non-Operated Resources LP</w:t>
            </w:r>
          </w:p>
          <w:p w14:paraId="77FB675E" w14:textId="0B00164E" w:rsidR="004D70A4" w:rsidRDefault="004D70A4" w:rsidP="008B1170">
            <w:pPr>
              <w:numPr>
                <w:ilvl w:val="0"/>
                <w:numId w:val="20"/>
              </w:numPr>
              <w:ind w:left="578" w:hanging="578"/>
              <w:contextualSpacing/>
              <w:rPr>
                <w:rFonts w:ascii="Arial" w:hAnsi="Arial" w:cs="Arial"/>
              </w:rPr>
            </w:pPr>
            <w:r>
              <w:rPr>
                <w:rFonts w:ascii="Arial" w:hAnsi="Arial" w:cs="Arial"/>
              </w:rPr>
              <w:t>$13 million in Carrier Energy Partners II, LLC</w:t>
            </w:r>
          </w:p>
          <w:p w14:paraId="1D64603E" w14:textId="23B1F478" w:rsidR="004D70A4" w:rsidRDefault="004D70A4" w:rsidP="008B1170">
            <w:pPr>
              <w:numPr>
                <w:ilvl w:val="0"/>
                <w:numId w:val="20"/>
              </w:numPr>
              <w:ind w:left="578" w:hanging="578"/>
              <w:contextualSpacing/>
              <w:rPr>
                <w:rFonts w:ascii="Arial" w:hAnsi="Arial" w:cs="Arial"/>
              </w:rPr>
            </w:pPr>
            <w:r>
              <w:rPr>
                <w:rFonts w:ascii="Arial" w:hAnsi="Arial" w:cs="Arial"/>
              </w:rPr>
              <w:t>$5 million in ILX Holdings III, LLC</w:t>
            </w:r>
          </w:p>
          <w:p w14:paraId="7CFC64C0" w14:textId="678637F2" w:rsidR="004D70A4" w:rsidRDefault="004D70A4" w:rsidP="008B1170">
            <w:pPr>
              <w:numPr>
                <w:ilvl w:val="0"/>
                <w:numId w:val="20"/>
              </w:numPr>
              <w:ind w:left="578" w:hanging="578"/>
              <w:contextualSpacing/>
              <w:rPr>
                <w:rFonts w:ascii="Arial" w:hAnsi="Arial" w:cs="Arial"/>
              </w:rPr>
            </w:pPr>
            <w:r>
              <w:rPr>
                <w:rFonts w:ascii="Arial" w:hAnsi="Arial" w:cs="Arial"/>
              </w:rPr>
              <w:t>$</w:t>
            </w:r>
            <w:r w:rsidR="007B2872">
              <w:rPr>
                <w:rFonts w:ascii="Arial" w:hAnsi="Arial" w:cs="Arial"/>
              </w:rPr>
              <w:t>4</w:t>
            </w:r>
            <w:r>
              <w:rPr>
                <w:rFonts w:ascii="Arial" w:hAnsi="Arial" w:cs="Arial"/>
              </w:rPr>
              <w:t xml:space="preserve"> million in Three Rivers Natural Resources Holdings III, LLC</w:t>
            </w:r>
          </w:p>
          <w:p w14:paraId="58E752E0" w14:textId="2553A6E8" w:rsidR="004D70A4" w:rsidRDefault="004D70A4" w:rsidP="008B1170">
            <w:pPr>
              <w:numPr>
                <w:ilvl w:val="0"/>
                <w:numId w:val="20"/>
              </w:numPr>
              <w:ind w:left="578" w:hanging="578"/>
              <w:contextualSpacing/>
              <w:rPr>
                <w:rFonts w:ascii="Arial" w:hAnsi="Arial" w:cs="Arial"/>
              </w:rPr>
            </w:pPr>
            <w:r>
              <w:rPr>
                <w:rFonts w:ascii="Arial" w:hAnsi="Arial" w:cs="Arial"/>
              </w:rPr>
              <w:t>$2 million in Ridgebury H3 LLC</w:t>
            </w:r>
          </w:p>
          <w:p w14:paraId="1536DC8A" w14:textId="578E087A" w:rsidR="004D70A4" w:rsidRDefault="004D70A4" w:rsidP="008B1170">
            <w:pPr>
              <w:numPr>
                <w:ilvl w:val="0"/>
                <w:numId w:val="20"/>
              </w:numPr>
              <w:ind w:left="578" w:hanging="578"/>
              <w:contextualSpacing/>
              <w:rPr>
                <w:rFonts w:ascii="Arial" w:hAnsi="Arial" w:cs="Arial"/>
              </w:rPr>
            </w:pPr>
            <w:r>
              <w:rPr>
                <w:rFonts w:ascii="Arial" w:hAnsi="Arial" w:cs="Arial"/>
              </w:rPr>
              <w:t>$1 million in Rock Oil Holdings, LLC</w:t>
            </w:r>
          </w:p>
          <w:p w14:paraId="20AA1BD1" w14:textId="77777777" w:rsidR="006B20FF" w:rsidRPr="00CE2C17" w:rsidRDefault="006B20FF" w:rsidP="006B20FF">
            <w:pPr>
              <w:contextualSpacing/>
              <w:rPr>
                <w:rFonts w:ascii="Arial" w:hAnsi="Arial" w:cs="Arial"/>
              </w:rPr>
            </w:pPr>
          </w:p>
        </w:tc>
      </w:tr>
    </w:tbl>
    <w:p w14:paraId="1CEC5765" w14:textId="6F9C1DE0" w:rsidR="00156D22" w:rsidRPr="00811BA1" w:rsidRDefault="00097732" w:rsidP="00EB7E49">
      <w:pPr>
        <w:pStyle w:val="Heading1"/>
      </w:pPr>
      <w:r w:rsidRPr="00811BA1">
        <w:t>Key Financials</w:t>
      </w:r>
    </w:p>
    <w:tbl>
      <w:tblPr>
        <w:tblStyle w:val="TableGrid"/>
        <w:tblW w:w="5000" w:type="pct"/>
        <w:tblBorders>
          <w:bottom w:val="none" w:sz="0" w:space="0" w:color="auto"/>
        </w:tblBorders>
        <w:tblLook w:val="04A0" w:firstRow="1" w:lastRow="0" w:firstColumn="1" w:lastColumn="0" w:noHBand="0" w:noVBand="1"/>
      </w:tblPr>
      <w:tblGrid>
        <w:gridCol w:w="5754"/>
        <w:gridCol w:w="1934"/>
        <w:gridCol w:w="1944"/>
      </w:tblGrid>
      <w:tr w:rsidR="00037C2D" w:rsidRPr="00D33AA7" w14:paraId="55AFA64A" w14:textId="77777777" w:rsidTr="00F64172">
        <w:trPr>
          <w:trHeight w:val="469"/>
        </w:trPr>
        <w:tc>
          <w:tcPr>
            <w:tcW w:w="2987" w:type="pct"/>
            <w:tcBorders>
              <w:top w:val="nil"/>
              <w:left w:val="nil"/>
              <w:bottom w:val="nil"/>
              <w:right w:val="nil"/>
            </w:tcBorders>
          </w:tcPr>
          <w:p w14:paraId="55703943" w14:textId="77777777" w:rsidR="00037C2D" w:rsidRPr="00D33AA7" w:rsidRDefault="00037C2D" w:rsidP="00EB7E49"/>
        </w:tc>
        <w:tc>
          <w:tcPr>
            <w:tcW w:w="1004" w:type="pct"/>
            <w:tcBorders>
              <w:top w:val="nil"/>
              <w:left w:val="nil"/>
              <w:bottom w:val="nil"/>
              <w:right w:val="nil"/>
            </w:tcBorders>
            <w:vAlign w:val="center"/>
          </w:tcPr>
          <w:p w14:paraId="4D51A3D1" w14:textId="6EBF0435" w:rsidR="00037C2D" w:rsidRPr="00D33AA7" w:rsidRDefault="00037C2D" w:rsidP="00F64172">
            <w:pPr>
              <w:jc w:val="right"/>
              <w:rPr>
                <w:b/>
              </w:rPr>
            </w:pPr>
            <w:r w:rsidRPr="00D33AA7">
              <w:rPr>
                <w:b/>
              </w:rPr>
              <w:t>201</w:t>
            </w:r>
            <w:r w:rsidR="003314EB">
              <w:rPr>
                <w:b/>
              </w:rPr>
              <w:t>9</w:t>
            </w:r>
          </w:p>
        </w:tc>
        <w:tc>
          <w:tcPr>
            <w:tcW w:w="1009" w:type="pct"/>
            <w:tcBorders>
              <w:top w:val="nil"/>
              <w:left w:val="nil"/>
              <w:bottom w:val="nil"/>
              <w:right w:val="nil"/>
            </w:tcBorders>
            <w:vAlign w:val="center"/>
          </w:tcPr>
          <w:p w14:paraId="235D8478" w14:textId="31115DAA" w:rsidR="00037C2D" w:rsidRPr="00D33AA7" w:rsidRDefault="00037C2D" w:rsidP="00F64172">
            <w:pPr>
              <w:jc w:val="right"/>
            </w:pPr>
            <w:r>
              <w:t>201</w:t>
            </w:r>
            <w:r w:rsidR="008F3390">
              <w:t>8</w:t>
            </w:r>
          </w:p>
        </w:tc>
      </w:tr>
      <w:tr w:rsidR="004C1DEE" w:rsidRPr="00D33AA7" w14:paraId="683A85F1" w14:textId="77777777" w:rsidTr="00F64172">
        <w:trPr>
          <w:trHeight w:val="469"/>
        </w:trPr>
        <w:tc>
          <w:tcPr>
            <w:tcW w:w="2987" w:type="pct"/>
            <w:tcBorders>
              <w:top w:val="nil"/>
              <w:left w:val="nil"/>
              <w:bottom w:val="nil"/>
              <w:right w:val="nil"/>
            </w:tcBorders>
            <w:vAlign w:val="center"/>
          </w:tcPr>
          <w:p w14:paraId="4E8B55A6" w14:textId="5E37F505" w:rsidR="004C1DEE" w:rsidRPr="00D33AA7" w:rsidRDefault="004C1DEE" w:rsidP="004C1DEE">
            <w:r w:rsidRPr="00D33AA7">
              <w:t>NAV as at</w:t>
            </w:r>
            <w:r>
              <w:t xml:space="preserve"> 31 December</w:t>
            </w:r>
          </w:p>
        </w:tc>
        <w:tc>
          <w:tcPr>
            <w:tcW w:w="1004" w:type="pct"/>
            <w:tcBorders>
              <w:top w:val="nil"/>
              <w:left w:val="nil"/>
              <w:bottom w:val="nil"/>
              <w:right w:val="nil"/>
            </w:tcBorders>
            <w:vAlign w:val="center"/>
          </w:tcPr>
          <w:p w14:paraId="5261A94E" w14:textId="7BBD5070" w:rsidR="004C1DEE" w:rsidRDefault="00DB6E9D" w:rsidP="003314EB">
            <w:pPr>
              <w:ind w:right="100"/>
              <w:jc w:val="right"/>
              <w:rPr>
                <w:b/>
              </w:rPr>
            </w:pPr>
            <w:r>
              <w:rPr>
                <w:b/>
              </w:rPr>
              <w:t>$77</w:t>
            </w:r>
            <w:r w:rsidR="000906E1">
              <w:rPr>
                <w:b/>
              </w:rPr>
              <w:t>2</w:t>
            </w:r>
            <w:r w:rsidR="00DA1357">
              <w:rPr>
                <w:b/>
              </w:rPr>
              <w:t xml:space="preserve"> </w:t>
            </w:r>
            <w:r w:rsidR="004C1DEE" w:rsidRPr="00E60A1A">
              <w:rPr>
                <w:b/>
              </w:rPr>
              <w:t>million</w:t>
            </w:r>
            <w:r w:rsidR="004C1DEE">
              <w:rPr>
                <w:b/>
              </w:rPr>
              <w:t xml:space="preserve"> /</w:t>
            </w:r>
          </w:p>
          <w:p w14:paraId="07A8F3AD" w14:textId="4321E99C" w:rsidR="004C1DEE" w:rsidRPr="00D33AA7" w:rsidRDefault="004C1DEE" w:rsidP="003314EB">
            <w:pPr>
              <w:jc w:val="right"/>
              <w:rPr>
                <w:b/>
              </w:rPr>
            </w:pPr>
            <w:r w:rsidRPr="0078642A">
              <w:rPr>
                <w:b/>
              </w:rPr>
              <w:t>£</w:t>
            </w:r>
            <w:r w:rsidR="00DB6E9D">
              <w:rPr>
                <w:b/>
              </w:rPr>
              <w:t>58</w:t>
            </w:r>
            <w:r w:rsidR="000906E1">
              <w:rPr>
                <w:b/>
              </w:rPr>
              <w:t>8</w:t>
            </w:r>
            <w:r w:rsidR="003314EB">
              <w:rPr>
                <w:b/>
              </w:rPr>
              <w:t xml:space="preserve"> </w:t>
            </w:r>
            <w:r w:rsidRPr="0078642A">
              <w:rPr>
                <w:b/>
              </w:rPr>
              <w:t>million</w:t>
            </w:r>
            <w:r w:rsidRPr="0078642A">
              <w:rPr>
                <w:b/>
                <w:vertAlign w:val="superscript"/>
              </w:rPr>
              <w:t>(</w:t>
            </w:r>
            <w:r w:rsidR="00F64F30">
              <w:rPr>
                <w:b/>
                <w:vertAlign w:val="superscript"/>
              </w:rPr>
              <w:t>6</w:t>
            </w:r>
            <w:r w:rsidRPr="0078642A">
              <w:rPr>
                <w:b/>
                <w:vertAlign w:val="superscript"/>
              </w:rPr>
              <w:t>)</w:t>
            </w:r>
          </w:p>
        </w:tc>
        <w:tc>
          <w:tcPr>
            <w:tcW w:w="1009" w:type="pct"/>
            <w:tcBorders>
              <w:top w:val="nil"/>
              <w:left w:val="nil"/>
              <w:bottom w:val="nil"/>
              <w:right w:val="nil"/>
            </w:tcBorders>
            <w:vAlign w:val="center"/>
          </w:tcPr>
          <w:p w14:paraId="0C56ADFD" w14:textId="5C06EFB7" w:rsidR="004C1DEE" w:rsidRPr="004C1DEE" w:rsidRDefault="004C1DEE" w:rsidP="004C1DEE">
            <w:pPr>
              <w:jc w:val="right"/>
            </w:pPr>
            <w:r w:rsidRPr="004C1DEE">
              <w:t>$1,</w:t>
            </w:r>
            <w:r w:rsidR="008F3390">
              <w:t>431</w:t>
            </w:r>
            <w:r w:rsidRPr="004C1DEE">
              <w:t xml:space="preserve"> million /</w:t>
            </w:r>
          </w:p>
          <w:p w14:paraId="1B500773" w14:textId="070BE210" w:rsidR="004C1DEE" w:rsidRPr="004C1DEE" w:rsidRDefault="004C1DEE" w:rsidP="00AD2C0A">
            <w:pPr>
              <w:jc w:val="right"/>
            </w:pPr>
            <w:r w:rsidRPr="004C1DEE">
              <w:t>£1,</w:t>
            </w:r>
            <w:r w:rsidR="008F3390">
              <w:t>123</w:t>
            </w:r>
            <w:r w:rsidRPr="004C1DEE">
              <w:t xml:space="preserve"> million</w:t>
            </w:r>
            <w:r w:rsidRPr="004C1DEE">
              <w:rPr>
                <w:vertAlign w:val="superscript"/>
              </w:rPr>
              <w:t>(</w:t>
            </w:r>
            <w:r w:rsidR="00F64F30">
              <w:rPr>
                <w:vertAlign w:val="superscript"/>
              </w:rPr>
              <w:t>6</w:t>
            </w:r>
            <w:r w:rsidRPr="004C1DEE">
              <w:rPr>
                <w:vertAlign w:val="superscript"/>
              </w:rPr>
              <w:t>)</w:t>
            </w:r>
          </w:p>
        </w:tc>
      </w:tr>
      <w:tr w:rsidR="004C1DEE" w:rsidRPr="00D33AA7" w14:paraId="04C5A497" w14:textId="77777777" w:rsidTr="00F64172">
        <w:trPr>
          <w:trHeight w:val="469"/>
        </w:trPr>
        <w:tc>
          <w:tcPr>
            <w:tcW w:w="2987" w:type="pct"/>
            <w:tcBorders>
              <w:top w:val="nil"/>
              <w:left w:val="nil"/>
              <w:bottom w:val="nil"/>
              <w:right w:val="nil"/>
            </w:tcBorders>
            <w:vAlign w:val="center"/>
          </w:tcPr>
          <w:p w14:paraId="28314D1D" w14:textId="0A99B9D1" w:rsidR="004C1DEE" w:rsidRPr="00D33AA7" w:rsidRDefault="004C1DEE" w:rsidP="004C1DEE">
            <w:r w:rsidRPr="00D33AA7">
              <w:t>NAV per Share as at</w:t>
            </w:r>
            <w:r>
              <w:t xml:space="preserve"> 31 December</w:t>
            </w:r>
          </w:p>
        </w:tc>
        <w:tc>
          <w:tcPr>
            <w:tcW w:w="1004" w:type="pct"/>
            <w:tcBorders>
              <w:top w:val="nil"/>
              <w:left w:val="nil"/>
              <w:bottom w:val="nil"/>
              <w:right w:val="nil"/>
            </w:tcBorders>
            <w:vAlign w:val="center"/>
          </w:tcPr>
          <w:p w14:paraId="06680DDB" w14:textId="6DEC31DD" w:rsidR="004C1DEE" w:rsidRPr="0078642A" w:rsidRDefault="004C1DEE" w:rsidP="003314EB">
            <w:pPr>
              <w:jc w:val="right"/>
              <w:rPr>
                <w:b/>
              </w:rPr>
            </w:pPr>
            <w:r w:rsidRPr="0078642A">
              <w:rPr>
                <w:b/>
              </w:rPr>
              <w:t>$</w:t>
            </w:r>
            <w:r w:rsidR="00DB6E9D">
              <w:rPr>
                <w:b/>
              </w:rPr>
              <w:t>9.6</w:t>
            </w:r>
            <w:r w:rsidR="000906E1">
              <w:rPr>
                <w:b/>
              </w:rPr>
              <w:t>6</w:t>
            </w:r>
            <w:r w:rsidR="00DA1357">
              <w:rPr>
                <w:b/>
              </w:rPr>
              <w:t xml:space="preserve"> </w:t>
            </w:r>
            <w:r w:rsidRPr="0078642A">
              <w:rPr>
                <w:b/>
              </w:rPr>
              <w:t>/</w:t>
            </w:r>
            <w:r>
              <w:rPr>
                <w:b/>
              </w:rPr>
              <w:t xml:space="preserve"> </w:t>
            </w:r>
            <w:r w:rsidRPr="0078642A">
              <w:rPr>
                <w:b/>
              </w:rPr>
              <w:t>£</w:t>
            </w:r>
            <w:r w:rsidR="00DB6E9D">
              <w:rPr>
                <w:b/>
              </w:rPr>
              <w:t>7.3</w:t>
            </w:r>
            <w:r w:rsidR="000906E1">
              <w:rPr>
                <w:b/>
              </w:rPr>
              <w:t>6</w:t>
            </w:r>
            <w:r w:rsidRPr="0078642A">
              <w:rPr>
                <w:b/>
                <w:vertAlign w:val="superscript"/>
              </w:rPr>
              <w:t>(</w:t>
            </w:r>
            <w:r w:rsidR="00F64F30">
              <w:rPr>
                <w:b/>
                <w:vertAlign w:val="superscript"/>
              </w:rPr>
              <w:t>6</w:t>
            </w:r>
            <w:r w:rsidRPr="0078642A">
              <w:rPr>
                <w:b/>
                <w:vertAlign w:val="superscript"/>
              </w:rPr>
              <w:t>)</w:t>
            </w:r>
          </w:p>
        </w:tc>
        <w:tc>
          <w:tcPr>
            <w:tcW w:w="1009" w:type="pct"/>
            <w:tcBorders>
              <w:top w:val="nil"/>
              <w:left w:val="nil"/>
              <w:bottom w:val="nil"/>
              <w:right w:val="nil"/>
            </w:tcBorders>
            <w:vAlign w:val="center"/>
          </w:tcPr>
          <w:p w14:paraId="49E58254" w14:textId="1941D204" w:rsidR="004C1DEE" w:rsidRPr="004C1DEE" w:rsidRDefault="004C1DEE" w:rsidP="004C1DEE">
            <w:pPr>
              <w:jc w:val="right"/>
            </w:pPr>
            <w:r w:rsidRPr="004C1DEE">
              <w:t>$</w:t>
            </w:r>
            <w:r w:rsidR="008F3390">
              <w:t>17.91</w:t>
            </w:r>
            <w:r w:rsidRPr="004C1DEE">
              <w:t xml:space="preserve"> / £1</w:t>
            </w:r>
            <w:r w:rsidR="008F3390">
              <w:t>4.06</w:t>
            </w:r>
            <w:r w:rsidRPr="004C1DEE">
              <w:rPr>
                <w:vertAlign w:val="superscript"/>
              </w:rPr>
              <w:t>(</w:t>
            </w:r>
            <w:r w:rsidR="00F64F30">
              <w:rPr>
                <w:vertAlign w:val="superscript"/>
              </w:rPr>
              <w:t>6</w:t>
            </w:r>
            <w:r w:rsidRPr="004C1DEE">
              <w:rPr>
                <w:vertAlign w:val="superscript"/>
              </w:rPr>
              <w:t>)</w:t>
            </w:r>
          </w:p>
        </w:tc>
      </w:tr>
      <w:tr w:rsidR="004C1DEE" w:rsidRPr="00D33AA7" w14:paraId="36E1F159" w14:textId="77777777" w:rsidTr="00F64172">
        <w:trPr>
          <w:trHeight w:val="469"/>
        </w:trPr>
        <w:tc>
          <w:tcPr>
            <w:tcW w:w="2987" w:type="pct"/>
            <w:tcBorders>
              <w:top w:val="nil"/>
              <w:left w:val="nil"/>
              <w:bottom w:val="nil"/>
              <w:right w:val="nil"/>
            </w:tcBorders>
            <w:vAlign w:val="center"/>
          </w:tcPr>
          <w:p w14:paraId="47ACCE13" w14:textId="59F9F4C5" w:rsidR="004C1DEE" w:rsidRPr="00D33AA7" w:rsidRDefault="004C1DEE" w:rsidP="004C1DEE">
            <w:r w:rsidRPr="00D33AA7">
              <w:t>Market capitalisation at</w:t>
            </w:r>
            <w:r>
              <w:t xml:space="preserve"> 31 December</w:t>
            </w:r>
          </w:p>
        </w:tc>
        <w:tc>
          <w:tcPr>
            <w:tcW w:w="1004" w:type="pct"/>
            <w:tcBorders>
              <w:top w:val="nil"/>
              <w:left w:val="nil"/>
              <w:bottom w:val="nil"/>
              <w:right w:val="nil"/>
            </w:tcBorders>
            <w:vAlign w:val="center"/>
          </w:tcPr>
          <w:p w14:paraId="4B6A8046" w14:textId="15D84B4A" w:rsidR="004C1DEE" w:rsidRPr="00F0779E" w:rsidRDefault="004C1DEE" w:rsidP="004C1DEE">
            <w:pPr>
              <w:jc w:val="right"/>
              <w:rPr>
                <w:b/>
              </w:rPr>
            </w:pPr>
            <w:r w:rsidRPr="00D33AA7">
              <w:rPr>
                <w:b/>
              </w:rPr>
              <w:t>$</w:t>
            </w:r>
            <w:r w:rsidR="00DB6E9D">
              <w:rPr>
                <w:b/>
              </w:rPr>
              <w:t>434</w:t>
            </w:r>
            <w:r w:rsidR="00DA1357">
              <w:rPr>
                <w:b/>
              </w:rPr>
              <w:t xml:space="preserve"> </w:t>
            </w:r>
            <w:r w:rsidRPr="00F0779E">
              <w:rPr>
                <w:b/>
              </w:rPr>
              <w:t>million</w:t>
            </w:r>
            <w:r>
              <w:rPr>
                <w:b/>
              </w:rPr>
              <w:t xml:space="preserve"> </w:t>
            </w:r>
            <w:r w:rsidRPr="00F0779E">
              <w:rPr>
                <w:b/>
              </w:rPr>
              <w:t>/</w:t>
            </w:r>
          </w:p>
          <w:p w14:paraId="4FC7E14F" w14:textId="0D229822" w:rsidR="004C1DEE" w:rsidRPr="00D33AA7" w:rsidRDefault="004C1DEE" w:rsidP="003314EB">
            <w:pPr>
              <w:jc w:val="right"/>
              <w:rPr>
                <w:b/>
              </w:rPr>
            </w:pPr>
            <w:r w:rsidRPr="00F0779E">
              <w:rPr>
                <w:b/>
              </w:rPr>
              <w:t>£</w:t>
            </w:r>
            <w:r w:rsidR="00DB6E9D">
              <w:rPr>
                <w:b/>
              </w:rPr>
              <w:t>331</w:t>
            </w:r>
            <w:r w:rsidR="003314EB">
              <w:rPr>
                <w:b/>
              </w:rPr>
              <w:t xml:space="preserve"> </w:t>
            </w:r>
            <w:r w:rsidRPr="00F0779E">
              <w:rPr>
                <w:b/>
              </w:rPr>
              <w:t>million</w:t>
            </w:r>
            <w:r w:rsidRPr="00D33AA7">
              <w:rPr>
                <w:b/>
                <w:vertAlign w:val="superscript"/>
              </w:rPr>
              <w:t>(</w:t>
            </w:r>
            <w:r w:rsidR="00F64F30">
              <w:rPr>
                <w:b/>
                <w:vertAlign w:val="superscript"/>
              </w:rPr>
              <w:t>6</w:t>
            </w:r>
            <w:r w:rsidRPr="00D33AA7">
              <w:rPr>
                <w:b/>
                <w:vertAlign w:val="superscript"/>
              </w:rPr>
              <w:t>)</w:t>
            </w:r>
          </w:p>
        </w:tc>
        <w:tc>
          <w:tcPr>
            <w:tcW w:w="1009" w:type="pct"/>
            <w:tcBorders>
              <w:top w:val="nil"/>
              <w:left w:val="nil"/>
              <w:bottom w:val="nil"/>
              <w:right w:val="nil"/>
            </w:tcBorders>
            <w:vAlign w:val="center"/>
          </w:tcPr>
          <w:p w14:paraId="0504DF1F" w14:textId="688F9949" w:rsidR="004C1DEE" w:rsidRPr="004C1DEE" w:rsidRDefault="004C1DEE" w:rsidP="004C1DEE">
            <w:pPr>
              <w:jc w:val="right"/>
            </w:pPr>
            <w:r w:rsidRPr="004C1DEE">
              <w:t>$1,</w:t>
            </w:r>
            <w:r w:rsidR="008F3390">
              <w:t>095</w:t>
            </w:r>
            <w:r w:rsidRPr="004C1DEE">
              <w:t xml:space="preserve"> million /</w:t>
            </w:r>
          </w:p>
          <w:p w14:paraId="25688C7A" w14:textId="0332F811" w:rsidR="004C1DEE" w:rsidRPr="004C1DEE" w:rsidRDefault="004C1DEE" w:rsidP="00AD2C0A">
            <w:pPr>
              <w:jc w:val="right"/>
            </w:pPr>
            <w:r w:rsidRPr="004C1DEE">
              <w:t>£</w:t>
            </w:r>
            <w:r w:rsidR="008F3390">
              <w:t>860</w:t>
            </w:r>
            <w:r w:rsidRPr="004C1DEE">
              <w:t xml:space="preserve"> million</w:t>
            </w:r>
            <w:r w:rsidRPr="004C1DEE">
              <w:rPr>
                <w:vertAlign w:val="superscript"/>
              </w:rPr>
              <w:t>(</w:t>
            </w:r>
            <w:r w:rsidR="00F64F30">
              <w:rPr>
                <w:vertAlign w:val="superscript"/>
              </w:rPr>
              <w:t>6</w:t>
            </w:r>
            <w:r w:rsidRPr="004C1DEE">
              <w:rPr>
                <w:vertAlign w:val="superscript"/>
              </w:rPr>
              <w:t>)</w:t>
            </w:r>
          </w:p>
        </w:tc>
      </w:tr>
      <w:tr w:rsidR="00751816" w:rsidRPr="00D33AA7" w14:paraId="7FC5E2F5" w14:textId="77777777" w:rsidTr="008233D6">
        <w:trPr>
          <w:trHeight w:val="576"/>
        </w:trPr>
        <w:tc>
          <w:tcPr>
            <w:tcW w:w="2987" w:type="pct"/>
            <w:tcBorders>
              <w:top w:val="nil"/>
              <w:left w:val="nil"/>
              <w:bottom w:val="nil"/>
              <w:right w:val="nil"/>
            </w:tcBorders>
            <w:vAlign w:val="center"/>
          </w:tcPr>
          <w:p w14:paraId="1B4E5E26" w14:textId="71E063B6" w:rsidR="00751816" w:rsidRPr="00D33AA7" w:rsidRDefault="00751816" w:rsidP="004C1DEE">
            <w:pPr>
              <w:tabs>
                <w:tab w:val="left" w:pos="493"/>
              </w:tabs>
            </w:pPr>
            <w:r>
              <w:t>Cash and cash equivalents at 31 December</w:t>
            </w:r>
          </w:p>
        </w:tc>
        <w:tc>
          <w:tcPr>
            <w:tcW w:w="1004" w:type="pct"/>
            <w:tcBorders>
              <w:top w:val="nil"/>
              <w:left w:val="nil"/>
              <w:bottom w:val="nil"/>
              <w:right w:val="nil"/>
            </w:tcBorders>
            <w:vAlign w:val="center"/>
          </w:tcPr>
          <w:p w14:paraId="0E91CFE2" w14:textId="7C350D06" w:rsidR="00751816" w:rsidRDefault="00E76F2C" w:rsidP="003314EB">
            <w:pPr>
              <w:jc w:val="right"/>
              <w:rPr>
                <w:b/>
              </w:rPr>
            </w:pPr>
            <w:r>
              <w:rPr>
                <w:b/>
              </w:rPr>
              <w:t>$183 million</w:t>
            </w:r>
            <w:r w:rsidR="004007EB" w:rsidRPr="004007EB">
              <w:rPr>
                <w:b/>
                <w:vertAlign w:val="superscript"/>
              </w:rPr>
              <w:t>(</w:t>
            </w:r>
            <w:r w:rsidR="00F64F30">
              <w:rPr>
                <w:b/>
                <w:vertAlign w:val="superscript"/>
              </w:rPr>
              <w:t>7</w:t>
            </w:r>
            <w:r w:rsidR="004007EB" w:rsidRPr="004007EB">
              <w:rPr>
                <w:b/>
                <w:vertAlign w:val="superscript"/>
              </w:rPr>
              <w:t>)</w:t>
            </w:r>
            <w:r>
              <w:rPr>
                <w:b/>
              </w:rPr>
              <w:t xml:space="preserve"> /</w:t>
            </w:r>
          </w:p>
          <w:p w14:paraId="287E9E17" w14:textId="556361FE" w:rsidR="00E76F2C" w:rsidRPr="00D33AA7" w:rsidRDefault="008233D6" w:rsidP="003314EB">
            <w:pPr>
              <w:jc w:val="right"/>
              <w:rPr>
                <w:b/>
              </w:rPr>
            </w:pPr>
            <w:r w:rsidRPr="00F0779E">
              <w:rPr>
                <w:b/>
              </w:rPr>
              <w:t>£</w:t>
            </w:r>
            <w:r>
              <w:rPr>
                <w:b/>
              </w:rPr>
              <w:t>1</w:t>
            </w:r>
            <w:r w:rsidR="00121D02">
              <w:rPr>
                <w:b/>
              </w:rPr>
              <w:t>39</w:t>
            </w:r>
            <w:r>
              <w:rPr>
                <w:b/>
              </w:rPr>
              <w:t xml:space="preserve"> </w:t>
            </w:r>
            <w:r w:rsidRPr="00F0779E">
              <w:rPr>
                <w:b/>
              </w:rPr>
              <w:t>million</w:t>
            </w:r>
            <w:r w:rsidRPr="00D33AA7">
              <w:rPr>
                <w:b/>
                <w:vertAlign w:val="superscript"/>
              </w:rPr>
              <w:t>(</w:t>
            </w:r>
            <w:r w:rsidR="00F64F30">
              <w:rPr>
                <w:b/>
                <w:vertAlign w:val="superscript"/>
              </w:rPr>
              <w:t>6</w:t>
            </w:r>
            <w:r w:rsidRPr="00D33AA7">
              <w:rPr>
                <w:b/>
                <w:vertAlign w:val="superscript"/>
              </w:rPr>
              <w:t>)</w:t>
            </w:r>
          </w:p>
        </w:tc>
        <w:tc>
          <w:tcPr>
            <w:tcW w:w="1009" w:type="pct"/>
            <w:tcBorders>
              <w:top w:val="nil"/>
              <w:left w:val="nil"/>
              <w:bottom w:val="nil"/>
              <w:right w:val="nil"/>
            </w:tcBorders>
            <w:vAlign w:val="center"/>
          </w:tcPr>
          <w:p w14:paraId="12574FCF" w14:textId="42026B6F" w:rsidR="008233D6" w:rsidRPr="008233D6" w:rsidRDefault="008233D6" w:rsidP="008233D6">
            <w:pPr>
              <w:jc w:val="right"/>
              <w:rPr>
                <w:bCs/>
              </w:rPr>
            </w:pPr>
            <w:r w:rsidRPr="008233D6">
              <w:rPr>
                <w:bCs/>
              </w:rPr>
              <w:t>$1</w:t>
            </w:r>
            <w:r w:rsidR="00AE76AC">
              <w:rPr>
                <w:bCs/>
              </w:rPr>
              <w:t>37</w:t>
            </w:r>
            <w:r w:rsidRPr="008233D6">
              <w:rPr>
                <w:bCs/>
              </w:rPr>
              <w:t xml:space="preserve"> million</w:t>
            </w:r>
            <w:r w:rsidR="00F64F30" w:rsidRPr="00F64F30">
              <w:rPr>
                <w:bCs/>
                <w:vertAlign w:val="superscript"/>
              </w:rPr>
              <w:t>(7)</w:t>
            </w:r>
            <w:r w:rsidRPr="008233D6">
              <w:rPr>
                <w:bCs/>
              </w:rPr>
              <w:t xml:space="preserve"> /</w:t>
            </w:r>
          </w:p>
          <w:p w14:paraId="1C839A5F" w14:textId="60B3217E" w:rsidR="00751816" w:rsidRPr="004C1DEE" w:rsidRDefault="008233D6" w:rsidP="008233D6">
            <w:pPr>
              <w:jc w:val="right"/>
            </w:pPr>
            <w:r w:rsidRPr="008233D6">
              <w:rPr>
                <w:bCs/>
              </w:rPr>
              <w:t>£1</w:t>
            </w:r>
            <w:r w:rsidR="00AE76AC">
              <w:rPr>
                <w:bCs/>
              </w:rPr>
              <w:t>0</w:t>
            </w:r>
            <w:r w:rsidR="00121D02">
              <w:rPr>
                <w:bCs/>
              </w:rPr>
              <w:t>7</w:t>
            </w:r>
            <w:r w:rsidRPr="008233D6">
              <w:rPr>
                <w:bCs/>
              </w:rPr>
              <w:t xml:space="preserve"> million</w:t>
            </w:r>
            <w:r w:rsidRPr="008233D6">
              <w:rPr>
                <w:bCs/>
                <w:vertAlign w:val="superscript"/>
              </w:rPr>
              <w:t>(</w:t>
            </w:r>
            <w:r w:rsidR="00F64F30">
              <w:rPr>
                <w:bCs/>
                <w:vertAlign w:val="superscript"/>
              </w:rPr>
              <w:t>6</w:t>
            </w:r>
            <w:r w:rsidRPr="008233D6">
              <w:rPr>
                <w:bCs/>
                <w:vertAlign w:val="superscript"/>
              </w:rPr>
              <w:t>)</w:t>
            </w:r>
          </w:p>
        </w:tc>
      </w:tr>
      <w:tr w:rsidR="004C1DEE" w:rsidRPr="00D33AA7" w14:paraId="6FC9ABF5" w14:textId="77777777" w:rsidTr="00F64172">
        <w:trPr>
          <w:trHeight w:val="469"/>
        </w:trPr>
        <w:tc>
          <w:tcPr>
            <w:tcW w:w="2987" w:type="pct"/>
            <w:tcBorders>
              <w:top w:val="nil"/>
              <w:left w:val="nil"/>
              <w:bottom w:val="nil"/>
              <w:right w:val="nil"/>
            </w:tcBorders>
            <w:vAlign w:val="center"/>
          </w:tcPr>
          <w:p w14:paraId="14F4B2AF" w14:textId="0035C4FB" w:rsidR="004C1DEE" w:rsidRPr="00D33AA7" w:rsidRDefault="004C1DEE" w:rsidP="004C1DEE">
            <w:pPr>
              <w:tabs>
                <w:tab w:val="left" w:pos="493"/>
              </w:tabs>
            </w:pPr>
            <w:r w:rsidRPr="00D33AA7">
              <w:t>Share price at</w:t>
            </w:r>
            <w:r>
              <w:t xml:space="preserve"> 31 December</w:t>
            </w:r>
          </w:p>
        </w:tc>
        <w:tc>
          <w:tcPr>
            <w:tcW w:w="1004" w:type="pct"/>
            <w:tcBorders>
              <w:top w:val="nil"/>
              <w:left w:val="nil"/>
              <w:bottom w:val="nil"/>
              <w:right w:val="nil"/>
            </w:tcBorders>
            <w:vAlign w:val="center"/>
          </w:tcPr>
          <w:p w14:paraId="0A77A4C4" w14:textId="5318D5E9" w:rsidR="004C1DEE" w:rsidRPr="00D33AA7" w:rsidRDefault="004C1DEE" w:rsidP="003314EB">
            <w:pPr>
              <w:jc w:val="right"/>
              <w:rPr>
                <w:b/>
              </w:rPr>
            </w:pPr>
            <w:r w:rsidRPr="00D33AA7">
              <w:rPr>
                <w:b/>
              </w:rPr>
              <w:t>$</w:t>
            </w:r>
            <w:r w:rsidR="00937017">
              <w:rPr>
                <w:b/>
              </w:rPr>
              <w:t>5.43</w:t>
            </w:r>
            <w:r w:rsidR="00DA1357">
              <w:rPr>
                <w:b/>
              </w:rPr>
              <w:t xml:space="preserve"> </w:t>
            </w:r>
            <w:r w:rsidRPr="00F0779E">
              <w:rPr>
                <w:b/>
              </w:rPr>
              <w:t>/</w:t>
            </w:r>
            <w:r>
              <w:rPr>
                <w:b/>
              </w:rPr>
              <w:t xml:space="preserve"> </w:t>
            </w:r>
            <w:r w:rsidRPr="00F0779E">
              <w:rPr>
                <w:b/>
              </w:rPr>
              <w:t>£</w:t>
            </w:r>
            <w:r w:rsidR="00937017">
              <w:rPr>
                <w:b/>
              </w:rPr>
              <w:t>4.14</w:t>
            </w:r>
            <w:r w:rsidR="00080410" w:rsidRPr="00D33AA7">
              <w:rPr>
                <w:b/>
                <w:vertAlign w:val="superscript"/>
              </w:rPr>
              <w:t xml:space="preserve"> </w:t>
            </w:r>
            <w:r w:rsidRPr="00D33AA7">
              <w:rPr>
                <w:b/>
                <w:vertAlign w:val="superscript"/>
              </w:rPr>
              <w:t>(</w:t>
            </w:r>
            <w:r w:rsidR="00F64F30">
              <w:rPr>
                <w:b/>
                <w:vertAlign w:val="superscript"/>
              </w:rPr>
              <w:t>6</w:t>
            </w:r>
            <w:r w:rsidRPr="00D33AA7">
              <w:rPr>
                <w:b/>
                <w:vertAlign w:val="superscript"/>
              </w:rPr>
              <w:t>)</w:t>
            </w:r>
          </w:p>
        </w:tc>
        <w:tc>
          <w:tcPr>
            <w:tcW w:w="1009" w:type="pct"/>
            <w:tcBorders>
              <w:top w:val="nil"/>
              <w:left w:val="nil"/>
              <w:bottom w:val="nil"/>
              <w:right w:val="nil"/>
            </w:tcBorders>
            <w:vAlign w:val="center"/>
          </w:tcPr>
          <w:p w14:paraId="20477113" w14:textId="7AD31E23" w:rsidR="004C1DEE" w:rsidRPr="004C1DEE" w:rsidRDefault="004C1DEE" w:rsidP="004C1DEE">
            <w:pPr>
              <w:jc w:val="right"/>
            </w:pPr>
            <w:r w:rsidRPr="004C1DEE">
              <w:t>$</w:t>
            </w:r>
            <w:r w:rsidR="008F3390">
              <w:t>13.71</w:t>
            </w:r>
            <w:r w:rsidRPr="004C1DEE">
              <w:t xml:space="preserve"> / £1</w:t>
            </w:r>
            <w:r w:rsidR="008F3390">
              <w:t>0.76</w:t>
            </w:r>
            <w:r w:rsidRPr="004C1DEE">
              <w:rPr>
                <w:vertAlign w:val="superscript"/>
              </w:rPr>
              <w:t>(</w:t>
            </w:r>
            <w:r w:rsidR="00F64F30">
              <w:rPr>
                <w:vertAlign w:val="superscript"/>
              </w:rPr>
              <w:t>6</w:t>
            </w:r>
            <w:r w:rsidRPr="004C1DEE">
              <w:rPr>
                <w:vertAlign w:val="superscript"/>
              </w:rPr>
              <w:t>)</w:t>
            </w:r>
          </w:p>
        </w:tc>
      </w:tr>
      <w:tr w:rsidR="004C1DEE" w:rsidRPr="00D33AA7" w14:paraId="77464A6D" w14:textId="77777777" w:rsidTr="00F64172">
        <w:trPr>
          <w:trHeight w:val="469"/>
        </w:trPr>
        <w:tc>
          <w:tcPr>
            <w:tcW w:w="2987" w:type="pct"/>
            <w:tcBorders>
              <w:top w:val="nil"/>
              <w:left w:val="nil"/>
              <w:bottom w:val="nil"/>
              <w:right w:val="nil"/>
            </w:tcBorders>
            <w:vAlign w:val="center"/>
          </w:tcPr>
          <w:p w14:paraId="1A378B8D" w14:textId="2ABC395D" w:rsidR="004C1DEE" w:rsidRPr="00D33AA7" w:rsidRDefault="004C1DEE" w:rsidP="00DB6E9D">
            <w:pPr>
              <w:tabs>
                <w:tab w:val="left" w:pos="493"/>
              </w:tabs>
            </w:pPr>
            <w:r w:rsidRPr="00D33AA7">
              <w:t xml:space="preserve">Total comprehensive </w:t>
            </w:r>
            <w:r w:rsidR="00930676">
              <w:t>loss</w:t>
            </w:r>
            <w:r w:rsidR="00DB6E9D">
              <w:t xml:space="preserve"> </w:t>
            </w:r>
            <w:r>
              <w:t xml:space="preserve">for the </w:t>
            </w:r>
            <w:r w:rsidRPr="00730956">
              <w:t>year ended</w:t>
            </w:r>
            <w:r>
              <w:t xml:space="preserve"> 31 December</w:t>
            </w:r>
          </w:p>
        </w:tc>
        <w:tc>
          <w:tcPr>
            <w:tcW w:w="1004" w:type="pct"/>
            <w:tcBorders>
              <w:top w:val="nil"/>
              <w:left w:val="nil"/>
              <w:bottom w:val="nil"/>
              <w:right w:val="nil"/>
            </w:tcBorders>
            <w:vAlign w:val="center"/>
          </w:tcPr>
          <w:p w14:paraId="5FF16CF3" w14:textId="10382465" w:rsidR="004C1DEE" w:rsidRPr="00D33AA7" w:rsidRDefault="004C1DEE" w:rsidP="003314EB">
            <w:pPr>
              <w:jc w:val="right"/>
              <w:rPr>
                <w:b/>
              </w:rPr>
            </w:pPr>
            <w:r w:rsidRPr="00D33AA7">
              <w:rPr>
                <w:b/>
              </w:rPr>
              <w:t>$</w:t>
            </w:r>
            <w:r w:rsidR="00DB6E9D">
              <w:rPr>
                <w:b/>
              </w:rPr>
              <w:t>(6</w:t>
            </w:r>
            <w:r w:rsidR="000906E1">
              <w:rPr>
                <w:b/>
              </w:rPr>
              <w:t>59</w:t>
            </w:r>
            <w:r w:rsidR="00DB6E9D">
              <w:rPr>
                <w:b/>
              </w:rPr>
              <w:t>.</w:t>
            </w:r>
            <w:r w:rsidR="00B42E23">
              <w:rPr>
                <w:b/>
              </w:rPr>
              <w:t>6</w:t>
            </w:r>
            <w:r w:rsidR="00DB6E9D">
              <w:rPr>
                <w:b/>
              </w:rPr>
              <w:t>)</w:t>
            </w:r>
            <w:r w:rsidR="003314EB">
              <w:rPr>
                <w:b/>
              </w:rPr>
              <w:t xml:space="preserve"> </w:t>
            </w:r>
            <w:r w:rsidRPr="00D33AA7">
              <w:rPr>
                <w:b/>
              </w:rPr>
              <w:t>million</w:t>
            </w:r>
          </w:p>
        </w:tc>
        <w:tc>
          <w:tcPr>
            <w:tcW w:w="1009" w:type="pct"/>
            <w:tcBorders>
              <w:top w:val="nil"/>
              <w:left w:val="nil"/>
              <w:bottom w:val="nil"/>
              <w:right w:val="nil"/>
            </w:tcBorders>
            <w:vAlign w:val="center"/>
          </w:tcPr>
          <w:p w14:paraId="7158D091" w14:textId="20C29EC2" w:rsidR="004C1DEE" w:rsidRPr="004C1DEE" w:rsidRDefault="004C1DEE" w:rsidP="004C1DEE">
            <w:pPr>
              <w:jc w:val="right"/>
            </w:pPr>
            <w:r w:rsidRPr="004C1DEE">
              <w:t>$</w:t>
            </w:r>
            <w:r w:rsidR="008F3390">
              <w:t>(241.0)</w:t>
            </w:r>
            <w:r w:rsidRPr="004C1DEE">
              <w:rPr>
                <w:szCs w:val="24"/>
              </w:rPr>
              <w:t xml:space="preserve"> </w:t>
            </w:r>
            <w:r w:rsidRPr="004C1DEE">
              <w:t>million</w:t>
            </w:r>
          </w:p>
        </w:tc>
      </w:tr>
      <w:tr w:rsidR="004C1DEE" w:rsidRPr="00D33AA7" w14:paraId="2D974469" w14:textId="77777777" w:rsidTr="00F64172">
        <w:trPr>
          <w:trHeight w:val="469"/>
        </w:trPr>
        <w:tc>
          <w:tcPr>
            <w:tcW w:w="2987" w:type="pct"/>
            <w:tcBorders>
              <w:top w:val="nil"/>
              <w:left w:val="nil"/>
              <w:bottom w:val="nil"/>
              <w:right w:val="nil"/>
            </w:tcBorders>
            <w:vAlign w:val="center"/>
          </w:tcPr>
          <w:p w14:paraId="45E21970" w14:textId="347AC32D" w:rsidR="004C1DEE" w:rsidRPr="00D33AA7" w:rsidRDefault="004C1DEE" w:rsidP="00DB6E9D">
            <w:pPr>
              <w:tabs>
                <w:tab w:val="left" w:pos="493"/>
              </w:tabs>
            </w:pPr>
            <w:r w:rsidRPr="00D33AA7">
              <w:t>Basic</w:t>
            </w:r>
            <w:r w:rsidR="00F05BD3">
              <w:t xml:space="preserve"> and diluted</w:t>
            </w:r>
            <w:r w:rsidRPr="00D33AA7">
              <w:t xml:space="preserve"> </w:t>
            </w:r>
            <w:r w:rsidR="00825EA0">
              <w:t>Loss</w:t>
            </w:r>
            <w:r w:rsidR="00DB6E9D">
              <w:t xml:space="preserve"> </w:t>
            </w:r>
            <w:r w:rsidRPr="00D33AA7">
              <w:t xml:space="preserve">per Share </w:t>
            </w:r>
            <w:r>
              <w:t xml:space="preserve">for the </w:t>
            </w:r>
            <w:r w:rsidRPr="00730956">
              <w:t>year ended</w:t>
            </w:r>
            <w:r>
              <w:t xml:space="preserve"> 31 December</w:t>
            </w:r>
          </w:p>
        </w:tc>
        <w:tc>
          <w:tcPr>
            <w:tcW w:w="1004" w:type="pct"/>
            <w:tcBorders>
              <w:top w:val="nil"/>
              <w:left w:val="nil"/>
              <w:bottom w:val="nil"/>
              <w:right w:val="nil"/>
            </w:tcBorders>
            <w:vAlign w:val="center"/>
          </w:tcPr>
          <w:p w14:paraId="0DF6C192" w14:textId="54D8FDF3" w:rsidR="004C1DEE" w:rsidRPr="00D33AA7" w:rsidRDefault="004C1DEE" w:rsidP="003314EB">
            <w:pPr>
              <w:jc w:val="right"/>
              <w:rPr>
                <w:b/>
              </w:rPr>
            </w:pPr>
            <w:r>
              <w:rPr>
                <w:szCs w:val="24"/>
              </w:rPr>
              <w:t xml:space="preserve"> </w:t>
            </w:r>
            <w:r w:rsidR="00DB6E9D">
              <w:rPr>
                <w:b/>
                <w:szCs w:val="24"/>
              </w:rPr>
              <w:t>(82</w:t>
            </w:r>
            <w:r w:rsidR="000906E1">
              <w:rPr>
                <w:b/>
                <w:szCs w:val="24"/>
              </w:rPr>
              <w:t>5</w:t>
            </w:r>
            <w:r w:rsidR="00DB6E9D">
              <w:rPr>
                <w:b/>
                <w:szCs w:val="24"/>
              </w:rPr>
              <w:t>.</w:t>
            </w:r>
            <w:r w:rsidR="00B42E23">
              <w:rPr>
                <w:b/>
                <w:szCs w:val="24"/>
              </w:rPr>
              <w:t>53</w:t>
            </w:r>
            <w:r w:rsidR="00DB6E9D">
              <w:rPr>
                <w:b/>
                <w:szCs w:val="24"/>
              </w:rPr>
              <w:t>)</w:t>
            </w:r>
            <w:r>
              <w:t xml:space="preserve"> </w:t>
            </w:r>
            <w:r w:rsidRPr="00856994">
              <w:rPr>
                <w:b/>
              </w:rPr>
              <w:t xml:space="preserve">cents </w:t>
            </w:r>
          </w:p>
        </w:tc>
        <w:tc>
          <w:tcPr>
            <w:tcW w:w="1009" w:type="pct"/>
            <w:tcBorders>
              <w:top w:val="nil"/>
              <w:left w:val="nil"/>
              <w:bottom w:val="nil"/>
              <w:right w:val="nil"/>
            </w:tcBorders>
            <w:vAlign w:val="center"/>
          </w:tcPr>
          <w:p w14:paraId="3B9DBE38" w14:textId="36E96625" w:rsidR="004C1DEE" w:rsidRPr="004C1DEE" w:rsidRDefault="004C1DEE" w:rsidP="004C1DEE">
            <w:pPr>
              <w:jc w:val="right"/>
            </w:pPr>
            <w:r w:rsidRPr="004C1DEE">
              <w:rPr>
                <w:szCs w:val="24"/>
              </w:rPr>
              <w:t xml:space="preserve"> </w:t>
            </w:r>
            <w:r w:rsidR="008F3390">
              <w:rPr>
                <w:szCs w:val="24"/>
              </w:rPr>
              <w:t>(286.87)</w:t>
            </w:r>
            <w:r w:rsidRPr="004C1DEE">
              <w:t xml:space="preserve"> cents </w:t>
            </w:r>
          </w:p>
        </w:tc>
      </w:tr>
    </w:tbl>
    <w:p w14:paraId="20FD619E" w14:textId="77777777" w:rsidR="002164DA" w:rsidRPr="00811BA1" w:rsidRDefault="002164DA" w:rsidP="00EB7E49">
      <w:pPr>
        <w:pStyle w:val="Bodytext"/>
      </w:pPr>
    </w:p>
    <w:p w14:paraId="214D5FFD" w14:textId="23932327" w:rsidR="00AB45BF" w:rsidRDefault="00AB45BF" w:rsidP="009B52C9">
      <w:pPr>
        <w:pStyle w:val="FootnoteText"/>
        <w:ind w:left="170" w:hanging="170"/>
        <w:jc w:val="both"/>
        <w:rPr>
          <w:vertAlign w:val="superscript"/>
        </w:rPr>
      </w:pPr>
      <w:r>
        <w:rPr>
          <w:vertAlign w:val="superscript"/>
        </w:rPr>
        <w:t>(1)</w:t>
      </w:r>
      <w:r>
        <w:rPr>
          <w:vertAlign w:val="superscript"/>
        </w:rPr>
        <w:tab/>
      </w:r>
      <w:r w:rsidRPr="00AB45BF">
        <w:t xml:space="preserve">Amounts </w:t>
      </w:r>
      <w:r>
        <w:t>shown reflect investment-related activity at the Partnership, not the Company</w:t>
      </w:r>
    </w:p>
    <w:p w14:paraId="049F0768" w14:textId="6326ED71" w:rsidR="003202FF" w:rsidRPr="003202FF" w:rsidRDefault="003202FF" w:rsidP="009B52C9">
      <w:pPr>
        <w:pStyle w:val="FootnoteText"/>
        <w:ind w:left="170" w:hanging="170"/>
        <w:jc w:val="both"/>
      </w:pPr>
      <w:r>
        <w:rPr>
          <w:vertAlign w:val="superscript"/>
        </w:rPr>
        <w:t xml:space="preserve">(2) </w:t>
      </w:r>
      <w:r w:rsidRPr="003202FF">
        <w:t xml:space="preserve">Net </w:t>
      </w:r>
      <w:r w:rsidR="00F64F30">
        <w:t>c</w:t>
      </w:r>
      <w:r w:rsidRPr="003202FF">
        <w:t xml:space="preserve">ommitted </w:t>
      </w:r>
      <w:r w:rsidR="00F64F30">
        <w:t>c</w:t>
      </w:r>
      <w:r w:rsidRPr="003202FF">
        <w:t xml:space="preserve">apital is </w:t>
      </w:r>
      <w:r w:rsidR="00F64F30">
        <w:t>gross c</w:t>
      </w:r>
      <w:r w:rsidRPr="003202FF">
        <w:t>ommitt</w:t>
      </w:r>
      <w:r w:rsidR="00F64F30">
        <w:t>ed capital</w:t>
      </w:r>
      <w:r w:rsidRPr="003202FF">
        <w:t xml:space="preserve"> of $</w:t>
      </w:r>
      <w:r>
        <w:t>1</w:t>
      </w:r>
      <w:r w:rsidRPr="003202FF">
        <w:t>,</w:t>
      </w:r>
      <w:r>
        <w:t>952</w:t>
      </w:r>
      <w:r w:rsidRPr="003202FF">
        <w:t xml:space="preserve"> million less return of capital proceeds of</w:t>
      </w:r>
      <w:r>
        <w:t xml:space="preserve"> $600 million</w:t>
      </w:r>
      <w:r w:rsidR="00F64F30">
        <w:t xml:space="preserve"> and</w:t>
      </w:r>
      <w:r w:rsidRPr="003202FF">
        <w:t xml:space="preserve"> </w:t>
      </w:r>
      <w:r w:rsidR="00F64F30">
        <w:t>realised losses of $13</w:t>
      </w:r>
      <w:r w:rsidR="00EB181F">
        <w:t>3</w:t>
      </w:r>
      <w:r w:rsidR="00F64F30">
        <w:t xml:space="preserve"> million</w:t>
      </w:r>
    </w:p>
    <w:p w14:paraId="0C171B45" w14:textId="142E340A" w:rsidR="00FC19DC" w:rsidRDefault="00FC19DC" w:rsidP="009B52C9">
      <w:pPr>
        <w:pStyle w:val="FootnoteText"/>
        <w:ind w:left="170" w:hanging="170"/>
        <w:jc w:val="both"/>
      </w:pPr>
      <w:r w:rsidRPr="00F64F30">
        <w:rPr>
          <w:vertAlign w:val="superscript"/>
        </w:rPr>
        <w:t>(</w:t>
      </w:r>
      <w:r w:rsidR="00F64F30">
        <w:rPr>
          <w:vertAlign w:val="superscript"/>
        </w:rPr>
        <w:t>3</w:t>
      </w:r>
      <w:r w:rsidRPr="00F64F30">
        <w:rPr>
          <w:vertAlign w:val="superscript"/>
        </w:rPr>
        <w:t>)</w:t>
      </w:r>
      <w:r w:rsidR="009419CC" w:rsidRPr="003202FF">
        <w:t xml:space="preserve"> </w:t>
      </w:r>
      <w:r w:rsidR="00F83FA5">
        <w:t>Net</w:t>
      </w:r>
      <w:r w:rsidR="00191C21">
        <w:t xml:space="preserve"> capital</w:t>
      </w:r>
      <w:r w:rsidR="00F83FA5">
        <w:t xml:space="preserve"> available of $</w:t>
      </w:r>
      <w:r w:rsidR="00E45AEF">
        <w:t>1,</w:t>
      </w:r>
      <w:r w:rsidR="006D30F3">
        <w:t>190</w:t>
      </w:r>
      <w:r w:rsidR="00991809">
        <w:t xml:space="preserve"> </w:t>
      </w:r>
      <w:r w:rsidR="00F83FA5">
        <w:t>million is b</w:t>
      </w:r>
      <w:r w:rsidRPr="00D33AA7">
        <w:t>ased on total capital raised of $</w:t>
      </w:r>
      <w:r w:rsidR="00E45AEF">
        <w:t>1,320</w:t>
      </w:r>
      <w:r w:rsidR="00991809">
        <w:t xml:space="preserve"> </w:t>
      </w:r>
      <w:r w:rsidRPr="00D33AA7">
        <w:t>million</w:t>
      </w:r>
      <w:r w:rsidR="0052553D">
        <w:t>, capital utilised for Tender Offer of $7</w:t>
      </w:r>
      <w:r w:rsidR="00765749">
        <w:t>2</w:t>
      </w:r>
      <w:r w:rsidR="0052553D">
        <w:t xml:space="preserve"> million</w:t>
      </w:r>
      <w:r w:rsidR="002E0A95">
        <w:t xml:space="preserve">, </w:t>
      </w:r>
      <w:r w:rsidR="004B296F" w:rsidRPr="00C87AC3">
        <w:t>realised profits and other income net of fees, expe</w:t>
      </w:r>
      <w:r w:rsidR="00646AAC">
        <w:t>nses and performance allocation</w:t>
      </w:r>
      <w:r w:rsidR="004B296F" w:rsidRPr="00C87AC3">
        <w:t xml:space="preserve"> </w:t>
      </w:r>
    </w:p>
    <w:p w14:paraId="4C58CB11" w14:textId="4B2BA235" w:rsidR="00E34466" w:rsidRDefault="004007EB" w:rsidP="009B52C9">
      <w:pPr>
        <w:pStyle w:val="FootnoteText"/>
        <w:ind w:left="170" w:hanging="170"/>
        <w:jc w:val="both"/>
      </w:pPr>
      <w:r w:rsidRPr="00081323" w:rsidDel="004007EB">
        <w:rPr>
          <w:vertAlign w:val="superscript"/>
        </w:rPr>
        <w:t xml:space="preserve"> </w:t>
      </w:r>
      <w:r w:rsidR="00E34466" w:rsidRPr="00081323">
        <w:rPr>
          <w:vertAlign w:val="superscript"/>
        </w:rPr>
        <w:t>(</w:t>
      </w:r>
      <w:r w:rsidR="00F64F30">
        <w:rPr>
          <w:vertAlign w:val="superscript"/>
        </w:rPr>
        <w:t>4</w:t>
      </w:r>
      <w:r w:rsidR="00E34466" w:rsidRPr="00081323">
        <w:rPr>
          <w:vertAlign w:val="superscript"/>
        </w:rPr>
        <w:t>)</w:t>
      </w:r>
      <w:r w:rsidR="00E34466" w:rsidRPr="00081323">
        <w:t xml:space="preserve"> </w:t>
      </w:r>
      <w:r>
        <w:t>In Q1 2020, the</w:t>
      </w:r>
      <w:r w:rsidR="00BE7220">
        <w:t xml:space="preserve"> Company’s</w:t>
      </w:r>
      <w:r>
        <w:t xml:space="preserve"> c</w:t>
      </w:r>
      <w:r w:rsidR="00E34466">
        <w:t>ommitment</w:t>
      </w:r>
      <w:r w:rsidR="00BE7220">
        <w:t>, through the Partnership,</w:t>
      </w:r>
      <w:r w:rsidR="00121D02">
        <w:t xml:space="preserve"> to Aleph Midstream S.A.</w:t>
      </w:r>
      <w:r w:rsidR="00E34466">
        <w:t xml:space="preserve"> was withdrawn</w:t>
      </w:r>
      <w:r w:rsidR="00BE7220">
        <w:t>,</w:t>
      </w:r>
      <w:r w:rsidR="00E34466">
        <w:t xml:space="preserve"> </w:t>
      </w:r>
      <w:r w:rsidR="00BE7220">
        <w:t xml:space="preserve">bringing remaining </w:t>
      </w:r>
      <w:r w:rsidR="00F579AC">
        <w:t xml:space="preserve">potential </w:t>
      </w:r>
      <w:r w:rsidR="00BE7220">
        <w:t>unfunded commitments to $135 million,</w:t>
      </w:r>
      <w:r w:rsidR="00BE7220" w:rsidDel="004007EB">
        <w:t xml:space="preserve"> </w:t>
      </w:r>
      <w:r w:rsidR="00082857">
        <w:t xml:space="preserve">and </w:t>
      </w:r>
      <w:r w:rsidR="00BE7220">
        <w:t xml:space="preserve">the </w:t>
      </w:r>
      <w:r w:rsidR="00E34466">
        <w:t xml:space="preserve">capital invested of $23 million </w:t>
      </w:r>
      <w:r>
        <w:t>was</w:t>
      </w:r>
      <w:r w:rsidR="00E34466">
        <w:t xml:space="preserve"> returned</w:t>
      </w:r>
      <w:r w:rsidR="00121D02">
        <w:t xml:space="preserve"> upon closing of the winddown</w:t>
      </w:r>
      <w:r w:rsidR="00BE7220">
        <w:t>. This transaction,</w:t>
      </w:r>
      <w:r>
        <w:t xml:space="preserve"> </w:t>
      </w:r>
      <w:r w:rsidR="00DE54BA">
        <w:t xml:space="preserve">as well as </w:t>
      </w:r>
      <w:r w:rsidR="00BE7220">
        <w:t xml:space="preserve">the partial realisation of Ridgebury H3 LLC for </w:t>
      </w:r>
      <w:r w:rsidR="00DE54BA">
        <w:t xml:space="preserve">proceeds of $8 million and </w:t>
      </w:r>
      <w:r w:rsidR="00BE7220">
        <w:t xml:space="preserve">the sale of Castex Energy 2014 LLC for </w:t>
      </w:r>
      <w:r w:rsidR="00DE54BA">
        <w:t>$7 million</w:t>
      </w:r>
      <w:r w:rsidR="00DE54BA" w:rsidRPr="004A19B6">
        <w:t xml:space="preserve">, </w:t>
      </w:r>
      <w:r w:rsidR="00DE54BA">
        <w:t>in aggregate,</w:t>
      </w:r>
      <w:r w:rsidR="00DE54BA" w:rsidRPr="004A19B6">
        <w:t xml:space="preserve"> brought the uninvested cash balance to $2</w:t>
      </w:r>
      <w:r w:rsidR="00D92B67">
        <w:t>11</w:t>
      </w:r>
      <w:r w:rsidR="00DE54BA" w:rsidRPr="004A19B6">
        <w:t xml:space="preserve"> million</w:t>
      </w:r>
      <w:r w:rsidR="00DE54BA">
        <w:t xml:space="preserve"> after funding $7 million to Onyx Power and paying </w:t>
      </w:r>
      <w:r w:rsidR="00407D9F">
        <w:t xml:space="preserve">$1.2 million </w:t>
      </w:r>
      <w:r w:rsidR="00DE54BA">
        <w:t xml:space="preserve">of the 31 December 2019 </w:t>
      </w:r>
      <w:r w:rsidR="00407D9F">
        <w:t>M</w:t>
      </w:r>
      <w:r w:rsidR="00DE54BA">
        <w:t xml:space="preserve">anagement </w:t>
      </w:r>
      <w:r w:rsidR="00407D9F">
        <w:t>F</w:t>
      </w:r>
      <w:r w:rsidR="00DE54BA">
        <w:t>ee</w:t>
      </w:r>
      <w:r w:rsidR="00407D9F">
        <w:t xml:space="preserve"> of $2.4 million</w:t>
      </w:r>
    </w:p>
    <w:p w14:paraId="58B93D3C" w14:textId="3763EC84" w:rsidR="004007EB" w:rsidRPr="00081323" w:rsidRDefault="004007EB" w:rsidP="009B52C9">
      <w:pPr>
        <w:pStyle w:val="FootnoteText"/>
        <w:ind w:left="170" w:hanging="170"/>
        <w:jc w:val="both"/>
      </w:pPr>
      <w:r w:rsidRPr="00081323">
        <w:rPr>
          <w:vertAlign w:val="superscript"/>
        </w:rPr>
        <w:t>(</w:t>
      </w:r>
      <w:r w:rsidR="00F64F30">
        <w:rPr>
          <w:vertAlign w:val="superscript"/>
        </w:rPr>
        <w:t>5</w:t>
      </w:r>
      <w:r w:rsidRPr="00081323">
        <w:rPr>
          <w:vertAlign w:val="superscript"/>
        </w:rPr>
        <w:t xml:space="preserve">) </w:t>
      </w:r>
      <w:r w:rsidRPr="00081323">
        <w:t>Amounts may vary due to rounding</w:t>
      </w:r>
    </w:p>
    <w:p w14:paraId="513D9B65" w14:textId="77777777" w:rsidR="00C900F2" w:rsidRDefault="004007EB" w:rsidP="009B52C9">
      <w:pPr>
        <w:pStyle w:val="FootnoteText"/>
        <w:ind w:left="170" w:hanging="170"/>
        <w:jc w:val="both"/>
      </w:pPr>
      <w:r w:rsidRPr="00081323">
        <w:rPr>
          <w:vertAlign w:val="superscript"/>
        </w:rPr>
        <w:t>(</w:t>
      </w:r>
      <w:r w:rsidR="00F64F30">
        <w:rPr>
          <w:vertAlign w:val="superscript"/>
        </w:rPr>
        <w:t>6</w:t>
      </w:r>
      <w:r w:rsidRPr="00081323">
        <w:rPr>
          <w:vertAlign w:val="superscript"/>
        </w:rPr>
        <w:t>)</w:t>
      </w:r>
      <w:r w:rsidRPr="00081323">
        <w:t xml:space="preserve"> </w:t>
      </w:r>
      <w:r w:rsidRPr="006347DC">
        <w:t>Based on exchange rate of</w:t>
      </w:r>
      <w:r>
        <w:t xml:space="preserve"> </w:t>
      </w:r>
      <w:r w:rsidRPr="005F4495">
        <w:t>1.</w:t>
      </w:r>
      <w:r>
        <w:t>3124</w:t>
      </w:r>
      <w:r>
        <w:rPr>
          <w:sz w:val="20"/>
        </w:rPr>
        <w:t xml:space="preserve"> </w:t>
      </w:r>
      <w:r w:rsidRPr="00A073D9">
        <w:t>$/£ at</w:t>
      </w:r>
      <w:r w:rsidRPr="006347DC">
        <w:t xml:space="preserve"> 3</w:t>
      </w:r>
      <w:r>
        <w:t>1</w:t>
      </w:r>
      <w:r w:rsidRPr="006347DC">
        <w:t xml:space="preserve"> </w:t>
      </w:r>
      <w:r>
        <w:t>December</w:t>
      </w:r>
      <w:r w:rsidRPr="006347DC">
        <w:t xml:space="preserve"> 201</w:t>
      </w:r>
      <w:r>
        <w:t>9</w:t>
      </w:r>
      <w:r w:rsidRPr="006347DC">
        <w:t xml:space="preserve"> (1.</w:t>
      </w:r>
      <w:r>
        <w:t>274</w:t>
      </w:r>
      <w:r w:rsidRPr="006347DC">
        <w:t xml:space="preserve"> $/£ at 31 December 201</w:t>
      </w:r>
      <w:r>
        <w:t>8</w:t>
      </w:r>
      <w:r w:rsidRPr="006347DC">
        <w:t xml:space="preserve"> and </w:t>
      </w:r>
      <w:r>
        <w:t>1.606</w:t>
      </w:r>
      <w:r w:rsidRPr="006347DC">
        <w:t xml:space="preserve"> $/£ at </w:t>
      </w:r>
      <w:r>
        <w:t>IPO</w:t>
      </w:r>
      <w:r w:rsidRPr="006347DC">
        <w:t>)</w:t>
      </w:r>
    </w:p>
    <w:p w14:paraId="342DCBEF" w14:textId="374E486F" w:rsidR="004007EB" w:rsidRPr="004007EB" w:rsidRDefault="004007EB" w:rsidP="009B52C9">
      <w:pPr>
        <w:pStyle w:val="FootnoteText"/>
        <w:ind w:left="170" w:hanging="170"/>
        <w:jc w:val="both"/>
        <w:rPr>
          <w:vertAlign w:val="superscript"/>
        </w:rPr>
      </w:pPr>
      <w:r w:rsidRPr="004007EB">
        <w:rPr>
          <w:vertAlign w:val="superscript"/>
        </w:rPr>
        <w:t>(</w:t>
      </w:r>
      <w:r w:rsidR="00F64F30">
        <w:rPr>
          <w:vertAlign w:val="superscript"/>
        </w:rPr>
        <w:t>7</w:t>
      </w:r>
      <w:r w:rsidRPr="004007EB">
        <w:rPr>
          <w:vertAlign w:val="superscript"/>
        </w:rPr>
        <w:t xml:space="preserve">) </w:t>
      </w:r>
      <w:r w:rsidR="00F27B77">
        <w:rPr>
          <w:rFonts w:eastAsia="Times New Roman"/>
          <w:szCs w:val="16"/>
        </w:rPr>
        <w:t>At 31 December 2019 and 2018, respectively, amounts are c</w:t>
      </w:r>
      <w:r w:rsidRPr="008972EB">
        <w:rPr>
          <w:rFonts w:eastAsia="Times New Roman"/>
          <w:szCs w:val="16"/>
        </w:rPr>
        <w:t>omprised of</w:t>
      </w:r>
      <w:r>
        <w:rPr>
          <w:rFonts w:eastAsia="Times New Roman"/>
          <w:szCs w:val="16"/>
        </w:rPr>
        <w:t xml:space="preserve"> $0.2 million</w:t>
      </w:r>
      <w:r w:rsidR="00F27B77">
        <w:rPr>
          <w:rFonts w:eastAsia="Times New Roman"/>
          <w:szCs w:val="16"/>
        </w:rPr>
        <w:t xml:space="preserve"> and </w:t>
      </w:r>
      <w:r w:rsidR="001623DD">
        <w:rPr>
          <w:rFonts w:eastAsia="Times New Roman"/>
          <w:szCs w:val="16"/>
        </w:rPr>
        <w:t>$2.1 million</w:t>
      </w:r>
      <w:r>
        <w:rPr>
          <w:rFonts w:eastAsia="Times New Roman"/>
          <w:szCs w:val="16"/>
        </w:rPr>
        <w:t xml:space="preserve"> held at the Company,</w:t>
      </w:r>
      <w:r w:rsidRPr="008972EB">
        <w:rPr>
          <w:rFonts w:eastAsia="Times New Roman"/>
          <w:szCs w:val="16"/>
        </w:rPr>
        <w:t xml:space="preserve"> $</w:t>
      </w:r>
      <w:r>
        <w:rPr>
          <w:rFonts w:eastAsia="Times New Roman"/>
          <w:szCs w:val="16"/>
        </w:rPr>
        <w:t>163.4</w:t>
      </w:r>
      <w:r w:rsidRPr="008972EB">
        <w:rPr>
          <w:rFonts w:eastAsia="Times New Roman"/>
          <w:szCs w:val="16"/>
        </w:rPr>
        <w:t xml:space="preserve"> million</w:t>
      </w:r>
      <w:r w:rsidR="001623DD">
        <w:rPr>
          <w:rFonts w:eastAsia="Times New Roman"/>
          <w:szCs w:val="16"/>
        </w:rPr>
        <w:t xml:space="preserve"> and $127.5 million</w:t>
      </w:r>
      <w:r w:rsidRPr="008972EB">
        <w:rPr>
          <w:rFonts w:eastAsia="Times New Roman"/>
          <w:szCs w:val="16"/>
        </w:rPr>
        <w:t xml:space="preserve"> held at the Partnership and $</w:t>
      </w:r>
      <w:r>
        <w:rPr>
          <w:rFonts w:eastAsia="Times New Roman"/>
          <w:szCs w:val="16"/>
        </w:rPr>
        <w:t>19.0</w:t>
      </w:r>
      <w:r w:rsidRPr="008972EB">
        <w:rPr>
          <w:rFonts w:eastAsia="Times New Roman"/>
          <w:szCs w:val="16"/>
        </w:rPr>
        <w:t xml:space="preserve"> million</w:t>
      </w:r>
      <w:r w:rsidR="001623DD">
        <w:rPr>
          <w:rFonts w:eastAsia="Times New Roman"/>
          <w:szCs w:val="16"/>
        </w:rPr>
        <w:t xml:space="preserve"> and $7.1 million</w:t>
      </w:r>
      <w:r w:rsidRPr="008972EB">
        <w:rPr>
          <w:rFonts w:eastAsia="Times New Roman"/>
          <w:szCs w:val="16"/>
        </w:rPr>
        <w:t xml:space="preserve"> held at </w:t>
      </w:r>
      <w:r w:rsidRPr="004213ED">
        <w:rPr>
          <w:rFonts w:eastAsia="Times New Roman"/>
          <w:szCs w:val="16"/>
        </w:rPr>
        <w:t>REL US Corp</w:t>
      </w:r>
    </w:p>
    <w:p w14:paraId="69C8D5A6" w14:textId="10E8ED47" w:rsidR="004007EB" w:rsidRDefault="004007EB" w:rsidP="004007EB">
      <w:pPr>
        <w:pStyle w:val="FootnoteText"/>
        <w:ind w:left="170" w:hanging="170"/>
      </w:pPr>
    </w:p>
    <w:p w14:paraId="07C28444" w14:textId="77777777" w:rsidR="00E34466" w:rsidRDefault="00E34466" w:rsidP="00397967">
      <w:pPr>
        <w:pStyle w:val="FootnoteText"/>
      </w:pPr>
    </w:p>
    <w:p w14:paraId="3A7AD3E0" w14:textId="60D6A500" w:rsidR="00B84416" w:rsidRPr="00081323" w:rsidRDefault="00B84416" w:rsidP="00EB7E49">
      <w:pPr>
        <w:pStyle w:val="Heading1"/>
        <w:spacing w:before="0"/>
      </w:pPr>
      <w:bookmarkStart w:id="1" w:name="_Hlk32592148"/>
      <w:r w:rsidRPr="00081323">
        <w:t>Chairman’s Statement</w:t>
      </w:r>
    </w:p>
    <w:p w14:paraId="5C5F02CF" w14:textId="77777777" w:rsidR="00460844" w:rsidRDefault="00460844" w:rsidP="00460844">
      <w:pPr>
        <w:rPr>
          <w:i/>
          <w:sz w:val="24"/>
          <w:szCs w:val="24"/>
        </w:rPr>
      </w:pPr>
    </w:p>
    <w:p w14:paraId="7DB8C5A4" w14:textId="4CEC83A8" w:rsidR="008500F8" w:rsidRDefault="00AE72E9" w:rsidP="00397967">
      <w:pPr>
        <w:jc w:val="both"/>
        <w:rPr>
          <w:rFonts w:eastAsia="Calibri"/>
          <w:lang w:val="en-US"/>
        </w:rPr>
      </w:pPr>
      <w:bookmarkStart w:id="2" w:name="_Hlk36465051"/>
      <w:r>
        <w:rPr>
          <w:rFonts w:eastAsia="Calibri"/>
          <w:lang w:val="en-US"/>
        </w:rPr>
        <w:t>We have had another challenging year at Riverstone Energy</w:t>
      </w:r>
      <w:r w:rsidR="0034554D">
        <w:rPr>
          <w:rFonts w:eastAsia="Calibri"/>
          <w:lang w:val="en-US"/>
        </w:rPr>
        <w:t xml:space="preserve"> Limited</w:t>
      </w:r>
      <w:r>
        <w:rPr>
          <w:rFonts w:eastAsia="Calibri"/>
          <w:lang w:val="en-US"/>
        </w:rPr>
        <w:t xml:space="preserve"> and the results are disappointing. </w:t>
      </w:r>
      <w:r w:rsidR="00E46A17" w:rsidRPr="00E46A17">
        <w:rPr>
          <w:rFonts w:eastAsia="Calibri"/>
          <w:lang w:val="en-US"/>
        </w:rPr>
        <w:t>Since the commodity price downturn began over five years ago in late 2014, REL has endured an especially difficult market environment for energy</w:t>
      </w:r>
      <w:r w:rsidR="004007EB">
        <w:rPr>
          <w:rFonts w:eastAsia="Calibri"/>
          <w:lang w:val="en-US"/>
        </w:rPr>
        <w:t>.</w:t>
      </w:r>
      <w:r w:rsidR="00743BA5">
        <w:rPr>
          <w:rFonts w:eastAsia="Calibri"/>
          <w:lang w:val="en-US"/>
        </w:rPr>
        <w:t xml:space="preserve"> </w:t>
      </w:r>
      <w:r w:rsidR="004007EB">
        <w:rPr>
          <w:rFonts w:eastAsia="Calibri"/>
          <w:lang w:val="en-US"/>
        </w:rPr>
        <w:t xml:space="preserve">Recently, these have </w:t>
      </w:r>
      <w:r w:rsidR="00743BA5">
        <w:rPr>
          <w:rFonts w:eastAsia="Calibri"/>
          <w:lang w:val="en-US"/>
        </w:rPr>
        <w:t>includ</w:t>
      </w:r>
      <w:r w:rsidR="004007EB">
        <w:rPr>
          <w:rFonts w:eastAsia="Calibri"/>
          <w:lang w:val="en-US"/>
        </w:rPr>
        <w:t>ed</w:t>
      </w:r>
      <w:r w:rsidR="00743BA5">
        <w:rPr>
          <w:rFonts w:eastAsia="Calibri"/>
          <w:lang w:val="en-US"/>
        </w:rPr>
        <w:t xml:space="preserve"> a trifecta of challenges: excess supply, demand destruction due to coronavirus and </w:t>
      </w:r>
      <w:r w:rsidR="00A1450B">
        <w:rPr>
          <w:rFonts w:eastAsia="Calibri"/>
          <w:lang w:val="en-US"/>
        </w:rPr>
        <w:t>only episodic</w:t>
      </w:r>
      <w:r w:rsidR="00743BA5">
        <w:rPr>
          <w:rFonts w:eastAsia="Calibri"/>
          <w:lang w:val="en-US"/>
        </w:rPr>
        <w:t xml:space="preserve"> access to capital markets</w:t>
      </w:r>
      <w:r w:rsidR="00E46A17" w:rsidRPr="00E46A17">
        <w:rPr>
          <w:rFonts w:eastAsia="Calibri"/>
          <w:lang w:val="en-US"/>
        </w:rPr>
        <w:t xml:space="preserve">. Last year ended with the West Texas Intermediate (“WTI”) trading at $61 per barrel, recovering from $45 per barrel at the end of 2018 after undergoing several sharp increases and declines throughout the year. Oil prices continued to be heavily impacted by geopolitical developments, </w:t>
      </w:r>
      <w:r w:rsidR="008146E4">
        <w:rPr>
          <w:rFonts w:eastAsia="Calibri"/>
          <w:lang w:val="en-US"/>
        </w:rPr>
        <w:t>including</w:t>
      </w:r>
      <w:r w:rsidR="00E46A17" w:rsidRPr="00E46A17">
        <w:rPr>
          <w:rFonts w:eastAsia="Calibri"/>
          <w:lang w:val="en-US"/>
        </w:rPr>
        <w:t xml:space="preserve"> the ongoing U.S.-China trade discussions which have lasted much longer than initially anticipated and tensions between the U.S. and Iran. At the end of 2019, escalating </w:t>
      </w:r>
      <w:r w:rsidR="00E46A17" w:rsidRPr="00E46A17">
        <w:rPr>
          <w:rFonts w:eastAsia="Calibri"/>
          <w:lang w:val="en-US"/>
        </w:rPr>
        <w:lastRenderedPageBreak/>
        <w:t>U.S</w:t>
      </w:r>
      <w:r w:rsidR="00631348">
        <w:rPr>
          <w:rFonts w:eastAsia="Calibri"/>
          <w:lang w:val="en-US"/>
        </w:rPr>
        <w:t>.</w:t>
      </w:r>
      <w:r w:rsidR="00E46A17" w:rsidRPr="00E46A17">
        <w:rPr>
          <w:rFonts w:eastAsia="Calibri"/>
          <w:lang w:val="en-US"/>
        </w:rPr>
        <w:t xml:space="preserve">-Iran conflicts led to rising </w:t>
      </w:r>
      <w:r w:rsidR="008146E4">
        <w:rPr>
          <w:rFonts w:eastAsia="Calibri"/>
          <w:lang w:val="en-US"/>
        </w:rPr>
        <w:t xml:space="preserve">short-term </w:t>
      </w:r>
      <w:r w:rsidR="00E46A17" w:rsidRPr="00E46A17">
        <w:rPr>
          <w:rFonts w:eastAsia="Calibri"/>
          <w:lang w:val="en-US"/>
        </w:rPr>
        <w:t>oil prices due to concerns that instability in the Middle East could potentially create supply disruptions.</w:t>
      </w:r>
    </w:p>
    <w:p w14:paraId="00C0AF9D" w14:textId="77777777" w:rsidR="008500F8" w:rsidRDefault="008500F8" w:rsidP="00397967">
      <w:pPr>
        <w:jc w:val="both"/>
        <w:rPr>
          <w:rFonts w:eastAsia="Calibri"/>
          <w:lang w:val="en-US"/>
        </w:rPr>
      </w:pPr>
    </w:p>
    <w:p w14:paraId="133E9FB5" w14:textId="0A569145" w:rsidR="0035073B" w:rsidRDefault="0035073B" w:rsidP="00397967">
      <w:pPr>
        <w:jc w:val="both"/>
        <w:rPr>
          <w:rFonts w:eastAsia="Calibri"/>
          <w:lang w:val="en-US"/>
        </w:rPr>
      </w:pPr>
      <w:r w:rsidRPr="0035073B">
        <w:rPr>
          <w:rFonts w:eastAsia="Calibri"/>
          <w:lang w:val="en-US"/>
        </w:rPr>
        <w:t>In 2020 so far, the macro backdrop became quickly tumultuous as the confluence of the coronavirus pandemic and geopolitical instability with regards to OPEC+ have created unprecedented challenges within energy</w:t>
      </w:r>
      <w:r w:rsidR="001200E8">
        <w:rPr>
          <w:rFonts w:eastAsia="Calibri"/>
          <w:lang w:val="en-US"/>
        </w:rPr>
        <w:t xml:space="preserve"> markets</w:t>
      </w:r>
      <w:r w:rsidRPr="0035073B">
        <w:rPr>
          <w:rFonts w:eastAsia="Calibri"/>
          <w:lang w:val="en-US"/>
        </w:rPr>
        <w:t xml:space="preserve">. In early March, an OPEC+ meeting resulted in a failed discussion on production cuts and a looming oil price war between Saudi Arabia and Russia. This development, along with the coronavirus crisis, created a market environment that has not been seen for generations. </w:t>
      </w:r>
      <w:r w:rsidR="00C77E35">
        <w:rPr>
          <w:rFonts w:eastAsia="Calibri"/>
          <w:lang w:val="en-US"/>
        </w:rPr>
        <w:t>This dynamic</w:t>
      </w:r>
      <w:r w:rsidR="00A8395C">
        <w:rPr>
          <w:rFonts w:eastAsia="Calibri"/>
          <w:lang w:val="en-US"/>
        </w:rPr>
        <w:t xml:space="preserve"> has led to WTI dropping to the low of $</w:t>
      </w:r>
      <w:r w:rsidR="00C77E35">
        <w:rPr>
          <w:rFonts w:eastAsia="Calibri"/>
          <w:lang w:val="en-US"/>
        </w:rPr>
        <w:t>14</w:t>
      </w:r>
      <w:r w:rsidR="00A8395C">
        <w:rPr>
          <w:rFonts w:eastAsia="Calibri"/>
          <w:lang w:val="en-US"/>
        </w:rPr>
        <w:t xml:space="preserve">/bbl and </w:t>
      </w:r>
      <w:r w:rsidR="00C77E35">
        <w:rPr>
          <w:rFonts w:eastAsia="Calibri"/>
          <w:lang w:val="en-US"/>
        </w:rPr>
        <w:t xml:space="preserve">oil prices </w:t>
      </w:r>
      <w:r w:rsidR="00A8395C">
        <w:rPr>
          <w:rFonts w:eastAsia="Calibri"/>
          <w:lang w:val="en-US"/>
        </w:rPr>
        <w:t xml:space="preserve">in Canada </w:t>
      </w:r>
      <w:r w:rsidR="00C77E35">
        <w:rPr>
          <w:rFonts w:eastAsia="Calibri"/>
          <w:lang w:val="en-US"/>
        </w:rPr>
        <w:t xml:space="preserve">dropping </w:t>
      </w:r>
      <w:r w:rsidR="00A8395C">
        <w:rPr>
          <w:rFonts w:eastAsia="Calibri"/>
          <w:lang w:val="en-US"/>
        </w:rPr>
        <w:t xml:space="preserve">to as low as $7.50/bbl (at this price, transport costs can exceed the cost of the underlying oil). It has been projected that global oil demand will drop by 10.5 million bbl/day in March 2020 and 18.7 million bbl/day in April 2020 with a projected 2020 average of a daily demand reduction of 4.5 million bbl/day. Combined with excess supply, this could lead to short term production saturation occurring at refineries. Tanker storage for Brent related oil could be equally challenging without </w:t>
      </w:r>
      <w:r w:rsidR="00C77E35">
        <w:rPr>
          <w:rFonts w:eastAsia="Calibri"/>
          <w:lang w:val="en-US"/>
        </w:rPr>
        <w:t xml:space="preserve">further </w:t>
      </w:r>
      <w:r w:rsidR="00A8395C">
        <w:rPr>
          <w:rFonts w:eastAsia="Calibri"/>
          <w:lang w:val="en-US"/>
        </w:rPr>
        <w:t>supply reductions and with the continued depressed demand. Given the scale of the demand reduction and with continued excess supply, this could lead to a large amount of production being shut-in at the well head. Reversing such a position will not be achievable quickly. The shutting in of wells can often permanently damage reservoirs.</w:t>
      </w:r>
      <w:bookmarkEnd w:id="2"/>
      <w:r w:rsidR="00327293">
        <w:rPr>
          <w:lang w:val="en-US"/>
        </w:rPr>
        <w:t xml:space="preserve"> </w:t>
      </w:r>
      <w:r w:rsidR="00327293" w:rsidRPr="0010387D">
        <w:rPr>
          <w:lang w:val="en-US"/>
        </w:rPr>
        <w:t>Despite the very recent agreement by OPEC+ to cut global production by 9.7</w:t>
      </w:r>
      <w:r w:rsidR="00327293">
        <w:rPr>
          <w:lang w:val="en-US"/>
        </w:rPr>
        <w:t xml:space="preserve"> </w:t>
      </w:r>
      <w:r w:rsidR="00327293" w:rsidRPr="0010387D">
        <w:rPr>
          <w:lang w:val="en-US"/>
        </w:rPr>
        <w:t>m</w:t>
      </w:r>
      <w:r w:rsidR="00327293">
        <w:rPr>
          <w:lang w:val="en-US"/>
        </w:rPr>
        <w:t>illion</w:t>
      </w:r>
      <w:r w:rsidR="00327293" w:rsidRPr="0010387D">
        <w:rPr>
          <w:lang w:val="en-US"/>
        </w:rPr>
        <w:t xml:space="preserve"> bbl/day and the resultant boost to Brent pricing</w:t>
      </w:r>
      <w:r w:rsidR="00327293">
        <w:rPr>
          <w:lang w:val="en-US"/>
        </w:rPr>
        <w:t>,</w:t>
      </w:r>
      <w:r w:rsidR="00327293" w:rsidRPr="0010387D">
        <w:rPr>
          <w:lang w:val="en-US"/>
        </w:rPr>
        <w:t xml:space="preserve"> it remains very unclear how this will impact markets on a sustained basis.</w:t>
      </w:r>
    </w:p>
    <w:p w14:paraId="5ACEE2B5" w14:textId="77777777" w:rsidR="0035073B" w:rsidRDefault="0035073B" w:rsidP="00397967">
      <w:pPr>
        <w:jc w:val="both"/>
        <w:rPr>
          <w:rFonts w:eastAsia="Calibri"/>
          <w:lang w:val="en-US"/>
        </w:rPr>
      </w:pPr>
    </w:p>
    <w:p w14:paraId="3E8D8CDA" w14:textId="6BC56B34" w:rsidR="008500F8" w:rsidRDefault="0035073B" w:rsidP="00397967">
      <w:pPr>
        <w:jc w:val="both"/>
        <w:rPr>
          <w:lang w:val="en-US"/>
        </w:rPr>
      </w:pPr>
      <w:r w:rsidRPr="0035073B">
        <w:rPr>
          <w:rFonts w:eastAsia="Calibri"/>
          <w:lang w:val="en-US"/>
        </w:rPr>
        <w:t xml:space="preserve">With these recent events, oil prices and equity markets began to tumble around the globe. Energy equities and WTI have experienced historic difficulties during Q1 2020, as investor sentiment for the industry was already negative and has only continued to weaken. As of the end of 2019, energy was experiencing capital outflows from institutional investors and represented only 4 per cent. </w:t>
      </w:r>
      <w:r w:rsidR="00C77E35">
        <w:rPr>
          <w:rFonts w:eastAsia="Calibri"/>
          <w:lang w:val="en-US"/>
        </w:rPr>
        <w:t>(3 per cent. as at 31 March</w:t>
      </w:r>
      <w:r w:rsidR="00017AAB">
        <w:rPr>
          <w:rFonts w:eastAsia="Calibri"/>
          <w:lang w:val="en-US"/>
        </w:rPr>
        <w:t xml:space="preserve"> 2020</w:t>
      </w:r>
      <w:r w:rsidR="00C77E35">
        <w:rPr>
          <w:rFonts w:eastAsia="Calibri"/>
          <w:lang w:val="en-US"/>
        </w:rPr>
        <w:t xml:space="preserve">) </w:t>
      </w:r>
      <w:r w:rsidRPr="0035073B">
        <w:rPr>
          <w:rFonts w:eastAsia="Calibri"/>
          <w:lang w:val="en-US"/>
        </w:rPr>
        <w:t>of the S&amp;P 500 Index, the lowest weighting that the industry has exhibited over the last few decades. Over the course of the year, while</w:t>
      </w:r>
      <w:r>
        <w:rPr>
          <w:rFonts w:eastAsia="Calibri"/>
          <w:lang w:val="en-US"/>
        </w:rPr>
        <w:t xml:space="preserve"> </w:t>
      </w:r>
      <w:r w:rsidR="00E46A17" w:rsidRPr="00E46A17">
        <w:rPr>
          <w:rFonts w:eastAsia="Calibri"/>
          <w:lang w:val="en-US"/>
        </w:rPr>
        <w:t>WTI and the S&amp;P 500 Index increased by 3</w:t>
      </w:r>
      <w:r w:rsidR="001C51AF">
        <w:rPr>
          <w:rFonts w:eastAsia="Calibri"/>
          <w:lang w:val="en-US"/>
        </w:rPr>
        <w:t>5</w:t>
      </w:r>
      <w:r w:rsidR="00E46A17" w:rsidRPr="00E46A17">
        <w:rPr>
          <w:rFonts w:eastAsia="Calibri"/>
          <w:lang w:val="en-US"/>
        </w:rPr>
        <w:t xml:space="preserve"> per cent. and 29 per cent., respectively, the S&amp;P Energy </w:t>
      </w:r>
      <w:r w:rsidR="001C51AF">
        <w:rPr>
          <w:rFonts w:eastAsia="Calibri"/>
          <w:lang w:val="en-US"/>
        </w:rPr>
        <w:t xml:space="preserve">Select </w:t>
      </w:r>
      <w:r w:rsidR="00E46A17" w:rsidRPr="00E46A17">
        <w:rPr>
          <w:rFonts w:eastAsia="Calibri"/>
          <w:lang w:val="en-US"/>
        </w:rPr>
        <w:t xml:space="preserve">Index only increased by </w:t>
      </w:r>
      <w:r w:rsidR="00597581">
        <w:rPr>
          <w:rFonts w:eastAsia="Calibri"/>
          <w:lang w:val="en-US"/>
        </w:rPr>
        <w:t>5</w:t>
      </w:r>
      <w:r w:rsidR="00E46A17" w:rsidRPr="00E46A17">
        <w:rPr>
          <w:rFonts w:eastAsia="Calibri"/>
          <w:lang w:val="en-US"/>
        </w:rPr>
        <w:t xml:space="preserve"> per cent. while the S&amp;P Oil &amp; Gas E&amp;P Index declined by </w:t>
      </w:r>
      <w:r w:rsidR="00597581">
        <w:rPr>
          <w:rFonts w:eastAsia="Calibri"/>
          <w:lang w:val="en-US"/>
        </w:rPr>
        <w:t>10</w:t>
      </w:r>
      <w:r w:rsidR="00E46A17" w:rsidRPr="00E46A17">
        <w:rPr>
          <w:rFonts w:eastAsia="Calibri"/>
          <w:lang w:val="en-US"/>
        </w:rPr>
        <w:t xml:space="preserve"> per cent. </w:t>
      </w:r>
      <w:r w:rsidR="00C80328">
        <w:rPr>
          <w:rFonts w:eastAsia="Calibri"/>
          <w:lang w:val="en-US"/>
        </w:rPr>
        <w:t xml:space="preserve">Through the first quarter of 2020, the equity markets broadly have been hit hard by coronavirus with the S&amp;P 500 Index dropping by </w:t>
      </w:r>
      <w:r w:rsidR="00D957A2">
        <w:rPr>
          <w:rFonts w:eastAsia="Calibri"/>
          <w:lang w:val="en-US"/>
        </w:rPr>
        <w:t>2</w:t>
      </w:r>
      <w:r w:rsidR="00C77E35">
        <w:rPr>
          <w:rFonts w:eastAsia="Calibri"/>
          <w:lang w:val="en-US"/>
        </w:rPr>
        <w:t>0</w:t>
      </w:r>
      <w:r w:rsidR="00C80328">
        <w:rPr>
          <w:rFonts w:eastAsia="Calibri"/>
          <w:lang w:val="en-US"/>
        </w:rPr>
        <w:t xml:space="preserve"> per cent</w:t>
      </w:r>
      <w:r w:rsidR="00BD5447">
        <w:rPr>
          <w:rFonts w:eastAsia="Calibri"/>
          <w:lang w:val="en-US"/>
        </w:rPr>
        <w:t>.</w:t>
      </w:r>
      <w:r w:rsidR="00C80328">
        <w:rPr>
          <w:rFonts w:eastAsia="Calibri"/>
          <w:lang w:val="en-US"/>
        </w:rPr>
        <w:t xml:space="preserve"> year</w:t>
      </w:r>
      <w:r w:rsidR="0029676A">
        <w:rPr>
          <w:rFonts w:eastAsia="Calibri"/>
          <w:lang w:val="en-US"/>
        </w:rPr>
        <w:t>-</w:t>
      </w:r>
      <w:r w:rsidR="00C80328">
        <w:rPr>
          <w:rFonts w:eastAsia="Calibri"/>
          <w:lang w:val="en-US"/>
        </w:rPr>
        <w:t>to</w:t>
      </w:r>
      <w:r w:rsidR="0029676A">
        <w:rPr>
          <w:rFonts w:eastAsia="Calibri"/>
          <w:lang w:val="en-US"/>
        </w:rPr>
        <w:t>-</w:t>
      </w:r>
      <w:r w:rsidR="00C80328">
        <w:rPr>
          <w:rFonts w:eastAsia="Calibri"/>
          <w:lang w:val="en-US"/>
        </w:rPr>
        <w:t xml:space="preserve">date as </w:t>
      </w:r>
      <w:r w:rsidR="00C77E35">
        <w:rPr>
          <w:rFonts w:eastAsia="Calibri"/>
          <w:lang w:val="en-US"/>
        </w:rPr>
        <w:t>at</w:t>
      </w:r>
      <w:r w:rsidR="00C80328">
        <w:rPr>
          <w:rFonts w:eastAsia="Calibri"/>
          <w:lang w:val="en-US"/>
        </w:rPr>
        <w:t xml:space="preserve"> </w:t>
      </w:r>
      <w:r w:rsidR="00A1450B">
        <w:rPr>
          <w:rFonts w:eastAsia="Calibri"/>
          <w:lang w:val="en-US"/>
        </w:rPr>
        <w:t>31</w:t>
      </w:r>
      <w:r w:rsidR="00C80328">
        <w:rPr>
          <w:rFonts w:eastAsia="Calibri"/>
          <w:lang w:val="en-US"/>
        </w:rPr>
        <w:t xml:space="preserve"> March 2020.  The energy markets were hit even harder, and WTI declined by </w:t>
      </w:r>
      <w:r w:rsidR="00E0460A">
        <w:rPr>
          <w:rFonts w:eastAsia="Calibri"/>
          <w:lang w:val="en-US"/>
        </w:rPr>
        <w:t>6</w:t>
      </w:r>
      <w:r w:rsidR="00C77E35">
        <w:rPr>
          <w:rFonts w:eastAsia="Calibri"/>
          <w:lang w:val="en-US"/>
        </w:rPr>
        <w:t>7</w:t>
      </w:r>
      <w:r w:rsidR="00C80328">
        <w:rPr>
          <w:rFonts w:eastAsia="Calibri"/>
          <w:lang w:val="en-US"/>
        </w:rPr>
        <w:t xml:space="preserve"> per cent</w:t>
      </w:r>
      <w:r w:rsidR="00BD5447">
        <w:rPr>
          <w:rFonts w:eastAsia="Calibri"/>
          <w:lang w:val="en-US"/>
        </w:rPr>
        <w:t>.</w:t>
      </w:r>
      <w:r w:rsidR="00C80328">
        <w:rPr>
          <w:rFonts w:eastAsia="Calibri"/>
          <w:lang w:val="en-US"/>
        </w:rPr>
        <w:t xml:space="preserve"> </w:t>
      </w:r>
      <w:r w:rsidR="00C77E35">
        <w:rPr>
          <w:rFonts w:eastAsia="Calibri"/>
          <w:lang w:val="en-US"/>
        </w:rPr>
        <w:t>through 31 March 2020</w:t>
      </w:r>
      <w:r w:rsidR="00C80328">
        <w:rPr>
          <w:rFonts w:eastAsia="Calibri"/>
          <w:lang w:val="en-US"/>
        </w:rPr>
        <w:t xml:space="preserve"> and traded at $2</w:t>
      </w:r>
      <w:r w:rsidR="00E0460A">
        <w:rPr>
          <w:rFonts w:eastAsia="Calibri"/>
          <w:lang w:val="en-US"/>
        </w:rPr>
        <w:t>0</w:t>
      </w:r>
      <w:r w:rsidR="00C80328">
        <w:rPr>
          <w:rFonts w:eastAsia="Calibri"/>
          <w:lang w:val="en-US"/>
        </w:rPr>
        <w:t>.</w:t>
      </w:r>
      <w:r w:rsidR="00C77E35">
        <w:rPr>
          <w:rFonts w:eastAsia="Calibri"/>
          <w:lang w:val="en-US"/>
        </w:rPr>
        <w:t>51</w:t>
      </w:r>
      <w:r w:rsidR="00C80328">
        <w:rPr>
          <w:rFonts w:eastAsia="Calibri"/>
          <w:lang w:val="en-US"/>
        </w:rPr>
        <w:t xml:space="preserve"> per barrel., while the S&amp;P Energy </w:t>
      </w:r>
      <w:r w:rsidR="00597581">
        <w:rPr>
          <w:rFonts w:eastAsia="Calibri"/>
          <w:lang w:val="en-US"/>
        </w:rPr>
        <w:t xml:space="preserve">Select </w:t>
      </w:r>
      <w:r w:rsidR="00C80328">
        <w:rPr>
          <w:rFonts w:eastAsia="Calibri"/>
          <w:lang w:val="en-US"/>
        </w:rPr>
        <w:t>Index and the S&amp;P Oil &amp; Gas E&amp;P Index have declined by 5</w:t>
      </w:r>
      <w:r w:rsidR="008A0676">
        <w:rPr>
          <w:rFonts w:eastAsia="Calibri"/>
          <w:lang w:val="en-US"/>
        </w:rPr>
        <w:t>2</w:t>
      </w:r>
      <w:r w:rsidR="00C80328">
        <w:rPr>
          <w:rFonts w:eastAsia="Calibri"/>
          <w:lang w:val="en-US"/>
        </w:rPr>
        <w:t xml:space="preserve"> per cent</w:t>
      </w:r>
      <w:r w:rsidR="0014207B">
        <w:rPr>
          <w:rFonts w:eastAsia="Calibri"/>
          <w:lang w:val="en-US"/>
        </w:rPr>
        <w:t>.</w:t>
      </w:r>
      <w:r w:rsidR="00C80328">
        <w:rPr>
          <w:rFonts w:eastAsia="Calibri"/>
          <w:lang w:val="en-US"/>
        </w:rPr>
        <w:t xml:space="preserve"> and 6</w:t>
      </w:r>
      <w:r w:rsidR="00C77E35">
        <w:rPr>
          <w:rFonts w:eastAsia="Calibri"/>
          <w:lang w:val="en-US"/>
        </w:rPr>
        <w:t>5</w:t>
      </w:r>
      <w:r w:rsidR="00C80328">
        <w:rPr>
          <w:rFonts w:eastAsia="Calibri"/>
          <w:lang w:val="en-US"/>
        </w:rPr>
        <w:t xml:space="preserve"> per cent., respectively</w:t>
      </w:r>
      <w:r w:rsidR="00017AAB">
        <w:rPr>
          <w:rFonts w:eastAsia="Calibri"/>
          <w:lang w:val="en-US"/>
        </w:rPr>
        <w:t>,</w:t>
      </w:r>
      <w:r w:rsidR="00C80328">
        <w:rPr>
          <w:rFonts w:eastAsia="Calibri"/>
          <w:lang w:val="en-US"/>
        </w:rPr>
        <w:t xml:space="preserve"> </w:t>
      </w:r>
      <w:r w:rsidR="00C77E35">
        <w:rPr>
          <w:rFonts w:eastAsia="Calibri"/>
          <w:lang w:val="en-US"/>
        </w:rPr>
        <w:t xml:space="preserve">through </w:t>
      </w:r>
      <w:r w:rsidR="00785D0F">
        <w:rPr>
          <w:rFonts w:eastAsia="Calibri"/>
          <w:lang w:val="en-US"/>
        </w:rPr>
        <w:t>31 March 2020</w:t>
      </w:r>
      <w:r w:rsidR="00C80328" w:rsidRPr="0014207B">
        <w:rPr>
          <w:lang w:val="en-US"/>
        </w:rPr>
        <w:t>.</w:t>
      </w:r>
      <w:r w:rsidR="00C80328">
        <w:rPr>
          <w:lang w:val="en-US"/>
        </w:rPr>
        <w:t xml:space="preserve"> </w:t>
      </w:r>
    </w:p>
    <w:p w14:paraId="00FF65E0" w14:textId="77777777" w:rsidR="001C51AF" w:rsidRDefault="001C51AF" w:rsidP="00397967">
      <w:pPr>
        <w:jc w:val="both"/>
        <w:rPr>
          <w:rFonts w:eastAsia="Calibri"/>
          <w:lang w:val="en-US"/>
        </w:rPr>
      </w:pPr>
    </w:p>
    <w:p w14:paraId="15176703" w14:textId="6C5013C8" w:rsidR="008500F8" w:rsidRDefault="00E46A17" w:rsidP="00397967">
      <w:pPr>
        <w:jc w:val="both"/>
        <w:rPr>
          <w:rFonts w:eastAsia="Calibri"/>
          <w:lang w:val="en-US"/>
        </w:rPr>
      </w:pPr>
      <w:r w:rsidRPr="00E46A17">
        <w:rPr>
          <w:rFonts w:eastAsia="Calibri"/>
          <w:lang w:val="en-US"/>
        </w:rPr>
        <w:t>During</w:t>
      </w:r>
      <w:r w:rsidR="00C80328">
        <w:rPr>
          <w:rFonts w:eastAsia="Calibri"/>
          <w:lang w:val="en-US"/>
        </w:rPr>
        <w:t xml:space="preserve"> the</w:t>
      </w:r>
      <w:r w:rsidRPr="00E46A17">
        <w:rPr>
          <w:rFonts w:eastAsia="Calibri"/>
          <w:lang w:val="en-US"/>
        </w:rPr>
        <w:t xml:space="preserve"> early </w:t>
      </w:r>
      <w:r w:rsidR="00C80328">
        <w:rPr>
          <w:rFonts w:eastAsia="Calibri"/>
          <w:lang w:val="en-US"/>
        </w:rPr>
        <w:t xml:space="preserve">part of </w:t>
      </w:r>
      <w:r w:rsidRPr="00E46A17">
        <w:rPr>
          <w:rFonts w:eastAsia="Calibri"/>
          <w:lang w:val="en-US"/>
        </w:rPr>
        <w:t>2019, REL closed the sales of Meritage III, a Canadian midstream company, and Sierra, an independent E&amp;P company based in Mexico, which demonstrate the Company’s ability to realise strong investment returns in an otherwise an</w:t>
      </w:r>
      <w:r w:rsidR="00B72208">
        <w:rPr>
          <w:rFonts w:eastAsia="Calibri"/>
          <w:lang w:val="en-US"/>
        </w:rPr>
        <w:t>a</w:t>
      </w:r>
      <w:r w:rsidRPr="00E46A17">
        <w:rPr>
          <w:rFonts w:eastAsia="Calibri"/>
          <w:lang w:val="en-US"/>
        </w:rPr>
        <w:t xml:space="preserve">emic exit environment. In addition, REL funded its initial investments into Ridgebury H3 (Handy Tankers) and Onyx Power, which provide the portfolio with exposure to the </w:t>
      </w:r>
      <w:r w:rsidR="00F75528">
        <w:rPr>
          <w:rFonts w:eastAsia="Calibri"/>
          <w:lang w:val="en-US"/>
        </w:rPr>
        <w:t xml:space="preserve">transportation </w:t>
      </w:r>
      <w:r w:rsidRPr="00E46A17">
        <w:rPr>
          <w:rFonts w:eastAsia="Calibri"/>
          <w:lang w:val="en-US"/>
        </w:rPr>
        <w:t>energy services and power sectors, respectively.</w:t>
      </w:r>
      <w:r w:rsidR="00C80328" w:rsidRPr="00C80328">
        <w:rPr>
          <w:rFonts w:eastAsia="Calibri"/>
          <w:lang w:val="en-US"/>
        </w:rPr>
        <w:t xml:space="preserve"> </w:t>
      </w:r>
      <w:r w:rsidR="00A1450B">
        <w:rPr>
          <w:rFonts w:eastAsia="Calibri"/>
          <w:lang w:val="en-US"/>
        </w:rPr>
        <w:t>These investments are consistent with the modified investment program</w:t>
      </w:r>
      <w:r w:rsidR="00407D9F">
        <w:rPr>
          <w:rFonts w:eastAsia="Calibri"/>
          <w:lang w:val="en-US"/>
        </w:rPr>
        <w:t>me</w:t>
      </w:r>
      <w:r w:rsidR="00A1450B">
        <w:rPr>
          <w:rFonts w:eastAsia="Calibri"/>
          <w:lang w:val="en-US"/>
        </w:rPr>
        <w:t xml:space="preserve"> started during 2019. </w:t>
      </w:r>
      <w:r w:rsidR="00C80328" w:rsidRPr="00C80328">
        <w:rPr>
          <w:rFonts w:eastAsia="Calibri"/>
          <w:lang w:val="en-US"/>
        </w:rPr>
        <w:t xml:space="preserve">However, the Company’s focus has now shifted to defensive measures as we enter a new period of </w:t>
      </w:r>
      <w:r w:rsidR="0029676A">
        <w:rPr>
          <w:rFonts w:eastAsia="Calibri"/>
          <w:lang w:val="en-US"/>
        </w:rPr>
        <w:t>considerable</w:t>
      </w:r>
      <w:r w:rsidR="0029676A" w:rsidRPr="00C80328">
        <w:rPr>
          <w:rFonts w:eastAsia="Calibri"/>
          <w:lang w:val="en-US"/>
        </w:rPr>
        <w:t xml:space="preserve"> </w:t>
      </w:r>
      <w:r w:rsidR="00C80328" w:rsidRPr="00C80328">
        <w:rPr>
          <w:rFonts w:eastAsia="Calibri"/>
          <w:lang w:val="en-US"/>
        </w:rPr>
        <w:t>uncertainty this year. Looking forward, REL’s top priority is working with its operating teams to navigate choppy waters and protecting the Company’s investment principal. What is to come remains uncertain as the world continues to fight coronavirus real-time, but the Company continues to work vigilantly to support its investments during this hard time</w:t>
      </w:r>
      <w:r w:rsidR="00C80328" w:rsidRPr="0014207B">
        <w:rPr>
          <w:rFonts w:eastAsia="Calibri"/>
          <w:lang w:val="en-US"/>
        </w:rPr>
        <w:t>.</w:t>
      </w:r>
    </w:p>
    <w:p w14:paraId="4FE55025" w14:textId="77777777" w:rsidR="008500F8" w:rsidRDefault="008500F8" w:rsidP="00397967">
      <w:pPr>
        <w:jc w:val="both"/>
        <w:rPr>
          <w:rFonts w:eastAsia="Calibri"/>
          <w:lang w:val="en-US"/>
        </w:rPr>
      </w:pPr>
    </w:p>
    <w:p w14:paraId="1E90C184" w14:textId="57616ED2" w:rsidR="008500F8" w:rsidRDefault="00E46A17" w:rsidP="00397967">
      <w:pPr>
        <w:jc w:val="both"/>
        <w:rPr>
          <w:rFonts w:eastAsia="Calibri"/>
          <w:lang w:val="en-US"/>
        </w:rPr>
      </w:pPr>
      <w:r w:rsidRPr="00E46A17">
        <w:rPr>
          <w:rFonts w:eastAsia="Calibri"/>
          <w:lang w:val="en-US"/>
        </w:rPr>
        <w:t xml:space="preserve">At the beginning of this year, REL announced that its Management Engagement Committee and the Investment Manager </w:t>
      </w:r>
      <w:r w:rsidR="000477F8">
        <w:rPr>
          <w:rFonts w:eastAsia="Calibri"/>
          <w:lang w:val="en-US"/>
        </w:rPr>
        <w:t xml:space="preserve">had </w:t>
      </w:r>
      <w:r w:rsidRPr="00E46A17">
        <w:rPr>
          <w:rFonts w:eastAsia="Calibri"/>
          <w:lang w:val="en-US"/>
        </w:rPr>
        <w:t>agreed amendments to the terms on which the Company is required to pay a performance allocation. Effective as of 30 June 2019, these changes outline additional conditions that must be met prior to the accrual and/or distribution of a performance allocation, including:</w:t>
      </w:r>
    </w:p>
    <w:p w14:paraId="6427CE15" w14:textId="77777777" w:rsidR="008500F8" w:rsidRDefault="008500F8" w:rsidP="00397967">
      <w:pPr>
        <w:jc w:val="both"/>
        <w:rPr>
          <w:rFonts w:eastAsia="Calibri"/>
          <w:lang w:val="en-US"/>
        </w:rPr>
      </w:pPr>
    </w:p>
    <w:p w14:paraId="74E99409" w14:textId="115B1FF4" w:rsidR="008500F8" w:rsidRDefault="00E46A17" w:rsidP="00397967">
      <w:pPr>
        <w:jc w:val="both"/>
        <w:rPr>
          <w:rFonts w:eastAsia="Calibri"/>
          <w:lang w:val="en-US"/>
        </w:rPr>
      </w:pPr>
      <w:r w:rsidRPr="00E46A17">
        <w:rPr>
          <w:rFonts w:eastAsia="Calibri"/>
          <w:lang w:val="en-US"/>
        </w:rPr>
        <w:t xml:space="preserve">1) </w:t>
      </w:r>
      <w:r w:rsidR="008146E4">
        <w:rPr>
          <w:rFonts w:eastAsia="Calibri"/>
          <w:lang w:val="en-US"/>
        </w:rPr>
        <w:t xml:space="preserve">a </w:t>
      </w:r>
      <w:r w:rsidRPr="00E46A17">
        <w:rPr>
          <w:rFonts w:eastAsia="Calibri"/>
          <w:lang w:val="en-US"/>
        </w:rPr>
        <w:t>portfolio level cost benchmark requiring the portfolio’s unrealised and realised value to be above cost, upon an investment realisation</w:t>
      </w:r>
      <w:r w:rsidR="0029676A">
        <w:rPr>
          <w:rFonts w:eastAsia="Calibri"/>
          <w:lang w:val="en-US"/>
        </w:rPr>
        <w:t>.</w:t>
      </w:r>
      <w:r w:rsidRPr="00E46A17">
        <w:rPr>
          <w:rFonts w:eastAsia="Calibri"/>
          <w:lang w:val="en-US"/>
        </w:rPr>
        <w:t xml:space="preserve"> </w:t>
      </w:r>
      <w:r w:rsidR="001623DD">
        <w:rPr>
          <w:rFonts w:eastAsia="Calibri"/>
          <w:lang w:val="en-US"/>
        </w:rPr>
        <w:t>I</w:t>
      </w:r>
      <w:r w:rsidRPr="00E46A17">
        <w:rPr>
          <w:rFonts w:eastAsia="Calibri"/>
          <w:lang w:val="en-US"/>
        </w:rPr>
        <w:t>f not satisfied</w:t>
      </w:r>
      <w:r w:rsidR="008146E4">
        <w:rPr>
          <w:rFonts w:eastAsia="Calibri"/>
          <w:lang w:val="en-US"/>
        </w:rPr>
        <w:t>, the benchmark will be retested quarterly for up</w:t>
      </w:r>
      <w:r w:rsidR="0029676A">
        <w:rPr>
          <w:rFonts w:eastAsia="Calibri"/>
          <w:lang w:val="en-US"/>
        </w:rPr>
        <w:t xml:space="preserve"> to</w:t>
      </w:r>
      <w:r w:rsidR="008146E4">
        <w:rPr>
          <w:rFonts w:eastAsia="Calibri"/>
          <w:lang w:val="en-US"/>
        </w:rPr>
        <w:t xml:space="preserve"> three years with the performance allocation</w:t>
      </w:r>
      <w:r w:rsidRPr="00E46A17">
        <w:rPr>
          <w:rFonts w:eastAsia="Calibri"/>
          <w:lang w:val="en-US"/>
        </w:rPr>
        <w:t xml:space="preserve"> expiring thereafter</w:t>
      </w:r>
      <w:r w:rsidR="008146E4">
        <w:rPr>
          <w:rFonts w:eastAsia="Calibri"/>
          <w:lang w:val="en-US"/>
        </w:rPr>
        <w:t xml:space="preserve"> if the condition is not met</w:t>
      </w:r>
      <w:r w:rsidRPr="00E46A17">
        <w:rPr>
          <w:rFonts w:eastAsia="Calibri"/>
          <w:lang w:val="en-US"/>
        </w:rPr>
        <w:t xml:space="preserve"> </w:t>
      </w:r>
      <w:r w:rsidR="00194385">
        <w:rPr>
          <w:rFonts w:eastAsia="Calibri"/>
        </w:rPr>
        <w:t>(as of 31 December 2019, the portfolio level cost benchmark was in deficit of $254.5 million);</w:t>
      </w:r>
    </w:p>
    <w:p w14:paraId="0C637D20" w14:textId="77777777" w:rsidR="008500F8" w:rsidRDefault="008500F8" w:rsidP="00397967">
      <w:pPr>
        <w:jc w:val="both"/>
        <w:rPr>
          <w:rFonts w:eastAsia="Calibri"/>
          <w:lang w:val="en-US"/>
        </w:rPr>
      </w:pPr>
    </w:p>
    <w:p w14:paraId="62E3E446" w14:textId="104ED08A" w:rsidR="008500F8" w:rsidRDefault="00E46A17" w:rsidP="00397967">
      <w:pPr>
        <w:jc w:val="both"/>
        <w:rPr>
          <w:rFonts w:eastAsia="Calibri"/>
          <w:lang w:val="en-US"/>
        </w:rPr>
      </w:pPr>
      <w:r w:rsidRPr="00E46A17">
        <w:rPr>
          <w:rFonts w:eastAsia="Calibri"/>
          <w:lang w:val="en-US"/>
        </w:rPr>
        <w:t xml:space="preserve">2) </w:t>
      </w:r>
      <w:r w:rsidR="008146E4">
        <w:rPr>
          <w:rFonts w:eastAsia="Calibri"/>
          <w:lang w:val="en-US"/>
        </w:rPr>
        <w:t>a</w:t>
      </w:r>
      <w:r w:rsidR="005B5211">
        <w:rPr>
          <w:rFonts w:eastAsia="Calibri"/>
          <w:lang w:val="en-US"/>
        </w:rPr>
        <w:t>n</w:t>
      </w:r>
      <w:r w:rsidR="008146E4">
        <w:rPr>
          <w:rFonts w:eastAsia="Calibri"/>
          <w:lang w:val="en-US"/>
        </w:rPr>
        <w:t xml:space="preserve"> </w:t>
      </w:r>
      <w:r w:rsidRPr="00E46A17">
        <w:rPr>
          <w:rFonts w:eastAsia="Calibri"/>
          <w:lang w:val="en-US"/>
        </w:rPr>
        <w:t xml:space="preserve">8 per cent. </w:t>
      </w:r>
      <w:r w:rsidR="005B5211">
        <w:rPr>
          <w:rFonts w:eastAsia="Calibri"/>
          <w:lang w:val="en-US"/>
        </w:rPr>
        <w:t>a</w:t>
      </w:r>
      <w:r w:rsidR="008146E4">
        <w:rPr>
          <w:rFonts w:eastAsia="Calibri"/>
          <w:lang w:val="en-US"/>
        </w:rPr>
        <w:t xml:space="preserve">nnual cumulative </w:t>
      </w:r>
      <w:r w:rsidRPr="00E46A17">
        <w:rPr>
          <w:rFonts w:eastAsia="Calibri"/>
          <w:lang w:val="en-US"/>
        </w:rPr>
        <w:t>hurdle rate</w:t>
      </w:r>
      <w:r w:rsidR="002030BB">
        <w:rPr>
          <w:rFonts w:eastAsia="Calibri"/>
          <w:lang w:val="en-US"/>
        </w:rPr>
        <w:t xml:space="preserve"> calculated from the date of investment to the date of realisation</w:t>
      </w:r>
      <w:r w:rsidR="00194385">
        <w:rPr>
          <w:rFonts w:eastAsia="Calibri"/>
        </w:rPr>
        <w:t xml:space="preserve"> (as of 31 December 2019, only the Ridgebury H3 investment exceeded the hurdle rate</w:t>
      </w:r>
      <w:r w:rsidR="000036A3">
        <w:rPr>
          <w:rFonts w:eastAsia="Calibri"/>
        </w:rPr>
        <w:t>,</w:t>
      </w:r>
      <w:r w:rsidR="00986B39">
        <w:rPr>
          <w:rFonts w:eastAsia="Calibri"/>
        </w:rPr>
        <w:t xml:space="preserve"> and the total portfolio’s Gross IRR is approximately -6 per cent.</w:t>
      </w:r>
      <w:r w:rsidR="00194385">
        <w:rPr>
          <w:rFonts w:eastAsia="Calibri"/>
        </w:rPr>
        <w:t>)</w:t>
      </w:r>
      <w:r w:rsidR="008146E4">
        <w:rPr>
          <w:rFonts w:eastAsia="Calibri"/>
          <w:lang w:val="en-US"/>
        </w:rPr>
        <w:t>;</w:t>
      </w:r>
      <w:r w:rsidR="00152EF0">
        <w:rPr>
          <w:rFonts w:eastAsia="Calibri"/>
          <w:lang w:val="en-US"/>
        </w:rPr>
        <w:t xml:space="preserve"> and</w:t>
      </w:r>
    </w:p>
    <w:p w14:paraId="7AA333FE" w14:textId="77777777" w:rsidR="008500F8" w:rsidRDefault="008500F8" w:rsidP="00397967">
      <w:pPr>
        <w:jc w:val="both"/>
        <w:rPr>
          <w:rFonts w:eastAsia="Calibri"/>
          <w:lang w:val="en-US"/>
        </w:rPr>
      </w:pPr>
    </w:p>
    <w:p w14:paraId="5441D636" w14:textId="7AFA61FB" w:rsidR="00B72208" w:rsidRDefault="00E46A17" w:rsidP="00397967">
      <w:pPr>
        <w:jc w:val="both"/>
        <w:rPr>
          <w:rFonts w:eastAsia="Calibri"/>
          <w:lang w:val="en-US"/>
        </w:rPr>
      </w:pPr>
      <w:r w:rsidRPr="00E46A17">
        <w:rPr>
          <w:rFonts w:eastAsia="Calibri"/>
          <w:lang w:val="en-US"/>
        </w:rPr>
        <w:t xml:space="preserve">3) </w:t>
      </w:r>
      <w:r w:rsidR="008146E4">
        <w:rPr>
          <w:rFonts w:eastAsia="Calibri"/>
          <w:lang w:val="en-US"/>
        </w:rPr>
        <w:t xml:space="preserve">a </w:t>
      </w:r>
      <w:r w:rsidRPr="00E46A17">
        <w:rPr>
          <w:rFonts w:eastAsia="Calibri"/>
          <w:lang w:val="en-US"/>
        </w:rPr>
        <w:t>full realisation of an investment</w:t>
      </w:r>
      <w:r w:rsidR="008146E4">
        <w:rPr>
          <w:rFonts w:eastAsia="Calibri"/>
          <w:lang w:val="en-US"/>
        </w:rPr>
        <w:t>,</w:t>
      </w:r>
      <w:r w:rsidRPr="00E46A17">
        <w:rPr>
          <w:rFonts w:eastAsia="Calibri"/>
          <w:lang w:val="en-US"/>
        </w:rPr>
        <w:t xml:space="preserve"> </w:t>
      </w:r>
      <w:r w:rsidR="008146E4">
        <w:rPr>
          <w:rFonts w:eastAsia="Calibri"/>
          <w:lang w:val="en-US"/>
        </w:rPr>
        <w:t>unless a partial realisation results in the full return of all capital invested in the investment</w:t>
      </w:r>
      <w:r w:rsidR="00152EF0">
        <w:rPr>
          <w:rFonts w:eastAsia="Calibri"/>
          <w:lang w:val="en-US"/>
        </w:rPr>
        <w:t>.</w:t>
      </w:r>
    </w:p>
    <w:p w14:paraId="0079D0EC" w14:textId="77777777" w:rsidR="008500F8" w:rsidRDefault="008500F8" w:rsidP="00397967">
      <w:pPr>
        <w:jc w:val="both"/>
        <w:rPr>
          <w:rFonts w:eastAsia="Calibri"/>
          <w:lang w:val="en-US"/>
        </w:rPr>
      </w:pPr>
    </w:p>
    <w:p w14:paraId="3471EFAA" w14:textId="5BF27B87" w:rsidR="00B72208" w:rsidRDefault="00B72208" w:rsidP="00397967">
      <w:pPr>
        <w:jc w:val="both"/>
        <w:rPr>
          <w:rFonts w:eastAsia="Calibri"/>
          <w:lang w:val="en-US"/>
        </w:rPr>
      </w:pPr>
      <w:r w:rsidRPr="00B72208">
        <w:rPr>
          <w:rFonts w:eastAsia="Calibri"/>
          <w:lang w:val="en-US"/>
        </w:rPr>
        <w:t>In accordance with the</w:t>
      </w:r>
      <w:r w:rsidR="00194385">
        <w:rPr>
          <w:rFonts w:eastAsia="Calibri"/>
          <w:lang w:val="en-US"/>
        </w:rPr>
        <w:t xml:space="preserve"> aforementioned</w:t>
      </w:r>
      <w:r w:rsidRPr="00B72208">
        <w:rPr>
          <w:rFonts w:eastAsia="Calibri"/>
          <w:lang w:val="en-US"/>
        </w:rPr>
        <w:t xml:space="preserve"> revised terms, REL did not meet the </w:t>
      </w:r>
      <w:r w:rsidR="00194385">
        <w:rPr>
          <w:rFonts w:eastAsia="Calibri"/>
          <w:lang w:val="en-US"/>
        </w:rPr>
        <w:t>portfolio level c</w:t>
      </w:r>
      <w:r w:rsidRPr="00B72208">
        <w:rPr>
          <w:rFonts w:eastAsia="Calibri"/>
          <w:lang w:val="en-US"/>
        </w:rPr>
        <w:t xml:space="preserve">ost </w:t>
      </w:r>
      <w:r w:rsidR="00194385">
        <w:rPr>
          <w:rFonts w:eastAsia="Calibri"/>
          <w:lang w:val="en-US"/>
        </w:rPr>
        <w:t>b</w:t>
      </w:r>
      <w:r w:rsidRPr="00B72208">
        <w:rPr>
          <w:rFonts w:eastAsia="Calibri"/>
          <w:lang w:val="en-US"/>
        </w:rPr>
        <w:t>enchmark at 31 Dec</w:t>
      </w:r>
      <w:r w:rsidR="00194385">
        <w:rPr>
          <w:rFonts w:eastAsia="Calibri"/>
          <w:lang w:val="en-US"/>
        </w:rPr>
        <w:t>ember</w:t>
      </w:r>
      <w:r w:rsidRPr="00B72208">
        <w:rPr>
          <w:rFonts w:eastAsia="Calibri"/>
          <w:lang w:val="en-US"/>
        </w:rPr>
        <w:t xml:space="preserve"> 2019; therefore, any unreali</w:t>
      </w:r>
      <w:r w:rsidR="00194385">
        <w:rPr>
          <w:rFonts w:eastAsia="Calibri"/>
          <w:lang w:val="en-US"/>
        </w:rPr>
        <w:t>s</w:t>
      </w:r>
      <w:r w:rsidRPr="00B72208">
        <w:rPr>
          <w:rFonts w:eastAsia="Calibri"/>
          <w:lang w:val="en-US"/>
        </w:rPr>
        <w:t>ed performance allocation has been deferred. If the</w:t>
      </w:r>
      <w:r w:rsidR="00194385">
        <w:rPr>
          <w:rFonts w:eastAsia="Calibri"/>
          <w:lang w:val="en-US"/>
        </w:rPr>
        <w:t>se</w:t>
      </w:r>
      <w:r w:rsidRPr="00B72208">
        <w:rPr>
          <w:rFonts w:eastAsia="Calibri"/>
          <w:lang w:val="en-US"/>
        </w:rPr>
        <w:t xml:space="preserve"> changes had not been accepted, then the </w:t>
      </w:r>
      <w:r w:rsidR="00194385">
        <w:rPr>
          <w:rFonts w:eastAsia="Calibri"/>
          <w:lang w:val="en-US"/>
        </w:rPr>
        <w:t>accrued</w:t>
      </w:r>
      <w:r w:rsidRPr="00B72208">
        <w:rPr>
          <w:rFonts w:eastAsia="Calibri"/>
          <w:lang w:val="en-US"/>
        </w:rPr>
        <w:t xml:space="preserve"> GP Performance Allocation would have been $8.5 million as of 31 Dec</w:t>
      </w:r>
      <w:r w:rsidR="00194385">
        <w:rPr>
          <w:rFonts w:eastAsia="Calibri"/>
          <w:lang w:val="en-US"/>
        </w:rPr>
        <w:t>ember</w:t>
      </w:r>
      <w:r w:rsidRPr="00B72208">
        <w:rPr>
          <w:rFonts w:eastAsia="Calibri"/>
          <w:lang w:val="en-US"/>
        </w:rPr>
        <w:t xml:space="preserve"> 2019.</w:t>
      </w:r>
    </w:p>
    <w:p w14:paraId="1E872C4C" w14:textId="172D2E2C" w:rsidR="008500F8" w:rsidRDefault="008500F8" w:rsidP="00397967">
      <w:pPr>
        <w:jc w:val="both"/>
        <w:rPr>
          <w:rFonts w:eastAsia="Calibri"/>
          <w:lang w:val="en-US"/>
        </w:rPr>
      </w:pPr>
    </w:p>
    <w:p w14:paraId="3B510701" w14:textId="1B3E1E1D" w:rsidR="00152EF0" w:rsidRDefault="00152EF0" w:rsidP="00397967">
      <w:pPr>
        <w:jc w:val="both"/>
        <w:rPr>
          <w:rFonts w:eastAsia="Calibri"/>
        </w:rPr>
      </w:pPr>
      <w:r>
        <w:rPr>
          <w:rFonts w:eastAsia="Calibri"/>
          <w:lang w:val="en-US"/>
        </w:rPr>
        <w:t>T</w:t>
      </w:r>
      <w:r w:rsidRPr="00BC71AE">
        <w:rPr>
          <w:rFonts w:eastAsia="Calibri"/>
          <w:lang w:val="en-US"/>
        </w:rPr>
        <w:t xml:space="preserve">he </w:t>
      </w:r>
      <w:r>
        <w:rPr>
          <w:rFonts w:eastAsia="Calibri"/>
          <w:lang w:val="en-US"/>
        </w:rPr>
        <w:t>C</w:t>
      </w:r>
      <w:r w:rsidRPr="00BC71AE">
        <w:rPr>
          <w:rFonts w:eastAsia="Calibri"/>
          <w:lang w:val="en-US"/>
        </w:rPr>
        <w:t>ompany</w:t>
      </w:r>
      <w:r w:rsidR="00327293">
        <w:rPr>
          <w:rFonts w:eastAsia="Calibri"/>
          <w:lang w:val="en-US"/>
        </w:rPr>
        <w:t>,</w:t>
      </w:r>
      <w:r w:rsidR="00170ECB">
        <w:rPr>
          <w:rFonts w:eastAsia="Calibri"/>
          <w:lang w:val="en-US"/>
        </w:rPr>
        <w:t xml:space="preserve"> with the consent of the Investment Manager</w:t>
      </w:r>
      <w:r w:rsidR="00327293">
        <w:rPr>
          <w:rFonts w:eastAsia="Calibri"/>
          <w:lang w:val="en-US"/>
        </w:rPr>
        <w:t>,</w:t>
      </w:r>
      <w:r w:rsidRPr="00BC71AE">
        <w:rPr>
          <w:rFonts w:eastAsia="Calibri"/>
          <w:lang w:val="en-US"/>
        </w:rPr>
        <w:t xml:space="preserve"> always had the ability to use any amount of cash for dividends and/or share repurchases</w:t>
      </w:r>
      <w:r>
        <w:rPr>
          <w:rFonts w:eastAsia="Calibri"/>
          <w:lang w:val="en-US"/>
        </w:rPr>
        <w:t>, but has now agreed with the Investment Manager that</w:t>
      </w:r>
      <w:r w:rsidRPr="00BC71AE">
        <w:rPr>
          <w:rFonts w:eastAsia="Calibri"/>
          <w:lang w:val="en-US"/>
        </w:rPr>
        <w:t xml:space="preserve"> a</w:t>
      </w:r>
      <w:r>
        <w:rPr>
          <w:rFonts w:eastAsia="Calibri"/>
          <w:lang w:val="en-US"/>
        </w:rPr>
        <w:t xml:space="preserve"> distribution of 20 per cent. of net profits </w:t>
      </w:r>
      <w:r w:rsidRPr="00EB0491">
        <w:rPr>
          <w:rFonts w:eastAsia="Calibri"/>
        </w:rPr>
        <w:t>attributable to each fully realised investment, net of taxes, withholdings or reserves for taxes will, at the discretion of the Company, be available for distribution to the Company's Shareholders, whether by dividend or share repurchases</w:t>
      </w:r>
      <w:r>
        <w:rPr>
          <w:rFonts w:eastAsia="Calibri"/>
        </w:rPr>
        <w:t>.</w:t>
      </w:r>
    </w:p>
    <w:p w14:paraId="7837A1E8" w14:textId="77777777" w:rsidR="00152EF0" w:rsidRDefault="00152EF0" w:rsidP="00397967">
      <w:pPr>
        <w:jc w:val="both"/>
        <w:rPr>
          <w:rFonts w:eastAsia="Calibri"/>
          <w:lang w:val="en-US"/>
        </w:rPr>
      </w:pPr>
    </w:p>
    <w:p w14:paraId="3391AB5B" w14:textId="2046E83A" w:rsidR="00D66781" w:rsidRDefault="00D66781" w:rsidP="00397967">
      <w:pPr>
        <w:jc w:val="both"/>
        <w:rPr>
          <w:rFonts w:eastAsia="Calibri"/>
          <w:lang w:val="en-US"/>
        </w:rPr>
      </w:pPr>
      <w:r>
        <w:rPr>
          <w:rFonts w:eastAsia="Calibri"/>
          <w:lang w:val="en-US"/>
        </w:rPr>
        <w:t>There i</w:t>
      </w:r>
      <w:r w:rsidR="00FC22DE">
        <w:rPr>
          <w:rFonts w:eastAsia="Calibri"/>
          <w:lang w:val="en-US"/>
        </w:rPr>
        <w:t>s</w:t>
      </w:r>
      <w:r>
        <w:rPr>
          <w:rFonts w:eastAsia="Calibri"/>
          <w:lang w:val="en-US"/>
        </w:rPr>
        <w:t xml:space="preserve"> no change to the</w:t>
      </w:r>
      <w:r w:rsidR="00FC22DE">
        <w:rPr>
          <w:rFonts w:eastAsia="Calibri"/>
          <w:lang w:val="en-US"/>
        </w:rPr>
        <w:t xml:space="preserve"> terms of the Company’s</w:t>
      </w:r>
      <w:r>
        <w:rPr>
          <w:rFonts w:eastAsia="Calibri"/>
          <w:lang w:val="en-US"/>
        </w:rPr>
        <w:t xml:space="preserve"> Management Fee</w:t>
      </w:r>
      <w:r w:rsidR="00FC22DE">
        <w:rPr>
          <w:rFonts w:eastAsia="Calibri"/>
          <w:lang w:val="en-US"/>
        </w:rPr>
        <w:t>,</w:t>
      </w:r>
      <w:r>
        <w:rPr>
          <w:rFonts w:eastAsia="Calibri"/>
          <w:lang w:val="en-US"/>
        </w:rPr>
        <w:t xml:space="preserve"> which will continue to be</w:t>
      </w:r>
      <w:r w:rsidR="00BE31CE">
        <w:rPr>
          <w:rFonts w:eastAsia="Calibri"/>
          <w:lang w:val="en-US"/>
        </w:rPr>
        <w:t xml:space="preserve"> 1.5</w:t>
      </w:r>
      <w:r w:rsidR="00FC22DE">
        <w:rPr>
          <w:rFonts w:eastAsia="Calibri"/>
          <w:lang w:val="en-US"/>
        </w:rPr>
        <w:t xml:space="preserve"> per cent.</w:t>
      </w:r>
      <w:r w:rsidR="00BE31CE">
        <w:rPr>
          <w:rFonts w:eastAsia="Calibri"/>
          <w:lang w:val="en-US"/>
        </w:rPr>
        <w:t xml:space="preserve"> </w:t>
      </w:r>
      <w:r w:rsidR="00FC22DE">
        <w:rPr>
          <w:rFonts w:eastAsia="Calibri"/>
          <w:lang w:val="en-US"/>
        </w:rPr>
        <w:t>per annum</w:t>
      </w:r>
      <w:r w:rsidR="00BE31CE">
        <w:rPr>
          <w:rFonts w:eastAsia="Calibri"/>
          <w:lang w:val="en-US"/>
        </w:rPr>
        <w:t xml:space="preserve"> of REL’s </w:t>
      </w:r>
      <w:r w:rsidR="00FC22DE">
        <w:rPr>
          <w:rFonts w:eastAsia="Calibri"/>
          <w:lang w:val="en-US"/>
        </w:rPr>
        <w:t>Net Asset Value (including cash).</w:t>
      </w:r>
    </w:p>
    <w:p w14:paraId="38CF9AE3" w14:textId="77777777" w:rsidR="00D66781" w:rsidRDefault="00D66781" w:rsidP="00397967">
      <w:pPr>
        <w:jc w:val="both"/>
        <w:rPr>
          <w:rFonts w:eastAsia="Calibri"/>
          <w:lang w:val="en-US"/>
        </w:rPr>
      </w:pPr>
    </w:p>
    <w:p w14:paraId="63B1EE60" w14:textId="3BEE650A" w:rsidR="00F75528" w:rsidRDefault="00E46A17" w:rsidP="00397967">
      <w:pPr>
        <w:jc w:val="both"/>
        <w:rPr>
          <w:rFonts w:eastAsia="Calibri"/>
          <w:lang w:val="en-US"/>
        </w:rPr>
      </w:pPr>
      <w:r w:rsidRPr="00E46A17">
        <w:rPr>
          <w:rFonts w:eastAsia="Calibri"/>
          <w:lang w:val="en-US"/>
        </w:rPr>
        <w:t xml:space="preserve">The Board and the Investment Manager believe that these amendments are accretive to REL’s </w:t>
      </w:r>
      <w:r w:rsidR="00BC71AE">
        <w:rPr>
          <w:rFonts w:eastAsia="Calibri"/>
          <w:lang w:val="en-US"/>
        </w:rPr>
        <w:t>S</w:t>
      </w:r>
      <w:r w:rsidRPr="00E46A17">
        <w:rPr>
          <w:rFonts w:eastAsia="Calibri"/>
          <w:lang w:val="en-US"/>
        </w:rPr>
        <w:t>hareholders and support the Company’s long-term objectives.</w:t>
      </w:r>
    </w:p>
    <w:p w14:paraId="21D756A0" w14:textId="77777777" w:rsidR="008500F8" w:rsidRDefault="008500F8" w:rsidP="00397967">
      <w:pPr>
        <w:jc w:val="both"/>
        <w:rPr>
          <w:rFonts w:eastAsia="Calibri"/>
          <w:lang w:val="en-US"/>
        </w:rPr>
      </w:pPr>
    </w:p>
    <w:p w14:paraId="0C07838C" w14:textId="3C6F4AB3" w:rsidR="00E46A17" w:rsidRPr="00E46A17" w:rsidRDefault="00F75528" w:rsidP="00397967">
      <w:pPr>
        <w:jc w:val="both"/>
        <w:rPr>
          <w:rFonts w:eastAsia="Calibri"/>
          <w:lang w:val="en-US"/>
        </w:rPr>
      </w:pPr>
      <w:r w:rsidRPr="00F75528">
        <w:rPr>
          <w:rFonts w:eastAsia="Calibri"/>
          <w:lang w:val="en-US"/>
        </w:rPr>
        <w:t>The Board is firmly committed to the incorporation of environmental, social, and governance (“ESG”) considerations for REL’s investments, and engages regularly with Riverstone to ensure the robustness of these policies. ESG considerations have been a core ten</w:t>
      </w:r>
      <w:r w:rsidR="007321AC">
        <w:rPr>
          <w:rFonts w:eastAsia="Calibri"/>
          <w:lang w:val="en-US"/>
        </w:rPr>
        <w:t>e</w:t>
      </w:r>
      <w:r w:rsidRPr="00F75528">
        <w:rPr>
          <w:rFonts w:eastAsia="Calibri"/>
          <w:lang w:val="en-US"/>
        </w:rPr>
        <w:t xml:space="preserve">t of Riverstone’s investment philosophy since the firm’s creation and its management have reflected this in a structured approach to the underwriting of new investments and ongoing management of the portfolio. For example, ESG was a core component of REL’s most recent investment in Onyx Power due to the high efficiency of </w:t>
      </w:r>
      <w:r w:rsidR="00224413">
        <w:rPr>
          <w:rFonts w:eastAsia="Calibri"/>
          <w:lang w:val="en-US"/>
        </w:rPr>
        <w:t xml:space="preserve">its collective </w:t>
      </w:r>
      <w:r w:rsidRPr="00F75528">
        <w:rPr>
          <w:rFonts w:eastAsia="Calibri"/>
          <w:lang w:val="en-US"/>
        </w:rPr>
        <w:t>fleet of power plants, the level of investment in environmental controls and the potential to repurpose the assets from coal to sustainable biomass in the near future, leveraging Riverstone’s expertise in this field. Additional key ESG considerations included health and safety performance, the role of the facilities to contribute to security of supply and social impacts of workers’ rights.</w:t>
      </w:r>
      <w:r w:rsidR="00E46A17" w:rsidRPr="00E46A17">
        <w:rPr>
          <w:rFonts w:eastAsia="Calibri"/>
          <w:lang w:val="en-US"/>
        </w:rPr>
        <w:t xml:space="preserve"> </w:t>
      </w:r>
    </w:p>
    <w:p w14:paraId="00F900D7" w14:textId="77777777" w:rsidR="008500F8" w:rsidRDefault="008500F8" w:rsidP="00397967">
      <w:pPr>
        <w:jc w:val="both"/>
        <w:rPr>
          <w:b/>
          <w:lang w:val="en-US"/>
        </w:rPr>
      </w:pPr>
    </w:p>
    <w:p w14:paraId="174E432A" w14:textId="4AE2FC61" w:rsidR="00E46A17" w:rsidRPr="00586B9B" w:rsidRDefault="00E46A17" w:rsidP="00397967">
      <w:pPr>
        <w:jc w:val="both"/>
        <w:rPr>
          <w:lang w:val="en-US"/>
        </w:rPr>
      </w:pPr>
      <w:r w:rsidRPr="00586B9B">
        <w:rPr>
          <w:b/>
          <w:lang w:val="en-US"/>
        </w:rPr>
        <w:t>Performance</w:t>
      </w:r>
      <w:r w:rsidRPr="00E46A17">
        <w:rPr>
          <w:rFonts w:eastAsia="Calibri"/>
          <w:b/>
          <w:lang w:val="en-US"/>
        </w:rPr>
        <w:t xml:space="preserve"> </w:t>
      </w:r>
    </w:p>
    <w:p w14:paraId="23FF5337" w14:textId="77777777" w:rsidR="008500F8" w:rsidRDefault="008500F8" w:rsidP="00397967">
      <w:pPr>
        <w:jc w:val="both"/>
        <w:rPr>
          <w:rFonts w:eastAsia="Calibri"/>
          <w:lang w:val="en-US"/>
        </w:rPr>
      </w:pPr>
    </w:p>
    <w:p w14:paraId="307369AA" w14:textId="728DE626" w:rsidR="00E46A17" w:rsidRPr="00E46A17" w:rsidRDefault="00E46A17" w:rsidP="00397967">
      <w:pPr>
        <w:jc w:val="both"/>
        <w:rPr>
          <w:rFonts w:eastAsia="Calibri" w:cs="Times New Roman"/>
          <w:szCs w:val="22"/>
          <w:lang w:val="en-US"/>
        </w:rPr>
      </w:pPr>
      <w:bookmarkStart w:id="3" w:name="_Hlk36925752"/>
      <w:r w:rsidRPr="00E46A17">
        <w:rPr>
          <w:rFonts w:eastAsia="Calibri"/>
          <w:lang w:val="en-US"/>
        </w:rPr>
        <w:t>REL ended 31 December 2019 with a Net Asset Value (“NAV”) of $9.6</w:t>
      </w:r>
      <w:r w:rsidR="000906E1">
        <w:rPr>
          <w:rFonts w:eastAsia="Calibri"/>
          <w:lang w:val="en-US"/>
        </w:rPr>
        <w:t>6</w:t>
      </w:r>
      <w:r w:rsidRPr="00E46A17">
        <w:rPr>
          <w:rFonts w:eastAsia="Calibri"/>
          <w:lang w:val="en-US"/>
        </w:rPr>
        <w:t xml:space="preserve"> (</w:t>
      </w:r>
      <w:r w:rsidRPr="00E46A17">
        <w:rPr>
          <w:rFonts w:eastAsia="Calibri" w:cs="Times New Roman"/>
          <w:szCs w:val="22"/>
          <w:lang w:val="en-US"/>
        </w:rPr>
        <w:t>£7.3</w:t>
      </w:r>
      <w:r w:rsidR="000906E1">
        <w:rPr>
          <w:rFonts w:eastAsia="Calibri" w:cs="Times New Roman"/>
          <w:szCs w:val="22"/>
          <w:lang w:val="en-US"/>
        </w:rPr>
        <w:t>6</w:t>
      </w:r>
      <w:r w:rsidRPr="00E46A17">
        <w:rPr>
          <w:rFonts w:eastAsia="Calibri" w:cs="Times New Roman"/>
          <w:szCs w:val="22"/>
          <w:lang w:val="en-US"/>
        </w:rPr>
        <w:t xml:space="preserve">) per share, a 46 per cent. and 48 per cent. decrease in USD and GBP, respectively, compared with 31 December 2018.  REL finished the </w:t>
      </w:r>
      <w:r w:rsidR="00237601">
        <w:rPr>
          <w:rFonts w:eastAsia="Calibri" w:cs="Times New Roman"/>
          <w:szCs w:val="22"/>
          <w:lang w:val="en-US"/>
        </w:rPr>
        <w:t>p</w:t>
      </w:r>
      <w:r w:rsidRPr="00E46A17">
        <w:rPr>
          <w:rFonts w:eastAsia="Calibri" w:cs="Times New Roman"/>
          <w:szCs w:val="22"/>
          <w:lang w:val="en-US"/>
        </w:rPr>
        <w:t>eriod with $1,007 million net invested (£76</w:t>
      </w:r>
      <w:r w:rsidR="00AA7F71">
        <w:rPr>
          <w:rFonts w:eastAsia="Calibri" w:cs="Times New Roman"/>
          <w:szCs w:val="22"/>
          <w:lang w:val="en-US"/>
        </w:rPr>
        <w:t>7</w:t>
      </w:r>
      <w:r w:rsidRPr="00E46A17">
        <w:rPr>
          <w:rFonts w:eastAsia="Calibri" w:cs="Times New Roman"/>
          <w:szCs w:val="22"/>
          <w:lang w:val="en-US"/>
        </w:rPr>
        <w:t xml:space="preserve"> million), equating to 85 per cent. of net capital available</w:t>
      </w:r>
      <w:r w:rsidR="00BC1ADD">
        <w:rPr>
          <w:rFonts w:eastAsia="Calibri" w:cs="Times New Roman"/>
          <w:szCs w:val="22"/>
          <w:lang w:val="en-US"/>
        </w:rPr>
        <w:t>,</w:t>
      </w:r>
      <w:r w:rsidRPr="00E46A17">
        <w:rPr>
          <w:rFonts w:eastAsia="Calibri" w:cs="Times New Roman"/>
          <w:szCs w:val="22"/>
          <w:lang w:val="en-US"/>
        </w:rPr>
        <w:t xml:space="preserve"> and </w:t>
      </w:r>
      <w:bookmarkStart w:id="4" w:name="_Hlk30499736"/>
      <w:r w:rsidRPr="00E46A17">
        <w:rPr>
          <w:rFonts w:eastAsia="Calibri" w:cs="Times New Roman"/>
          <w:szCs w:val="22"/>
          <w:lang w:val="en-US"/>
        </w:rPr>
        <w:t>a</w:t>
      </w:r>
      <w:r w:rsidR="005D36AA">
        <w:rPr>
          <w:rFonts w:eastAsia="Calibri" w:cs="Times New Roman"/>
          <w:szCs w:val="22"/>
          <w:lang w:val="en-US"/>
        </w:rPr>
        <w:t>n aggregate</w:t>
      </w:r>
      <w:r w:rsidRPr="00E46A17">
        <w:rPr>
          <w:rFonts w:eastAsia="Calibri" w:cs="Times New Roman"/>
          <w:szCs w:val="22"/>
          <w:lang w:val="en-US"/>
        </w:rPr>
        <w:t xml:space="preserve"> cash balance of $18</w:t>
      </w:r>
      <w:r w:rsidR="00BC1ADD">
        <w:rPr>
          <w:rFonts w:eastAsia="Calibri" w:cs="Times New Roman"/>
          <w:szCs w:val="22"/>
          <w:lang w:val="en-US"/>
        </w:rPr>
        <w:t>3</w:t>
      </w:r>
      <w:r w:rsidRPr="00E46A17">
        <w:rPr>
          <w:rFonts w:eastAsia="Calibri" w:cs="Times New Roman"/>
          <w:szCs w:val="22"/>
          <w:lang w:val="en-US"/>
        </w:rPr>
        <w:t xml:space="preserve"> million </w:t>
      </w:r>
      <w:bookmarkEnd w:id="4"/>
      <w:r w:rsidRPr="00E46A17">
        <w:rPr>
          <w:rFonts w:eastAsia="Calibri" w:cs="Times New Roman"/>
          <w:szCs w:val="22"/>
          <w:lang w:val="en-US"/>
        </w:rPr>
        <w:t>(£13</w:t>
      </w:r>
      <w:r w:rsidR="00BC1ADD">
        <w:rPr>
          <w:rFonts w:eastAsia="Calibri" w:cs="Times New Roman"/>
          <w:szCs w:val="22"/>
          <w:lang w:val="en-US"/>
        </w:rPr>
        <w:t>9</w:t>
      </w:r>
      <w:r w:rsidRPr="00E46A17">
        <w:rPr>
          <w:rFonts w:eastAsia="Calibri" w:cs="Times New Roman"/>
          <w:szCs w:val="22"/>
          <w:lang w:val="en-US"/>
        </w:rPr>
        <w:t xml:space="preserve"> million)</w:t>
      </w:r>
      <w:r w:rsidR="00B201C2">
        <w:rPr>
          <w:rFonts w:eastAsia="Calibri" w:cs="Times New Roman"/>
          <w:szCs w:val="22"/>
          <w:lang w:val="en-US"/>
        </w:rPr>
        <w:t xml:space="preserve"> across the Company, Partnership and REL US Corp</w:t>
      </w:r>
      <w:r w:rsidRPr="00E46A17">
        <w:rPr>
          <w:rFonts w:eastAsia="Calibri" w:cs="Times New Roman"/>
          <w:szCs w:val="22"/>
          <w:lang w:val="en-US"/>
        </w:rPr>
        <w:t>.</w:t>
      </w:r>
      <w:bookmarkEnd w:id="3"/>
      <w:r w:rsidRPr="00E46A17">
        <w:rPr>
          <w:rFonts w:eastAsia="Calibri" w:cs="Times New Roman"/>
          <w:szCs w:val="22"/>
          <w:lang w:val="en-US"/>
        </w:rPr>
        <w:t xml:space="preserve">  Facing a challenging macro backdrop for E&amp;P-weighted public equities, </w:t>
      </w:r>
      <w:r w:rsidRPr="00E46A17">
        <w:rPr>
          <w:rFonts w:eastAsia="Calibri"/>
          <w:lang w:val="en-US"/>
        </w:rPr>
        <w:t xml:space="preserve">REL’s shares traded down 62 per cent. </w:t>
      </w:r>
      <w:r w:rsidR="0014207B">
        <w:rPr>
          <w:rFonts w:eastAsia="Calibri"/>
          <w:lang w:val="en-US"/>
        </w:rPr>
        <w:t>over the course of 2019</w:t>
      </w:r>
      <w:r w:rsidRPr="00E46A17">
        <w:rPr>
          <w:rFonts w:eastAsia="Calibri"/>
          <w:lang w:val="en-US"/>
        </w:rPr>
        <w:t xml:space="preserve"> on a Pounds </w:t>
      </w:r>
      <w:r w:rsidRPr="00E46A17">
        <w:rPr>
          <w:rFonts w:eastAsia="Calibri" w:cs="Times New Roman"/>
          <w:szCs w:val="22"/>
          <w:lang w:val="en-US"/>
        </w:rPr>
        <w:t xml:space="preserve">Sterling basis and closed the </w:t>
      </w:r>
      <w:r w:rsidR="00237601">
        <w:rPr>
          <w:rFonts w:eastAsia="Calibri" w:cs="Times New Roman"/>
          <w:szCs w:val="22"/>
          <w:lang w:val="en-US"/>
        </w:rPr>
        <w:t>p</w:t>
      </w:r>
      <w:r w:rsidRPr="00E46A17">
        <w:rPr>
          <w:rFonts w:eastAsia="Calibri" w:cs="Times New Roman"/>
          <w:szCs w:val="22"/>
          <w:lang w:val="en-US"/>
        </w:rPr>
        <w:t xml:space="preserve">eriod at a 44 per cent. discount to NAV.  </w:t>
      </w:r>
      <w:r w:rsidR="0014207B">
        <w:rPr>
          <w:rFonts w:eastAsia="Calibri" w:cs="Times New Roman"/>
          <w:szCs w:val="22"/>
          <w:lang w:val="en-US"/>
        </w:rPr>
        <w:t>REL’s shares have</w:t>
      </w:r>
      <w:r w:rsidRPr="00E46A17">
        <w:rPr>
          <w:rFonts w:eastAsia="Calibri" w:cs="Times New Roman"/>
          <w:szCs w:val="22"/>
          <w:lang w:val="en-US"/>
        </w:rPr>
        <w:t xml:space="preserve"> continued to </w:t>
      </w:r>
      <w:r w:rsidR="0014207B">
        <w:rPr>
          <w:rFonts w:eastAsia="Calibri" w:cs="Times New Roman"/>
          <w:szCs w:val="22"/>
          <w:lang w:val="en-US"/>
        </w:rPr>
        <w:t>trade down significantly</w:t>
      </w:r>
      <w:r w:rsidRPr="00E46A17">
        <w:rPr>
          <w:rFonts w:eastAsia="Calibri" w:cs="Times New Roman"/>
          <w:szCs w:val="22"/>
          <w:lang w:val="en-US"/>
        </w:rPr>
        <w:t xml:space="preserve"> and </w:t>
      </w:r>
      <w:r w:rsidR="0014207B">
        <w:rPr>
          <w:rFonts w:eastAsia="Calibri" w:cs="Times New Roman"/>
          <w:szCs w:val="22"/>
          <w:lang w:val="en-US"/>
        </w:rPr>
        <w:t>have decreased by 6</w:t>
      </w:r>
      <w:r w:rsidR="00017AAB">
        <w:rPr>
          <w:rFonts w:eastAsia="Calibri" w:cs="Times New Roman"/>
          <w:szCs w:val="22"/>
          <w:lang w:val="en-US"/>
        </w:rPr>
        <w:t>6</w:t>
      </w:r>
      <w:r w:rsidR="0014207B">
        <w:rPr>
          <w:rFonts w:eastAsia="Calibri" w:cs="Times New Roman"/>
          <w:szCs w:val="22"/>
          <w:lang w:val="en-US"/>
        </w:rPr>
        <w:t xml:space="preserve"> per cent. on a Pounds Sterling basis</w:t>
      </w:r>
      <w:r w:rsidR="007D07FA" w:rsidRPr="007D07FA">
        <w:rPr>
          <w:rFonts w:eastAsia="Cambria"/>
        </w:rPr>
        <w:t xml:space="preserve"> </w:t>
      </w:r>
      <w:r w:rsidR="007D07FA" w:rsidRPr="006F0F97">
        <w:rPr>
          <w:rFonts w:eastAsia="Cambria"/>
        </w:rPr>
        <w:t>year-to-date</w:t>
      </w:r>
      <w:r w:rsidR="007D07FA">
        <w:rPr>
          <w:rFonts w:eastAsia="Cambria"/>
        </w:rPr>
        <w:t xml:space="preserve"> as of 31 March 2020</w:t>
      </w:r>
      <w:r w:rsidR="0014207B">
        <w:rPr>
          <w:rFonts w:eastAsia="Calibri" w:cs="Times New Roman"/>
          <w:szCs w:val="22"/>
          <w:lang w:val="en-US"/>
        </w:rPr>
        <w:t>, impacted by sharp drops in equity markets resulting from coronavirus and OPEC+ developments</w:t>
      </w:r>
      <w:r w:rsidRPr="00E46A17">
        <w:rPr>
          <w:rFonts w:eastAsia="Calibri" w:cs="Times New Roman"/>
          <w:szCs w:val="22"/>
          <w:lang w:val="en-US"/>
        </w:rPr>
        <w:t xml:space="preserve">. </w:t>
      </w:r>
    </w:p>
    <w:p w14:paraId="43B9D311" w14:textId="77777777" w:rsidR="008500F8" w:rsidRDefault="008500F8" w:rsidP="00397967">
      <w:pPr>
        <w:jc w:val="both"/>
        <w:rPr>
          <w:rFonts w:eastAsia="Calibri"/>
          <w:lang w:val="en-US"/>
        </w:rPr>
      </w:pPr>
    </w:p>
    <w:p w14:paraId="56A97C91" w14:textId="1550C9AF" w:rsidR="00E46A17" w:rsidRPr="00E46A17" w:rsidRDefault="00E46A17" w:rsidP="00397967">
      <w:pPr>
        <w:jc w:val="both"/>
        <w:rPr>
          <w:rFonts w:eastAsia="Calibri"/>
          <w:lang w:val="en-US"/>
        </w:rPr>
      </w:pPr>
      <w:r w:rsidRPr="00E46A17">
        <w:rPr>
          <w:rFonts w:eastAsia="Calibri"/>
          <w:lang w:val="en-US"/>
        </w:rPr>
        <w:t>REL completed its IPO in 2013 at the height of the commodity prices and has since operated through the longest oil price downturn in recent history</w:t>
      </w:r>
      <w:r w:rsidR="00C80328">
        <w:rPr>
          <w:rFonts w:eastAsia="Calibri"/>
          <w:lang w:val="en-US"/>
        </w:rPr>
        <w:t xml:space="preserve">, </w:t>
      </w:r>
      <w:r w:rsidR="0030475F" w:rsidRPr="0030475F">
        <w:rPr>
          <w:rFonts w:eastAsia="Calibri"/>
          <w:lang w:val="en-US"/>
        </w:rPr>
        <w:t>which has only been exacerbated during the first quarter of this ye</w:t>
      </w:r>
      <w:r w:rsidR="0030475F">
        <w:rPr>
          <w:rFonts w:eastAsia="Calibri"/>
          <w:lang w:val="en-US"/>
        </w:rPr>
        <w:t>ar</w:t>
      </w:r>
      <w:r w:rsidRPr="00E46A17">
        <w:rPr>
          <w:rFonts w:eastAsia="Calibri"/>
          <w:lang w:val="en-US"/>
        </w:rPr>
        <w:t>. Despite this, REL has realised total gross proceeds of $89</w:t>
      </w:r>
      <w:r w:rsidR="00926940">
        <w:rPr>
          <w:rFonts w:eastAsia="Calibri"/>
          <w:lang w:val="en-US"/>
        </w:rPr>
        <w:t>2</w:t>
      </w:r>
      <w:r w:rsidRPr="00E46A17">
        <w:rPr>
          <w:rFonts w:eastAsia="Calibri"/>
          <w:lang w:val="en-US"/>
        </w:rPr>
        <w:t xml:space="preserve"> million since inception, which represent over half of its $1,739 million of invested capital to date and have helped preserve value for the portfolio. However, the Company has still faced its share of challenges given the substantial exposure to E&amp;P investments in the portfolio. Over the past three years, U.S. and Canadian E&amp;P trading multiples have experienced significant compression, and the smaller end of the market has been particularly hard hit. Median trading multiples for U.S. and Canadian E&amp;P companies with less than $10 billion in enterprise value have declined by </w:t>
      </w:r>
      <w:r w:rsidR="00597581">
        <w:rPr>
          <w:rFonts w:eastAsia="Calibri"/>
          <w:lang w:val="en-US"/>
        </w:rPr>
        <w:t>47</w:t>
      </w:r>
      <w:r w:rsidRPr="00E46A17">
        <w:rPr>
          <w:rFonts w:eastAsia="Calibri"/>
          <w:lang w:val="en-US"/>
        </w:rPr>
        <w:t xml:space="preserve"> per cent. and </w:t>
      </w:r>
      <w:r w:rsidR="00597581">
        <w:rPr>
          <w:rFonts w:eastAsia="Calibri"/>
          <w:lang w:val="en-US"/>
        </w:rPr>
        <w:t>48</w:t>
      </w:r>
      <w:r w:rsidRPr="00E46A17">
        <w:rPr>
          <w:rFonts w:eastAsia="Calibri"/>
          <w:lang w:val="en-US"/>
        </w:rPr>
        <w:t xml:space="preserve"> per cent., respectively since the end of 2016</w:t>
      </w:r>
      <w:r w:rsidR="0030475F" w:rsidRPr="0030475F">
        <w:rPr>
          <w:rFonts w:eastAsia="Calibri"/>
          <w:lang w:val="en-US"/>
        </w:rPr>
        <w:t xml:space="preserve"> through 2019. </w:t>
      </w:r>
      <w:bookmarkStart w:id="5" w:name="_Hlk36926803"/>
      <w:r w:rsidR="0030475F" w:rsidRPr="0030475F">
        <w:rPr>
          <w:rFonts w:eastAsia="Calibri"/>
          <w:lang w:val="en-US"/>
        </w:rPr>
        <w:t xml:space="preserve">Since the end of 2019, median trading multiples for U.S. </w:t>
      </w:r>
      <w:r w:rsidR="00C77E35">
        <w:rPr>
          <w:rFonts w:eastAsia="Calibri"/>
          <w:lang w:val="en-US"/>
        </w:rPr>
        <w:t>E&amp;P companies with less than $10 billion in enterprise value declined by 8 per cent.</w:t>
      </w:r>
      <w:r w:rsidR="00017AAB">
        <w:rPr>
          <w:rFonts w:eastAsia="Calibri"/>
          <w:lang w:val="en-US"/>
        </w:rPr>
        <w:t>,</w:t>
      </w:r>
      <w:r w:rsidR="00C77E35">
        <w:rPr>
          <w:rFonts w:eastAsia="Calibri"/>
          <w:lang w:val="en-US"/>
        </w:rPr>
        <w:t xml:space="preserve"> while </w:t>
      </w:r>
      <w:r w:rsidR="0030475F" w:rsidRPr="0030475F">
        <w:rPr>
          <w:rFonts w:eastAsia="Calibri"/>
          <w:lang w:val="en-US"/>
        </w:rPr>
        <w:t xml:space="preserve">Canadian E&amp;P companies with less than $10 billion in enterprise value </w:t>
      </w:r>
      <w:r w:rsidR="00C77E35">
        <w:rPr>
          <w:rFonts w:eastAsia="Calibri"/>
          <w:lang w:val="en-US"/>
        </w:rPr>
        <w:t xml:space="preserve">remained relatively flat through </w:t>
      </w:r>
      <w:r w:rsidR="00DB2C2F">
        <w:rPr>
          <w:rFonts w:eastAsia="Calibri"/>
          <w:lang w:val="en-US"/>
        </w:rPr>
        <w:t>31 March 2020</w:t>
      </w:r>
      <w:r w:rsidR="0030475F" w:rsidRPr="0030475F">
        <w:rPr>
          <w:rFonts w:eastAsia="Calibri"/>
          <w:lang w:val="en-US"/>
        </w:rPr>
        <w:t>.</w:t>
      </w:r>
      <w:bookmarkEnd w:id="5"/>
      <w:r w:rsidRPr="00E46A17">
        <w:rPr>
          <w:rFonts w:eastAsia="Calibri"/>
          <w:lang w:val="en-US"/>
        </w:rPr>
        <w:t xml:space="preserve"> Combined with low forward oil prices, this dynamic has weighed on public and private equity valuations across the E&amp;P sector, including REL’s portfolio.</w:t>
      </w:r>
    </w:p>
    <w:p w14:paraId="3CE60FAA" w14:textId="77777777" w:rsidR="008500F8" w:rsidRDefault="008500F8" w:rsidP="00397967">
      <w:pPr>
        <w:jc w:val="both"/>
        <w:rPr>
          <w:rFonts w:eastAsia="Calibri"/>
          <w:lang w:val="en-US"/>
        </w:rPr>
      </w:pPr>
    </w:p>
    <w:p w14:paraId="3F1CB066" w14:textId="1286B7C7" w:rsidR="00E46A17" w:rsidRPr="00E46A17" w:rsidRDefault="0030475F" w:rsidP="00397967">
      <w:pPr>
        <w:jc w:val="both"/>
        <w:rPr>
          <w:rFonts w:eastAsia="Calibri"/>
          <w:highlight w:val="yellow"/>
          <w:lang w:val="en-US"/>
        </w:rPr>
      </w:pPr>
      <w:r w:rsidRPr="0030475F">
        <w:rPr>
          <w:rFonts w:eastAsia="Calibri"/>
          <w:lang w:val="en-US"/>
        </w:rPr>
        <w:t xml:space="preserve">During the </w:t>
      </w:r>
      <w:r w:rsidR="00793DB8">
        <w:rPr>
          <w:rFonts w:eastAsia="Calibri"/>
          <w:lang w:val="en-US"/>
        </w:rPr>
        <w:t>year</w:t>
      </w:r>
      <w:r w:rsidRPr="0030475F">
        <w:rPr>
          <w:rFonts w:eastAsia="Calibri"/>
          <w:lang w:val="en-US"/>
        </w:rPr>
        <w:t xml:space="preserve"> ending 31 December 2019, </w:t>
      </w:r>
      <w:r w:rsidR="00E46A17" w:rsidRPr="00E46A17">
        <w:rPr>
          <w:rFonts w:eastAsia="Calibri"/>
          <w:lang w:val="en-US"/>
        </w:rPr>
        <w:t>REL’s investment in Hammerhead</w:t>
      </w:r>
      <w:r w:rsidR="00A1450B">
        <w:rPr>
          <w:rFonts w:eastAsia="Calibri"/>
          <w:lang w:val="en-US"/>
        </w:rPr>
        <w:t xml:space="preserve">, which is </w:t>
      </w:r>
      <w:r w:rsidR="00BC1ADD">
        <w:rPr>
          <w:rFonts w:eastAsia="Calibri"/>
          <w:lang w:val="en-US"/>
        </w:rPr>
        <w:t>the Company</w:t>
      </w:r>
      <w:r w:rsidR="00A1450B">
        <w:rPr>
          <w:rFonts w:eastAsia="Calibri"/>
          <w:lang w:val="en-US"/>
        </w:rPr>
        <w:t>’s largest investment,</w:t>
      </w:r>
      <w:r w:rsidR="00E46A17" w:rsidRPr="00E46A17">
        <w:rPr>
          <w:rFonts w:eastAsia="Calibri"/>
          <w:lang w:val="en-US"/>
        </w:rPr>
        <w:t xml:space="preserve"> saw the </w:t>
      </w:r>
      <w:r w:rsidR="00A1450B">
        <w:rPr>
          <w:rFonts w:eastAsia="Calibri"/>
          <w:lang w:val="en-US"/>
        </w:rPr>
        <w:t>greatest</w:t>
      </w:r>
      <w:r w:rsidR="00E46A17" w:rsidRPr="00E46A17">
        <w:rPr>
          <w:rFonts w:eastAsia="Calibri"/>
          <w:lang w:val="en-US"/>
        </w:rPr>
        <w:t xml:space="preserve"> decline in unrealised value during the </w:t>
      </w:r>
      <w:r w:rsidR="00237601">
        <w:rPr>
          <w:rFonts w:eastAsia="Calibri"/>
          <w:lang w:val="en-US"/>
        </w:rPr>
        <w:t>p</w:t>
      </w:r>
      <w:r w:rsidR="00E46A17" w:rsidRPr="00E46A17">
        <w:rPr>
          <w:rFonts w:eastAsia="Calibri"/>
          <w:lang w:val="en-US"/>
        </w:rPr>
        <w:t xml:space="preserve">eriod as its Gross MOIC decreased from 1.5x to 0.4x. This valuation change reflects a more conservative development outlook due to limited liquidity and capital markets availability, trading performance of Canadian E&amp;P peers, and regulatory uncertainty. REL’s other E&amp;P investments also experienced decreases during the </w:t>
      </w:r>
      <w:r w:rsidR="00237601">
        <w:rPr>
          <w:rFonts w:eastAsia="Calibri"/>
          <w:lang w:val="en-US"/>
        </w:rPr>
        <w:t>p</w:t>
      </w:r>
      <w:r w:rsidR="00E46A17" w:rsidRPr="00E46A17">
        <w:rPr>
          <w:rFonts w:eastAsia="Calibri"/>
          <w:lang w:val="en-US"/>
        </w:rPr>
        <w:t>eriod as a result of market headwinds. Centennial’s Gross MOIC declined from 1.3x to 0.9x due to it</w:t>
      </w:r>
      <w:r w:rsidR="00F347F0">
        <w:rPr>
          <w:rFonts w:eastAsia="Calibri"/>
          <w:lang w:val="en-US"/>
        </w:rPr>
        <w:t>s</w:t>
      </w:r>
      <w:r w:rsidR="00E46A17" w:rsidRPr="00E46A17">
        <w:rPr>
          <w:rFonts w:eastAsia="Calibri"/>
          <w:lang w:val="en-US"/>
        </w:rPr>
        <w:t xml:space="preserve"> share price, which was impacted by underperformance in the broader public equity markets within E&amp;P. The Gross MOIC for Liberty II decreased from 1.1x to 0.4x due to weak capital markets conditions and constrained access to financing. Meanwhile, Ridgebury H3 (Handy Tankers) increased its Gross MOIC from 1.0x to 1.2x during the </w:t>
      </w:r>
      <w:r w:rsidR="0048778E">
        <w:rPr>
          <w:rFonts w:eastAsia="Calibri"/>
          <w:lang w:val="en-US"/>
        </w:rPr>
        <w:t>p</w:t>
      </w:r>
      <w:r w:rsidR="00E46A17" w:rsidRPr="00E46A17">
        <w:rPr>
          <w:rFonts w:eastAsia="Calibri"/>
          <w:lang w:val="en-US"/>
        </w:rPr>
        <w:t>eriod to reflect investment proceeds received to date and an improving market for</w:t>
      </w:r>
      <w:r w:rsidR="00E46A17" w:rsidRPr="00E46A17">
        <w:rPr>
          <w:rFonts w:eastAsia="Cambria"/>
          <w:color w:val="000000"/>
        </w:rPr>
        <w:t xml:space="preserve"> Handy </w:t>
      </w:r>
      <w:r w:rsidR="00F75528">
        <w:rPr>
          <w:rFonts w:eastAsia="Cambria"/>
          <w:color w:val="000000"/>
        </w:rPr>
        <w:t>vessels</w:t>
      </w:r>
      <w:r w:rsidR="00E46A17" w:rsidRPr="00E46A17">
        <w:rPr>
          <w:rFonts w:eastAsia="Cambria"/>
          <w:color w:val="000000"/>
        </w:rPr>
        <w:t>.</w:t>
      </w:r>
    </w:p>
    <w:p w14:paraId="04E29891" w14:textId="77777777" w:rsidR="008500F8" w:rsidRDefault="008500F8" w:rsidP="00397967">
      <w:pPr>
        <w:jc w:val="both"/>
        <w:rPr>
          <w:rFonts w:eastAsia="Calibri"/>
          <w:lang w:val="en-US"/>
        </w:rPr>
      </w:pPr>
    </w:p>
    <w:p w14:paraId="4AA81E35" w14:textId="5FE34D27" w:rsidR="00E46A17" w:rsidRPr="00E46A17" w:rsidRDefault="00E46A17" w:rsidP="00397967">
      <w:pPr>
        <w:jc w:val="both"/>
        <w:rPr>
          <w:rFonts w:eastAsia="Calibri"/>
          <w:lang w:val="en-US"/>
        </w:rPr>
      </w:pPr>
      <w:r w:rsidRPr="00E46A17">
        <w:rPr>
          <w:rFonts w:eastAsia="Calibri"/>
          <w:lang w:val="en-US"/>
        </w:rPr>
        <w:t xml:space="preserve">The valuation of REL’s investments is conducted quarterly by the Investment Manager and is subject to approval by the independent Directors. In addition, the valuations of REL’s investments are audited by Ernst &amp; Young LLP in connection with the annual audit of the Company’s Financial Statements. The Company’s valuation policy is compliant with both IFRS and IPEV Valuation Guidelines and has been applied consistently </w:t>
      </w:r>
      <w:r w:rsidRPr="00E46A17">
        <w:rPr>
          <w:rFonts w:eastAsia="Calibri"/>
          <w:lang w:val="en-US"/>
        </w:rPr>
        <w:lastRenderedPageBreak/>
        <w:t>from period to period since inception. As the Company’s investments are generally not publicly quoted, valuations require meaningful judgement</w:t>
      </w:r>
      <w:r w:rsidR="005D36AA">
        <w:rPr>
          <w:rFonts w:eastAsia="Calibri"/>
          <w:lang w:val="en-US"/>
        </w:rPr>
        <w:t xml:space="preserve"> and estimation</w:t>
      </w:r>
      <w:r w:rsidRPr="00E46A17">
        <w:rPr>
          <w:rFonts w:eastAsia="Calibri"/>
          <w:lang w:val="en-US"/>
        </w:rPr>
        <w:t xml:space="preserve"> to establish a range of values, and the ultimate value at which an investment is realised may differ from its most recent valuation and the difference may be significant. Further information on the Company’s valuation policy can be found in the Investment Manager’s Report.</w:t>
      </w:r>
    </w:p>
    <w:p w14:paraId="19E4C509" w14:textId="77777777" w:rsidR="008500F8" w:rsidRDefault="008500F8" w:rsidP="00397967">
      <w:pPr>
        <w:jc w:val="both"/>
        <w:rPr>
          <w:rFonts w:eastAsia="Calibri"/>
          <w:lang w:val="en-US"/>
        </w:rPr>
      </w:pPr>
    </w:p>
    <w:p w14:paraId="2E9BB956" w14:textId="04039E83" w:rsidR="00E46A17" w:rsidRPr="00E46A17" w:rsidRDefault="00E46A17" w:rsidP="00397967">
      <w:pPr>
        <w:jc w:val="both"/>
        <w:rPr>
          <w:rFonts w:eastAsia="Calibri"/>
          <w:lang w:val="en-US"/>
        </w:rPr>
      </w:pPr>
      <w:r w:rsidRPr="00E46A17">
        <w:rPr>
          <w:rFonts w:eastAsia="Calibri"/>
          <w:lang w:val="en-US"/>
        </w:rPr>
        <w:t>During 2019, through the Partnership, REL received $162 million in gross proceeds from the portfolio, primarily as a result of the full realisations of Meritage III and Sierra. The sale of Meritage III resulted in $83 million of gross proceeds, representing a 2.1x Gross MOIC and 30 per cent. Gross IRR on its $40 million investment. Additionally, the sale of Sierra resulted in $39 million of gross proceeds, representing a</w:t>
      </w:r>
      <w:r w:rsidR="00F75528" w:rsidRPr="00F75528">
        <w:rPr>
          <w:rFonts w:eastAsia="Calibri"/>
          <w:lang w:val="en-US"/>
        </w:rPr>
        <w:t xml:space="preserve"> </w:t>
      </w:r>
      <w:r w:rsidR="00F75528">
        <w:rPr>
          <w:rFonts w:eastAsia="Calibri"/>
          <w:lang w:val="en-US"/>
        </w:rPr>
        <w:t>Gross MOIC</w:t>
      </w:r>
      <w:r w:rsidRPr="00E46A17">
        <w:rPr>
          <w:rFonts w:eastAsia="Calibri"/>
          <w:lang w:val="en-US"/>
        </w:rPr>
        <w:t xml:space="preserve"> of 2.1x and a Gross IRR of 55 per cent. on its $18 million investment. Additional notable proceeds received include $16 million from asset sales in CNOR as well as $13 million of distributions from Carrier II.</w:t>
      </w:r>
    </w:p>
    <w:p w14:paraId="39CAFDAE" w14:textId="77777777" w:rsidR="008500F8" w:rsidRDefault="008500F8" w:rsidP="00397967">
      <w:pPr>
        <w:jc w:val="both"/>
        <w:rPr>
          <w:rFonts w:eastAsia="Calibri"/>
          <w:lang w:val="en-US"/>
        </w:rPr>
      </w:pPr>
    </w:p>
    <w:p w14:paraId="2721E92B" w14:textId="569F702E" w:rsidR="00E46A17" w:rsidRPr="00E46A17" w:rsidRDefault="00E46A17" w:rsidP="00397967">
      <w:pPr>
        <w:jc w:val="both"/>
        <w:rPr>
          <w:rFonts w:eastAsia="Calibri"/>
          <w:lang w:val="en-US"/>
        </w:rPr>
      </w:pPr>
      <w:r w:rsidRPr="00E46A17">
        <w:rPr>
          <w:rFonts w:eastAsia="Calibri"/>
          <w:lang w:val="en-US"/>
        </w:rPr>
        <w:t>REL invested a total of $</w:t>
      </w:r>
      <w:r w:rsidR="00926940">
        <w:rPr>
          <w:rFonts w:eastAsia="Calibri"/>
          <w:lang w:val="en-US"/>
        </w:rPr>
        <w:t>81</w:t>
      </w:r>
      <w:r w:rsidRPr="00E46A17">
        <w:rPr>
          <w:rFonts w:eastAsia="Calibri"/>
          <w:lang w:val="en-US"/>
        </w:rPr>
        <w:t xml:space="preserve"> million </w:t>
      </w:r>
      <w:r w:rsidRPr="00BC71AE">
        <w:rPr>
          <w:rFonts w:eastAsia="Calibri"/>
          <w:lang w:val="en-US"/>
        </w:rPr>
        <w:t xml:space="preserve">over the </w:t>
      </w:r>
      <w:r w:rsidR="00237601" w:rsidRPr="00BC71AE">
        <w:rPr>
          <w:rFonts w:eastAsia="Calibri"/>
          <w:lang w:val="en-US"/>
        </w:rPr>
        <w:t>p</w:t>
      </w:r>
      <w:r w:rsidRPr="00BC71AE">
        <w:rPr>
          <w:rFonts w:eastAsia="Calibri"/>
          <w:lang w:val="en-US"/>
        </w:rPr>
        <w:t>eriod, primarily to fund its initial investments into Ridgebury H3 (Handy Tankers), Aleph Midstream and Onyx Power</w:t>
      </w:r>
      <w:r w:rsidR="00224413" w:rsidRPr="00BC71AE">
        <w:rPr>
          <w:rFonts w:eastAsia="Calibri"/>
          <w:lang w:val="en-US"/>
        </w:rPr>
        <w:t xml:space="preserve">, of which $23 million </w:t>
      </w:r>
      <w:r w:rsidR="001F60AA">
        <w:rPr>
          <w:rFonts w:eastAsia="Calibri"/>
          <w:lang w:val="en-US"/>
        </w:rPr>
        <w:t>was</w:t>
      </w:r>
      <w:r w:rsidR="00224413" w:rsidRPr="00BC71AE">
        <w:rPr>
          <w:rFonts w:eastAsia="Calibri"/>
          <w:lang w:val="en-US"/>
        </w:rPr>
        <w:t xml:space="preserve"> returned </w:t>
      </w:r>
      <w:r w:rsidR="00224413">
        <w:rPr>
          <w:rFonts w:eastAsia="Calibri"/>
          <w:lang w:val="en-US"/>
        </w:rPr>
        <w:t>to REL upon the closing of the</w:t>
      </w:r>
      <w:r w:rsidR="00224413" w:rsidRPr="00224413">
        <w:rPr>
          <w:rFonts w:eastAsia="Calibri"/>
          <w:lang w:val="en-US"/>
        </w:rPr>
        <w:t xml:space="preserve"> </w:t>
      </w:r>
      <w:r w:rsidR="00224413">
        <w:rPr>
          <w:rFonts w:eastAsia="Calibri"/>
          <w:lang w:val="en-US"/>
        </w:rPr>
        <w:t>winddown of the Aleph Midstream investment in Q</w:t>
      </w:r>
      <w:r w:rsidR="001F60AA">
        <w:rPr>
          <w:rFonts w:eastAsia="Calibri"/>
          <w:lang w:val="en-US"/>
        </w:rPr>
        <w:t>1</w:t>
      </w:r>
      <w:r w:rsidR="00224413">
        <w:rPr>
          <w:rFonts w:eastAsia="Calibri"/>
          <w:lang w:val="en-US"/>
        </w:rPr>
        <w:t xml:space="preserve"> 2020</w:t>
      </w:r>
      <w:r w:rsidRPr="00BC71AE">
        <w:rPr>
          <w:rFonts w:eastAsia="Calibri"/>
          <w:lang w:val="en-US"/>
        </w:rPr>
        <w:t>. The Company also invested $8 million into ILX III and Castex 2014 to fund ongoing development and growth</w:t>
      </w:r>
      <w:r w:rsidRPr="00E46A17">
        <w:rPr>
          <w:rFonts w:eastAsia="Calibri"/>
          <w:lang w:val="en-US"/>
        </w:rPr>
        <w:t xml:space="preserve"> capital needs.</w:t>
      </w:r>
    </w:p>
    <w:p w14:paraId="3F8A8265" w14:textId="77777777" w:rsidR="008500F8" w:rsidRDefault="008500F8" w:rsidP="00397967">
      <w:pPr>
        <w:jc w:val="both"/>
        <w:rPr>
          <w:rFonts w:eastAsia="Calibri"/>
          <w:lang w:val="en-US"/>
        </w:rPr>
      </w:pPr>
    </w:p>
    <w:p w14:paraId="5AFAD0B0" w14:textId="78ABF895" w:rsidR="00E46A17" w:rsidRPr="00E46A17" w:rsidRDefault="00257588" w:rsidP="00397967">
      <w:pPr>
        <w:jc w:val="both"/>
        <w:rPr>
          <w:rFonts w:eastAsia="Calibri"/>
          <w:lang w:val="en-US"/>
        </w:rPr>
      </w:pPr>
      <w:r>
        <w:rPr>
          <w:rFonts w:eastAsia="Calibri"/>
          <w:lang w:val="en-US"/>
        </w:rPr>
        <w:t xml:space="preserve">In 2019, </w:t>
      </w:r>
      <w:r w:rsidR="00E46A17" w:rsidRPr="00E46A17">
        <w:rPr>
          <w:rFonts w:eastAsia="Calibri"/>
          <w:lang w:val="en-US"/>
        </w:rPr>
        <w:t xml:space="preserve">REL and its management teams focussed on driving efficiencies and managing liquidity to maintain financial flexibility. Within the Company’s North American onshore investments, Centennial continued to demonstrate outperformance. During the third quarter, Centennial raised its FY 2019 production guidance by 13 per cent. (22 per cent. for crude oil production) while operating with a lower rig count than previous projections and no expected increase in capital expenditures. Meanwhile, </w:t>
      </w:r>
      <w:r w:rsidR="00E46A17" w:rsidRPr="00E46A17">
        <w:rPr>
          <w:rFonts w:eastAsia="Calibri"/>
        </w:rPr>
        <w:t>Liberty II continue</w:t>
      </w:r>
      <w:r w:rsidR="00A36FB4">
        <w:rPr>
          <w:rFonts w:eastAsia="Calibri"/>
        </w:rPr>
        <w:t>d</w:t>
      </w:r>
      <w:r w:rsidR="00E46A17" w:rsidRPr="00E46A17">
        <w:rPr>
          <w:rFonts w:eastAsia="Calibri"/>
        </w:rPr>
        <w:t xml:space="preserve"> drilling its East Nesson position in the Bakken which has performed at or above previous estimates, while evaluating financing alternatives to grow production volumes and cash flows.  In Canada, Hammerhead continue</w:t>
      </w:r>
      <w:r w:rsidR="00CC50B8">
        <w:rPr>
          <w:rFonts w:eastAsia="Calibri"/>
        </w:rPr>
        <w:t>d</w:t>
      </w:r>
      <w:r w:rsidR="00E46A17" w:rsidRPr="00E46A17">
        <w:rPr>
          <w:rFonts w:eastAsia="Calibri"/>
        </w:rPr>
        <w:t xml:space="preserve"> to develop its Upper/Middle Montney position and ended the </w:t>
      </w:r>
      <w:r w:rsidR="00237601">
        <w:rPr>
          <w:rFonts w:eastAsia="Calibri"/>
        </w:rPr>
        <w:t>p</w:t>
      </w:r>
      <w:r w:rsidR="00E46A17" w:rsidRPr="00E46A17">
        <w:rPr>
          <w:rFonts w:eastAsia="Calibri"/>
        </w:rPr>
        <w:t>eriod with production levels of 29,000 boepd. During the year, Hammerhead significantly improved drilling and completion cost efficiencies as the company executed on its pad development plan</w:t>
      </w:r>
      <w:r w:rsidR="00A70F0C">
        <w:rPr>
          <w:rFonts w:eastAsia="Calibri"/>
        </w:rPr>
        <w:t>, which was significantly curtailed from 2018 levels and focus</w:t>
      </w:r>
      <w:r w:rsidR="002969DF">
        <w:rPr>
          <w:rFonts w:eastAsia="Calibri"/>
        </w:rPr>
        <w:t>s</w:t>
      </w:r>
      <w:r w:rsidR="00A70F0C">
        <w:rPr>
          <w:rFonts w:eastAsia="Calibri"/>
        </w:rPr>
        <w:t>ed on capital efficiency in order to preserve limited liquidity.</w:t>
      </w:r>
    </w:p>
    <w:p w14:paraId="3F5C91DB" w14:textId="77777777" w:rsidR="008500F8" w:rsidRDefault="008500F8" w:rsidP="00397967">
      <w:pPr>
        <w:jc w:val="both"/>
        <w:rPr>
          <w:rFonts w:eastAsia="Calibri"/>
          <w:lang w:val="en-US"/>
        </w:rPr>
      </w:pPr>
    </w:p>
    <w:p w14:paraId="6324E75F" w14:textId="07C40AB9" w:rsidR="00E46A17" w:rsidRDefault="00E46A17" w:rsidP="00397967">
      <w:pPr>
        <w:jc w:val="both"/>
        <w:rPr>
          <w:rFonts w:eastAsia="Calibri"/>
          <w:lang w:val="en-US"/>
        </w:rPr>
      </w:pPr>
      <w:r w:rsidRPr="00E46A17">
        <w:rPr>
          <w:rFonts w:eastAsia="Calibri"/>
          <w:lang w:val="en-US"/>
        </w:rPr>
        <w:t>In the Gulf of Mexico, REL’s offshore investments continued to progress in their development plans. ILX III’s Buckskin project reached first oil in June 2019 and production levels to date have been higher than initial expectations.  Meanwhile, Fieldwood continue</w:t>
      </w:r>
      <w:r w:rsidR="00CC50B8">
        <w:rPr>
          <w:rFonts w:eastAsia="Calibri"/>
          <w:lang w:val="en-US"/>
        </w:rPr>
        <w:t>d</w:t>
      </w:r>
      <w:r w:rsidRPr="00E46A17">
        <w:rPr>
          <w:rFonts w:eastAsia="Calibri"/>
          <w:lang w:val="en-US"/>
        </w:rPr>
        <w:t xml:space="preserve"> to </w:t>
      </w:r>
      <w:r w:rsidR="0042343A">
        <w:rPr>
          <w:rFonts w:eastAsia="Calibri"/>
          <w:lang w:val="en-US"/>
        </w:rPr>
        <w:t>develop</w:t>
      </w:r>
      <w:r w:rsidRPr="00E46A17">
        <w:rPr>
          <w:rFonts w:eastAsia="Calibri"/>
          <w:lang w:val="en-US"/>
        </w:rPr>
        <w:t xml:space="preserve"> its deepwater drilling campaign. The programme has had five successful discoveries, two of which have been brought online and reached first oil during the fourth quarter. </w:t>
      </w:r>
    </w:p>
    <w:p w14:paraId="32E11F69" w14:textId="017ED4CB" w:rsidR="00CC50B8" w:rsidRDefault="00CC50B8" w:rsidP="00397967">
      <w:pPr>
        <w:jc w:val="both"/>
        <w:rPr>
          <w:rFonts w:eastAsia="Calibri"/>
          <w:lang w:val="en-US"/>
        </w:rPr>
      </w:pPr>
    </w:p>
    <w:p w14:paraId="05B3AB0B" w14:textId="59E2D2B4" w:rsidR="008500F8" w:rsidRDefault="00CC50B8" w:rsidP="00397967">
      <w:pPr>
        <w:jc w:val="both"/>
        <w:rPr>
          <w:rFonts w:eastAsia="Times New Roman"/>
        </w:rPr>
      </w:pPr>
      <w:r w:rsidRPr="00CC50B8">
        <w:rPr>
          <w:rFonts w:eastAsia="Calibri"/>
          <w:lang w:val="en-US"/>
        </w:rPr>
        <w:t>However, despite the portfolio’s operational performance in 2019, the Company is actively evaluating the best path forward for REL’s investments in light of the unprecedented events that have recently occurred. With significant growth and liquidity challenges anticipated, the Company is preparing for material reductions in spending and drilling activity across the portfolio. The next few months will undoubtedly represent a tough period for the portfolio, and REL is working hard to prioritize its investments to plan for continued uncertainty in the market.</w:t>
      </w:r>
    </w:p>
    <w:p w14:paraId="0AF8F332" w14:textId="77777777" w:rsidR="007D6959" w:rsidRDefault="007D6959" w:rsidP="00397967">
      <w:pPr>
        <w:jc w:val="both"/>
        <w:rPr>
          <w:rFonts w:eastAsia="Times New Roman"/>
        </w:rPr>
      </w:pPr>
    </w:p>
    <w:p w14:paraId="48CA0CDB" w14:textId="6C75FA43" w:rsidR="005D36AA" w:rsidRDefault="00E46A17" w:rsidP="00397967">
      <w:pPr>
        <w:jc w:val="both"/>
        <w:rPr>
          <w:rFonts w:eastAsia="Times New Roman"/>
        </w:rPr>
      </w:pPr>
      <w:r w:rsidRPr="00E46A17">
        <w:rPr>
          <w:rFonts w:eastAsia="Times New Roman"/>
        </w:rPr>
        <w:t xml:space="preserve">In closing, I would like to thank our </w:t>
      </w:r>
      <w:r w:rsidR="001111B6">
        <w:rPr>
          <w:rFonts w:eastAsia="Times New Roman"/>
        </w:rPr>
        <w:t>S</w:t>
      </w:r>
      <w:r w:rsidRPr="00E46A17">
        <w:rPr>
          <w:rFonts w:eastAsia="Times New Roman"/>
        </w:rPr>
        <w:t xml:space="preserve">hareholders for their continued support during these difficult times.  </w:t>
      </w:r>
      <w:r w:rsidR="008944A1">
        <w:rPr>
          <w:rFonts w:eastAsia="Times New Roman"/>
        </w:rPr>
        <w:t xml:space="preserve">I very much appreciate the feedback that I have received from </w:t>
      </w:r>
      <w:r w:rsidR="00F75528">
        <w:rPr>
          <w:rFonts w:eastAsia="Times New Roman"/>
        </w:rPr>
        <w:t>S</w:t>
      </w:r>
      <w:r w:rsidR="008944A1">
        <w:rPr>
          <w:rFonts w:eastAsia="Times New Roman"/>
        </w:rPr>
        <w:t>hareholders</w:t>
      </w:r>
      <w:r w:rsidR="00A1450B">
        <w:rPr>
          <w:rFonts w:eastAsia="Times New Roman"/>
        </w:rPr>
        <w:t xml:space="preserve"> and </w:t>
      </w:r>
      <w:r w:rsidR="00A9661A">
        <w:rPr>
          <w:rFonts w:eastAsia="Times New Roman"/>
        </w:rPr>
        <w:t xml:space="preserve">continue to </w:t>
      </w:r>
      <w:r w:rsidR="00A1450B">
        <w:rPr>
          <w:rFonts w:eastAsia="Times New Roman"/>
        </w:rPr>
        <w:t>encourage regular communication with Board members and the Investment Manager</w:t>
      </w:r>
      <w:r w:rsidR="008944A1">
        <w:rPr>
          <w:rFonts w:eastAsia="Times New Roman"/>
        </w:rPr>
        <w:t>. I shall continue to work closely with the Management Engagement Committee and the Investment Manager in being responsive to your requests</w:t>
      </w:r>
      <w:r w:rsidR="00A57349">
        <w:rPr>
          <w:rFonts w:eastAsia="Times New Roman"/>
        </w:rPr>
        <w:t xml:space="preserve"> for liquidity through share repurchases or dividends</w:t>
      </w:r>
      <w:r w:rsidR="008944A1">
        <w:rPr>
          <w:rFonts w:eastAsia="Times New Roman"/>
        </w:rPr>
        <w:t xml:space="preserve">. </w:t>
      </w:r>
      <w:r w:rsidR="000036A3">
        <w:rPr>
          <w:rFonts w:eastAsia="Times New Roman"/>
        </w:rPr>
        <w:t>At 31 March 2020</w:t>
      </w:r>
      <w:r w:rsidR="000A54C5">
        <w:rPr>
          <w:rFonts w:eastAsia="Times New Roman"/>
        </w:rPr>
        <w:t>,</w:t>
      </w:r>
      <w:r w:rsidR="000036A3">
        <w:rPr>
          <w:rFonts w:eastAsia="Times New Roman"/>
        </w:rPr>
        <w:t xml:space="preserve"> REL had cash of $2</w:t>
      </w:r>
      <w:r w:rsidR="00F138BF">
        <w:rPr>
          <w:rFonts w:eastAsia="Times New Roman"/>
        </w:rPr>
        <w:t>11</w:t>
      </w:r>
      <w:r w:rsidR="000036A3">
        <w:rPr>
          <w:rFonts w:eastAsia="Times New Roman"/>
        </w:rPr>
        <w:t xml:space="preserve"> million and potential unfunded commitments of $135 million. </w:t>
      </w:r>
      <w:r w:rsidR="008944A1">
        <w:rPr>
          <w:rFonts w:eastAsia="Times New Roman"/>
        </w:rPr>
        <w:t xml:space="preserve">However, as provided in the Investment Management Agreement (and set forth in the </w:t>
      </w:r>
      <w:r w:rsidR="00F75528">
        <w:rPr>
          <w:rFonts w:eastAsia="Times New Roman"/>
        </w:rPr>
        <w:t>P</w:t>
      </w:r>
      <w:r w:rsidR="008944A1">
        <w:rPr>
          <w:rFonts w:eastAsia="Times New Roman"/>
        </w:rPr>
        <w:t>rospectus</w:t>
      </w:r>
      <w:r w:rsidR="00F75528">
        <w:rPr>
          <w:rFonts w:eastAsia="Times New Roman"/>
        </w:rPr>
        <w:t>es</w:t>
      </w:r>
      <w:r w:rsidR="008944A1">
        <w:rPr>
          <w:rFonts w:eastAsia="Times New Roman"/>
        </w:rPr>
        <w:t>) the Board is not empowered to authorise changes to the capital structure, including dividends and share repurchase</w:t>
      </w:r>
      <w:r w:rsidR="000477F8">
        <w:rPr>
          <w:rFonts w:eastAsia="Times New Roman"/>
        </w:rPr>
        <w:t>,</w:t>
      </w:r>
      <w:r w:rsidR="008944A1">
        <w:rPr>
          <w:rFonts w:eastAsia="Times New Roman"/>
        </w:rPr>
        <w:t xml:space="preserve"> without the consent of the Investment Manager. </w:t>
      </w:r>
      <w:r w:rsidR="006E1A17">
        <w:rPr>
          <w:rFonts w:eastAsia="Times New Roman"/>
        </w:rPr>
        <w:t>We shall continue dialogue with the Investment Manager about further possible changes to the Investment Management Agreement</w:t>
      </w:r>
      <w:r w:rsidR="003E4298">
        <w:rPr>
          <w:rFonts w:eastAsia="Times New Roman"/>
        </w:rPr>
        <w:t>. Once again, such amendments can only be made with the consent of the Investment Manager and</w:t>
      </w:r>
      <w:r w:rsidR="00224413">
        <w:rPr>
          <w:rFonts w:eastAsia="Times New Roman"/>
        </w:rPr>
        <w:t>,</w:t>
      </w:r>
      <w:r w:rsidR="003E4298">
        <w:rPr>
          <w:rFonts w:eastAsia="Times New Roman"/>
        </w:rPr>
        <w:t xml:space="preserve"> in addition, the unanimous consent of the Cornerstone</w:t>
      </w:r>
      <w:r w:rsidR="000E2106">
        <w:rPr>
          <w:rFonts w:eastAsia="Times New Roman"/>
        </w:rPr>
        <w:t xml:space="preserve"> </w:t>
      </w:r>
      <w:r w:rsidR="00224413">
        <w:rPr>
          <w:rFonts w:eastAsia="Times New Roman"/>
        </w:rPr>
        <w:t>Investors</w:t>
      </w:r>
      <w:r w:rsidR="003E4298">
        <w:rPr>
          <w:rFonts w:eastAsia="Times New Roman"/>
        </w:rPr>
        <w:t>.</w:t>
      </w:r>
      <w:r w:rsidR="00152EF0">
        <w:rPr>
          <w:rFonts w:eastAsia="Times New Roman"/>
        </w:rPr>
        <w:t xml:space="preserve"> The Board and the Investment Manager are currently in discussions about the desirability and method of returning some of the Company’s existing uninvested cash to Shareholders and expect to make an announcement in the near future.</w:t>
      </w:r>
    </w:p>
    <w:p w14:paraId="0735CA00" w14:textId="77777777" w:rsidR="005D36AA" w:rsidRDefault="005D36AA" w:rsidP="00397967">
      <w:pPr>
        <w:jc w:val="both"/>
        <w:rPr>
          <w:rFonts w:eastAsia="Times New Roman"/>
        </w:rPr>
      </w:pPr>
    </w:p>
    <w:p w14:paraId="19CD15E2" w14:textId="6379165F" w:rsidR="00E46A17" w:rsidRPr="00E46A17" w:rsidRDefault="00BB0778" w:rsidP="00397967">
      <w:pPr>
        <w:jc w:val="both"/>
        <w:rPr>
          <w:rFonts w:eastAsia="Times New Roman"/>
        </w:rPr>
      </w:pPr>
      <w:r>
        <w:rPr>
          <w:rFonts w:eastAsia="Times New Roman"/>
        </w:rPr>
        <w:t xml:space="preserve">As referenced later, the Board </w:t>
      </w:r>
      <w:r w:rsidR="00224413">
        <w:rPr>
          <w:rFonts w:eastAsia="Times New Roman"/>
        </w:rPr>
        <w:t>expects</w:t>
      </w:r>
      <w:r>
        <w:rPr>
          <w:rFonts w:eastAsia="Times New Roman"/>
        </w:rPr>
        <w:t xml:space="preserve"> a Discontinuation </w:t>
      </w:r>
      <w:r w:rsidR="0028468D">
        <w:rPr>
          <w:rFonts w:eastAsia="Times New Roman"/>
        </w:rPr>
        <w:t>Resolution</w:t>
      </w:r>
      <w:r w:rsidR="00893B6A">
        <w:rPr>
          <w:rFonts w:eastAsia="Times New Roman"/>
        </w:rPr>
        <w:t xml:space="preserve"> </w:t>
      </w:r>
      <w:r w:rsidR="00BF4E59">
        <w:rPr>
          <w:rFonts w:eastAsia="Times New Roman"/>
        </w:rPr>
        <w:t>V</w:t>
      </w:r>
      <w:r>
        <w:rPr>
          <w:rFonts w:eastAsia="Times New Roman"/>
        </w:rPr>
        <w:t xml:space="preserve">ote EGM </w:t>
      </w:r>
      <w:r w:rsidR="00371414">
        <w:rPr>
          <w:rFonts w:eastAsia="Times New Roman"/>
        </w:rPr>
        <w:t xml:space="preserve">to </w:t>
      </w:r>
      <w:r>
        <w:rPr>
          <w:rFonts w:eastAsia="Times New Roman"/>
        </w:rPr>
        <w:t xml:space="preserve">take place in </w:t>
      </w:r>
      <w:r w:rsidR="00893B6A">
        <w:rPr>
          <w:rFonts w:eastAsia="Times New Roman"/>
        </w:rPr>
        <w:t>Q4</w:t>
      </w:r>
      <w:r w:rsidR="00857F68">
        <w:rPr>
          <w:rFonts w:eastAsia="Times New Roman"/>
        </w:rPr>
        <w:t xml:space="preserve"> 2020,</w:t>
      </w:r>
      <w:r w:rsidR="0019728E">
        <w:rPr>
          <w:rFonts w:eastAsia="Times New Roman"/>
        </w:rPr>
        <w:t xml:space="preserve"> as defined in the Prospectuses and Investment Manage</w:t>
      </w:r>
      <w:r w:rsidR="00152EF0">
        <w:rPr>
          <w:rFonts w:eastAsia="Times New Roman"/>
        </w:rPr>
        <w:t>ment</w:t>
      </w:r>
      <w:r w:rsidR="0019728E">
        <w:rPr>
          <w:rFonts w:eastAsia="Times New Roman"/>
        </w:rPr>
        <w:t xml:space="preserve"> Agreement</w:t>
      </w:r>
      <w:r w:rsidR="00371414">
        <w:rPr>
          <w:rFonts w:eastAsia="Times New Roman"/>
        </w:rPr>
        <w:t>. For the vote to pass, it</w:t>
      </w:r>
      <w:r>
        <w:rPr>
          <w:rFonts w:eastAsia="Times New Roman"/>
        </w:rPr>
        <w:t xml:space="preserve"> requires 75</w:t>
      </w:r>
      <w:r w:rsidR="00224413">
        <w:rPr>
          <w:rFonts w:eastAsia="Times New Roman"/>
        </w:rPr>
        <w:t xml:space="preserve"> per cent.</w:t>
      </w:r>
      <w:r>
        <w:rPr>
          <w:rFonts w:eastAsia="Times New Roman"/>
        </w:rPr>
        <w:t xml:space="preserve"> </w:t>
      </w:r>
      <w:r w:rsidR="00371414">
        <w:rPr>
          <w:rFonts w:eastAsia="Times New Roman"/>
        </w:rPr>
        <w:t>of the votes cast</w:t>
      </w:r>
      <w:r w:rsidR="000A54C5">
        <w:rPr>
          <w:rFonts w:eastAsia="Times New Roman"/>
        </w:rPr>
        <w:t xml:space="preserve"> in favour</w:t>
      </w:r>
      <w:r>
        <w:rPr>
          <w:rFonts w:eastAsia="Times New Roman"/>
        </w:rPr>
        <w:t>. The Investment Manager and Cornerstone</w:t>
      </w:r>
      <w:r w:rsidR="00224413">
        <w:rPr>
          <w:rFonts w:eastAsia="Times New Roman"/>
        </w:rPr>
        <w:t xml:space="preserve"> Investor</w:t>
      </w:r>
      <w:r>
        <w:rPr>
          <w:rFonts w:eastAsia="Times New Roman"/>
        </w:rPr>
        <w:t>s have</w:t>
      </w:r>
      <w:r w:rsidR="00322AE9">
        <w:rPr>
          <w:rFonts w:eastAsia="Times New Roman"/>
        </w:rPr>
        <w:t xml:space="preserve"> 8.</w:t>
      </w:r>
      <w:r w:rsidR="00940120">
        <w:rPr>
          <w:rFonts w:eastAsia="Times New Roman"/>
        </w:rPr>
        <w:t>35</w:t>
      </w:r>
      <w:r w:rsidR="00224413">
        <w:rPr>
          <w:rFonts w:eastAsia="Times New Roman"/>
        </w:rPr>
        <w:t xml:space="preserve"> per cent.</w:t>
      </w:r>
      <w:r w:rsidR="00322AE9">
        <w:rPr>
          <w:rFonts w:eastAsia="Times New Roman"/>
        </w:rPr>
        <w:t xml:space="preserve"> and 40.4</w:t>
      </w:r>
      <w:r w:rsidR="00224413">
        <w:rPr>
          <w:rFonts w:eastAsia="Times New Roman"/>
        </w:rPr>
        <w:t xml:space="preserve"> per cent.</w:t>
      </w:r>
      <w:r w:rsidR="00D40193">
        <w:rPr>
          <w:rFonts w:eastAsia="Times New Roman"/>
        </w:rPr>
        <w:t>, respectively</w:t>
      </w:r>
      <w:r w:rsidR="00940120">
        <w:rPr>
          <w:rFonts w:eastAsia="Times New Roman"/>
        </w:rPr>
        <w:t>,</w:t>
      </w:r>
      <w:r w:rsidR="00D40193">
        <w:rPr>
          <w:rFonts w:eastAsia="Times New Roman"/>
        </w:rPr>
        <w:t xml:space="preserve"> of the </w:t>
      </w:r>
      <w:r w:rsidR="00067DD3">
        <w:rPr>
          <w:rFonts w:eastAsia="Times New Roman"/>
        </w:rPr>
        <w:t>votes and can block approval. However, if the vote</w:t>
      </w:r>
      <w:r w:rsidR="00940120">
        <w:rPr>
          <w:rFonts w:eastAsia="Times New Roman"/>
        </w:rPr>
        <w:t xml:space="preserve"> i</w:t>
      </w:r>
      <w:r w:rsidR="00067DD3">
        <w:rPr>
          <w:rFonts w:eastAsia="Times New Roman"/>
        </w:rPr>
        <w:t>s passed, both the Investment Manager and Cornerstone</w:t>
      </w:r>
      <w:r w:rsidR="00940120">
        <w:rPr>
          <w:rFonts w:eastAsia="Times New Roman"/>
        </w:rPr>
        <w:t xml:space="preserve"> Investor</w:t>
      </w:r>
      <w:r w:rsidR="00067DD3">
        <w:rPr>
          <w:rFonts w:eastAsia="Times New Roman"/>
        </w:rPr>
        <w:t>s would share (8</w:t>
      </w:r>
      <w:r w:rsidR="00267236">
        <w:rPr>
          <w:rFonts w:eastAsia="Times New Roman"/>
        </w:rPr>
        <w:t>3</w:t>
      </w:r>
      <w:r w:rsidR="00940120">
        <w:rPr>
          <w:rFonts w:eastAsia="Times New Roman"/>
        </w:rPr>
        <w:t xml:space="preserve"> per cent. </w:t>
      </w:r>
      <w:r w:rsidR="00067DD3">
        <w:rPr>
          <w:rFonts w:eastAsia="Times New Roman"/>
        </w:rPr>
        <w:t>/</w:t>
      </w:r>
      <w:r w:rsidR="00940120">
        <w:rPr>
          <w:rFonts w:eastAsia="Times New Roman"/>
        </w:rPr>
        <w:t xml:space="preserve"> </w:t>
      </w:r>
      <w:r w:rsidR="00267236">
        <w:rPr>
          <w:rFonts w:eastAsia="Times New Roman"/>
        </w:rPr>
        <w:t>17</w:t>
      </w:r>
      <w:r w:rsidR="00940120">
        <w:rPr>
          <w:rFonts w:eastAsia="Times New Roman"/>
        </w:rPr>
        <w:t xml:space="preserve"> per cent.</w:t>
      </w:r>
      <w:r w:rsidR="00067DD3">
        <w:rPr>
          <w:rFonts w:eastAsia="Times New Roman"/>
        </w:rPr>
        <w:t xml:space="preserve">) in the exit fee of </w:t>
      </w:r>
      <w:r w:rsidR="00940120">
        <w:rPr>
          <w:rFonts w:eastAsia="Times New Roman"/>
        </w:rPr>
        <w:t>twenty</w:t>
      </w:r>
      <w:r w:rsidR="00067DD3">
        <w:rPr>
          <w:rFonts w:eastAsia="Times New Roman"/>
        </w:rPr>
        <w:t xml:space="preserve"> times </w:t>
      </w:r>
      <w:r w:rsidR="00371414">
        <w:rPr>
          <w:rFonts w:eastAsia="Times New Roman"/>
        </w:rPr>
        <w:t xml:space="preserve">the </w:t>
      </w:r>
      <w:r w:rsidR="00067DD3">
        <w:rPr>
          <w:rFonts w:eastAsia="Times New Roman"/>
        </w:rPr>
        <w:t xml:space="preserve">most recent </w:t>
      </w:r>
      <w:r w:rsidR="00940120">
        <w:rPr>
          <w:rFonts w:eastAsia="Times New Roman"/>
        </w:rPr>
        <w:t xml:space="preserve">quarterly </w:t>
      </w:r>
      <w:r w:rsidR="00407D9F">
        <w:rPr>
          <w:rFonts w:eastAsia="Times New Roman"/>
        </w:rPr>
        <w:t>M</w:t>
      </w:r>
      <w:r w:rsidR="00067DD3">
        <w:rPr>
          <w:rFonts w:eastAsia="Times New Roman"/>
        </w:rPr>
        <w:t xml:space="preserve">anagement </w:t>
      </w:r>
      <w:r w:rsidR="00407D9F">
        <w:rPr>
          <w:rFonts w:eastAsia="Times New Roman"/>
        </w:rPr>
        <w:t>F</w:t>
      </w:r>
      <w:r w:rsidR="00067DD3">
        <w:rPr>
          <w:rFonts w:eastAsia="Times New Roman"/>
        </w:rPr>
        <w:t xml:space="preserve">ee plus </w:t>
      </w:r>
      <w:r w:rsidR="00940120">
        <w:rPr>
          <w:rFonts w:eastAsia="Times New Roman"/>
        </w:rPr>
        <w:t xml:space="preserve">accrued </w:t>
      </w:r>
      <w:r w:rsidR="00067DD3">
        <w:rPr>
          <w:rFonts w:eastAsia="Times New Roman"/>
        </w:rPr>
        <w:t xml:space="preserve">performance fees, if any. If the Discontinuation </w:t>
      </w:r>
      <w:r w:rsidR="0028468D">
        <w:rPr>
          <w:rFonts w:eastAsia="Times New Roman"/>
        </w:rPr>
        <w:t>Resolution</w:t>
      </w:r>
      <w:r w:rsidR="00893B6A">
        <w:rPr>
          <w:rFonts w:eastAsia="Times New Roman"/>
        </w:rPr>
        <w:t xml:space="preserve"> </w:t>
      </w:r>
      <w:r w:rsidR="00BF4E59">
        <w:rPr>
          <w:rFonts w:eastAsia="Times New Roman"/>
        </w:rPr>
        <w:t>V</w:t>
      </w:r>
      <w:r w:rsidR="00067DD3">
        <w:rPr>
          <w:rFonts w:eastAsia="Times New Roman"/>
        </w:rPr>
        <w:t xml:space="preserve">ote is not passed, the Investment Management Agreement will continue in perpetuity. </w:t>
      </w:r>
      <w:r w:rsidR="00D331AD">
        <w:rPr>
          <w:rFonts w:eastAsia="Times New Roman"/>
        </w:rPr>
        <w:t>However, both the</w:t>
      </w:r>
      <w:r w:rsidR="00067DD3">
        <w:rPr>
          <w:rFonts w:eastAsia="Times New Roman"/>
        </w:rPr>
        <w:t xml:space="preserve"> Board and </w:t>
      </w:r>
      <w:r w:rsidR="00BC71AE">
        <w:rPr>
          <w:rFonts w:eastAsia="Times New Roman"/>
        </w:rPr>
        <w:t>S</w:t>
      </w:r>
      <w:r w:rsidR="00067DD3">
        <w:rPr>
          <w:rFonts w:eastAsia="Times New Roman"/>
        </w:rPr>
        <w:t>hareholders aggregat</w:t>
      </w:r>
      <w:r w:rsidR="00940120">
        <w:rPr>
          <w:rFonts w:eastAsia="Times New Roman"/>
        </w:rPr>
        <w:t>ing</w:t>
      </w:r>
      <w:r w:rsidR="00067DD3">
        <w:rPr>
          <w:rFonts w:eastAsia="Times New Roman"/>
        </w:rPr>
        <w:t xml:space="preserve"> 10</w:t>
      </w:r>
      <w:r w:rsidR="00940120">
        <w:rPr>
          <w:rFonts w:eastAsia="Times New Roman"/>
        </w:rPr>
        <w:t xml:space="preserve"> per cent.</w:t>
      </w:r>
      <w:r w:rsidR="00067DD3">
        <w:rPr>
          <w:rFonts w:eastAsia="Times New Roman"/>
        </w:rPr>
        <w:t xml:space="preserve"> of the vote will still be able to </w:t>
      </w:r>
      <w:r w:rsidR="00067DD3">
        <w:rPr>
          <w:rFonts w:eastAsia="Times New Roman"/>
        </w:rPr>
        <w:lastRenderedPageBreak/>
        <w:t>call for an EGM to vote on a wind-up (75</w:t>
      </w:r>
      <w:r w:rsidR="00940120">
        <w:rPr>
          <w:rFonts w:eastAsia="Times New Roman"/>
        </w:rPr>
        <w:t xml:space="preserve"> per cent.</w:t>
      </w:r>
      <w:r w:rsidR="00067DD3">
        <w:rPr>
          <w:rFonts w:eastAsia="Times New Roman"/>
        </w:rPr>
        <w:t xml:space="preserve"> </w:t>
      </w:r>
      <w:r w:rsidR="000A54C5">
        <w:rPr>
          <w:rFonts w:eastAsia="Times New Roman"/>
        </w:rPr>
        <w:t xml:space="preserve">of the </w:t>
      </w:r>
      <w:r w:rsidR="00067DD3">
        <w:rPr>
          <w:rFonts w:eastAsia="Times New Roman"/>
        </w:rPr>
        <w:t>vote</w:t>
      </w:r>
      <w:r w:rsidR="000A54C5">
        <w:rPr>
          <w:rFonts w:eastAsia="Times New Roman"/>
        </w:rPr>
        <w:t>s cast in favour</w:t>
      </w:r>
      <w:r w:rsidR="00067DD3">
        <w:rPr>
          <w:rFonts w:eastAsia="Times New Roman"/>
        </w:rPr>
        <w:t xml:space="preserve"> required) or a run-off (50</w:t>
      </w:r>
      <w:r w:rsidR="00940120">
        <w:rPr>
          <w:rFonts w:eastAsia="Times New Roman"/>
        </w:rPr>
        <w:t xml:space="preserve"> per cent.</w:t>
      </w:r>
      <w:r w:rsidR="00067DD3">
        <w:rPr>
          <w:rFonts w:eastAsia="Times New Roman"/>
        </w:rPr>
        <w:t xml:space="preserve"> </w:t>
      </w:r>
      <w:r w:rsidR="000A54C5">
        <w:rPr>
          <w:rFonts w:eastAsia="Times New Roman"/>
        </w:rPr>
        <w:t xml:space="preserve">of the </w:t>
      </w:r>
      <w:r w:rsidR="00067DD3">
        <w:rPr>
          <w:rFonts w:eastAsia="Times New Roman"/>
        </w:rPr>
        <w:t>vote</w:t>
      </w:r>
      <w:r w:rsidR="000A54C5">
        <w:rPr>
          <w:rFonts w:eastAsia="Times New Roman"/>
        </w:rPr>
        <w:t>s cast in favour</w:t>
      </w:r>
      <w:r w:rsidR="00067DD3">
        <w:rPr>
          <w:rFonts w:eastAsia="Times New Roman"/>
        </w:rPr>
        <w:t xml:space="preserve"> required).</w:t>
      </w:r>
      <w:r w:rsidR="00E06022" w:rsidRPr="00E06022">
        <w:rPr>
          <w:rFonts w:eastAsia="Times New Roman"/>
        </w:rPr>
        <w:t xml:space="preserve"> </w:t>
      </w:r>
      <w:bookmarkStart w:id="6" w:name="_Hlk37663376"/>
      <w:r w:rsidR="00E06022">
        <w:rPr>
          <w:rFonts w:eastAsia="Times New Roman"/>
        </w:rPr>
        <w:t xml:space="preserve">In March 2020, the Investment Manager contacted </w:t>
      </w:r>
      <w:r w:rsidR="00BF4E59">
        <w:rPr>
          <w:rFonts w:eastAsia="Times New Roman"/>
        </w:rPr>
        <w:t xml:space="preserve">one of the Cornerstone Investors </w:t>
      </w:r>
      <w:r w:rsidR="005546CA">
        <w:rPr>
          <w:rFonts w:eastAsia="Times New Roman"/>
        </w:rPr>
        <w:t xml:space="preserve">regarding its voting intentions in respect of the </w:t>
      </w:r>
      <w:r w:rsidR="00E06022">
        <w:rPr>
          <w:rFonts w:eastAsia="Times New Roman"/>
        </w:rPr>
        <w:t xml:space="preserve">Discontinuation </w:t>
      </w:r>
      <w:r w:rsidR="0028468D">
        <w:rPr>
          <w:rFonts w:eastAsia="Times New Roman"/>
        </w:rPr>
        <w:t>Resolution</w:t>
      </w:r>
      <w:r w:rsidR="000A54C5">
        <w:rPr>
          <w:rFonts w:eastAsia="Times New Roman"/>
        </w:rPr>
        <w:t>,</w:t>
      </w:r>
      <w:r w:rsidR="00893B6A">
        <w:rPr>
          <w:rFonts w:eastAsia="Times New Roman"/>
        </w:rPr>
        <w:t xml:space="preserve"> </w:t>
      </w:r>
      <w:r w:rsidR="005546CA">
        <w:rPr>
          <w:rFonts w:eastAsia="Times New Roman"/>
        </w:rPr>
        <w:t>but did not receive a firm indication.</w:t>
      </w:r>
      <w:r w:rsidR="00DB2271">
        <w:rPr>
          <w:rFonts w:eastAsia="Times New Roman"/>
        </w:rPr>
        <w:t xml:space="preserve"> No Cornerstone Investor has </w:t>
      </w:r>
      <w:r w:rsidR="00152EF0">
        <w:rPr>
          <w:rFonts w:eastAsia="Times New Roman"/>
        </w:rPr>
        <w:t xml:space="preserve">yet </w:t>
      </w:r>
      <w:r w:rsidR="00DB2271">
        <w:rPr>
          <w:rFonts w:eastAsia="Times New Roman"/>
        </w:rPr>
        <w:t xml:space="preserve">expressed how </w:t>
      </w:r>
      <w:r w:rsidR="00152EF0">
        <w:rPr>
          <w:rFonts w:eastAsia="Times New Roman"/>
        </w:rPr>
        <w:t xml:space="preserve">it would intend to </w:t>
      </w:r>
      <w:r w:rsidR="00DB2271">
        <w:rPr>
          <w:rFonts w:eastAsia="Times New Roman"/>
        </w:rPr>
        <w:t>vote</w:t>
      </w:r>
      <w:r w:rsidR="00152EF0">
        <w:rPr>
          <w:rFonts w:eastAsia="Times New Roman"/>
        </w:rPr>
        <w:t xml:space="preserve"> on the Discontinuation Resolution Vote</w:t>
      </w:r>
      <w:r w:rsidR="00DB2271">
        <w:rPr>
          <w:rFonts w:eastAsia="Times New Roman"/>
        </w:rPr>
        <w:t>.</w:t>
      </w:r>
      <w:r w:rsidR="005546CA">
        <w:rPr>
          <w:rFonts w:eastAsia="Times New Roman"/>
        </w:rPr>
        <w:t xml:space="preserve"> </w:t>
      </w:r>
      <w:bookmarkEnd w:id="6"/>
      <w:r w:rsidR="0042343A">
        <w:rPr>
          <w:rFonts w:eastAsia="Times New Roman"/>
        </w:rPr>
        <w:t>A</w:t>
      </w:r>
      <w:r w:rsidR="00E06022">
        <w:rPr>
          <w:rFonts w:eastAsia="Times New Roman"/>
        </w:rPr>
        <w:t>s the direction of the EGM vote is not known at this time, there is a material uncertainty.</w:t>
      </w:r>
      <w:r>
        <w:rPr>
          <w:rFonts w:eastAsia="Times New Roman"/>
        </w:rPr>
        <w:t xml:space="preserve"> </w:t>
      </w:r>
      <w:r w:rsidR="00E46A17" w:rsidRPr="00E46A17">
        <w:rPr>
          <w:rFonts w:eastAsia="Times New Roman"/>
        </w:rPr>
        <w:t>The Board and Investment Manager remain highly focussed</w:t>
      </w:r>
      <w:r w:rsidR="007D6959">
        <w:rPr>
          <w:rFonts w:eastAsia="Times New Roman"/>
        </w:rPr>
        <w:t xml:space="preserve"> </w:t>
      </w:r>
      <w:r w:rsidR="00CC50B8">
        <w:rPr>
          <w:rFonts w:eastAsia="Times New Roman"/>
        </w:rPr>
        <w:t xml:space="preserve">on working for our </w:t>
      </w:r>
      <w:r w:rsidR="00BC71AE">
        <w:rPr>
          <w:rFonts w:eastAsia="Times New Roman"/>
        </w:rPr>
        <w:t>S</w:t>
      </w:r>
      <w:r w:rsidR="00CC50B8">
        <w:rPr>
          <w:rFonts w:eastAsia="Times New Roman"/>
        </w:rPr>
        <w:t>hareholder</w:t>
      </w:r>
      <w:r w:rsidR="00EE2178">
        <w:rPr>
          <w:rFonts w:eastAsia="Times New Roman"/>
        </w:rPr>
        <w:t>s</w:t>
      </w:r>
      <w:r w:rsidR="00E46A17" w:rsidRPr="00E46A17">
        <w:rPr>
          <w:rFonts w:eastAsia="Times New Roman"/>
        </w:rPr>
        <w:t>, and I look forward to providing you with additional updates on progress over the course of the year.</w:t>
      </w:r>
    </w:p>
    <w:p w14:paraId="73DBA3BD" w14:textId="77777777" w:rsidR="00460844" w:rsidRDefault="00460844" w:rsidP="00397967">
      <w:pPr>
        <w:pStyle w:val="Bodytext"/>
        <w:jc w:val="both"/>
      </w:pPr>
    </w:p>
    <w:p w14:paraId="4362F23B" w14:textId="77777777" w:rsidR="00460844" w:rsidRPr="0042138C" w:rsidRDefault="00460844" w:rsidP="00397967">
      <w:pPr>
        <w:pStyle w:val="Bodytext"/>
        <w:jc w:val="both"/>
      </w:pPr>
    </w:p>
    <w:p w14:paraId="4C218D1A" w14:textId="185517D0" w:rsidR="00B84416" w:rsidRPr="0042138C" w:rsidRDefault="00FE6BEA" w:rsidP="00397967">
      <w:pPr>
        <w:pStyle w:val="Bodytext"/>
        <w:jc w:val="both"/>
        <w:rPr>
          <w:b/>
        </w:rPr>
      </w:pPr>
      <w:r>
        <w:rPr>
          <w:b/>
        </w:rPr>
        <w:t>Richard Hayden</w:t>
      </w:r>
    </w:p>
    <w:p w14:paraId="3E2EE9F9" w14:textId="77777777" w:rsidR="00B84416" w:rsidRPr="009C5063" w:rsidRDefault="00B84416" w:rsidP="00397967">
      <w:pPr>
        <w:pStyle w:val="Bodytext"/>
        <w:jc w:val="both"/>
        <w:rPr>
          <w:i/>
        </w:rPr>
      </w:pPr>
      <w:r w:rsidRPr="009C5063">
        <w:rPr>
          <w:i/>
        </w:rPr>
        <w:t>Chairman</w:t>
      </w:r>
    </w:p>
    <w:p w14:paraId="28D2D2E5" w14:textId="050EDCFF" w:rsidR="00B84416" w:rsidRDefault="005B1414" w:rsidP="00EB7E49">
      <w:pPr>
        <w:pStyle w:val="Bodytext"/>
      </w:pPr>
      <w:r>
        <w:t>22</w:t>
      </w:r>
      <w:r w:rsidR="00400EEA">
        <w:t xml:space="preserve"> </w:t>
      </w:r>
      <w:r w:rsidR="00F573BD">
        <w:t xml:space="preserve">April </w:t>
      </w:r>
      <w:r w:rsidR="008F3390" w:rsidRPr="0042138C">
        <w:t>20</w:t>
      </w:r>
      <w:r w:rsidR="008F3390">
        <w:t>20</w:t>
      </w:r>
    </w:p>
    <w:bookmarkEnd w:id="1"/>
    <w:p w14:paraId="518F4D68" w14:textId="77777777" w:rsidR="00397967" w:rsidRDefault="00397967" w:rsidP="00397967">
      <w:pPr>
        <w:rPr>
          <w:rFonts w:eastAsia="MS Gothic"/>
          <w:sz w:val="30"/>
          <w:szCs w:val="32"/>
        </w:rPr>
      </w:pPr>
    </w:p>
    <w:p w14:paraId="51E6602F" w14:textId="3FD29BFF" w:rsidR="005C285E" w:rsidRPr="005C285E" w:rsidRDefault="005C285E" w:rsidP="00397967">
      <w:pPr>
        <w:rPr>
          <w:rFonts w:eastAsia="MS Gothic"/>
          <w:b/>
          <w:bCs/>
          <w:caps/>
          <w:sz w:val="30"/>
          <w:szCs w:val="32"/>
        </w:rPr>
      </w:pPr>
      <w:r w:rsidRPr="005C285E">
        <w:rPr>
          <w:rFonts w:eastAsia="MS Gothic"/>
          <w:b/>
          <w:bCs/>
          <w:caps/>
          <w:sz w:val="30"/>
          <w:szCs w:val="32"/>
        </w:rPr>
        <w:t xml:space="preserve">Environmental, Social and Governance </w:t>
      </w:r>
      <w:r>
        <w:rPr>
          <w:rFonts w:eastAsia="MS Gothic"/>
          <w:b/>
          <w:bCs/>
          <w:caps/>
          <w:sz w:val="30"/>
          <w:szCs w:val="32"/>
        </w:rPr>
        <w:t>REPORT</w:t>
      </w:r>
    </w:p>
    <w:p w14:paraId="5BCC9B8A" w14:textId="77777777" w:rsidR="005C285E" w:rsidRDefault="005C285E" w:rsidP="005C285E">
      <w:pPr>
        <w:rPr>
          <w:rFonts w:eastAsia="Calibri"/>
        </w:rPr>
      </w:pPr>
    </w:p>
    <w:p w14:paraId="4CE49B42" w14:textId="60292D75" w:rsidR="00B013EE" w:rsidRDefault="005C285E" w:rsidP="00397967">
      <w:pPr>
        <w:jc w:val="both"/>
        <w:rPr>
          <w:rFonts w:eastAsia="Calibri"/>
        </w:rPr>
      </w:pPr>
      <w:r w:rsidRPr="005C285E">
        <w:rPr>
          <w:rFonts w:eastAsia="Calibri"/>
        </w:rPr>
        <w:t xml:space="preserve">The Company </w:t>
      </w:r>
      <w:r w:rsidR="00E24056">
        <w:rPr>
          <w:rFonts w:eastAsia="Calibri"/>
        </w:rPr>
        <w:t>utilises the service</w:t>
      </w:r>
      <w:r w:rsidR="00B013EE">
        <w:rPr>
          <w:rFonts w:eastAsia="Calibri"/>
        </w:rPr>
        <w:t>s</w:t>
      </w:r>
      <w:r w:rsidR="00E24056">
        <w:rPr>
          <w:rFonts w:eastAsia="Calibri"/>
        </w:rPr>
        <w:t xml:space="preserve"> of </w:t>
      </w:r>
      <w:r w:rsidRPr="005C285E">
        <w:rPr>
          <w:rFonts w:eastAsia="Calibri"/>
        </w:rPr>
        <w:t xml:space="preserve">Riverstone as the Investment Manager to take appropriate </w:t>
      </w:r>
      <w:r w:rsidR="00B54FEF">
        <w:rPr>
          <w:rFonts w:eastAsia="Calibri"/>
        </w:rPr>
        <w:t>Environmental, Social and Governance (“</w:t>
      </w:r>
      <w:r w:rsidRPr="005C285E">
        <w:rPr>
          <w:rFonts w:eastAsia="Calibri"/>
        </w:rPr>
        <w:t>ESG</w:t>
      </w:r>
      <w:r w:rsidR="00B54FEF">
        <w:rPr>
          <w:rFonts w:eastAsia="Calibri"/>
        </w:rPr>
        <w:t>”)</w:t>
      </w:r>
      <w:r w:rsidRPr="005C285E">
        <w:rPr>
          <w:rFonts w:eastAsia="Calibri"/>
        </w:rPr>
        <w:t xml:space="preserve"> principles into account in its investment decisions and in the ongoing management of the portfolio. In order to ensure the robustness of these policies, the Board engages with the Investment Manager on ESG matters and monitors compliance of REL’s portfolio companies with this policy. </w:t>
      </w:r>
      <w:r w:rsidR="00E24056">
        <w:rPr>
          <w:rFonts w:eastAsia="Calibri"/>
        </w:rPr>
        <w:t xml:space="preserve">The Board takes its fiduciary responsibility to </w:t>
      </w:r>
      <w:r w:rsidR="00BC71AE">
        <w:rPr>
          <w:rFonts w:eastAsia="Calibri"/>
        </w:rPr>
        <w:t>S</w:t>
      </w:r>
      <w:r w:rsidR="00E24056">
        <w:rPr>
          <w:rFonts w:eastAsia="Calibri"/>
        </w:rPr>
        <w:t xml:space="preserve">hareholders seriously and engages with Riverstone on corporate governance matters, as evidenced by the changes to the Investment Management Agreement </w:t>
      </w:r>
      <w:r w:rsidR="000F6768">
        <w:rPr>
          <w:rFonts w:eastAsia="Calibri"/>
        </w:rPr>
        <w:t xml:space="preserve">agreed </w:t>
      </w:r>
      <w:r w:rsidR="00E24056">
        <w:rPr>
          <w:rFonts w:eastAsia="Calibri"/>
        </w:rPr>
        <w:t>in January 2020.</w:t>
      </w:r>
    </w:p>
    <w:p w14:paraId="1DE7F9E9" w14:textId="77777777" w:rsidR="00B013EE" w:rsidRDefault="00B013EE" w:rsidP="00397967">
      <w:pPr>
        <w:jc w:val="both"/>
        <w:rPr>
          <w:rFonts w:eastAsia="Calibri"/>
        </w:rPr>
      </w:pPr>
    </w:p>
    <w:p w14:paraId="6ED961B7" w14:textId="7925101C" w:rsidR="005C285E" w:rsidRPr="005C285E" w:rsidRDefault="005C285E" w:rsidP="00397967">
      <w:pPr>
        <w:jc w:val="both"/>
        <w:rPr>
          <w:rFonts w:eastAsia="Calibri"/>
        </w:rPr>
      </w:pPr>
      <w:r w:rsidRPr="005C285E">
        <w:rPr>
          <w:rFonts w:eastAsia="Calibri"/>
        </w:rPr>
        <w:t>Further details on Riverstone’s ESG policies are set out in the sections below.</w:t>
      </w:r>
    </w:p>
    <w:p w14:paraId="5B727B05" w14:textId="77777777" w:rsidR="005C285E" w:rsidRPr="005C285E" w:rsidRDefault="005C285E" w:rsidP="00EB7E49">
      <w:pPr>
        <w:pStyle w:val="Bodytext"/>
        <w:rPr>
          <w:lang w:val="en-US"/>
        </w:rPr>
      </w:pPr>
    </w:p>
    <w:p w14:paraId="4AC7C2B4" w14:textId="640E51C2" w:rsidR="005C285E" w:rsidRDefault="005C285E">
      <w:pPr>
        <w:rPr>
          <w:b/>
          <w:sz w:val="32"/>
          <w:lang w:val="en-US"/>
        </w:rPr>
      </w:pPr>
      <w:r w:rsidRPr="00161FFD">
        <w:rPr>
          <w:b/>
          <w:sz w:val="32"/>
          <w:lang w:val="en-US"/>
        </w:rPr>
        <w:t>Statement from the Investment Manager</w:t>
      </w:r>
    </w:p>
    <w:p w14:paraId="39B2489A" w14:textId="079820F4" w:rsidR="005C285E" w:rsidRPr="00397967" w:rsidRDefault="005C285E">
      <w:pPr>
        <w:rPr>
          <w:b/>
          <w:lang w:val="en-US"/>
        </w:rPr>
      </w:pPr>
    </w:p>
    <w:p w14:paraId="184FA20E" w14:textId="26C1C755" w:rsidR="00FE3763" w:rsidRPr="00E303F4" w:rsidRDefault="00FE3763" w:rsidP="00397967">
      <w:pPr>
        <w:jc w:val="both"/>
        <w:rPr>
          <w:lang w:val="en-US"/>
        </w:rPr>
      </w:pPr>
      <w:r>
        <w:rPr>
          <w:lang w:val="en-US"/>
        </w:rPr>
        <w:t xml:space="preserve">Riverstone believes that </w:t>
      </w:r>
      <w:r w:rsidRPr="001B161E">
        <w:rPr>
          <w:lang w:val="en-US"/>
        </w:rPr>
        <w:t xml:space="preserve">having a robust </w:t>
      </w:r>
      <w:r w:rsidR="000F6768">
        <w:rPr>
          <w:lang w:val="en-US"/>
        </w:rPr>
        <w:t>ESG</w:t>
      </w:r>
      <w:r w:rsidRPr="001B161E">
        <w:rPr>
          <w:lang w:val="en-US"/>
        </w:rPr>
        <w:t xml:space="preserve"> framework is</w:t>
      </w:r>
      <w:r>
        <w:rPr>
          <w:lang w:val="en-US"/>
        </w:rPr>
        <w:t xml:space="preserve"> </w:t>
      </w:r>
      <w:r w:rsidRPr="001B161E">
        <w:rPr>
          <w:lang w:val="en-US"/>
        </w:rPr>
        <w:t>paramount to managing risk and maximising value</w:t>
      </w:r>
      <w:r>
        <w:rPr>
          <w:lang w:val="en-US"/>
        </w:rPr>
        <w:t xml:space="preserve"> for REL’s </w:t>
      </w:r>
      <w:r w:rsidR="00BC71AE">
        <w:rPr>
          <w:lang w:val="en-US"/>
        </w:rPr>
        <w:t>S</w:t>
      </w:r>
      <w:r>
        <w:rPr>
          <w:lang w:val="en-US"/>
        </w:rPr>
        <w:t xml:space="preserve">hareholders. The belief that </w:t>
      </w:r>
      <w:r w:rsidRPr="00161FFD">
        <w:rPr>
          <w:lang w:val="en-US"/>
        </w:rPr>
        <w:t xml:space="preserve">responsible investing is not only the </w:t>
      </w:r>
      <w:r>
        <w:rPr>
          <w:lang w:val="en-US"/>
        </w:rPr>
        <w:t>right</w:t>
      </w:r>
      <w:r w:rsidRPr="00161FFD">
        <w:rPr>
          <w:lang w:val="en-US"/>
        </w:rPr>
        <w:t xml:space="preserve"> thing to do, but </w:t>
      </w:r>
      <w:r w:rsidR="00E24056">
        <w:rPr>
          <w:lang w:val="en-US"/>
        </w:rPr>
        <w:t xml:space="preserve">that </w:t>
      </w:r>
      <w:r w:rsidRPr="00161FFD">
        <w:rPr>
          <w:lang w:val="en-US"/>
        </w:rPr>
        <w:t xml:space="preserve">it </w:t>
      </w:r>
      <w:r w:rsidR="000F6768">
        <w:rPr>
          <w:lang w:val="en-US"/>
        </w:rPr>
        <w:t xml:space="preserve">leads to favourable results over </w:t>
      </w:r>
      <w:r>
        <w:rPr>
          <w:lang w:val="en-US"/>
        </w:rPr>
        <w:t>the</w:t>
      </w:r>
      <w:r w:rsidR="000F6768">
        <w:rPr>
          <w:lang w:val="en-US"/>
        </w:rPr>
        <w:t xml:space="preserve"> long run</w:t>
      </w:r>
      <w:r>
        <w:rPr>
          <w:lang w:val="en-US"/>
        </w:rPr>
        <w:t>, has been a core ten</w:t>
      </w:r>
      <w:r w:rsidR="000F6768">
        <w:rPr>
          <w:lang w:val="en-US"/>
        </w:rPr>
        <w:t>e</w:t>
      </w:r>
      <w:r>
        <w:rPr>
          <w:lang w:val="en-US"/>
        </w:rPr>
        <w:t>t of Riverstone’s investment philosophy since</w:t>
      </w:r>
      <w:r w:rsidR="000F6768">
        <w:rPr>
          <w:lang w:val="en-US"/>
        </w:rPr>
        <w:t xml:space="preserve"> inception</w:t>
      </w:r>
      <w:r>
        <w:rPr>
          <w:lang w:val="en-US"/>
        </w:rPr>
        <w:t xml:space="preserve">. </w:t>
      </w:r>
      <w:r w:rsidRPr="00161FFD">
        <w:rPr>
          <w:lang w:val="en-US"/>
        </w:rPr>
        <w:t xml:space="preserve">Being a trustworthy, fair and transparent partner to each </w:t>
      </w:r>
      <w:r>
        <w:rPr>
          <w:lang w:val="en-US"/>
        </w:rPr>
        <w:t>stakeholder</w:t>
      </w:r>
      <w:r w:rsidRPr="00161FFD">
        <w:rPr>
          <w:lang w:val="en-US"/>
        </w:rPr>
        <w:t xml:space="preserve"> is critical to building a strong foundation that enables </w:t>
      </w:r>
      <w:r>
        <w:rPr>
          <w:lang w:val="en-US"/>
        </w:rPr>
        <w:t>success for Riverstone</w:t>
      </w:r>
      <w:r w:rsidRPr="00161FFD">
        <w:rPr>
          <w:lang w:val="en-US"/>
        </w:rPr>
        <w:t xml:space="preserve"> and </w:t>
      </w:r>
      <w:r>
        <w:rPr>
          <w:lang w:val="en-US"/>
        </w:rPr>
        <w:t>the portfolio companies in which REL invests</w:t>
      </w:r>
      <w:r w:rsidRPr="00161FFD">
        <w:rPr>
          <w:lang w:val="en-US"/>
        </w:rPr>
        <w:t>.</w:t>
      </w:r>
    </w:p>
    <w:p w14:paraId="2AFC2035" w14:textId="77777777" w:rsidR="005C285E" w:rsidRDefault="005C285E" w:rsidP="00397967">
      <w:pPr>
        <w:jc w:val="both"/>
        <w:rPr>
          <w:b/>
          <w:lang w:val="en-US"/>
        </w:rPr>
      </w:pPr>
    </w:p>
    <w:p w14:paraId="265D7CE3" w14:textId="6D066FCE" w:rsidR="005C285E" w:rsidRPr="00161FFD" w:rsidRDefault="005C285E" w:rsidP="00397967">
      <w:pPr>
        <w:jc w:val="both"/>
        <w:rPr>
          <w:b/>
          <w:lang w:val="en-US"/>
        </w:rPr>
      </w:pPr>
      <w:r w:rsidRPr="00161FFD">
        <w:rPr>
          <w:b/>
          <w:lang w:val="en-US"/>
        </w:rPr>
        <w:t>AN UNWAVERING DEDICATION</w:t>
      </w:r>
    </w:p>
    <w:p w14:paraId="1969A95F" w14:textId="77777777" w:rsidR="005C285E" w:rsidRDefault="005C285E" w:rsidP="00397967">
      <w:pPr>
        <w:jc w:val="both"/>
        <w:rPr>
          <w:lang w:val="en-US"/>
        </w:rPr>
      </w:pPr>
    </w:p>
    <w:p w14:paraId="6DCD2097" w14:textId="2FE1B3B5" w:rsidR="00FE3763" w:rsidRPr="00161FFD" w:rsidRDefault="00FE3763" w:rsidP="00397967">
      <w:pPr>
        <w:jc w:val="both"/>
        <w:rPr>
          <w:lang w:val="en-US"/>
        </w:rPr>
      </w:pPr>
      <w:r w:rsidRPr="00161FFD">
        <w:rPr>
          <w:lang w:val="en-US"/>
        </w:rPr>
        <w:t xml:space="preserve">As one of the largest energy, power and infrastructure investment firms globally, </w:t>
      </w:r>
      <w:r>
        <w:rPr>
          <w:lang w:val="en-US"/>
        </w:rPr>
        <w:t>Riverstone has</w:t>
      </w:r>
      <w:r w:rsidRPr="00161FFD">
        <w:rPr>
          <w:lang w:val="en-US"/>
        </w:rPr>
        <w:t xml:space="preserve"> spent two decades evolving</w:t>
      </w:r>
      <w:r w:rsidR="00284291">
        <w:rPr>
          <w:lang w:val="en-US"/>
        </w:rPr>
        <w:t xml:space="preserve"> its</w:t>
      </w:r>
      <w:r w:rsidRPr="00161FFD">
        <w:rPr>
          <w:lang w:val="en-US"/>
        </w:rPr>
        <w:t xml:space="preserve"> ESG processes to </w:t>
      </w:r>
      <w:r w:rsidR="002628AB">
        <w:rPr>
          <w:lang w:val="en-US"/>
        </w:rPr>
        <w:t xml:space="preserve">emulate </w:t>
      </w:r>
      <w:r w:rsidR="00284291">
        <w:rPr>
          <w:lang w:val="en-US"/>
        </w:rPr>
        <w:t>internationally-recognised</w:t>
      </w:r>
      <w:r w:rsidRPr="00161FFD">
        <w:rPr>
          <w:lang w:val="en-US"/>
        </w:rPr>
        <w:t xml:space="preserve"> best practices that align with </w:t>
      </w:r>
      <w:r>
        <w:rPr>
          <w:lang w:val="en-US"/>
        </w:rPr>
        <w:t xml:space="preserve">the firm’s </w:t>
      </w:r>
      <w:r w:rsidRPr="00161FFD">
        <w:rPr>
          <w:lang w:val="en-US"/>
        </w:rPr>
        <w:t>core values. In this regard,</w:t>
      </w:r>
      <w:r w:rsidR="00284291">
        <w:rPr>
          <w:lang w:val="en-US"/>
        </w:rPr>
        <w:t xml:space="preserve"> Riverstone has formali</w:t>
      </w:r>
      <w:r w:rsidR="002969DF">
        <w:rPr>
          <w:lang w:val="en-US"/>
        </w:rPr>
        <w:t>s</w:t>
      </w:r>
      <w:r w:rsidR="00284291">
        <w:rPr>
          <w:lang w:val="en-US"/>
        </w:rPr>
        <w:t>ed its</w:t>
      </w:r>
      <w:r w:rsidRPr="00161FFD">
        <w:rPr>
          <w:lang w:val="en-US"/>
        </w:rPr>
        <w:t xml:space="preserve"> ESG program</w:t>
      </w:r>
      <w:r w:rsidR="00407D9F">
        <w:rPr>
          <w:lang w:val="en-US"/>
        </w:rPr>
        <w:t>me</w:t>
      </w:r>
      <w:r w:rsidRPr="00161FFD">
        <w:rPr>
          <w:lang w:val="en-US"/>
        </w:rPr>
        <w:t xml:space="preserve"> within </w:t>
      </w:r>
      <w:r>
        <w:rPr>
          <w:lang w:val="en-US"/>
        </w:rPr>
        <w:t>the</w:t>
      </w:r>
      <w:r w:rsidRPr="00161FFD">
        <w:rPr>
          <w:lang w:val="en-US"/>
        </w:rPr>
        <w:t xml:space="preserve"> organi</w:t>
      </w:r>
      <w:r w:rsidR="00CC687B">
        <w:rPr>
          <w:lang w:val="en-US"/>
        </w:rPr>
        <w:t>s</w:t>
      </w:r>
      <w:r w:rsidRPr="00161FFD">
        <w:rPr>
          <w:lang w:val="en-US"/>
        </w:rPr>
        <w:t xml:space="preserve">ation as well as across </w:t>
      </w:r>
      <w:r w:rsidR="00284291">
        <w:rPr>
          <w:lang w:val="en-US"/>
        </w:rPr>
        <w:t>its</w:t>
      </w:r>
      <w:r w:rsidRPr="00161FFD">
        <w:rPr>
          <w:lang w:val="en-US"/>
        </w:rPr>
        <w:t xml:space="preserve"> portfolio companies that spans</w:t>
      </w:r>
      <w:r>
        <w:rPr>
          <w:lang w:val="en-US"/>
        </w:rPr>
        <w:t xml:space="preserve"> </w:t>
      </w:r>
      <w:r w:rsidRPr="00161FFD">
        <w:rPr>
          <w:lang w:val="en-US"/>
        </w:rPr>
        <w:t xml:space="preserve">the entire investment lifecycle. These efforts hold </w:t>
      </w:r>
      <w:r>
        <w:rPr>
          <w:lang w:val="en-US"/>
        </w:rPr>
        <w:t>Riverstone</w:t>
      </w:r>
      <w:r w:rsidRPr="00161FFD">
        <w:rPr>
          <w:lang w:val="en-US"/>
        </w:rPr>
        <w:t xml:space="preserve"> accountable to meeting high standards across numerous key ESG </w:t>
      </w:r>
      <w:r w:rsidR="00284291">
        <w:rPr>
          <w:lang w:val="en-US"/>
        </w:rPr>
        <w:t>factors</w:t>
      </w:r>
      <w:r w:rsidRPr="00161FFD">
        <w:rPr>
          <w:lang w:val="en-US"/>
        </w:rPr>
        <w:t xml:space="preserve"> including</w:t>
      </w:r>
      <w:r w:rsidR="00284291">
        <w:rPr>
          <w:lang w:val="en-US"/>
        </w:rPr>
        <w:t xml:space="preserve"> natural resource management,</w:t>
      </w:r>
      <w:r w:rsidRPr="00161FFD">
        <w:rPr>
          <w:lang w:val="en-US"/>
        </w:rPr>
        <w:t xml:space="preserve"> health </w:t>
      </w:r>
      <w:r w:rsidR="00284291">
        <w:rPr>
          <w:lang w:val="en-US"/>
        </w:rPr>
        <w:t>and</w:t>
      </w:r>
      <w:r w:rsidRPr="00161FFD">
        <w:rPr>
          <w:lang w:val="en-US"/>
        </w:rPr>
        <w:t xml:space="preserve"> safety, </w:t>
      </w:r>
      <w:r w:rsidR="00E24056">
        <w:rPr>
          <w:lang w:val="en-US"/>
        </w:rPr>
        <w:t>community</w:t>
      </w:r>
      <w:r w:rsidRPr="00161FFD">
        <w:rPr>
          <w:lang w:val="en-US"/>
        </w:rPr>
        <w:t xml:space="preserve"> </w:t>
      </w:r>
      <w:r w:rsidR="00284291">
        <w:rPr>
          <w:lang w:val="en-US"/>
        </w:rPr>
        <w:t xml:space="preserve">and stakeholder </w:t>
      </w:r>
      <w:r w:rsidRPr="00161FFD">
        <w:rPr>
          <w:lang w:val="en-US"/>
        </w:rPr>
        <w:t xml:space="preserve">impact, </w:t>
      </w:r>
      <w:r w:rsidR="00284291">
        <w:rPr>
          <w:lang w:val="en-US"/>
        </w:rPr>
        <w:t>climate change</w:t>
      </w:r>
      <w:r>
        <w:rPr>
          <w:lang w:val="en-US"/>
        </w:rPr>
        <w:t>,</w:t>
      </w:r>
      <w:r w:rsidR="00284291">
        <w:rPr>
          <w:lang w:val="en-US"/>
        </w:rPr>
        <w:t xml:space="preserve"> greenhouse gas emissions and governance,</w:t>
      </w:r>
      <w:r>
        <w:rPr>
          <w:lang w:val="en-US"/>
        </w:rPr>
        <w:t xml:space="preserve"> among many others</w:t>
      </w:r>
      <w:r w:rsidRPr="00161FFD">
        <w:rPr>
          <w:lang w:val="en-US"/>
        </w:rPr>
        <w:t xml:space="preserve">. </w:t>
      </w:r>
      <w:r w:rsidR="00284291">
        <w:rPr>
          <w:lang w:val="en-US"/>
        </w:rPr>
        <w:t>Riverstone</w:t>
      </w:r>
      <w:r w:rsidRPr="00161FFD">
        <w:rPr>
          <w:lang w:val="en-US"/>
        </w:rPr>
        <w:t xml:space="preserve"> believe</w:t>
      </w:r>
      <w:r w:rsidR="00284291">
        <w:rPr>
          <w:lang w:val="en-US"/>
        </w:rPr>
        <w:t>s</w:t>
      </w:r>
      <w:r w:rsidRPr="00161FFD">
        <w:rPr>
          <w:lang w:val="en-US"/>
        </w:rPr>
        <w:t xml:space="preserve"> this steadfast focus on ESG </w:t>
      </w:r>
      <w:r>
        <w:rPr>
          <w:lang w:val="en-US"/>
        </w:rPr>
        <w:t>enables</w:t>
      </w:r>
      <w:r w:rsidRPr="00161FFD">
        <w:rPr>
          <w:lang w:val="en-US"/>
        </w:rPr>
        <w:t xml:space="preserve"> </w:t>
      </w:r>
      <w:r w:rsidR="00284291">
        <w:rPr>
          <w:lang w:val="en-US"/>
        </w:rPr>
        <w:t xml:space="preserve">it to make </w:t>
      </w:r>
      <w:r w:rsidRPr="00161FFD">
        <w:rPr>
          <w:lang w:val="en-US"/>
        </w:rPr>
        <w:t>well-informed decisions that have a positive impact on</w:t>
      </w:r>
      <w:r w:rsidR="00284291">
        <w:rPr>
          <w:lang w:val="en-US"/>
        </w:rPr>
        <w:t xml:space="preserve"> its portfolio</w:t>
      </w:r>
      <w:r w:rsidRPr="00161FFD">
        <w:rPr>
          <w:lang w:val="en-US"/>
        </w:rPr>
        <w:t xml:space="preserve"> companies</w:t>
      </w:r>
      <w:r w:rsidR="00284291">
        <w:rPr>
          <w:lang w:val="en-US"/>
        </w:rPr>
        <w:t>,</w:t>
      </w:r>
      <w:r w:rsidRPr="00161FFD">
        <w:rPr>
          <w:lang w:val="en-US"/>
        </w:rPr>
        <w:t xml:space="preserve"> and squarely aligns with </w:t>
      </w:r>
      <w:r>
        <w:rPr>
          <w:lang w:val="en-US"/>
        </w:rPr>
        <w:t>Riverstone’s</w:t>
      </w:r>
      <w:r w:rsidRPr="00161FFD">
        <w:rPr>
          <w:lang w:val="en-US"/>
        </w:rPr>
        <w:t xml:space="preserve"> fiduciary duty to </w:t>
      </w:r>
      <w:r>
        <w:rPr>
          <w:lang w:val="en-US"/>
        </w:rPr>
        <w:t>its</w:t>
      </w:r>
      <w:r w:rsidRPr="00161FFD">
        <w:rPr>
          <w:lang w:val="en-US"/>
        </w:rPr>
        <w:t xml:space="preserve"> investors.</w:t>
      </w:r>
    </w:p>
    <w:p w14:paraId="48CBA69E" w14:textId="77777777" w:rsidR="005C285E" w:rsidRDefault="005C285E" w:rsidP="005C285E">
      <w:pPr>
        <w:rPr>
          <w:b/>
          <w:lang w:val="en-US"/>
        </w:rPr>
      </w:pPr>
    </w:p>
    <w:p w14:paraId="134B5A75" w14:textId="256C5A29" w:rsidR="005C285E" w:rsidRPr="00161FFD" w:rsidRDefault="005C285E" w:rsidP="005C285E">
      <w:pPr>
        <w:rPr>
          <w:b/>
          <w:lang w:val="en-US"/>
        </w:rPr>
      </w:pPr>
      <w:r w:rsidRPr="00161FFD">
        <w:rPr>
          <w:b/>
          <w:lang w:val="en-US"/>
        </w:rPr>
        <w:t>LOOKING AHEAD</w:t>
      </w:r>
    </w:p>
    <w:p w14:paraId="010AB5C2" w14:textId="77777777" w:rsidR="005C285E" w:rsidRDefault="005C285E" w:rsidP="005C285E">
      <w:pPr>
        <w:rPr>
          <w:lang w:val="en-US"/>
        </w:rPr>
      </w:pPr>
    </w:p>
    <w:p w14:paraId="4CD9F639" w14:textId="7308DBF2" w:rsidR="005C285E" w:rsidRDefault="005C285E" w:rsidP="00397967">
      <w:pPr>
        <w:jc w:val="both"/>
        <w:rPr>
          <w:lang w:val="en-US"/>
        </w:rPr>
      </w:pPr>
      <w:r>
        <w:rPr>
          <w:lang w:val="en-US"/>
        </w:rPr>
        <w:t xml:space="preserve">While Riverstone is proud of </w:t>
      </w:r>
      <w:r w:rsidR="00284291">
        <w:rPr>
          <w:lang w:val="en-US"/>
        </w:rPr>
        <w:t>all the progress it has made</w:t>
      </w:r>
      <w:r w:rsidRPr="00161FFD">
        <w:rPr>
          <w:lang w:val="en-US"/>
        </w:rPr>
        <w:t xml:space="preserve">, managing ESG effectively requires continuous </w:t>
      </w:r>
      <w:r w:rsidR="00284291">
        <w:rPr>
          <w:lang w:val="en-US"/>
        </w:rPr>
        <w:t>focus</w:t>
      </w:r>
      <w:r w:rsidRPr="00161FFD">
        <w:rPr>
          <w:lang w:val="en-US"/>
        </w:rPr>
        <w:t xml:space="preserve">. </w:t>
      </w:r>
      <w:r>
        <w:rPr>
          <w:lang w:val="en-US"/>
        </w:rPr>
        <w:t>Looking forward</w:t>
      </w:r>
      <w:r w:rsidRPr="00161FFD">
        <w:rPr>
          <w:lang w:val="en-US"/>
        </w:rPr>
        <w:t xml:space="preserve">, Riverstone will continue to adapt </w:t>
      </w:r>
      <w:r>
        <w:rPr>
          <w:lang w:val="en-US"/>
        </w:rPr>
        <w:t xml:space="preserve">and </w:t>
      </w:r>
      <w:r w:rsidR="00542A63">
        <w:rPr>
          <w:lang w:val="en-US"/>
        </w:rPr>
        <w:t xml:space="preserve">evolve </w:t>
      </w:r>
      <w:r>
        <w:rPr>
          <w:lang w:val="en-US"/>
        </w:rPr>
        <w:t>its</w:t>
      </w:r>
      <w:r w:rsidR="00542A63">
        <w:rPr>
          <w:lang w:val="en-US"/>
        </w:rPr>
        <w:t xml:space="preserve"> ESG</w:t>
      </w:r>
      <w:r>
        <w:rPr>
          <w:lang w:val="en-US"/>
        </w:rPr>
        <w:t xml:space="preserve"> </w:t>
      </w:r>
      <w:r w:rsidRPr="00161FFD">
        <w:rPr>
          <w:lang w:val="en-US"/>
        </w:rPr>
        <w:t xml:space="preserve">practices to reflect the dynamic and ever-changing world </w:t>
      </w:r>
      <w:r>
        <w:rPr>
          <w:lang w:val="en-US"/>
        </w:rPr>
        <w:t>in which we live</w:t>
      </w:r>
      <w:r w:rsidRPr="00161FFD">
        <w:rPr>
          <w:lang w:val="en-US"/>
        </w:rPr>
        <w:t xml:space="preserve">. This resolve makes </w:t>
      </w:r>
      <w:r>
        <w:rPr>
          <w:lang w:val="en-US"/>
        </w:rPr>
        <w:t>for better investment decisions</w:t>
      </w:r>
      <w:r w:rsidRPr="00161FFD">
        <w:rPr>
          <w:lang w:val="en-US"/>
        </w:rPr>
        <w:t xml:space="preserve"> and leads to favo</w:t>
      </w:r>
      <w:r w:rsidR="00AA7F71">
        <w:rPr>
          <w:lang w:val="en-US"/>
        </w:rPr>
        <w:t>u</w:t>
      </w:r>
      <w:r w:rsidRPr="00161FFD">
        <w:rPr>
          <w:lang w:val="en-US"/>
        </w:rPr>
        <w:t>rable results over the long-run</w:t>
      </w:r>
      <w:r>
        <w:rPr>
          <w:lang w:val="en-US"/>
        </w:rPr>
        <w:t xml:space="preserve"> for </w:t>
      </w:r>
      <w:r w:rsidR="00BC71AE">
        <w:rPr>
          <w:lang w:val="en-US"/>
        </w:rPr>
        <w:t>S</w:t>
      </w:r>
      <w:r>
        <w:rPr>
          <w:lang w:val="en-US"/>
        </w:rPr>
        <w:t>hareholders</w:t>
      </w:r>
      <w:r w:rsidRPr="00161FFD">
        <w:rPr>
          <w:lang w:val="en-US"/>
        </w:rPr>
        <w:t xml:space="preserve">. </w:t>
      </w:r>
    </w:p>
    <w:p w14:paraId="3789D6B1" w14:textId="77777777" w:rsidR="00E24056" w:rsidRPr="00161FFD" w:rsidRDefault="00E24056" w:rsidP="00397967">
      <w:pPr>
        <w:jc w:val="both"/>
        <w:rPr>
          <w:lang w:val="en-US"/>
        </w:rPr>
      </w:pPr>
    </w:p>
    <w:p w14:paraId="60C7B9A1" w14:textId="60DBEF26" w:rsidR="005C285E" w:rsidRDefault="005C285E" w:rsidP="00397967">
      <w:pPr>
        <w:jc w:val="both"/>
        <w:rPr>
          <w:lang w:val="en-US"/>
        </w:rPr>
      </w:pPr>
      <w:r w:rsidRPr="00161FFD">
        <w:rPr>
          <w:lang w:val="en-US"/>
        </w:rPr>
        <w:t xml:space="preserve">As part of </w:t>
      </w:r>
      <w:r w:rsidR="00542A63">
        <w:rPr>
          <w:lang w:val="en-US"/>
        </w:rPr>
        <w:t>Riverstone</w:t>
      </w:r>
      <w:r>
        <w:rPr>
          <w:lang w:val="en-US"/>
        </w:rPr>
        <w:t>’s</w:t>
      </w:r>
      <w:r w:rsidRPr="00161FFD">
        <w:rPr>
          <w:lang w:val="en-US"/>
        </w:rPr>
        <w:t xml:space="preserve"> commitment to corporate citizenship and transparency, Riverstone published its inaugural ESG report in </w:t>
      </w:r>
      <w:r w:rsidR="00E24056">
        <w:rPr>
          <w:lang w:val="en-US"/>
        </w:rPr>
        <w:t>February</w:t>
      </w:r>
      <w:r w:rsidRPr="00161FFD">
        <w:rPr>
          <w:lang w:val="en-US"/>
        </w:rPr>
        <w:t xml:space="preserve"> 2020. </w:t>
      </w:r>
      <w:r>
        <w:rPr>
          <w:lang w:val="en-US"/>
        </w:rPr>
        <w:t xml:space="preserve">The </w:t>
      </w:r>
      <w:r w:rsidR="00CF64AD">
        <w:rPr>
          <w:lang w:val="en-US"/>
        </w:rPr>
        <w:t>following sections</w:t>
      </w:r>
      <w:r>
        <w:rPr>
          <w:lang w:val="en-US"/>
        </w:rPr>
        <w:t xml:space="preserve"> summarise</w:t>
      </w:r>
      <w:r w:rsidRPr="00161FFD">
        <w:rPr>
          <w:lang w:val="en-US"/>
        </w:rPr>
        <w:t xml:space="preserve"> </w:t>
      </w:r>
      <w:r>
        <w:rPr>
          <w:lang w:val="en-US"/>
        </w:rPr>
        <w:t>the</w:t>
      </w:r>
      <w:r w:rsidRPr="00BC3B28">
        <w:rPr>
          <w:lang w:val="en-US"/>
        </w:rPr>
        <w:t xml:space="preserve"> key elements</w:t>
      </w:r>
      <w:r>
        <w:rPr>
          <w:lang w:val="en-US"/>
        </w:rPr>
        <w:t xml:space="preserve"> </w:t>
      </w:r>
      <w:r w:rsidRPr="00BC3B28">
        <w:rPr>
          <w:lang w:val="en-US"/>
        </w:rPr>
        <w:t xml:space="preserve">for investors in </w:t>
      </w:r>
      <w:r>
        <w:rPr>
          <w:lang w:val="en-US"/>
        </w:rPr>
        <w:t>REL</w:t>
      </w:r>
      <w:r w:rsidRPr="00BC3B28">
        <w:rPr>
          <w:lang w:val="en-US"/>
        </w:rPr>
        <w:t xml:space="preserve">. </w:t>
      </w:r>
      <w:r>
        <w:rPr>
          <w:lang w:val="en-US"/>
        </w:rPr>
        <w:t>More detail is included in t</w:t>
      </w:r>
      <w:r w:rsidRPr="00BC3B28">
        <w:rPr>
          <w:lang w:val="en-US"/>
        </w:rPr>
        <w:t>he full report</w:t>
      </w:r>
      <w:r>
        <w:rPr>
          <w:lang w:val="en-US"/>
        </w:rPr>
        <w:t>, which</w:t>
      </w:r>
      <w:r w:rsidRPr="00BC3B28">
        <w:rPr>
          <w:lang w:val="en-US"/>
        </w:rPr>
        <w:t xml:space="preserve"> is available on Riverstone’s website</w:t>
      </w:r>
      <w:r>
        <w:rPr>
          <w:lang w:val="en-US"/>
        </w:rPr>
        <w:t xml:space="preserve">: </w:t>
      </w:r>
      <w:r w:rsidRPr="00CF64AD">
        <w:rPr>
          <w:lang w:val="en-US"/>
        </w:rPr>
        <w:t>https://www.riverstone</w:t>
      </w:r>
      <w:r w:rsidR="00164B68" w:rsidRPr="00CF64AD">
        <w:rPr>
          <w:lang w:val="en-US"/>
        </w:rPr>
        <w:t>llc</w:t>
      </w:r>
      <w:r w:rsidRPr="00CF64AD">
        <w:rPr>
          <w:lang w:val="en-US"/>
        </w:rPr>
        <w:t>.com/</w:t>
      </w:r>
    </w:p>
    <w:p w14:paraId="43E04E83" w14:textId="565EBEF0" w:rsidR="00E24056" w:rsidRDefault="00E24056" w:rsidP="005C285E">
      <w:pPr>
        <w:rPr>
          <w:lang w:val="en-US"/>
        </w:rPr>
      </w:pPr>
    </w:p>
    <w:p w14:paraId="4AB38DBC" w14:textId="4F2AD395" w:rsidR="005C285E" w:rsidRPr="005C285E" w:rsidRDefault="005C285E" w:rsidP="00397967">
      <w:pPr>
        <w:rPr>
          <w:lang w:val="en-US"/>
        </w:rPr>
      </w:pPr>
      <w:r w:rsidRPr="005C285E">
        <w:rPr>
          <w:b/>
          <w:sz w:val="32"/>
          <w:lang w:val="en-US"/>
        </w:rPr>
        <w:t>Riverstone’s Approach to ESG</w:t>
      </w:r>
    </w:p>
    <w:p w14:paraId="2A105D64" w14:textId="6A85C0D0" w:rsidR="00FE3763" w:rsidRPr="00161FFD" w:rsidRDefault="00FE3763" w:rsidP="00397967">
      <w:pPr>
        <w:jc w:val="both"/>
        <w:rPr>
          <w:lang w:val="en-US"/>
        </w:rPr>
      </w:pPr>
      <w:r w:rsidRPr="00161FFD">
        <w:rPr>
          <w:lang w:val="en-US"/>
        </w:rPr>
        <w:t xml:space="preserve">As </w:t>
      </w:r>
      <w:r>
        <w:rPr>
          <w:lang w:val="en-US"/>
        </w:rPr>
        <w:t>one of the most</w:t>
      </w:r>
      <w:r w:rsidRPr="00161FFD">
        <w:rPr>
          <w:lang w:val="en-US"/>
        </w:rPr>
        <w:t xml:space="preserve"> experienced private investment firm</w:t>
      </w:r>
      <w:r>
        <w:rPr>
          <w:lang w:val="en-US"/>
        </w:rPr>
        <w:t>s</w:t>
      </w:r>
      <w:r w:rsidRPr="00161FFD">
        <w:rPr>
          <w:lang w:val="en-US"/>
        </w:rPr>
        <w:t xml:space="preserve"> within </w:t>
      </w:r>
      <w:r w:rsidR="00E24056">
        <w:rPr>
          <w:lang w:val="en-US"/>
        </w:rPr>
        <w:t xml:space="preserve">the </w:t>
      </w:r>
      <w:r w:rsidRPr="00161FFD">
        <w:rPr>
          <w:lang w:val="en-US"/>
        </w:rPr>
        <w:t>energy, power and infrastructure</w:t>
      </w:r>
      <w:r w:rsidR="00E24056">
        <w:rPr>
          <w:lang w:val="en-US"/>
        </w:rPr>
        <w:t xml:space="preserve"> sectors</w:t>
      </w:r>
      <w:r w:rsidRPr="00161FFD">
        <w:rPr>
          <w:lang w:val="en-US"/>
        </w:rPr>
        <w:t>, Riverstone recogni</w:t>
      </w:r>
      <w:r w:rsidR="00CC687B">
        <w:rPr>
          <w:lang w:val="en-US"/>
        </w:rPr>
        <w:t>s</w:t>
      </w:r>
      <w:r w:rsidRPr="00161FFD">
        <w:rPr>
          <w:lang w:val="en-US"/>
        </w:rPr>
        <w:t xml:space="preserve">es the ever-increasing importance of ESG and has made the proactive implementation of ESG initiatives one of </w:t>
      </w:r>
      <w:r w:rsidR="00542A63">
        <w:rPr>
          <w:lang w:val="en-US"/>
        </w:rPr>
        <w:t xml:space="preserve">its </w:t>
      </w:r>
      <w:r w:rsidRPr="00161FFD">
        <w:rPr>
          <w:lang w:val="en-US"/>
        </w:rPr>
        <w:t xml:space="preserve">highest priorities. </w:t>
      </w:r>
      <w:r>
        <w:rPr>
          <w:lang w:val="en-US"/>
        </w:rPr>
        <w:t>Riverstone takes its</w:t>
      </w:r>
      <w:r w:rsidRPr="00161FFD">
        <w:rPr>
          <w:lang w:val="en-US"/>
        </w:rPr>
        <w:t xml:space="preserve"> fiduciary responsibility to investors very seriously and believe</w:t>
      </w:r>
      <w:r>
        <w:rPr>
          <w:lang w:val="en-US"/>
        </w:rPr>
        <w:t>s</w:t>
      </w:r>
      <w:r w:rsidRPr="00161FFD">
        <w:rPr>
          <w:lang w:val="en-US"/>
        </w:rPr>
        <w:t xml:space="preserve"> that a strong commitment to </w:t>
      </w:r>
      <w:r w:rsidR="00542A63">
        <w:rPr>
          <w:lang w:val="en-US"/>
        </w:rPr>
        <w:t>addressing</w:t>
      </w:r>
      <w:r w:rsidR="00542A63" w:rsidRPr="00161FFD">
        <w:rPr>
          <w:lang w:val="en-US"/>
        </w:rPr>
        <w:t xml:space="preserve"> </w:t>
      </w:r>
      <w:r w:rsidRPr="00161FFD">
        <w:rPr>
          <w:lang w:val="en-US"/>
        </w:rPr>
        <w:t xml:space="preserve">ESG factors is critical to the success of </w:t>
      </w:r>
      <w:r w:rsidR="00542A63">
        <w:rPr>
          <w:lang w:val="en-US"/>
        </w:rPr>
        <w:t>its funds,</w:t>
      </w:r>
      <w:r w:rsidR="00542A63" w:rsidRPr="00161FFD">
        <w:rPr>
          <w:lang w:val="en-US"/>
        </w:rPr>
        <w:t xml:space="preserve"> </w:t>
      </w:r>
      <w:r w:rsidRPr="00161FFD">
        <w:rPr>
          <w:lang w:val="en-US"/>
        </w:rPr>
        <w:t xml:space="preserve">portfolio companies and firm. By devoting substantial internal and external resources </w:t>
      </w:r>
      <w:r w:rsidR="00542A63">
        <w:rPr>
          <w:lang w:val="en-US"/>
        </w:rPr>
        <w:t>towards</w:t>
      </w:r>
      <w:r w:rsidRPr="00161FFD">
        <w:rPr>
          <w:lang w:val="en-US"/>
        </w:rPr>
        <w:t xml:space="preserve"> ESG</w:t>
      </w:r>
      <w:r w:rsidR="00542A63">
        <w:rPr>
          <w:lang w:val="en-US"/>
        </w:rPr>
        <w:t xml:space="preserve"> </w:t>
      </w:r>
      <w:r w:rsidR="00542A63">
        <w:rPr>
          <w:lang w:val="en-US"/>
        </w:rPr>
        <w:lastRenderedPageBreak/>
        <w:t>matters</w:t>
      </w:r>
      <w:r w:rsidRPr="00161FFD">
        <w:rPr>
          <w:lang w:val="en-US"/>
        </w:rPr>
        <w:t xml:space="preserve">, </w:t>
      </w:r>
      <w:r>
        <w:rPr>
          <w:lang w:val="en-US"/>
        </w:rPr>
        <w:t>Riverstone has</w:t>
      </w:r>
      <w:r w:rsidRPr="00161FFD">
        <w:rPr>
          <w:lang w:val="en-US"/>
        </w:rPr>
        <w:t xml:space="preserve"> developed clear processes that </w:t>
      </w:r>
      <w:r w:rsidR="00542A63">
        <w:rPr>
          <w:lang w:val="en-US"/>
        </w:rPr>
        <w:t xml:space="preserve">take account of </w:t>
      </w:r>
      <w:r w:rsidRPr="00161FFD">
        <w:rPr>
          <w:lang w:val="en-US"/>
        </w:rPr>
        <w:t xml:space="preserve">leading industry standards. </w:t>
      </w:r>
      <w:r w:rsidR="00542A63">
        <w:rPr>
          <w:lang w:val="en-US"/>
        </w:rPr>
        <w:t>Riverstone believes</w:t>
      </w:r>
      <w:r w:rsidRPr="00161FFD">
        <w:rPr>
          <w:lang w:val="en-US"/>
        </w:rPr>
        <w:t xml:space="preserve"> this effort helps </w:t>
      </w:r>
      <w:r w:rsidR="00542A63">
        <w:rPr>
          <w:lang w:val="en-US"/>
        </w:rPr>
        <w:t>i</w:t>
      </w:r>
      <w:r w:rsidR="00164B68">
        <w:rPr>
          <w:lang w:val="en-US"/>
        </w:rPr>
        <w:t>t</w:t>
      </w:r>
      <w:r w:rsidR="00542A63">
        <w:rPr>
          <w:lang w:val="en-US"/>
        </w:rPr>
        <w:t xml:space="preserve"> to</w:t>
      </w:r>
      <w:r w:rsidRPr="00161FFD">
        <w:rPr>
          <w:lang w:val="en-US"/>
        </w:rPr>
        <w:t xml:space="preserve"> make sustainable, ethical and socially responsible decisions over the long</w:t>
      </w:r>
      <w:r w:rsidR="002969DF">
        <w:rPr>
          <w:lang w:val="en-US"/>
        </w:rPr>
        <w:t xml:space="preserve"> </w:t>
      </w:r>
      <w:r w:rsidRPr="00161FFD">
        <w:rPr>
          <w:lang w:val="en-US"/>
        </w:rPr>
        <w:t>run.</w:t>
      </w:r>
    </w:p>
    <w:p w14:paraId="77D63A6D" w14:textId="77777777" w:rsidR="005C285E" w:rsidRDefault="005C285E" w:rsidP="00397967">
      <w:pPr>
        <w:jc w:val="both"/>
        <w:rPr>
          <w:b/>
          <w:lang w:val="en-US"/>
        </w:rPr>
      </w:pPr>
    </w:p>
    <w:p w14:paraId="0B5CAA86" w14:textId="54E1DC88" w:rsidR="005C285E" w:rsidRDefault="005C285E" w:rsidP="00397967">
      <w:pPr>
        <w:jc w:val="both"/>
        <w:rPr>
          <w:b/>
          <w:lang w:val="en-US"/>
        </w:rPr>
      </w:pPr>
      <w:r>
        <w:rPr>
          <w:b/>
          <w:lang w:val="en-US"/>
        </w:rPr>
        <w:t>ESG RESOURCES AT RIVERSTONE</w:t>
      </w:r>
    </w:p>
    <w:p w14:paraId="515DC47F" w14:textId="77777777" w:rsidR="005C285E" w:rsidRDefault="005C285E" w:rsidP="00397967">
      <w:pPr>
        <w:jc w:val="both"/>
        <w:rPr>
          <w:lang w:val="en-US"/>
        </w:rPr>
      </w:pPr>
    </w:p>
    <w:p w14:paraId="7D067B2B" w14:textId="3C501927" w:rsidR="005C285E" w:rsidRPr="004040D5" w:rsidRDefault="005C285E" w:rsidP="00397967">
      <w:pPr>
        <w:jc w:val="both"/>
        <w:rPr>
          <w:lang w:val="en-US"/>
        </w:rPr>
      </w:pPr>
      <w:r w:rsidRPr="004040D5">
        <w:rPr>
          <w:lang w:val="en-US"/>
        </w:rPr>
        <w:t xml:space="preserve">Riverstone has an ESG Committee comprised of </w:t>
      </w:r>
      <w:r w:rsidR="00542A63">
        <w:rPr>
          <w:lang w:val="en-US"/>
        </w:rPr>
        <w:t>a cross-functional set of leaders</w:t>
      </w:r>
      <w:r w:rsidRPr="004040D5">
        <w:rPr>
          <w:lang w:val="en-US"/>
        </w:rPr>
        <w:t xml:space="preserve"> from across the firm as well as a partner from our external ESG advisor</w:t>
      </w:r>
      <w:r w:rsidR="00542A63">
        <w:rPr>
          <w:lang w:val="en-US"/>
        </w:rPr>
        <w:t xml:space="preserve"> which sets the standard for ESG protocols and policies for its portfolio companies and firm. In addition, Riverstone’s investment teams are responsible for applying an ESG lens to pre-investment decision making and post-investment monitoring</w:t>
      </w:r>
      <w:r w:rsidRPr="004040D5">
        <w:rPr>
          <w:lang w:val="en-US"/>
        </w:rPr>
        <w:t>.</w:t>
      </w:r>
    </w:p>
    <w:p w14:paraId="1C29B392" w14:textId="77777777" w:rsidR="005C285E" w:rsidRDefault="005C285E" w:rsidP="00397967">
      <w:pPr>
        <w:jc w:val="both"/>
        <w:rPr>
          <w:lang w:val="en-US"/>
        </w:rPr>
      </w:pPr>
    </w:p>
    <w:p w14:paraId="7CB00C11" w14:textId="621A7F77" w:rsidR="005C285E" w:rsidRPr="004040D5" w:rsidRDefault="00542A63" w:rsidP="00397967">
      <w:pPr>
        <w:jc w:val="both"/>
        <w:rPr>
          <w:lang w:val="en-US"/>
        </w:rPr>
      </w:pPr>
      <w:r>
        <w:rPr>
          <w:lang w:val="en-US"/>
        </w:rPr>
        <w:t>Riverstone’s</w:t>
      </w:r>
      <w:r w:rsidR="005C285E" w:rsidRPr="004040D5">
        <w:rPr>
          <w:lang w:val="en-US"/>
        </w:rPr>
        <w:t xml:space="preserve"> ESG Committee meets</w:t>
      </w:r>
      <w:r>
        <w:rPr>
          <w:lang w:val="en-US"/>
        </w:rPr>
        <w:t xml:space="preserve"> on a</w:t>
      </w:r>
      <w:r w:rsidR="005C285E" w:rsidRPr="004040D5">
        <w:rPr>
          <w:lang w:val="en-US"/>
        </w:rPr>
        <w:t xml:space="preserve"> quarterly </w:t>
      </w:r>
      <w:r>
        <w:rPr>
          <w:lang w:val="en-US"/>
        </w:rPr>
        <w:t xml:space="preserve">basis </w:t>
      </w:r>
      <w:r w:rsidR="005C285E" w:rsidRPr="004040D5">
        <w:rPr>
          <w:lang w:val="en-US"/>
        </w:rPr>
        <w:t>to drive Riverstone’s ESG strategy forward</w:t>
      </w:r>
      <w:r w:rsidR="00F53545">
        <w:rPr>
          <w:lang w:val="en-US"/>
        </w:rPr>
        <w:t xml:space="preserve"> and provide</w:t>
      </w:r>
      <w:r w:rsidR="005C285E" w:rsidRPr="004040D5">
        <w:rPr>
          <w:lang w:val="en-US"/>
        </w:rPr>
        <w:t xml:space="preserve"> leadership with </w:t>
      </w:r>
      <w:r w:rsidR="00F53545">
        <w:rPr>
          <w:lang w:val="en-US"/>
        </w:rPr>
        <w:t>respect to a range of matters</w:t>
      </w:r>
      <w:r w:rsidR="005C285E" w:rsidRPr="004040D5">
        <w:rPr>
          <w:lang w:val="en-US"/>
        </w:rPr>
        <w:t>.</w:t>
      </w:r>
    </w:p>
    <w:p w14:paraId="0CBBC440" w14:textId="77777777" w:rsidR="005C285E" w:rsidRDefault="005C285E" w:rsidP="00397967">
      <w:pPr>
        <w:jc w:val="both"/>
        <w:rPr>
          <w:b/>
          <w:lang w:val="en-US"/>
        </w:rPr>
      </w:pPr>
    </w:p>
    <w:p w14:paraId="08CBD44D" w14:textId="15482B8F" w:rsidR="005C285E" w:rsidRPr="00025EA2" w:rsidRDefault="005C285E" w:rsidP="00397967">
      <w:pPr>
        <w:jc w:val="both"/>
        <w:rPr>
          <w:b/>
          <w:lang w:val="en-US"/>
        </w:rPr>
      </w:pPr>
      <w:r w:rsidRPr="00025EA2">
        <w:rPr>
          <w:b/>
          <w:lang w:val="en-US"/>
        </w:rPr>
        <w:t>OUR ESG POLICY</w:t>
      </w:r>
    </w:p>
    <w:p w14:paraId="1CA933E2" w14:textId="77777777" w:rsidR="005C285E" w:rsidRDefault="005C285E" w:rsidP="00397967">
      <w:pPr>
        <w:jc w:val="both"/>
        <w:rPr>
          <w:lang w:val="en-US"/>
        </w:rPr>
      </w:pPr>
    </w:p>
    <w:p w14:paraId="0E9C45A6" w14:textId="61BA006F" w:rsidR="005C285E" w:rsidRPr="00E303F4" w:rsidRDefault="005C285E" w:rsidP="00397967">
      <w:pPr>
        <w:jc w:val="both"/>
        <w:rPr>
          <w:lang w:val="en-US"/>
        </w:rPr>
      </w:pPr>
      <w:r w:rsidRPr="00161FFD">
        <w:rPr>
          <w:lang w:val="en-US"/>
        </w:rPr>
        <w:t xml:space="preserve">Riverstone has an ESG </w:t>
      </w:r>
      <w:r w:rsidR="00F53545">
        <w:rPr>
          <w:lang w:val="en-US"/>
        </w:rPr>
        <w:t>p</w:t>
      </w:r>
      <w:r w:rsidRPr="00161FFD">
        <w:rPr>
          <w:lang w:val="en-US"/>
        </w:rPr>
        <w:t>oli</w:t>
      </w:r>
      <w:r w:rsidRPr="00E303F4">
        <w:rPr>
          <w:lang w:val="en-US"/>
        </w:rPr>
        <w:t xml:space="preserve">cy that </w:t>
      </w:r>
      <w:r w:rsidR="00F53545">
        <w:rPr>
          <w:lang w:val="en-US"/>
        </w:rPr>
        <w:t xml:space="preserve">sets out its </w:t>
      </w:r>
      <w:r w:rsidRPr="00E303F4">
        <w:rPr>
          <w:lang w:val="en-US"/>
        </w:rPr>
        <w:t xml:space="preserve">approach to </w:t>
      </w:r>
      <w:r w:rsidR="00F53545">
        <w:rPr>
          <w:lang w:val="en-US"/>
        </w:rPr>
        <w:t xml:space="preserve">handling </w:t>
      </w:r>
      <w:r w:rsidRPr="00E303F4">
        <w:rPr>
          <w:lang w:val="en-US"/>
        </w:rPr>
        <w:t xml:space="preserve">key ESG factors, such as natural resource management, health and safety, community and stakeholder impact, </w:t>
      </w:r>
      <w:r w:rsidR="00F53545">
        <w:rPr>
          <w:lang w:val="en-US"/>
        </w:rPr>
        <w:t xml:space="preserve">climate change, greenhouse gas emissions, </w:t>
      </w:r>
      <w:r w:rsidRPr="00E303F4">
        <w:rPr>
          <w:lang w:val="en-US"/>
        </w:rPr>
        <w:t xml:space="preserve">governance, among many others. This policy helps inform </w:t>
      </w:r>
      <w:r w:rsidR="00F53545">
        <w:rPr>
          <w:lang w:val="en-US"/>
        </w:rPr>
        <w:t xml:space="preserve">the </w:t>
      </w:r>
      <w:r w:rsidRPr="00E303F4">
        <w:rPr>
          <w:lang w:val="en-US"/>
        </w:rPr>
        <w:t xml:space="preserve">ESG considerations </w:t>
      </w:r>
      <w:r w:rsidR="00F53545">
        <w:rPr>
          <w:lang w:val="en-US"/>
        </w:rPr>
        <w:t xml:space="preserve">that are relevant to </w:t>
      </w:r>
      <w:r w:rsidRPr="00E303F4">
        <w:rPr>
          <w:lang w:val="en-US"/>
        </w:rPr>
        <w:t xml:space="preserve">the management of our portfolio companies from initial due diligence all the way through to an exit, </w:t>
      </w:r>
      <w:r w:rsidR="00F53545">
        <w:rPr>
          <w:lang w:val="en-US"/>
        </w:rPr>
        <w:t>and the operation of Riverstone’s</w:t>
      </w:r>
      <w:r w:rsidRPr="00E303F4">
        <w:rPr>
          <w:lang w:val="en-US"/>
        </w:rPr>
        <w:t xml:space="preserve"> own business. Since inception, </w:t>
      </w:r>
      <w:r w:rsidR="00F53545">
        <w:rPr>
          <w:lang w:val="en-US"/>
        </w:rPr>
        <w:t>Riverstone has</w:t>
      </w:r>
      <w:r w:rsidRPr="00E303F4">
        <w:rPr>
          <w:lang w:val="en-US"/>
        </w:rPr>
        <w:t xml:space="preserve"> contin</w:t>
      </w:r>
      <w:r w:rsidRPr="00161FFD">
        <w:rPr>
          <w:lang w:val="en-US"/>
        </w:rPr>
        <w:t xml:space="preserve">uously evolved </w:t>
      </w:r>
      <w:r w:rsidR="00F53545">
        <w:rPr>
          <w:lang w:val="en-US"/>
        </w:rPr>
        <w:t>its ESG</w:t>
      </w:r>
      <w:r w:rsidRPr="00161FFD">
        <w:rPr>
          <w:lang w:val="en-US"/>
        </w:rPr>
        <w:t xml:space="preserve"> policy in conjunction with third</w:t>
      </w:r>
      <w:r w:rsidR="00E319C6">
        <w:rPr>
          <w:lang w:val="en-US"/>
        </w:rPr>
        <w:t xml:space="preserve"> </w:t>
      </w:r>
      <w:r w:rsidRPr="00161FFD">
        <w:rPr>
          <w:lang w:val="en-US"/>
        </w:rPr>
        <w:t xml:space="preserve">party ESG experts to </w:t>
      </w:r>
      <w:r w:rsidR="00F53545">
        <w:rPr>
          <w:lang w:val="en-US"/>
        </w:rPr>
        <w:t>strive towards</w:t>
      </w:r>
      <w:r w:rsidRPr="00161FFD">
        <w:rPr>
          <w:lang w:val="en-US"/>
        </w:rPr>
        <w:t xml:space="preserve"> best practices</w:t>
      </w:r>
      <w:r w:rsidR="00F53545">
        <w:rPr>
          <w:lang w:val="en-US"/>
        </w:rPr>
        <w:t xml:space="preserve"> across the board</w:t>
      </w:r>
      <w:r w:rsidRPr="00161FFD">
        <w:rPr>
          <w:lang w:val="en-US"/>
        </w:rPr>
        <w:t xml:space="preserve">.  A copy of </w:t>
      </w:r>
      <w:r>
        <w:rPr>
          <w:lang w:val="en-US"/>
        </w:rPr>
        <w:t>Riverstone’s</w:t>
      </w:r>
      <w:r w:rsidRPr="00161FFD">
        <w:rPr>
          <w:lang w:val="en-US"/>
        </w:rPr>
        <w:t xml:space="preserve"> ESG policy is available on</w:t>
      </w:r>
      <w:r>
        <w:rPr>
          <w:lang w:val="en-US"/>
        </w:rPr>
        <w:t>line:</w:t>
      </w:r>
      <w:r w:rsidRPr="00161FFD">
        <w:rPr>
          <w:lang w:val="en-US"/>
        </w:rPr>
        <w:t xml:space="preserve"> </w:t>
      </w:r>
      <w:r w:rsidR="001E3B35" w:rsidRPr="00CF64AD">
        <w:t>https://www.riverstonellc.com/media/1189/Riverstone_ESG_Policy_Statement.pdf</w:t>
      </w:r>
      <w:r w:rsidR="00BE7220" w:rsidDel="00BE7220">
        <w:t xml:space="preserve"> </w:t>
      </w:r>
    </w:p>
    <w:p w14:paraId="5E332A81" w14:textId="6272E325" w:rsidR="005C285E" w:rsidRDefault="005C285E" w:rsidP="00397967">
      <w:pPr>
        <w:jc w:val="both"/>
        <w:rPr>
          <w:b/>
          <w:lang w:val="en-US"/>
        </w:rPr>
      </w:pPr>
    </w:p>
    <w:p w14:paraId="6C80DBE7" w14:textId="197C841E" w:rsidR="00E24056" w:rsidRPr="00E24056" w:rsidRDefault="00E24056" w:rsidP="00397967">
      <w:pPr>
        <w:jc w:val="both"/>
        <w:rPr>
          <w:bCs/>
          <w:lang w:val="en-US"/>
        </w:rPr>
      </w:pPr>
      <w:r w:rsidRPr="00E24056">
        <w:rPr>
          <w:bCs/>
          <w:lang w:val="en-US"/>
        </w:rPr>
        <w:t xml:space="preserve">Riverstone currently </w:t>
      </w:r>
      <w:r>
        <w:rPr>
          <w:bCs/>
          <w:lang w:val="en-US"/>
        </w:rPr>
        <w:t xml:space="preserve">supports all the principles of the UN Principles for Responsible Investment and is </w:t>
      </w:r>
      <w:r w:rsidR="00797EF9">
        <w:rPr>
          <w:bCs/>
          <w:lang w:val="en-US"/>
        </w:rPr>
        <w:t>working towards becoming</w:t>
      </w:r>
      <w:r>
        <w:rPr>
          <w:bCs/>
          <w:lang w:val="en-US"/>
        </w:rPr>
        <w:t xml:space="preserve"> a signatory in the near future.</w:t>
      </w:r>
    </w:p>
    <w:p w14:paraId="43FA9807" w14:textId="77777777" w:rsidR="00E24056" w:rsidRDefault="00E24056" w:rsidP="00397967">
      <w:pPr>
        <w:jc w:val="both"/>
        <w:rPr>
          <w:b/>
          <w:lang w:val="en-US"/>
        </w:rPr>
      </w:pPr>
    </w:p>
    <w:p w14:paraId="1C28A336" w14:textId="22382013" w:rsidR="005C285E" w:rsidRPr="00025EA2" w:rsidRDefault="005C285E" w:rsidP="00397967">
      <w:pPr>
        <w:jc w:val="both"/>
        <w:rPr>
          <w:b/>
          <w:lang w:val="en-US"/>
        </w:rPr>
      </w:pPr>
      <w:r w:rsidRPr="00025EA2">
        <w:rPr>
          <w:b/>
          <w:lang w:val="en-US"/>
        </w:rPr>
        <w:t>POLICY IMPLEMENTATION</w:t>
      </w:r>
    </w:p>
    <w:p w14:paraId="5044AAC4" w14:textId="77777777" w:rsidR="005C285E" w:rsidRDefault="005C285E" w:rsidP="00397967">
      <w:pPr>
        <w:jc w:val="both"/>
        <w:rPr>
          <w:lang w:val="en-US"/>
        </w:rPr>
      </w:pPr>
    </w:p>
    <w:p w14:paraId="5E0A010B" w14:textId="2E3B1ADF" w:rsidR="005C285E" w:rsidRPr="005C285E" w:rsidRDefault="005C285E" w:rsidP="00397967">
      <w:pPr>
        <w:jc w:val="both"/>
        <w:rPr>
          <w:rFonts w:eastAsia="Calibri"/>
        </w:rPr>
      </w:pPr>
      <w:r w:rsidRPr="005C285E">
        <w:rPr>
          <w:rFonts w:eastAsia="Calibri"/>
        </w:rPr>
        <w:t xml:space="preserve">To implement </w:t>
      </w:r>
      <w:r w:rsidR="00797EF9">
        <w:rPr>
          <w:rFonts w:eastAsia="Calibri"/>
        </w:rPr>
        <w:t>its</w:t>
      </w:r>
      <w:r w:rsidR="00797EF9" w:rsidRPr="005C285E">
        <w:rPr>
          <w:rFonts w:eastAsia="Calibri"/>
        </w:rPr>
        <w:t xml:space="preserve"> </w:t>
      </w:r>
      <w:r w:rsidRPr="005C285E">
        <w:rPr>
          <w:rFonts w:eastAsia="Calibri"/>
        </w:rPr>
        <w:t xml:space="preserve">ESG Policy, </w:t>
      </w:r>
      <w:r w:rsidR="00797EF9">
        <w:rPr>
          <w:rFonts w:eastAsia="Calibri"/>
        </w:rPr>
        <w:t>Riverstone has</w:t>
      </w:r>
      <w:r w:rsidRPr="005C285E">
        <w:rPr>
          <w:rFonts w:eastAsia="Calibri"/>
        </w:rPr>
        <w:t xml:space="preserve"> established institutional processes that support the high standards that </w:t>
      </w:r>
      <w:r w:rsidR="00797EF9">
        <w:rPr>
          <w:rFonts w:eastAsia="Calibri"/>
        </w:rPr>
        <w:t>it has</w:t>
      </w:r>
      <w:r w:rsidRPr="005C285E">
        <w:rPr>
          <w:rFonts w:eastAsia="Calibri"/>
        </w:rPr>
        <w:t xml:space="preserve"> set for </w:t>
      </w:r>
      <w:r w:rsidR="00797EF9">
        <w:rPr>
          <w:rFonts w:eastAsia="Calibri"/>
        </w:rPr>
        <w:t>itself</w:t>
      </w:r>
      <w:r w:rsidRPr="005C285E">
        <w:rPr>
          <w:rFonts w:eastAsia="Calibri"/>
        </w:rPr>
        <w:t>. These procedures were developed to achieve several key objectives</w:t>
      </w:r>
      <w:r w:rsidR="00797EF9">
        <w:rPr>
          <w:rFonts w:eastAsia="Calibri"/>
        </w:rPr>
        <w:t xml:space="preserve"> related to ESG, including</w:t>
      </w:r>
      <w:r w:rsidRPr="005C285E">
        <w:rPr>
          <w:rFonts w:eastAsia="Calibri"/>
        </w:rPr>
        <w:t>:</w:t>
      </w:r>
    </w:p>
    <w:p w14:paraId="0FAA9D85" w14:textId="77777777" w:rsidR="00FE3763" w:rsidRDefault="00FE3763" w:rsidP="00397967">
      <w:pPr>
        <w:jc w:val="both"/>
        <w:rPr>
          <w:rFonts w:eastAsia="Calibri"/>
        </w:rPr>
      </w:pPr>
    </w:p>
    <w:p w14:paraId="40D6E634" w14:textId="2CE743CB" w:rsidR="005C285E" w:rsidRPr="005C285E" w:rsidRDefault="005C285E" w:rsidP="00397967">
      <w:pPr>
        <w:jc w:val="both"/>
        <w:rPr>
          <w:rFonts w:eastAsia="Calibri"/>
        </w:rPr>
      </w:pPr>
      <w:r w:rsidRPr="005C285E">
        <w:rPr>
          <w:rFonts w:eastAsia="Calibri"/>
        </w:rPr>
        <w:t>1) Provid</w:t>
      </w:r>
      <w:r w:rsidR="00797EF9">
        <w:rPr>
          <w:rFonts w:eastAsia="Calibri"/>
        </w:rPr>
        <w:t>ing Riverstone</w:t>
      </w:r>
      <w:r w:rsidRPr="005C285E">
        <w:rPr>
          <w:rFonts w:eastAsia="Calibri"/>
        </w:rPr>
        <w:t xml:space="preserve"> </w:t>
      </w:r>
      <w:r w:rsidR="00E24056">
        <w:rPr>
          <w:rFonts w:eastAsia="Calibri"/>
        </w:rPr>
        <w:t xml:space="preserve">personnel </w:t>
      </w:r>
      <w:r w:rsidRPr="005C285E">
        <w:rPr>
          <w:rFonts w:eastAsia="Calibri"/>
        </w:rPr>
        <w:t xml:space="preserve">and </w:t>
      </w:r>
      <w:r w:rsidR="00797EF9">
        <w:rPr>
          <w:rFonts w:eastAsia="Calibri"/>
        </w:rPr>
        <w:t xml:space="preserve">its </w:t>
      </w:r>
      <w:r w:rsidRPr="005C285E">
        <w:rPr>
          <w:rFonts w:eastAsia="Calibri"/>
        </w:rPr>
        <w:t xml:space="preserve">portfolio companies with training and </w:t>
      </w:r>
      <w:r w:rsidR="00797EF9">
        <w:rPr>
          <w:rFonts w:eastAsia="Calibri"/>
        </w:rPr>
        <w:t>the</w:t>
      </w:r>
      <w:r w:rsidRPr="005C285E">
        <w:rPr>
          <w:rFonts w:eastAsia="Calibri"/>
        </w:rPr>
        <w:t xml:space="preserve"> resources</w:t>
      </w:r>
      <w:r w:rsidR="00797EF9">
        <w:rPr>
          <w:rFonts w:eastAsia="Calibri"/>
        </w:rPr>
        <w:t xml:space="preserve"> to ensure that those portfolio companies can provide the necessary ESG support appropriately</w:t>
      </w:r>
    </w:p>
    <w:p w14:paraId="32F828DC" w14:textId="77777777" w:rsidR="00FE3763" w:rsidRDefault="00FE3763" w:rsidP="00397967">
      <w:pPr>
        <w:jc w:val="both"/>
        <w:rPr>
          <w:rFonts w:eastAsia="Calibri"/>
        </w:rPr>
      </w:pPr>
    </w:p>
    <w:p w14:paraId="0F4A1F40" w14:textId="3F208595" w:rsidR="005C285E" w:rsidRPr="005C285E" w:rsidRDefault="005C285E" w:rsidP="00397967">
      <w:pPr>
        <w:jc w:val="both"/>
        <w:rPr>
          <w:rFonts w:eastAsia="Calibri"/>
        </w:rPr>
      </w:pPr>
      <w:r w:rsidRPr="005C285E">
        <w:rPr>
          <w:rFonts w:eastAsia="Calibri"/>
        </w:rPr>
        <w:t>2) Identify</w:t>
      </w:r>
      <w:r w:rsidR="00A20EF9">
        <w:rPr>
          <w:rFonts w:eastAsia="Calibri"/>
        </w:rPr>
        <w:t>ing</w:t>
      </w:r>
      <w:r w:rsidRPr="005C285E">
        <w:rPr>
          <w:rFonts w:eastAsia="Calibri"/>
        </w:rPr>
        <w:t xml:space="preserve"> potential risks and mitigants before an investment is made</w:t>
      </w:r>
    </w:p>
    <w:p w14:paraId="593A4AC3" w14:textId="77777777" w:rsidR="00FE3763" w:rsidRDefault="00FE3763" w:rsidP="00397967">
      <w:pPr>
        <w:jc w:val="both"/>
        <w:rPr>
          <w:rFonts w:eastAsia="Calibri"/>
        </w:rPr>
      </w:pPr>
    </w:p>
    <w:p w14:paraId="299DA33B" w14:textId="5DB17FDE" w:rsidR="005C285E" w:rsidRPr="005C285E" w:rsidRDefault="005C285E" w:rsidP="00397967">
      <w:pPr>
        <w:jc w:val="both"/>
        <w:rPr>
          <w:rFonts w:eastAsia="Calibri"/>
        </w:rPr>
      </w:pPr>
      <w:r w:rsidRPr="005C285E">
        <w:rPr>
          <w:rFonts w:eastAsia="Calibri"/>
        </w:rPr>
        <w:t xml:space="preserve">3) </w:t>
      </w:r>
      <w:r w:rsidR="00A20EF9">
        <w:rPr>
          <w:rFonts w:eastAsia="Calibri"/>
        </w:rPr>
        <w:t>Immediate assistance with the identification of</w:t>
      </w:r>
      <w:r w:rsidRPr="005C285E">
        <w:rPr>
          <w:rFonts w:eastAsia="Calibri"/>
        </w:rPr>
        <w:t xml:space="preserve"> any issues that may arise and track ongoing performance</w:t>
      </w:r>
      <w:r w:rsidR="00A20EF9">
        <w:rPr>
          <w:rFonts w:eastAsia="Calibri"/>
        </w:rPr>
        <w:t xml:space="preserve"> through portfolio monitoring</w:t>
      </w:r>
    </w:p>
    <w:p w14:paraId="076FF2A4" w14:textId="77777777" w:rsidR="00FE3763" w:rsidRDefault="00FE3763" w:rsidP="00397967">
      <w:pPr>
        <w:jc w:val="both"/>
        <w:rPr>
          <w:rFonts w:eastAsia="Calibri"/>
        </w:rPr>
      </w:pPr>
    </w:p>
    <w:p w14:paraId="1F8BE521" w14:textId="7D834036" w:rsidR="005C285E" w:rsidRPr="005C285E" w:rsidRDefault="005C285E" w:rsidP="00397967">
      <w:pPr>
        <w:jc w:val="both"/>
        <w:rPr>
          <w:rFonts w:eastAsia="Calibri"/>
        </w:rPr>
      </w:pPr>
      <w:r w:rsidRPr="005C285E">
        <w:rPr>
          <w:rFonts w:eastAsia="Calibri"/>
        </w:rPr>
        <w:t>4) Evaluat</w:t>
      </w:r>
      <w:r w:rsidR="00A20EF9">
        <w:rPr>
          <w:rFonts w:eastAsia="Calibri"/>
        </w:rPr>
        <w:t>ing</w:t>
      </w:r>
      <w:r w:rsidRPr="005C285E">
        <w:rPr>
          <w:rFonts w:eastAsia="Calibri"/>
        </w:rPr>
        <w:t xml:space="preserve"> and </w:t>
      </w:r>
      <w:r w:rsidR="00A20EF9">
        <w:rPr>
          <w:rFonts w:eastAsia="Calibri"/>
        </w:rPr>
        <w:t>tracking portfolio companies’ execution of</w:t>
      </w:r>
      <w:r w:rsidR="00A20EF9" w:rsidRPr="005C285E">
        <w:rPr>
          <w:rFonts w:eastAsia="Calibri"/>
        </w:rPr>
        <w:t xml:space="preserve"> </w:t>
      </w:r>
      <w:r w:rsidRPr="005C285E">
        <w:rPr>
          <w:rFonts w:eastAsia="Calibri"/>
        </w:rPr>
        <w:t>opportunities to improve current practices at our portfolio companies and firm</w:t>
      </w:r>
    </w:p>
    <w:p w14:paraId="7234DE6B" w14:textId="77777777" w:rsidR="005C285E" w:rsidRPr="003A5F95" w:rsidRDefault="005C285E" w:rsidP="00397967">
      <w:pPr>
        <w:jc w:val="both"/>
        <w:rPr>
          <w:rFonts w:eastAsia="MS Gothic"/>
          <w:b/>
          <w:bCs/>
          <w:caps/>
          <w:sz w:val="30"/>
          <w:szCs w:val="32"/>
        </w:rPr>
      </w:pPr>
    </w:p>
    <w:p w14:paraId="2059B112" w14:textId="77777777" w:rsidR="005C285E" w:rsidRPr="00025EA2" w:rsidRDefault="005C285E" w:rsidP="00397967">
      <w:pPr>
        <w:jc w:val="both"/>
        <w:rPr>
          <w:b/>
          <w:u w:val="single"/>
          <w:lang w:val="en-US"/>
        </w:rPr>
      </w:pPr>
      <w:r w:rsidRPr="00025EA2">
        <w:rPr>
          <w:b/>
          <w:u w:val="single"/>
          <w:lang w:val="en-US"/>
        </w:rPr>
        <w:t xml:space="preserve">CLIMATE CHANGE </w:t>
      </w:r>
    </w:p>
    <w:p w14:paraId="204A0B7B" w14:textId="77777777" w:rsidR="005C285E" w:rsidRDefault="005C285E" w:rsidP="00397967">
      <w:pPr>
        <w:pStyle w:val="PlainText"/>
        <w:jc w:val="both"/>
        <w:rPr>
          <w:rFonts w:ascii="Arial" w:eastAsia="Calibri" w:hAnsi="Arial" w:cs="Arial"/>
          <w:sz w:val="20"/>
          <w:szCs w:val="20"/>
          <w:lang w:val="en-GB"/>
        </w:rPr>
      </w:pPr>
    </w:p>
    <w:p w14:paraId="6939FA4E" w14:textId="686F4098" w:rsidR="00E24056" w:rsidRDefault="005C285E" w:rsidP="00397967">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 xml:space="preserve">Riverstone </w:t>
      </w:r>
      <w:r w:rsidR="00A20EF9">
        <w:rPr>
          <w:rFonts w:ascii="Arial" w:eastAsia="Calibri" w:hAnsi="Arial" w:cs="Arial"/>
          <w:sz w:val="20"/>
          <w:szCs w:val="20"/>
          <w:lang w:val="en-GB"/>
        </w:rPr>
        <w:t>is</w:t>
      </w:r>
      <w:r w:rsidRPr="005C285E">
        <w:rPr>
          <w:rFonts w:ascii="Arial" w:eastAsia="Calibri" w:hAnsi="Arial" w:cs="Arial"/>
          <w:sz w:val="20"/>
          <w:szCs w:val="20"/>
          <w:lang w:val="en-GB"/>
        </w:rPr>
        <w:t xml:space="preserve"> committed to </w:t>
      </w:r>
      <w:r w:rsidR="00A20EF9">
        <w:rPr>
          <w:rFonts w:ascii="Arial" w:eastAsia="Calibri" w:hAnsi="Arial" w:cs="Arial"/>
          <w:sz w:val="20"/>
          <w:szCs w:val="20"/>
          <w:lang w:val="en-GB"/>
        </w:rPr>
        <w:t>supporting efforts that protect against the impacts of climate</w:t>
      </w:r>
      <w:r w:rsidR="001027E7">
        <w:rPr>
          <w:rFonts w:ascii="Arial" w:eastAsia="Calibri" w:hAnsi="Arial" w:cs="Arial"/>
          <w:sz w:val="20"/>
          <w:szCs w:val="20"/>
          <w:lang w:val="en-GB"/>
        </w:rPr>
        <w:t xml:space="preserve"> change</w:t>
      </w:r>
      <w:r w:rsidRPr="005C285E">
        <w:rPr>
          <w:rFonts w:ascii="Arial" w:eastAsia="Calibri" w:hAnsi="Arial" w:cs="Arial"/>
          <w:sz w:val="20"/>
          <w:szCs w:val="20"/>
          <w:lang w:val="en-GB"/>
        </w:rPr>
        <w:t xml:space="preserve">. With a focus on energy, power and infrastructure, </w:t>
      </w:r>
      <w:r w:rsidR="00A20EF9">
        <w:rPr>
          <w:rFonts w:ascii="Arial" w:eastAsia="Calibri" w:hAnsi="Arial" w:cs="Arial"/>
          <w:sz w:val="20"/>
          <w:szCs w:val="20"/>
          <w:lang w:val="en-GB"/>
        </w:rPr>
        <w:t>Riverstone is</w:t>
      </w:r>
      <w:r w:rsidRPr="005C285E">
        <w:rPr>
          <w:rFonts w:ascii="Arial" w:eastAsia="Calibri" w:hAnsi="Arial" w:cs="Arial"/>
          <w:sz w:val="20"/>
          <w:szCs w:val="20"/>
          <w:lang w:val="en-GB"/>
        </w:rPr>
        <w:t xml:space="preserve"> acutely aware of the need to meet growing energy </w:t>
      </w:r>
      <w:r w:rsidR="00A20EF9">
        <w:rPr>
          <w:rFonts w:ascii="Arial" w:eastAsia="Calibri" w:hAnsi="Arial" w:cs="Arial"/>
          <w:sz w:val="20"/>
          <w:szCs w:val="20"/>
          <w:lang w:val="en-GB"/>
        </w:rPr>
        <w:t xml:space="preserve">consumption </w:t>
      </w:r>
      <w:r w:rsidRPr="005C285E">
        <w:rPr>
          <w:rFonts w:ascii="Arial" w:eastAsia="Calibri" w:hAnsi="Arial" w:cs="Arial"/>
          <w:sz w:val="20"/>
          <w:szCs w:val="20"/>
          <w:lang w:val="en-GB"/>
        </w:rPr>
        <w:t xml:space="preserve">demand while managing and reducing climate change risks. </w:t>
      </w:r>
      <w:r w:rsidR="00FC1AE7">
        <w:rPr>
          <w:rFonts w:ascii="Arial" w:eastAsia="Calibri" w:hAnsi="Arial" w:cs="Arial"/>
          <w:sz w:val="20"/>
          <w:szCs w:val="20"/>
          <w:lang w:val="en-GB"/>
        </w:rPr>
        <w:t>Riverstone</w:t>
      </w:r>
      <w:r w:rsidRPr="005C285E">
        <w:rPr>
          <w:rFonts w:ascii="Arial" w:eastAsia="Calibri" w:hAnsi="Arial" w:cs="Arial"/>
          <w:sz w:val="20"/>
          <w:szCs w:val="20"/>
          <w:lang w:val="en-GB"/>
        </w:rPr>
        <w:t xml:space="preserve"> also believe</w:t>
      </w:r>
      <w:r w:rsidR="00FC1AE7">
        <w:rPr>
          <w:rFonts w:ascii="Arial" w:eastAsia="Calibri" w:hAnsi="Arial" w:cs="Arial"/>
          <w:sz w:val="20"/>
          <w:szCs w:val="20"/>
          <w:lang w:val="en-GB"/>
        </w:rPr>
        <w:t>s</w:t>
      </w:r>
      <w:r w:rsidRPr="005C285E">
        <w:rPr>
          <w:rFonts w:ascii="Arial" w:eastAsia="Calibri" w:hAnsi="Arial" w:cs="Arial"/>
          <w:sz w:val="20"/>
          <w:szCs w:val="20"/>
          <w:lang w:val="en-GB"/>
        </w:rPr>
        <w:t xml:space="preserve"> that energy transition will be increasingly important as the world seeks to move to a lower-carbon global economy. Recogni</w:t>
      </w:r>
      <w:r w:rsidR="00CC687B">
        <w:rPr>
          <w:rFonts w:ascii="Arial" w:eastAsia="Calibri" w:hAnsi="Arial" w:cs="Arial"/>
          <w:sz w:val="20"/>
          <w:szCs w:val="20"/>
          <w:lang w:val="en-GB"/>
        </w:rPr>
        <w:t>s</w:t>
      </w:r>
      <w:r w:rsidRPr="005C285E">
        <w:rPr>
          <w:rFonts w:ascii="Arial" w:eastAsia="Calibri" w:hAnsi="Arial" w:cs="Arial"/>
          <w:sz w:val="20"/>
          <w:szCs w:val="20"/>
          <w:lang w:val="en-GB"/>
        </w:rPr>
        <w:t xml:space="preserve">ing these dynamics, </w:t>
      </w:r>
      <w:r w:rsidR="00FC1AE7">
        <w:rPr>
          <w:rFonts w:ascii="Arial" w:eastAsia="Calibri" w:hAnsi="Arial" w:cs="Arial"/>
          <w:sz w:val="20"/>
          <w:szCs w:val="20"/>
          <w:lang w:val="en-GB"/>
        </w:rPr>
        <w:t xml:space="preserve">Riverstone has </w:t>
      </w:r>
      <w:r w:rsidRPr="005C285E">
        <w:rPr>
          <w:rFonts w:ascii="Arial" w:eastAsia="Calibri" w:hAnsi="Arial" w:cs="Arial"/>
          <w:sz w:val="20"/>
          <w:szCs w:val="20"/>
          <w:lang w:val="en-GB"/>
        </w:rPr>
        <w:t>started to develop a strategy focu</w:t>
      </w:r>
      <w:r w:rsidR="002969DF">
        <w:rPr>
          <w:rFonts w:ascii="Arial" w:eastAsia="Calibri" w:hAnsi="Arial" w:cs="Arial"/>
          <w:sz w:val="20"/>
          <w:szCs w:val="20"/>
          <w:lang w:val="en-GB"/>
        </w:rPr>
        <w:t>s</w:t>
      </w:r>
      <w:r w:rsidR="00CC687B">
        <w:rPr>
          <w:rFonts w:ascii="Arial" w:eastAsia="Calibri" w:hAnsi="Arial" w:cs="Arial"/>
          <w:sz w:val="20"/>
          <w:szCs w:val="20"/>
          <w:lang w:val="en-GB"/>
        </w:rPr>
        <w:t>s</w:t>
      </w:r>
      <w:r w:rsidRPr="005C285E">
        <w:rPr>
          <w:rFonts w:ascii="Arial" w:eastAsia="Calibri" w:hAnsi="Arial" w:cs="Arial"/>
          <w:sz w:val="20"/>
          <w:szCs w:val="20"/>
          <w:lang w:val="en-GB"/>
        </w:rPr>
        <w:t xml:space="preserve">ed on climate change </w:t>
      </w:r>
      <w:r w:rsidR="000477F8">
        <w:rPr>
          <w:rFonts w:ascii="Arial" w:eastAsia="Calibri" w:hAnsi="Arial" w:cs="Arial"/>
          <w:sz w:val="20"/>
          <w:szCs w:val="20"/>
          <w:lang w:val="en-GB"/>
        </w:rPr>
        <w:t>targeted at</w:t>
      </w:r>
      <w:r w:rsidR="00FC1AE7">
        <w:rPr>
          <w:rFonts w:ascii="Arial" w:eastAsia="Calibri" w:hAnsi="Arial" w:cs="Arial"/>
          <w:sz w:val="20"/>
          <w:szCs w:val="20"/>
          <w:lang w:val="en-GB"/>
        </w:rPr>
        <w:t xml:space="preserve"> three core areas</w:t>
      </w:r>
      <w:r w:rsidR="002969DF">
        <w:rPr>
          <w:rFonts w:ascii="Arial" w:eastAsia="Calibri" w:hAnsi="Arial" w:cs="Arial"/>
          <w:sz w:val="20"/>
          <w:szCs w:val="20"/>
          <w:lang w:val="en-GB"/>
        </w:rPr>
        <w:t>:</w:t>
      </w:r>
    </w:p>
    <w:p w14:paraId="09F2B7A0" w14:textId="77777777" w:rsidR="00E24056" w:rsidRDefault="00E24056" w:rsidP="00397967">
      <w:pPr>
        <w:pStyle w:val="PlainText"/>
        <w:jc w:val="both"/>
        <w:rPr>
          <w:rFonts w:ascii="Arial" w:eastAsia="Calibri" w:hAnsi="Arial" w:cs="Arial"/>
          <w:sz w:val="20"/>
          <w:szCs w:val="20"/>
          <w:lang w:val="en-GB"/>
        </w:rPr>
      </w:pPr>
    </w:p>
    <w:p w14:paraId="17D18CB2" w14:textId="77777777" w:rsidR="00E24056" w:rsidRDefault="00E24056" w:rsidP="005C285E">
      <w:pPr>
        <w:pStyle w:val="PlainText"/>
        <w:rPr>
          <w:rFonts w:ascii="Arial" w:eastAsia="Calibri" w:hAnsi="Arial" w:cs="Arial"/>
          <w:sz w:val="20"/>
          <w:szCs w:val="20"/>
          <w:lang w:val="en-GB"/>
        </w:rPr>
      </w:pPr>
    </w:p>
    <w:p w14:paraId="1D9E0837" w14:textId="0F0DF212" w:rsidR="00E24056" w:rsidRDefault="00FC1AE7" w:rsidP="0006307D">
      <w:pPr>
        <w:pStyle w:val="PlainText"/>
        <w:numPr>
          <w:ilvl w:val="0"/>
          <w:numId w:val="30"/>
        </w:numPr>
        <w:rPr>
          <w:rFonts w:ascii="Arial" w:eastAsia="Calibri" w:hAnsi="Arial" w:cs="Arial"/>
          <w:sz w:val="20"/>
          <w:szCs w:val="20"/>
          <w:lang w:val="en-GB"/>
        </w:rPr>
      </w:pPr>
      <w:r>
        <w:rPr>
          <w:rFonts w:ascii="Arial" w:eastAsia="Calibri" w:hAnsi="Arial" w:cs="Arial"/>
          <w:sz w:val="20"/>
          <w:szCs w:val="20"/>
          <w:lang w:val="en-GB"/>
        </w:rPr>
        <w:t>E</w:t>
      </w:r>
      <w:r w:rsidR="005C285E" w:rsidRPr="005C285E">
        <w:rPr>
          <w:rFonts w:ascii="Arial" w:eastAsia="Calibri" w:hAnsi="Arial" w:cs="Arial"/>
          <w:sz w:val="20"/>
          <w:szCs w:val="20"/>
          <w:lang w:val="en-GB"/>
        </w:rPr>
        <w:t xml:space="preserve">valuating potential risks that climate change may pose to </w:t>
      </w:r>
      <w:r>
        <w:rPr>
          <w:rFonts w:ascii="Arial" w:eastAsia="Calibri" w:hAnsi="Arial" w:cs="Arial"/>
          <w:sz w:val="20"/>
          <w:szCs w:val="20"/>
          <w:lang w:val="en-GB"/>
        </w:rPr>
        <w:t>its</w:t>
      </w:r>
      <w:r w:rsidR="005C285E" w:rsidRPr="005C285E">
        <w:rPr>
          <w:rFonts w:ascii="Arial" w:eastAsia="Calibri" w:hAnsi="Arial" w:cs="Arial"/>
          <w:sz w:val="20"/>
          <w:szCs w:val="20"/>
          <w:lang w:val="en-GB"/>
        </w:rPr>
        <w:t xml:space="preserve"> current portfolio </w:t>
      </w:r>
    </w:p>
    <w:p w14:paraId="20347398" w14:textId="77777777" w:rsidR="00B013EE" w:rsidRDefault="00B013EE" w:rsidP="005E7352">
      <w:pPr>
        <w:pStyle w:val="PlainText"/>
        <w:ind w:left="720"/>
        <w:rPr>
          <w:rFonts w:ascii="Arial" w:eastAsia="Calibri" w:hAnsi="Arial" w:cs="Arial"/>
          <w:sz w:val="20"/>
          <w:szCs w:val="20"/>
          <w:lang w:val="en-GB"/>
        </w:rPr>
      </w:pPr>
    </w:p>
    <w:p w14:paraId="73B860F2" w14:textId="648339D4" w:rsidR="00E24056" w:rsidRDefault="00236329" w:rsidP="0006307D">
      <w:pPr>
        <w:pStyle w:val="PlainText"/>
        <w:numPr>
          <w:ilvl w:val="0"/>
          <w:numId w:val="30"/>
        </w:numPr>
        <w:rPr>
          <w:rFonts w:ascii="Arial" w:eastAsia="Calibri" w:hAnsi="Arial" w:cs="Arial"/>
          <w:sz w:val="20"/>
          <w:szCs w:val="20"/>
          <w:lang w:val="en-GB"/>
        </w:rPr>
      </w:pPr>
      <w:r>
        <w:rPr>
          <w:rFonts w:ascii="Arial" w:eastAsia="Calibri" w:hAnsi="Arial" w:cs="Arial"/>
          <w:sz w:val="20"/>
          <w:szCs w:val="20"/>
          <w:lang w:val="en-GB"/>
        </w:rPr>
        <w:t>A</w:t>
      </w:r>
      <w:r w:rsidR="005C285E" w:rsidRPr="005C285E">
        <w:rPr>
          <w:rFonts w:ascii="Arial" w:eastAsia="Calibri" w:hAnsi="Arial" w:cs="Arial"/>
          <w:sz w:val="20"/>
          <w:szCs w:val="20"/>
          <w:lang w:val="en-GB"/>
        </w:rPr>
        <w:t>ssessing</w:t>
      </w:r>
      <w:r>
        <w:rPr>
          <w:rFonts w:ascii="Arial" w:eastAsia="Calibri" w:hAnsi="Arial" w:cs="Arial"/>
          <w:sz w:val="20"/>
          <w:szCs w:val="20"/>
          <w:lang w:val="en-GB"/>
        </w:rPr>
        <w:t xml:space="preserve"> how its portfolio companies</w:t>
      </w:r>
      <w:r w:rsidR="005C285E" w:rsidRPr="005C285E">
        <w:rPr>
          <w:rFonts w:ascii="Arial" w:eastAsia="Calibri" w:hAnsi="Arial" w:cs="Arial"/>
          <w:sz w:val="20"/>
          <w:szCs w:val="20"/>
          <w:lang w:val="en-GB"/>
        </w:rPr>
        <w:t xml:space="preserve"> can</w:t>
      </w:r>
      <w:r>
        <w:rPr>
          <w:rFonts w:ascii="Arial" w:eastAsia="Calibri" w:hAnsi="Arial" w:cs="Arial"/>
          <w:sz w:val="20"/>
          <w:szCs w:val="20"/>
          <w:lang w:val="en-GB"/>
        </w:rPr>
        <w:t xml:space="preserve"> seek to</w:t>
      </w:r>
      <w:r w:rsidR="005C285E" w:rsidRPr="005C285E">
        <w:rPr>
          <w:rFonts w:ascii="Arial" w:eastAsia="Calibri" w:hAnsi="Arial" w:cs="Arial"/>
          <w:sz w:val="20"/>
          <w:szCs w:val="20"/>
          <w:lang w:val="en-GB"/>
        </w:rPr>
        <w:t xml:space="preserve"> reduce </w:t>
      </w:r>
      <w:r w:rsidR="002969DF">
        <w:rPr>
          <w:rFonts w:ascii="Arial" w:eastAsia="Calibri" w:hAnsi="Arial" w:cs="Arial"/>
          <w:sz w:val="20"/>
          <w:szCs w:val="20"/>
          <w:lang w:val="en-GB"/>
        </w:rPr>
        <w:t>thei</w:t>
      </w:r>
      <w:r w:rsidR="005C285E" w:rsidRPr="005C285E">
        <w:rPr>
          <w:rFonts w:ascii="Arial" w:eastAsia="Calibri" w:hAnsi="Arial" w:cs="Arial"/>
          <w:sz w:val="20"/>
          <w:szCs w:val="20"/>
          <w:lang w:val="en-GB"/>
        </w:rPr>
        <w:t xml:space="preserve">r impact on climate change </w:t>
      </w:r>
    </w:p>
    <w:p w14:paraId="74605C32" w14:textId="77777777" w:rsidR="00B013EE" w:rsidRDefault="00B013EE" w:rsidP="00E24056">
      <w:pPr>
        <w:pStyle w:val="PlainText"/>
        <w:ind w:left="720"/>
        <w:rPr>
          <w:rFonts w:ascii="Arial" w:eastAsia="Calibri" w:hAnsi="Arial" w:cs="Arial"/>
          <w:sz w:val="20"/>
          <w:szCs w:val="20"/>
          <w:lang w:val="en-GB"/>
        </w:rPr>
      </w:pPr>
    </w:p>
    <w:p w14:paraId="177D4C7F" w14:textId="72350DB4" w:rsidR="001027E7" w:rsidRDefault="0031063E" w:rsidP="0006307D">
      <w:pPr>
        <w:pStyle w:val="PlainText"/>
        <w:numPr>
          <w:ilvl w:val="0"/>
          <w:numId w:val="30"/>
        </w:numPr>
        <w:rPr>
          <w:rFonts w:ascii="Arial" w:eastAsia="Calibri" w:hAnsi="Arial" w:cs="Arial"/>
          <w:sz w:val="20"/>
          <w:szCs w:val="20"/>
          <w:lang w:val="en-GB"/>
        </w:rPr>
      </w:pPr>
      <w:r>
        <w:rPr>
          <w:rFonts w:ascii="Arial" w:eastAsia="Calibri" w:hAnsi="Arial" w:cs="Arial"/>
          <w:sz w:val="20"/>
          <w:szCs w:val="20"/>
          <w:lang w:val="en-GB"/>
        </w:rPr>
        <w:t>I</w:t>
      </w:r>
      <w:r w:rsidR="005C285E" w:rsidRPr="005C285E">
        <w:rPr>
          <w:rFonts w:ascii="Arial" w:eastAsia="Calibri" w:hAnsi="Arial" w:cs="Arial"/>
          <w:sz w:val="20"/>
          <w:szCs w:val="20"/>
          <w:lang w:val="en-GB"/>
        </w:rPr>
        <w:t>dentifying opportunities for Riverstone to capitali</w:t>
      </w:r>
      <w:r w:rsidR="00CC687B">
        <w:rPr>
          <w:rFonts w:ascii="Arial" w:eastAsia="Calibri" w:hAnsi="Arial" w:cs="Arial"/>
          <w:sz w:val="20"/>
          <w:szCs w:val="20"/>
          <w:lang w:val="en-GB"/>
        </w:rPr>
        <w:t>s</w:t>
      </w:r>
      <w:r w:rsidR="005C285E" w:rsidRPr="005C285E">
        <w:rPr>
          <w:rFonts w:ascii="Arial" w:eastAsia="Calibri" w:hAnsi="Arial" w:cs="Arial"/>
          <w:sz w:val="20"/>
          <w:szCs w:val="20"/>
          <w:lang w:val="en-GB"/>
        </w:rPr>
        <w:t xml:space="preserve">e on the energy transition to generate strong financial returns for investors </w:t>
      </w:r>
    </w:p>
    <w:p w14:paraId="290F47E1" w14:textId="77777777" w:rsidR="001027E7" w:rsidRDefault="001027E7" w:rsidP="001027E7">
      <w:pPr>
        <w:pStyle w:val="PlainText"/>
        <w:rPr>
          <w:rFonts w:ascii="Arial" w:eastAsia="Calibri" w:hAnsi="Arial" w:cs="Arial"/>
          <w:sz w:val="20"/>
          <w:szCs w:val="20"/>
          <w:lang w:val="en-GB"/>
        </w:rPr>
      </w:pPr>
    </w:p>
    <w:p w14:paraId="2BEAB4E4" w14:textId="78CB2A30" w:rsidR="005C285E" w:rsidRPr="005C285E" w:rsidRDefault="000C5C73" w:rsidP="00397967">
      <w:pPr>
        <w:pStyle w:val="PlainText"/>
        <w:jc w:val="both"/>
        <w:rPr>
          <w:rFonts w:ascii="Arial" w:eastAsia="Calibri" w:hAnsi="Arial" w:cs="Arial"/>
          <w:sz w:val="20"/>
          <w:szCs w:val="20"/>
          <w:lang w:val="en-GB"/>
        </w:rPr>
      </w:pPr>
      <w:r>
        <w:rPr>
          <w:rFonts w:ascii="Arial" w:eastAsia="Calibri" w:hAnsi="Arial" w:cs="Arial"/>
          <w:sz w:val="20"/>
          <w:szCs w:val="20"/>
          <w:lang w:val="en-GB"/>
        </w:rPr>
        <w:t>Riverstone</w:t>
      </w:r>
      <w:r w:rsidRPr="005C285E">
        <w:rPr>
          <w:rFonts w:ascii="Arial" w:eastAsia="Calibri" w:hAnsi="Arial" w:cs="Arial"/>
          <w:sz w:val="20"/>
          <w:szCs w:val="20"/>
          <w:lang w:val="en-GB"/>
        </w:rPr>
        <w:t xml:space="preserve"> </w:t>
      </w:r>
      <w:r w:rsidR="005C285E" w:rsidRPr="005C285E">
        <w:rPr>
          <w:rFonts w:ascii="Arial" w:eastAsia="Calibri" w:hAnsi="Arial" w:cs="Arial"/>
          <w:sz w:val="20"/>
          <w:szCs w:val="20"/>
          <w:lang w:val="en-GB"/>
        </w:rPr>
        <w:t>believe</w:t>
      </w:r>
      <w:r>
        <w:rPr>
          <w:rFonts w:ascii="Arial" w:eastAsia="Calibri" w:hAnsi="Arial" w:cs="Arial"/>
          <w:sz w:val="20"/>
          <w:szCs w:val="20"/>
          <w:lang w:val="en-GB"/>
        </w:rPr>
        <w:t>s</w:t>
      </w:r>
      <w:r w:rsidR="005C285E" w:rsidRPr="005C285E">
        <w:rPr>
          <w:rFonts w:ascii="Arial" w:eastAsia="Calibri" w:hAnsi="Arial" w:cs="Arial"/>
          <w:sz w:val="20"/>
          <w:szCs w:val="20"/>
          <w:lang w:val="en-GB"/>
        </w:rPr>
        <w:t xml:space="preserve"> these efforts can make a meaningful long-term impact on our investors, the environment and society.</w:t>
      </w:r>
    </w:p>
    <w:p w14:paraId="39F92F52" w14:textId="211205BF" w:rsidR="005C285E" w:rsidRPr="005C285E" w:rsidRDefault="005C285E" w:rsidP="005C285E">
      <w:pPr>
        <w:pStyle w:val="PlainText"/>
        <w:rPr>
          <w:rFonts w:ascii="Arial" w:eastAsia="Calibri" w:hAnsi="Arial" w:cs="Arial"/>
          <w:sz w:val="20"/>
          <w:szCs w:val="20"/>
          <w:lang w:val="en-GB"/>
        </w:rPr>
      </w:pPr>
    </w:p>
    <w:p w14:paraId="00216649" w14:textId="771FFBF1" w:rsidR="005C285E" w:rsidRDefault="005C285E">
      <w:pPr>
        <w:rPr>
          <w:b/>
          <w:sz w:val="32"/>
          <w:lang w:val="en-US"/>
        </w:rPr>
      </w:pPr>
      <w:r w:rsidRPr="00161FFD">
        <w:rPr>
          <w:b/>
          <w:sz w:val="32"/>
          <w:lang w:val="en-US"/>
        </w:rPr>
        <w:lastRenderedPageBreak/>
        <w:t>ESG in Practice</w:t>
      </w:r>
    </w:p>
    <w:p w14:paraId="21114C61" w14:textId="2FABFA95" w:rsidR="005C285E" w:rsidRPr="005C285E" w:rsidRDefault="005C285E" w:rsidP="005C285E">
      <w:pPr>
        <w:pStyle w:val="PlainText"/>
        <w:rPr>
          <w:rFonts w:ascii="Arial" w:eastAsia="Calibri" w:hAnsi="Arial" w:cs="Arial"/>
          <w:sz w:val="20"/>
          <w:szCs w:val="20"/>
          <w:lang w:val="en-GB"/>
        </w:rPr>
      </w:pPr>
    </w:p>
    <w:p w14:paraId="1A9CC624" w14:textId="19C9090A" w:rsidR="005C285E" w:rsidRPr="005C285E" w:rsidRDefault="005C285E" w:rsidP="00397967">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 xml:space="preserve">The careful evaluation of ESG issues is a mandatory component for the underwriting of </w:t>
      </w:r>
      <w:r w:rsidR="000C5C73">
        <w:rPr>
          <w:rFonts w:ascii="Arial" w:eastAsia="Calibri" w:hAnsi="Arial" w:cs="Arial"/>
          <w:sz w:val="20"/>
          <w:szCs w:val="20"/>
          <w:lang w:val="en-GB"/>
        </w:rPr>
        <w:t xml:space="preserve">all </w:t>
      </w:r>
      <w:r w:rsidRPr="005C285E">
        <w:rPr>
          <w:rFonts w:ascii="Arial" w:eastAsia="Calibri" w:hAnsi="Arial" w:cs="Arial"/>
          <w:sz w:val="20"/>
          <w:szCs w:val="20"/>
          <w:lang w:val="en-GB"/>
        </w:rPr>
        <w:t>REL investments. Furthermore, Riverstone investment professionals conduct a comprehensive evaluation of ESG considerations throughout the lifecycle of an investment. These steps are summari</w:t>
      </w:r>
      <w:r w:rsidR="00CC687B">
        <w:rPr>
          <w:rFonts w:ascii="Arial" w:eastAsia="Calibri" w:hAnsi="Arial" w:cs="Arial"/>
          <w:sz w:val="20"/>
          <w:szCs w:val="20"/>
          <w:lang w:val="en-GB"/>
        </w:rPr>
        <w:t>s</w:t>
      </w:r>
      <w:r w:rsidRPr="005C285E">
        <w:rPr>
          <w:rFonts w:ascii="Arial" w:eastAsia="Calibri" w:hAnsi="Arial" w:cs="Arial"/>
          <w:sz w:val="20"/>
          <w:szCs w:val="20"/>
          <w:lang w:val="en-GB"/>
        </w:rPr>
        <w:t>ed below:</w:t>
      </w:r>
    </w:p>
    <w:p w14:paraId="0B6A0AE7" w14:textId="77777777" w:rsidR="005C285E" w:rsidRPr="005C285E" w:rsidRDefault="005C285E" w:rsidP="00397967">
      <w:pPr>
        <w:pStyle w:val="PlainText"/>
        <w:jc w:val="both"/>
        <w:rPr>
          <w:rFonts w:ascii="Arial" w:eastAsia="Calibri" w:hAnsi="Arial" w:cs="Arial"/>
          <w:sz w:val="20"/>
          <w:szCs w:val="20"/>
          <w:lang w:val="en-GB"/>
        </w:rPr>
      </w:pPr>
    </w:p>
    <w:p w14:paraId="7E30FFC1" w14:textId="77777777" w:rsidR="005C285E" w:rsidRPr="005C285E" w:rsidRDefault="005C285E" w:rsidP="00397967">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RISK IDENTIFICATION</w:t>
      </w:r>
    </w:p>
    <w:p w14:paraId="634E4FD9" w14:textId="77777777" w:rsidR="005C285E" w:rsidRDefault="005C285E" w:rsidP="00397967">
      <w:pPr>
        <w:pStyle w:val="PlainText"/>
        <w:jc w:val="both"/>
        <w:rPr>
          <w:rFonts w:ascii="Arial" w:eastAsia="Calibri" w:hAnsi="Arial" w:cs="Arial"/>
          <w:sz w:val="20"/>
          <w:szCs w:val="20"/>
          <w:lang w:val="en-GB"/>
        </w:rPr>
      </w:pPr>
    </w:p>
    <w:p w14:paraId="38D08606" w14:textId="785BA7A6" w:rsidR="005C285E" w:rsidRPr="00E93F05" w:rsidRDefault="005C285E" w:rsidP="00397967">
      <w:pPr>
        <w:pStyle w:val="PlainText"/>
        <w:numPr>
          <w:ilvl w:val="0"/>
          <w:numId w:val="26"/>
        </w:numPr>
        <w:jc w:val="both"/>
        <w:rPr>
          <w:rFonts w:ascii="Arial" w:eastAsia="Calibri" w:hAnsi="Arial" w:cs="Arial"/>
          <w:sz w:val="20"/>
          <w:szCs w:val="20"/>
          <w:lang w:val="en-GB"/>
        </w:rPr>
      </w:pPr>
      <w:r w:rsidRPr="00E93F05">
        <w:rPr>
          <w:rFonts w:ascii="Arial" w:eastAsia="Calibri" w:hAnsi="Arial" w:cs="Arial"/>
          <w:sz w:val="20"/>
          <w:szCs w:val="20"/>
          <w:lang w:val="en-GB"/>
        </w:rPr>
        <w:t>Use Riverstone’s deep industry expertise and materiality assessments (which provide standard risk criteria tailored to each investment sector) to identify relevant ESG risks and mitigating factors for each new potential investment</w:t>
      </w:r>
    </w:p>
    <w:p w14:paraId="32B27836" w14:textId="77777777" w:rsidR="005C285E" w:rsidRPr="005C285E" w:rsidRDefault="005C285E" w:rsidP="00397967">
      <w:pPr>
        <w:pStyle w:val="PlainText"/>
        <w:jc w:val="both"/>
        <w:rPr>
          <w:rFonts w:ascii="Arial" w:eastAsia="Calibri" w:hAnsi="Arial" w:cs="Arial"/>
          <w:sz w:val="20"/>
          <w:szCs w:val="20"/>
          <w:lang w:val="en-GB"/>
        </w:rPr>
      </w:pPr>
    </w:p>
    <w:p w14:paraId="03BA75E7" w14:textId="77777777" w:rsidR="005C285E" w:rsidRPr="005C285E" w:rsidRDefault="005C285E" w:rsidP="00397967">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DUE DILIGENCE</w:t>
      </w:r>
    </w:p>
    <w:p w14:paraId="359326C8" w14:textId="77777777" w:rsidR="005C285E" w:rsidRDefault="005C285E" w:rsidP="00397967">
      <w:pPr>
        <w:pStyle w:val="PlainText"/>
        <w:jc w:val="both"/>
        <w:rPr>
          <w:rFonts w:ascii="Arial" w:eastAsia="Calibri" w:hAnsi="Arial" w:cs="Arial"/>
          <w:sz w:val="20"/>
          <w:szCs w:val="20"/>
          <w:lang w:val="en-GB"/>
        </w:rPr>
      </w:pPr>
    </w:p>
    <w:p w14:paraId="3C0E2815" w14:textId="7FEA74BF" w:rsidR="000C5C73" w:rsidRPr="000C5C73" w:rsidRDefault="000C5C73" w:rsidP="00397967">
      <w:pPr>
        <w:pStyle w:val="PlainText"/>
        <w:numPr>
          <w:ilvl w:val="0"/>
          <w:numId w:val="26"/>
        </w:numPr>
        <w:jc w:val="both"/>
        <w:rPr>
          <w:rFonts w:ascii="Arial" w:eastAsia="Calibri" w:hAnsi="Arial" w:cs="Arial"/>
          <w:sz w:val="20"/>
          <w:szCs w:val="20"/>
          <w:lang w:val="en-GB"/>
        </w:rPr>
      </w:pPr>
      <w:r w:rsidRPr="000C5C73">
        <w:rPr>
          <w:rFonts w:ascii="Arial" w:eastAsia="Calibri" w:hAnsi="Arial" w:cs="Arial"/>
          <w:sz w:val="20"/>
          <w:szCs w:val="20"/>
          <w:lang w:val="en-GB"/>
        </w:rPr>
        <w:t>Early engagement with</w:t>
      </w:r>
      <w:r w:rsidR="00EE2178">
        <w:rPr>
          <w:rFonts w:ascii="Arial" w:eastAsia="Calibri" w:hAnsi="Arial" w:cs="Arial"/>
          <w:sz w:val="20"/>
          <w:szCs w:val="20"/>
          <w:lang w:val="en-GB"/>
        </w:rPr>
        <w:t xml:space="preserve"> the</w:t>
      </w:r>
      <w:r w:rsidRPr="000C5C73">
        <w:rPr>
          <w:rFonts w:ascii="Arial" w:eastAsia="Calibri" w:hAnsi="Arial" w:cs="Arial"/>
          <w:sz w:val="20"/>
          <w:szCs w:val="20"/>
          <w:lang w:val="en-GB"/>
        </w:rPr>
        <w:t xml:space="preserve"> management team and advisors to understand the “ESG landscape” for a potential investment</w:t>
      </w:r>
    </w:p>
    <w:p w14:paraId="7B4B10F0" w14:textId="640681BC" w:rsidR="005E7352" w:rsidRDefault="005E7352" w:rsidP="00397967">
      <w:pPr>
        <w:pStyle w:val="PlainText"/>
        <w:numPr>
          <w:ilvl w:val="0"/>
          <w:numId w:val="26"/>
        </w:numPr>
        <w:jc w:val="both"/>
        <w:rPr>
          <w:rFonts w:ascii="Arial" w:eastAsia="Calibri" w:hAnsi="Arial" w:cs="Arial"/>
          <w:sz w:val="20"/>
          <w:szCs w:val="20"/>
          <w:lang w:val="en-GB"/>
        </w:rPr>
      </w:pPr>
      <w:r>
        <w:rPr>
          <w:rFonts w:ascii="Arial" w:eastAsia="Calibri" w:hAnsi="Arial" w:cs="Arial"/>
          <w:sz w:val="20"/>
          <w:szCs w:val="20"/>
          <w:lang w:val="en-GB"/>
        </w:rPr>
        <w:t>Engage third party experts to evaluate specific risks and areas of concern</w:t>
      </w:r>
    </w:p>
    <w:p w14:paraId="2725EC2F" w14:textId="506C78C8" w:rsidR="00FE3763" w:rsidRPr="00E93F05" w:rsidRDefault="00FE3763" w:rsidP="00397967">
      <w:pPr>
        <w:pStyle w:val="PlainText"/>
        <w:numPr>
          <w:ilvl w:val="0"/>
          <w:numId w:val="26"/>
        </w:numPr>
        <w:jc w:val="both"/>
        <w:rPr>
          <w:rFonts w:ascii="Arial" w:eastAsia="Calibri" w:hAnsi="Arial" w:cs="Arial"/>
          <w:sz w:val="20"/>
          <w:szCs w:val="20"/>
          <w:lang w:val="en-GB"/>
        </w:rPr>
      </w:pPr>
      <w:r w:rsidRPr="00E93F05">
        <w:rPr>
          <w:rFonts w:ascii="Arial" w:eastAsia="Calibri" w:hAnsi="Arial" w:cs="Arial"/>
          <w:sz w:val="20"/>
          <w:szCs w:val="20"/>
          <w:lang w:val="en-GB"/>
        </w:rPr>
        <w:t>Thorough evaluation of key ESG risks for each potential investment and determination of whether appropriate mitigants can be implemented</w:t>
      </w:r>
    </w:p>
    <w:p w14:paraId="0ED68DF7" w14:textId="77777777" w:rsidR="005C285E" w:rsidRPr="005C285E" w:rsidRDefault="005C285E" w:rsidP="00397967">
      <w:pPr>
        <w:pStyle w:val="PlainText"/>
        <w:jc w:val="both"/>
        <w:rPr>
          <w:rFonts w:ascii="Arial" w:eastAsia="Calibri" w:hAnsi="Arial" w:cs="Arial"/>
          <w:sz w:val="20"/>
          <w:szCs w:val="20"/>
          <w:lang w:val="en-GB"/>
        </w:rPr>
      </w:pPr>
    </w:p>
    <w:p w14:paraId="581106E9" w14:textId="77777777" w:rsidR="005C285E" w:rsidRPr="005C285E" w:rsidRDefault="005C285E" w:rsidP="00397967">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INVESTMENT COMMITTEE</w:t>
      </w:r>
    </w:p>
    <w:p w14:paraId="0AC0D1D0" w14:textId="77777777" w:rsidR="005C285E" w:rsidRDefault="005C285E" w:rsidP="00397967">
      <w:pPr>
        <w:pStyle w:val="PlainText"/>
        <w:jc w:val="both"/>
        <w:rPr>
          <w:rFonts w:ascii="Arial" w:eastAsia="Calibri" w:hAnsi="Arial" w:cs="Arial"/>
          <w:sz w:val="20"/>
          <w:szCs w:val="20"/>
          <w:lang w:val="en-GB"/>
        </w:rPr>
      </w:pPr>
    </w:p>
    <w:p w14:paraId="2042EBBE" w14:textId="17411342" w:rsidR="005C285E" w:rsidRPr="00E93F05" w:rsidRDefault="005C285E" w:rsidP="00397967">
      <w:pPr>
        <w:pStyle w:val="PlainText"/>
        <w:numPr>
          <w:ilvl w:val="0"/>
          <w:numId w:val="26"/>
        </w:numPr>
        <w:jc w:val="both"/>
        <w:rPr>
          <w:rFonts w:ascii="Arial" w:eastAsia="Calibri" w:hAnsi="Arial" w:cs="Arial"/>
          <w:sz w:val="20"/>
          <w:szCs w:val="20"/>
          <w:lang w:val="en-GB"/>
        </w:rPr>
      </w:pPr>
      <w:r w:rsidRPr="00E93F05">
        <w:rPr>
          <w:rFonts w:ascii="Arial" w:eastAsia="Calibri" w:hAnsi="Arial" w:cs="Arial"/>
          <w:sz w:val="20"/>
          <w:szCs w:val="20"/>
          <w:lang w:val="en-GB"/>
        </w:rPr>
        <w:t>Complete ESG risk assessment as part of the Investment Committee memo for potential investments, within the context of the investment’s broader risk analysis</w:t>
      </w:r>
    </w:p>
    <w:p w14:paraId="425A9C5C" w14:textId="54154E70" w:rsidR="005C285E" w:rsidRDefault="000C5C73" w:rsidP="00397967">
      <w:pPr>
        <w:pStyle w:val="PlainText"/>
        <w:numPr>
          <w:ilvl w:val="0"/>
          <w:numId w:val="26"/>
        </w:numPr>
        <w:jc w:val="both"/>
        <w:rPr>
          <w:rFonts w:ascii="Arial" w:eastAsia="Calibri" w:hAnsi="Arial" w:cs="Arial"/>
          <w:sz w:val="20"/>
          <w:szCs w:val="20"/>
          <w:lang w:val="en-GB"/>
        </w:rPr>
      </w:pPr>
      <w:r>
        <w:rPr>
          <w:rFonts w:ascii="Arial" w:eastAsia="Calibri" w:hAnsi="Arial" w:cs="Arial"/>
          <w:sz w:val="20"/>
          <w:szCs w:val="20"/>
          <w:lang w:val="en-GB"/>
        </w:rPr>
        <w:t>Review</w:t>
      </w:r>
      <w:r w:rsidR="005C285E" w:rsidRPr="00E93F05">
        <w:rPr>
          <w:rFonts w:ascii="Arial" w:eastAsia="Calibri" w:hAnsi="Arial" w:cs="Arial"/>
          <w:sz w:val="20"/>
          <w:szCs w:val="20"/>
          <w:lang w:val="en-GB"/>
        </w:rPr>
        <w:t xml:space="preserve"> third</w:t>
      </w:r>
      <w:r w:rsidR="00E319C6">
        <w:rPr>
          <w:rFonts w:ascii="Arial" w:eastAsia="Calibri" w:hAnsi="Arial" w:cs="Arial"/>
          <w:sz w:val="20"/>
          <w:szCs w:val="20"/>
          <w:lang w:val="en-GB"/>
        </w:rPr>
        <w:t xml:space="preserve"> </w:t>
      </w:r>
      <w:r w:rsidR="005C285E" w:rsidRPr="00E93F05">
        <w:rPr>
          <w:rFonts w:ascii="Arial" w:eastAsia="Calibri" w:hAnsi="Arial" w:cs="Arial"/>
          <w:sz w:val="20"/>
          <w:szCs w:val="20"/>
          <w:lang w:val="en-GB"/>
        </w:rPr>
        <w:t>party</w:t>
      </w:r>
      <w:r>
        <w:rPr>
          <w:rFonts w:ascii="Arial" w:eastAsia="Calibri" w:hAnsi="Arial" w:cs="Arial"/>
          <w:sz w:val="20"/>
          <w:szCs w:val="20"/>
          <w:lang w:val="en-GB"/>
        </w:rPr>
        <w:t xml:space="preserve"> ESG</w:t>
      </w:r>
      <w:r w:rsidR="005C285E" w:rsidRPr="00E93F05">
        <w:rPr>
          <w:rFonts w:ascii="Arial" w:eastAsia="Calibri" w:hAnsi="Arial" w:cs="Arial"/>
          <w:sz w:val="20"/>
          <w:szCs w:val="20"/>
          <w:lang w:val="en-GB"/>
        </w:rPr>
        <w:t xml:space="preserve"> assessments and reference checks</w:t>
      </w:r>
    </w:p>
    <w:p w14:paraId="2B0CD9F4" w14:textId="77777777" w:rsidR="000C5C73" w:rsidRPr="000C5C73" w:rsidRDefault="000C5C73" w:rsidP="00397967">
      <w:pPr>
        <w:pStyle w:val="PlainText"/>
        <w:numPr>
          <w:ilvl w:val="0"/>
          <w:numId w:val="26"/>
        </w:numPr>
        <w:jc w:val="both"/>
        <w:rPr>
          <w:rFonts w:ascii="Arial" w:eastAsia="Calibri" w:hAnsi="Arial" w:cs="Arial"/>
          <w:sz w:val="20"/>
          <w:szCs w:val="20"/>
          <w:lang w:val="en-GB"/>
        </w:rPr>
      </w:pPr>
      <w:r w:rsidRPr="000C5C73">
        <w:rPr>
          <w:rFonts w:ascii="Arial" w:eastAsia="Calibri" w:hAnsi="Arial" w:cs="Arial"/>
          <w:sz w:val="20"/>
          <w:szCs w:val="20"/>
          <w:lang w:val="en-GB"/>
        </w:rPr>
        <w:t>Determine whether a potential investment has any ESG risks that are “dealbreakers”</w:t>
      </w:r>
    </w:p>
    <w:p w14:paraId="2712294D" w14:textId="77777777" w:rsidR="000C5C73" w:rsidRPr="000C5C73" w:rsidRDefault="000C5C73" w:rsidP="00397967">
      <w:pPr>
        <w:pStyle w:val="PlainText"/>
        <w:numPr>
          <w:ilvl w:val="0"/>
          <w:numId w:val="26"/>
        </w:numPr>
        <w:jc w:val="both"/>
        <w:rPr>
          <w:rFonts w:ascii="Arial" w:eastAsia="Calibri" w:hAnsi="Arial" w:cs="Arial"/>
          <w:sz w:val="20"/>
          <w:szCs w:val="20"/>
          <w:lang w:val="en-GB"/>
        </w:rPr>
      </w:pPr>
      <w:r w:rsidRPr="000C5C73">
        <w:rPr>
          <w:rFonts w:ascii="Arial" w:eastAsia="Calibri" w:hAnsi="Arial" w:cs="Arial"/>
          <w:sz w:val="20"/>
          <w:szCs w:val="20"/>
          <w:lang w:val="en-GB"/>
        </w:rPr>
        <w:t>Robust discussion at Investment Committee of the ESG risk evaluation scorecard</w:t>
      </w:r>
    </w:p>
    <w:p w14:paraId="7EC749A2" w14:textId="77777777" w:rsidR="000C5C73" w:rsidRPr="000C5C73" w:rsidRDefault="000C5C73" w:rsidP="00397967">
      <w:pPr>
        <w:pStyle w:val="PlainText"/>
        <w:numPr>
          <w:ilvl w:val="0"/>
          <w:numId w:val="26"/>
        </w:numPr>
        <w:jc w:val="both"/>
        <w:rPr>
          <w:rFonts w:ascii="Arial" w:eastAsia="Calibri" w:hAnsi="Arial" w:cs="Arial"/>
          <w:sz w:val="20"/>
          <w:szCs w:val="20"/>
          <w:lang w:val="en-GB"/>
        </w:rPr>
      </w:pPr>
      <w:r w:rsidRPr="000C5C73">
        <w:rPr>
          <w:rFonts w:ascii="Arial" w:eastAsia="Calibri" w:hAnsi="Arial" w:cs="Arial"/>
          <w:sz w:val="20"/>
          <w:szCs w:val="20"/>
          <w:lang w:val="en-GB"/>
        </w:rPr>
        <w:t>Go/no go investment decision</w:t>
      </w:r>
    </w:p>
    <w:p w14:paraId="20F32631" w14:textId="77777777" w:rsidR="000C5C73" w:rsidRPr="00E93F05" w:rsidRDefault="000C5C73" w:rsidP="00397967">
      <w:pPr>
        <w:pStyle w:val="PlainText"/>
        <w:ind w:left="720"/>
        <w:jc w:val="both"/>
        <w:rPr>
          <w:rFonts w:ascii="Arial" w:eastAsia="Calibri" w:hAnsi="Arial" w:cs="Arial"/>
          <w:sz w:val="20"/>
          <w:szCs w:val="20"/>
          <w:lang w:val="en-GB"/>
        </w:rPr>
      </w:pPr>
    </w:p>
    <w:p w14:paraId="292D4213" w14:textId="77777777" w:rsidR="005C285E" w:rsidRPr="005C285E" w:rsidRDefault="005C285E" w:rsidP="00397967">
      <w:pPr>
        <w:pStyle w:val="PlainText"/>
        <w:jc w:val="both"/>
        <w:rPr>
          <w:rFonts w:ascii="Arial" w:eastAsia="Calibri" w:hAnsi="Arial" w:cs="Arial"/>
          <w:sz w:val="20"/>
          <w:szCs w:val="20"/>
          <w:lang w:val="en-GB"/>
        </w:rPr>
      </w:pPr>
    </w:p>
    <w:p w14:paraId="484CA5C6" w14:textId="0CAF7A34" w:rsidR="005C285E" w:rsidRDefault="005C285E" w:rsidP="00397967">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ONGOING MONITORING AND PORTFOLIO MANAGEMENT</w:t>
      </w:r>
    </w:p>
    <w:p w14:paraId="42EFE173" w14:textId="77777777" w:rsidR="00397967" w:rsidRPr="005C285E" w:rsidRDefault="00397967" w:rsidP="00397967">
      <w:pPr>
        <w:pStyle w:val="PlainText"/>
        <w:jc w:val="both"/>
        <w:rPr>
          <w:rFonts w:ascii="Arial" w:eastAsia="Calibri" w:hAnsi="Arial" w:cs="Arial"/>
          <w:sz w:val="20"/>
          <w:szCs w:val="20"/>
          <w:lang w:val="en-GB"/>
        </w:rPr>
      </w:pPr>
    </w:p>
    <w:p w14:paraId="3F8072B9" w14:textId="338A04CD" w:rsidR="005C285E" w:rsidRDefault="000C5C73" w:rsidP="00397967">
      <w:pPr>
        <w:pStyle w:val="PlainText"/>
        <w:numPr>
          <w:ilvl w:val="0"/>
          <w:numId w:val="26"/>
        </w:numPr>
        <w:jc w:val="both"/>
        <w:rPr>
          <w:rFonts w:ascii="Arial" w:eastAsia="Calibri" w:hAnsi="Arial" w:cs="Arial"/>
          <w:sz w:val="20"/>
          <w:szCs w:val="20"/>
          <w:lang w:val="en-GB"/>
        </w:rPr>
      </w:pPr>
      <w:r>
        <w:rPr>
          <w:rFonts w:ascii="Arial" w:eastAsia="Calibri" w:hAnsi="Arial" w:cs="Arial"/>
          <w:sz w:val="20"/>
          <w:szCs w:val="20"/>
          <w:lang w:val="en-GB"/>
        </w:rPr>
        <w:t>H</w:t>
      </w:r>
      <w:r w:rsidR="005C285E" w:rsidRPr="00E93F05">
        <w:rPr>
          <w:rFonts w:ascii="Arial" w:eastAsia="Calibri" w:hAnsi="Arial" w:cs="Arial"/>
          <w:sz w:val="20"/>
          <w:szCs w:val="20"/>
          <w:lang w:val="en-GB"/>
        </w:rPr>
        <w:t>ealth, safety</w:t>
      </w:r>
      <w:r>
        <w:rPr>
          <w:rFonts w:ascii="Arial" w:eastAsia="Calibri" w:hAnsi="Arial" w:cs="Arial"/>
          <w:sz w:val="20"/>
          <w:szCs w:val="20"/>
          <w:lang w:val="en-GB"/>
        </w:rPr>
        <w:t xml:space="preserve">, </w:t>
      </w:r>
      <w:r w:rsidR="005C285E" w:rsidRPr="00E93F05">
        <w:rPr>
          <w:rFonts w:ascii="Arial" w:eastAsia="Calibri" w:hAnsi="Arial" w:cs="Arial"/>
          <w:sz w:val="20"/>
          <w:szCs w:val="20"/>
          <w:lang w:val="en-GB"/>
        </w:rPr>
        <w:t xml:space="preserve">environmental (HSE) and other material ESG issues as part of Riverstone’s participation on the </w:t>
      </w:r>
      <w:r>
        <w:rPr>
          <w:rFonts w:ascii="Arial" w:eastAsia="Calibri" w:hAnsi="Arial" w:cs="Arial"/>
          <w:sz w:val="20"/>
          <w:szCs w:val="20"/>
          <w:lang w:val="en-GB"/>
        </w:rPr>
        <w:t>b</w:t>
      </w:r>
      <w:r w:rsidR="005C285E" w:rsidRPr="00E93F05">
        <w:rPr>
          <w:rFonts w:ascii="Arial" w:eastAsia="Calibri" w:hAnsi="Arial" w:cs="Arial"/>
          <w:sz w:val="20"/>
          <w:szCs w:val="20"/>
          <w:lang w:val="en-GB"/>
        </w:rPr>
        <w:t>oard of portfolio companies</w:t>
      </w:r>
    </w:p>
    <w:p w14:paraId="4E8C50D6" w14:textId="77777777" w:rsidR="000C5C73" w:rsidRPr="000C5C73" w:rsidRDefault="000C5C73" w:rsidP="00397967">
      <w:pPr>
        <w:pStyle w:val="PlainText"/>
        <w:numPr>
          <w:ilvl w:val="0"/>
          <w:numId w:val="26"/>
        </w:numPr>
        <w:jc w:val="both"/>
        <w:rPr>
          <w:rFonts w:ascii="Arial" w:eastAsia="Calibri" w:hAnsi="Arial" w:cs="Arial"/>
          <w:sz w:val="20"/>
          <w:szCs w:val="20"/>
          <w:lang w:val="en-GB"/>
        </w:rPr>
      </w:pPr>
      <w:r w:rsidRPr="000C5C73">
        <w:rPr>
          <w:rFonts w:ascii="Arial" w:eastAsia="Calibri" w:hAnsi="Arial" w:cs="Arial"/>
          <w:sz w:val="20"/>
          <w:szCs w:val="20"/>
          <w:lang w:val="en-GB"/>
        </w:rPr>
        <w:t>Annual portfolio review through ESG questionnaires with portfolio company follow-up based on responses received</w:t>
      </w:r>
    </w:p>
    <w:p w14:paraId="5631C62B" w14:textId="503C67C6" w:rsidR="000C5C73" w:rsidRPr="000C5C73" w:rsidRDefault="000C5C73" w:rsidP="00397967">
      <w:pPr>
        <w:pStyle w:val="PlainText"/>
        <w:numPr>
          <w:ilvl w:val="0"/>
          <w:numId w:val="26"/>
        </w:numPr>
        <w:jc w:val="both"/>
        <w:rPr>
          <w:rFonts w:ascii="Arial" w:eastAsia="Calibri" w:hAnsi="Arial" w:cs="Arial"/>
          <w:sz w:val="20"/>
          <w:szCs w:val="20"/>
          <w:lang w:val="en-GB"/>
        </w:rPr>
      </w:pPr>
      <w:r w:rsidRPr="000C5C73">
        <w:rPr>
          <w:rFonts w:ascii="Arial" w:eastAsia="Calibri" w:hAnsi="Arial" w:cs="Arial"/>
          <w:sz w:val="20"/>
          <w:szCs w:val="20"/>
          <w:lang w:val="en-GB"/>
        </w:rPr>
        <w:t>All portfolio companies are subject to periodic assessment of foreign bribery risks and regular reporting and training required for those portfolio companies identified as facing higher levels of risk</w:t>
      </w:r>
    </w:p>
    <w:p w14:paraId="4B55DD73" w14:textId="506EF694" w:rsidR="005E7352" w:rsidRPr="005E7352" w:rsidRDefault="005E7352" w:rsidP="00397967">
      <w:pPr>
        <w:pStyle w:val="PlainText"/>
        <w:numPr>
          <w:ilvl w:val="0"/>
          <w:numId w:val="26"/>
        </w:numPr>
        <w:jc w:val="both"/>
        <w:rPr>
          <w:rFonts w:ascii="Arial" w:eastAsia="Calibri" w:hAnsi="Arial" w:cs="Arial"/>
          <w:sz w:val="20"/>
          <w:szCs w:val="20"/>
          <w:lang w:val="en-GB"/>
        </w:rPr>
      </w:pPr>
      <w:r w:rsidRPr="00E93F05">
        <w:rPr>
          <w:rFonts w:ascii="Arial" w:eastAsia="Calibri" w:hAnsi="Arial" w:cs="Arial"/>
          <w:sz w:val="20"/>
          <w:szCs w:val="20"/>
          <w:lang w:val="en-GB"/>
        </w:rPr>
        <w:t xml:space="preserve">Portfolio companies </w:t>
      </w:r>
      <w:r w:rsidR="000C5C73">
        <w:rPr>
          <w:rFonts w:ascii="Arial" w:eastAsia="Calibri" w:hAnsi="Arial" w:cs="Arial"/>
          <w:sz w:val="20"/>
          <w:szCs w:val="20"/>
          <w:lang w:val="en-GB"/>
        </w:rPr>
        <w:t xml:space="preserve">ensure regular training </w:t>
      </w:r>
      <w:r w:rsidR="00443CB2">
        <w:rPr>
          <w:rFonts w:ascii="Arial" w:eastAsia="Calibri" w:hAnsi="Arial" w:cs="Arial"/>
          <w:sz w:val="20"/>
          <w:szCs w:val="20"/>
          <w:lang w:val="en-GB"/>
        </w:rPr>
        <w:t>and compliance reviews are undertaken including, where necessary, by third</w:t>
      </w:r>
      <w:r w:rsidR="00E319C6">
        <w:rPr>
          <w:rFonts w:ascii="Arial" w:eastAsia="Calibri" w:hAnsi="Arial" w:cs="Arial"/>
          <w:sz w:val="20"/>
          <w:szCs w:val="20"/>
          <w:lang w:val="en-GB"/>
        </w:rPr>
        <w:t xml:space="preserve"> </w:t>
      </w:r>
      <w:r w:rsidR="00443CB2">
        <w:rPr>
          <w:rFonts w:ascii="Arial" w:eastAsia="Calibri" w:hAnsi="Arial" w:cs="Arial"/>
          <w:sz w:val="20"/>
          <w:szCs w:val="20"/>
          <w:lang w:val="en-GB"/>
        </w:rPr>
        <w:t>party legal teams</w:t>
      </w:r>
    </w:p>
    <w:p w14:paraId="75311A9A" w14:textId="77777777" w:rsidR="005C285E" w:rsidRPr="005C285E" w:rsidRDefault="005C285E" w:rsidP="00397967">
      <w:pPr>
        <w:pStyle w:val="PlainText"/>
        <w:jc w:val="both"/>
        <w:rPr>
          <w:rFonts w:ascii="Arial" w:eastAsia="Calibri" w:hAnsi="Arial" w:cs="Arial"/>
          <w:sz w:val="20"/>
          <w:szCs w:val="20"/>
          <w:lang w:val="en-GB"/>
        </w:rPr>
      </w:pPr>
    </w:p>
    <w:p w14:paraId="77D6786F" w14:textId="77777777" w:rsidR="005C285E" w:rsidRPr="005C285E" w:rsidRDefault="005C285E" w:rsidP="00397967">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EXIT</w:t>
      </w:r>
    </w:p>
    <w:p w14:paraId="79D72924" w14:textId="79D8CE24" w:rsidR="005C285E" w:rsidRPr="005C285E" w:rsidRDefault="005C285E" w:rsidP="00397967">
      <w:pPr>
        <w:pStyle w:val="PlainText"/>
        <w:numPr>
          <w:ilvl w:val="0"/>
          <w:numId w:val="26"/>
        </w:numPr>
        <w:jc w:val="both"/>
        <w:rPr>
          <w:rFonts w:ascii="Arial" w:eastAsia="Calibri" w:hAnsi="Arial" w:cs="Arial"/>
          <w:sz w:val="20"/>
          <w:szCs w:val="20"/>
          <w:lang w:val="en-GB"/>
        </w:rPr>
      </w:pPr>
      <w:r w:rsidRPr="00E93F05">
        <w:rPr>
          <w:rFonts w:ascii="Arial" w:eastAsia="Calibri" w:hAnsi="Arial" w:cs="Arial"/>
          <w:sz w:val="20"/>
          <w:szCs w:val="20"/>
          <w:lang w:val="en-GB"/>
        </w:rPr>
        <w:t xml:space="preserve">Where appropriate, make relevant ESG disclosures and evaluate </w:t>
      </w:r>
      <w:r w:rsidR="005E7352">
        <w:rPr>
          <w:rFonts w:ascii="Arial" w:eastAsia="Calibri" w:hAnsi="Arial" w:cs="Arial"/>
          <w:sz w:val="20"/>
          <w:szCs w:val="20"/>
          <w:lang w:val="en-GB"/>
        </w:rPr>
        <w:t xml:space="preserve">whether </w:t>
      </w:r>
      <w:r w:rsidRPr="00E93F05">
        <w:rPr>
          <w:rFonts w:ascii="Arial" w:eastAsia="Calibri" w:hAnsi="Arial" w:cs="Arial"/>
          <w:sz w:val="20"/>
          <w:szCs w:val="20"/>
          <w:lang w:val="en-GB"/>
        </w:rPr>
        <w:t>potential buyers’ ESG standards</w:t>
      </w:r>
      <w:r w:rsidR="005E7352">
        <w:rPr>
          <w:rFonts w:ascii="Arial" w:eastAsia="Calibri" w:hAnsi="Arial" w:cs="Arial"/>
          <w:sz w:val="20"/>
          <w:szCs w:val="20"/>
          <w:lang w:val="en-GB"/>
        </w:rPr>
        <w:t xml:space="preserve"> comply with all applicable laws</w:t>
      </w:r>
      <w:r w:rsidR="00443CB2">
        <w:rPr>
          <w:rFonts w:ascii="Arial" w:eastAsia="Calibri" w:hAnsi="Arial" w:cs="Arial"/>
          <w:sz w:val="20"/>
          <w:szCs w:val="20"/>
          <w:lang w:val="en-GB"/>
        </w:rPr>
        <w:t xml:space="preserve"> with regard to, for example, employees and decommissioning of assets and infrastructure</w:t>
      </w:r>
    </w:p>
    <w:p w14:paraId="4E523CCB" w14:textId="77777777" w:rsidR="005C285E" w:rsidRPr="005C285E" w:rsidRDefault="005C285E" w:rsidP="00397967">
      <w:pPr>
        <w:pStyle w:val="PlainText"/>
        <w:jc w:val="both"/>
        <w:rPr>
          <w:rFonts w:ascii="Arial" w:eastAsia="Calibri" w:hAnsi="Arial" w:cs="Arial"/>
          <w:sz w:val="20"/>
          <w:szCs w:val="20"/>
          <w:lang w:val="en-GB"/>
        </w:rPr>
      </w:pPr>
    </w:p>
    <w:p w14:paraId="3FD7F117" w14:textId="7C260715" w:rsidR="00443CB2" w:rsidRDefault="005C285E" w:rsidP="00397967">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In parallel to</w:t>
      </w:r>
      <w:r w:rsidR="00443CB2">
        <w:rPr>
          <w:rFonts w:ascii="Arial" w:eastAsia="Calibri" w:hAnsi="Arial" w:cs="Arial"/>
          <w:sz w:val="20"/>
          <w:szCs w:val="20"/>
          <w:lang w:val="en-GB"/>
        </w:rPr>
        <w:t xml:space="preserve"> incorporating</w:t>
      </w:r>
      <w:r w:rsidRPr="005C285E">
        <w:rPr>
          <w:rFonts w:ascii="Arial" w:eastAsia="Calibri" w:hAnsi="Arial" w:cs="Arial"/>
          <w:sz w:val="20"/>
          <w:szCs w:val="20"/>
          <w:lang w:val="en-GB"/>
        </w:rPr>
        <w:t xml:space="preserve"> ESG </w:t>
      </w:r>
      <w:r w:rsidR="00443CB2">
        <w:rPr>
          <w:rFonts w:ascii="Arial" w:eastAsia="Calibri" w:hAnsi="Arial" w:cs="Arial"/>
          <w:sz w:val="20"/>
          <w:szCs w:val="20"/>
          <w:lang w:val="en-GB"/>
        </w:rPr>
        <w:t xml:space="preserve">in our investment </w:t>
      </w:r>
      <w:r w:rsidRPr="005C285E">
        <w:rPr>
          <w:rFonts w:ascii="Arial" w:eastAsia="Calibri" w:hAnsi="Arial" w:cs="Arial"/>
          <w:sz w:val="20"/>
          <w:szCs w:val="20"/>
          <w:lang w:val="en-GB"/>
        </w:rPr>
        <w:t>practices, Riverstone is also focu</w:t>
      </w:r>
      <w:r w:rsidR="002969DF">
        <w:rPr>
          <w:rFonts w:ascii="Arial" w:eastAsia="Calibri" w:hAnsi="Arial" w:cs="Arial"/>
          <w:sz w:val="20"/>
          <w:szCs w:val="20"/>
          <w:lang w:val="en-GB"/>
        </w:rPr>
        <w:t>s</w:t>
      </w:r>
      <w:r w:rsidRPr="005C285E">
        <w:rPr>
          <w:rFonts w:ascii="Arial" w:eastAsia="Calibri" w:hAnsi="Arial" w:cs="Arial"/>
          <w:sz w:val="20"/>
          <w:szCs w:val="20"/>
          <w:lang w:val="en-GB"/>
        </w:rPr>
        <w:t>sed</w:t>
      </w:r>
      <w:r w:rsidR="00E319C6">
        <w:rPr>
          <w:rFonts w:ascii="Arial" w:eastAsia="Calibri" w:hAnsi="Arial" w:cs="Arial"/>
          <w:sz w:val="20"/>
          <w:szCs w:val="20"/>
          <w:lang w:val="en-GB"/>
        </w:rPr>
        <w:t xml:space="preserve"> on</w:t>
      </w:r>
      <w:r w:rsidRPr="005C285E">
        <w:rPr>
          <w:rFonts w:ascii="Arial" w:eastAsia="Calibri" w:hAnsi="Arial" w:cs="Arial"/>
          <w:sz w:val="20"/>
          <w:szCs w:val="20"/>
          <w:lang w:val="en-GB"/>
        </w:rPr>
        <w:t xml:space="preserve"> </w:t>
      </w:r>
      <w:r w:rsidR="00443CB2">
        <w:rPr>
          <w:rFonts w:ascii="Arial" w:eastAsia="Calibri" w:hAnsi="Arial" w:cs="Arial"/>
          <w:sz w:val="20"/>
          <w:szCs w:val="20"/>
          <w:lang w:val="en-GB"/>
        </w:rPr>
        <w:t>its direct operations and impacts</w:t>
      </w:r>
      <w:r w:rsidRPr="005C285E">
        <w:rPr>
          <w:rFonts w:ascii="Arial" w:eastAsia="Calibri" w:hAnsi="Arial" w:cs="Arial"/>
          <w:sz w:val="20"/>
          <w:szCs w:val="20"/>
          <w:lang w:val="en-GB"/>
        </w:rPr>
        <w:t xml:space="preserve">. </w:t>
      </w:r>
    </w:p>
    <w:p w14:paraId="3A02EAD8" w14:textId="77777777" w:rsidR="00443CB2" w:rsidRDefault="00443CB2" w:rsidP="00397967">
      <w:pPr>
        <w:pStyle w:val="PlainText"/>
        <w:jc w:val="both"/>
        <w:rPr>
          <w:rFonts w:ascii="Arial" w:eastAsia="Calibri" w:hAnsi="Arial" w:cs="Arial"/>
          <w:sz w:val="20"/>
          <w:szCs w:val="20"/>
          <w:lang w:val="en-GB"/>
        </w:rPr>
      </w:pPr>
    </w:p>
    <w:p w14:paraId="43F3152F" w14:textId="5F56880B" w:rsidR="005C285E" w:rsidRPr="005C285E" w:rsidRDefault="005C285E" w:rsidP="00397967">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Over the past few years,</w:t>
      </w:r>
      <w:r w:rsidR="00443CB2">
        <w:rPr>
          <w:rFonts w:ascii="Arial" w:eastAsia="Calibri" w:hAnsi="Arial" w:cs="Arial"/>
          <w:sz w:val="20"/>
          <w:szCs w:val="20"/>
          <w:lang w:val="en-GB"/>
        </w:rPr>
        <w:t xml:space="preserve"> it</w:t>
      </w:r>
      <w:r w:rsidRPr="005C285E">
        <w:rPr>
          <w:rFonts w:ascii="Arial" w:eastAsia="Calibri" w:hAnsi="Arial" w:cs="Arial"/>
          <w:sz w:val="20"/>
          <w:szCs w:val="20"/>
          <w:lang w:val="en-GB"/>
        </w:rPr>
        <w:t xml:space="preserve"> ha</w:t>
      </w:r>
      <w:r w:rsidR="00443CB2">
        <w:rPr>
          <w:rFonts w:ascii="Arial" w:eastAsia="Calibri" w:hAnsi="Arial" w:cs="Arial"/>
          <w:sz w:val="20"/>
          <w:szCs w:val="20"/>
          <w:lang w:val="en-GB"/>
        </w:rPr>
        <w:t>s</w:t>
      </w:r>
      <w:r w:rsidRPr="005C285E">
        <w:rPr>
          <w:rFonts w:ascii="Arial" w:eastAsia="Calibri" w:hAnsi="Arial" w:cs="Arial"/>
          <w:sz w:val="20"/>
          <w:szCs w:val="20"/>
          <w:lang w:val="en-GB"/>
        </w:rPr>
        <w:t xml:space="preserve"> successfully introduced a range of firmwide ESG practices</w:t>
      </w:r>
      <w:r w:rsidR="002628AB">
        <w:rPr>
          <w:rFonts w:ascii="Arial" w:eastAsia="Calibri" w:hAnsi="Arial" w:cs="Arial"/>
          <w:sz w:val="20"/>
          <w:szCs w:val="20"/>
          <w:lang w:val="en-GB"/>
        </w:rPr>
        <w:t xml:space="preserve"> as part of </w:t>
      </w:r>
      <w:r w:rsidR="00EB181F">
        <w:rPr>
          <w:rFonts w:ascii="Arial" w:eastAsia="Calibri" w:hAnsi="Arial" w:cs="Arial"/>
          <w:sz w:val="20"/>
          <w:szCs w:val="20"/>
          <w:lang w:val="en-GB"/>
        </w:rPr>
        <w:t xml:space="preserve">a </w:t>
      </w:r>
      <w:r w:rsidR="002628AB">
        <w:rPr>
          <w:rFonts w:ascii="Arial" w:eastAsia="Calibri" w:hAnsi="Arial" w:cs="Arial"/>
          <w:sz w:val="20"/>
          <w:szCs w:val="20"/>
          <w:lang w:val="en-GB"/>
        </w:rPr>
        <w:t>cultural shift internally</w:t>
      </w:r>
      <w:r w:rsidRPr="005C285E">
        <w:rPr>
          <w:rFonts w:ascii="Arial" w:eastAsia="Calibri" w:hAnsi="Arial" w:cs="Arial"/>
          <w:sz w:val="20"/>
          <w:szCs w:val="20"/>
          <w:lang w:val="en-GB"/>
        </w:rPr>
        <w:t xml:space="preserve"> and </w:t>
      </w:r>
      <w:r w:rsidR="00443CB2">
        <w:rPr>
          <w:rFonts w:ascii="Arial" w:eastAsia="Calibri" w:hAnsi="Arial" w:cs="Arial"/>
          <w:sz w:val="20"/>
          <w:szCs w:val="20"/>
          <w:lang w:val="en-GB"/>
        </w:rPr>
        <w:t>is</w:t>
      </w:r>
      <w:r w:rsidRPr="005C285E">
        <w:rPr>
          <w:rFonts w:ascii="Arial" w:eastAsia="Calibri" w:hAnsi="Arial" w:cs="Arial"/>
          <w:sz w:val="20"/>
          <w:szCs w:val="20"/>
          <w:lang w:val="en-GB"/>
        </w:rPr>
        <w:t xml:space="preserve"> actively evaluating ways that </w:t>
      </w:r>
      <w:r w:rsidR="00443CB2">
        <w:rPr>
          <w:rFonts w:ascii="Arial" w:eastAsia="Calibri" w:hAnsi="Arial" w:cs="Arial"/>
          <w:sz w:val="20"/>
          <w:szCs w:val="20"/>
          <w:lang w:val="en-GB"/>
        </w:rPr>
        <w:t xml:space="preserve">it </w:t>
      </w:r>
      <w:r w:rsidRPr="005C285E">
        <w:rPr>
          <w:rFonts w:ascii="Arial" w:eastAsia="Calibri" w:hAnsi="Arial" w:cs="Arial"/>
          <w:sz w:val="20"/>
          <w:szCs w:val="20"/>
          <w:lang w:val="en-GB"/>
        </w:rPr>
        <w:t xml:space="preserve">can increase </w:t>
      </w:r>
      <w:r w:rsidR="00443CB2">
        <w:rPr>
          <w:rFonts w:ascii="Arial" w:eastAsia="Calibri" w:hAnsi="Arial" w:cs="Arial"/>
          <w:sz w:val="20"/>
          <w:szCs w:val="20"/>
          <w:lang w:val="en-GB"/>
        </w:rPr>
        <w:t xml:space="preserve">its </w:t>
      </w:r>
      <w:r w:rsidRPr="005C285E">
        <w:rPr>
          <w:rFonts w:ascii="Arial" w:eastAsia="Calibri" w:hAnsi="Arial" w:cs="Arial"/>
          <w:sz w:val="20"/>
          <w:szCs w:val="20"/>
          <w:lang w:val="en-GB"/>
        </w:rPr>
        <w:t>efforts. Some of our current initiatives include measuring our carbon footprint and offset emissions (with the goal of becoming carbon-neutral</w:t>
      </w:r>
      <w:r w:rsidR="00443CB2">
        <w:rPr>
          <w:rFonts w:ascii="Arial" w:eastAsia="Calibri" w:hAnsi="Arial" w:cs="Arial"/>
          <w:sz w:val="20"/>
          <w:szCs w:val="20"/>
          <w:lang w:val="en-GB"/>
        </w:rPr>
        <w:t xml:space="preserve"> over the long term</w:t>
      </w:r>
      <w:r w:rsidRPr="005C285E">
        <w:rPr>
          <w:rFonts w:ascii="Arial" w:eastAsia="Calibri" w:hAnsi="Arial" w:cs="Arial"/>
          <w:sz w:val="20"/>
          <w:szCs w:val="20"/>
          <w:lang w:val="en-GB"/>
        </w:rPr>
        <w:t xml:space="preserve">), </w:t>
      </w:r>
      <w:r w:rsidR="00443CB2">
        <w:rPr>
          <w:rFonts w:ascii="Arial" w:eastAsia="Calibri" w:hAnsi="Arial" w:cs="Arial"/>
          <w:sz w:val="20"/>
          <w:szCs w:val="20"/>
          <w:lang w:val="en-GB"/>
        </w:rPr>
        <w:t>using refillable water bottles throughout our offices and at</w:t>
      </w:r>
      <w:r w:rsidR="002969DF" w:rsidRPr="002969DF">
        <w:rPr>
          <w:rFonts w:ascii="Arial" w:eastAsia="Calibri" w:hAnsi="Arial" w:cs="Arial"/>
          <w:sz w:val="20"/>
          <w:szCs w:val="20"/>
          <w:lang w:val="en-GB"/>
        </w:rPr>
        <w:t xml:space="preserve"> our investor events</w:t>
      </w:r>
      <w:r w:rsidR="002628AB">
        <w:rPr>
          <w:rFonts w:ascii="Arial" w:eastAsia="Calibri" w:hAnsi="Arial" w:cs="Arial"/>
          <w:sz w:val="20"/>
          <w:szCs w:val="20"/>
          <w:lang w:val="en-GB"/>
        </w:rPr>
        <w:t>, reducing printing, utilising biodegradable products, where possible,</w:t>
      </w:r>
      <w:r w:rsidR="002969DF" w:rsidRPr="002969DF">
        <w:rPr>
          <w:rFonts w:ascii="Arial" w:eastAsia="Calibri" w:hAnsi="Arial" w:cs="Arial"/>
          <w:sz w:val="20"/>
          <w:szCs w:val="20"/>
          <w:lang w:val="en-GB"/>
        </w:rPr>
        <w:t xml:space="preserve"> and working to improve the diversity within its candidate </w:t>
      </w:r>
      <w:r w:rsidR="002969DF">
        <w:rPr>
          <w:rFonts w:ascii="Arial" w:eastAsia="Calibri" w:hAnsi="Arial" w:cs="Arial"/>
          <w:sz w:val="20"/>
          <w:szCs w:val="20"/>
          <w:lang w:val="en-GB"/>
        </w:rPr>
        <w:t>pools during the hiring process</w:t>
      </w:r>
      <w:r w:rsidRPr="005C285E">
        <w:rPr>
          <w:rFonts w:ascii="Arial" w:eastAsia="Calibri" w:hAnsi="Arial" w:cs="Arial"/>
          <w:sz w:val="20"/>
          <w:szCs w:val="20"/>
          <w:lang w:val="en-GB"/>
        </w:rPr>
        <w:t>.</w:t>
      </w:r>
    </w:p>
    <w:p w14:paraId="73B8FBB2" w14:textId="3A695E29" w:rsidR="00397967" w:rsidRDefault="00397967" w:rsidP="00397967">
      <w:pPr>
        <w:jc w:val="both"/>
        <w:rPr>
          <w:rFonts w:eastAsia="MS Gothic"/>
          <w:b/>
          <w:bCs/>
          <w:caps/>
          <w:sz w:val="30"/>
          <w:szCs w:val="32"/>
          <w:lang w:val="en-US"/>
        </w:rPr>
      </w:pPr>
    </w:p>
    <w:p w14:paraId="5CC9C94A" w14:textId="1DB4AA1F" w:rsidR="00934D43" w:rsidRDefault="005C285E" w:rsidP="00397967">
      <w:pPr>
        <w:jc w:val="both"/>
        <w:rPr>
          <w:b/>
          <w:sz w:val="32"/>
          <w:lang w:val="en-US"/>
        </w:rPr>
      </w:pPr>
      <w:r w:rsidRPr="00E303F4">
        <w:rPr>
          <w:b/>
          <w:sz w:val="32"/>
          <w:lang w:val="en-US"/>
        </w:rPr>
        <w:t>ESG in Practice</w:t>
      </w:r>
      <w:r w:rsidR="002628AB">
        <w:rPr>
          <w:b/>
          <w:sz w:val="32"/>
          <w:lang w:val="en-US"/>
        </w:rPr>
        <w:t xml:space="preserve"> within REL’s Portfolio</w:t>
      </w:r>
      <w:r w:rsidRPr="00E303F4">
        <w:rPr>
          <w:b/>
          <w:sz w:val="32"/>
          <w:lang w:val="en-US"/>
        </w:rPr>
        <w:t>: Hammerhead Resources</w:t>
      </w:r>
    </w:p>
    <w:p w14:paraId="1E8D75A4" w14:textId="4DDE03E7" w:rsidR="00934D43" w:rsidRDefault="00934D43" w:rsidP="00934D43">
      <w:pPr>
        <w:jc w:val="both"/>
        <w:rPr>
          <w:b/>
          <w:sz w:val="32"/>
          <w:lang w:val="en-US"/>
        </w:rPr>
      </w:pPr>
    </w:p>
    <w:p w14:paraId="07894BE9" w14:textId="36EF1C03" w:rsidR="005C285E" w:rsidRPr="005C285E" w:rsidRDefault="00934D43" w:rsidP="000C581C">
      <w:pPr>
        <w:pStyle w:val="PlainText"/>
        <w:jc w:val="both"/>
        <w:rPr>
          <w:rFonts w:ascii="Arial" w:eastAsia="Calibri" w:hAnsi="Arial" w:cs="Arial"/>
          <w:sz w:val="20"/>
          <w:szCs w:val="20"/>
          <w:lang w:val="en-GB"/>
        </w:rPr>
      </w:pPr>
      <w:r>
        <w:rPr>
          <w:rFonts w:ascii="Arial" w:eastAsia="Calibri" w:hAnsi="Arial" w:cs="Arial"/>
          <w:sz w:val="20"/>
          <w:szCs w:val="20"/>
          <w:lang w:val="en-GB"/>
        </w:rPr>
        <w:t>C</w:t>
      </w:r>
      <w:r w:rsidR="005C285E" w:rsidRPr="005C285E">
        <w:rPr>
          <w:rFonts w:ascii="Arial" w:eastAsia="Calibri" w:hAnsi="Arial" w:cs="Arial"/>
          <w:sz w:val="20"/>
          <w:szCs w:val="20"/>
          <w:lang w:val="en-GB"/>
        </w:rPr>
        <w:t>algary-based Hammerhead Resources is a</w:t>
      </w:r>
      <w:r w:rsidR="00443CB2">
        <w:rPr>
          <w:rFonts w:ascii="Arial" w:eastAsia="Calibri" w:hAnsi="Arial" w:cs="Arial"/>
          <w:sz w:val="20"/>
          <w:szCs w:val="20"/>
          <w:lang w:val="en-GB"/>
        </w:rPr>
        <w:t xml:space="preserve">n </w:t>
      </w:r>
      <w:r w:rsidR="005C285E" w:rsidRPr="005C285E">
        <w:rPr>
          <w:rFonts w:ascii="Arial" w:eastAsia="Calibri" w:hAnsi="Arial" w:cs="Arial"/>
          <w:sz w:val="20"/>
          <w:szCs w:val="20"/>
          <w:lang w:val="en-GB"/>
        </w:rPr>
        <w:t>upstream oil and gas company primarily focus</w:t>
      </w:r>
      <w:r w:rsidR="002969DF">
        <w:rPr>
          <w:rFonts w:ascii="Arial" w:eastAsia="Calibri" w:hAnsi="Arial" w:cs="Arial"/>
          <w:sz w:val="20"/>
          <w:szCs w:val="20"/>
          <w:lang w:val="en-GB"/>
        </w:rPr>
        <w:t>s</w:t>
      </w:r>
      <w:r w:rsidR="005C285E" w:rsidRPr="005C285E">
        <w:rPr>
          <w:rFonts w:ascii="Arial" w:eastAsia="Calibri" w:hAnsi="Arial" w:cs="Arial"/>
          <w:sz w:val="20"/>
          <w:szCs w:val="20"/>
          <w:lang w:val="en-GB"/>
        </w:rPr>
        <w:t>ed on delineation and development operations in the Deep Basin of West Central Alberta in Canada.</w:t>
      </w:r>
    </w:p>
    <w:p w14:paraId="3931EB6F" w14:textId="77777777" w:rsidR="005C285E" w:rsidRPr="005C285E" w:rsidRDefault="005C285E" w:rsidP="000C581C">
      <w:pPr>
        <w:pStyle w:val="PlainText"/>
        <w:jc w:val="both"/>
        <w:rPr>
          <w:rFonts w:ascii="Arial" w:eastAsia="Calibri" w:hAnsi="Arial" w:cs="Arial"/>
          <w:sz w:val="20"/>
          <w:szCs w:val="20"/>
          <w:lang w:val="en-GB"/>
        </w:rPr>
      </w:pPr>
    </w:p>
    <w:p w14:paraId="59889DD6" w14:textId="2EADA6DF" w:rsidR="00443CB2" w:rsidRDefault="005C285E" w:rsidP="000C581C">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lastRenderedPageBreak/>
        <w:t xml:space="preserve">Hammerhead conducts its business with respect and care for its employees, contractors, communities and the environments </w:t>
      </w:r>
      <w:r w:rsidR="00443CB2">
        <w:rPr>
          <w:rFonts w:ascii="Arial" w:eastAsia="Calibri" w:hAnsi="Arial" w:cs="Arial"/>
          <w:sz w:val="20"/>
          <w:szCs w:val="20"/>
          <w:lang w:val="en-GB"/>
        </w:rPr>
        <w:t xml:space="preserve">surrounding its </w:t>
      </w:r>
      <w:r w:rsidRPr="005C285E">
        <w:rPr>
          <w:rFonts w:ascii="Arial" w:eastAsia="Calibri" w:hAnsi="Arial" w:cs="Arial"/>
          <w:sz w:val="20"/>
          <w:szCs w:val="20"/>
          <w:lang w:val="en-GB"/>
        </w:rPr>
        <w:t>operat</w:t>
      </w:r>
      <w:r w:rsidR="00443CB2">
        <w:rPr>
          <w:rFonts w:ascii="Arial" w:eastAsia="Calibri" w:hAnsi="Arial" w:cs="Arial"/>
          <w:sz w:val="20"/>
          <w:szCs w:val="20"/>
          <w:lang w:val="en-GB"/>
        </w:rPr>
        <w:t>ions</w:t>
      </w:r>
      <w:r w:rsidRPr="005C285E">
        <w:rPr>
          <w:rFonts w:ascii="Arial" w:eastAsia="Calibri" w:hAnsi="Arial" w:cs="Arial"/>
          <w:sz w:val="20"/>
          <w:szCs w:val="20"/>
          <w:lang w:val="en-GB"/>
        </w:rPr>
        <w:t xml:space="preserve">. Its vision is </w:t>
      </w:r>
      <w:r w:rsidR="00443CB2">
        <w:rPr>
          <w:rFonts w:ascii="Arial" w:eastAsia="Calibri" w:hAnsi="Arial" w:cs="Arial"/>
          <w:sz w:val="20"/>
          <w:szCs w:val="20"/>
          <w:lang w:val="en-GB"/>
        </w:rPr>
        <w:t>“</w:t>
      </w:r>
      <w:r w:rsidRPr="005C285E">
        <w:rPr>
          <w:rFonts w:ascii="Arial" w:eastAsia="Calibri" w:hAnsi="Arial" w:cs="Arial"/>
          <w:sz w:val="20"/>
          <w:szCs w:val="20"/>
          <w:lang w:val="en-GB"/>
        </w:rPr>
        <w:t>zero harm to people</w:t>
      </w:r>
      <w:r w:rsidR="00443CB2">
        <w:rPr>
          <w:rFonts w:ascii="Arial" w:eastAsia="Calibri" w:hAnsi="Arial" w:cs="Arial"/>
          <w:sz w:val="20"/>
          <w:szCs w:val="20"/>
          <w:lang w:val="en-GB"/>
        </w:rPr>
        <w:t>”</w:t>
      </w:r>
      <w:r w:rsidRPr="005C285E">
        <w:rPr>
          <w:rFonts w:ascii="Arial" w:eastAsia="Calibri" w:hAnsi="Arial" w:cs="Arial"/>
          <w:sz w:val="20"/>
          <w:szCs w:val="20"/>
          <w:lang w:val="en-GB"/>
        </w:rPr>
        <w:t xml:space="preserve"> and to protect and provide stewardship for the environment</w:t>
      </w:r>
      <w:r w:rsidR="00443CB2">
        <w:rPr>
          <w:rFonts w:ascii="Arial" w:eastAsia="Calibri" w:hAnsi="Arial" w:cs="Arial"/>
          <w:sz w:val="20"/>
          <w:szCs w:val="20"/>
          <w:lang w:val="en-GB"/>
        </w:rPr>
        <w:t>.</w:t>
      </w:r>
    </w:p>
    <w:p w14:paraId="70A5483F" w14:textId="77777777" w:rsidR="00443CB2" w:rsidRDefault="00443CB2" w:rsidP="000C581C">
      <w:pPr>
        <w:pStyle w:val="PlainText"/>
        <w:jc w:val="both"/>
        <w:rPr>
          <w:rFonts w:ascii="Arial" w:eastAsia="Calibri" w:hAnsi="Arial" w:cs="Arial"/>
          <w:sz w:val="20"/>
          <w:szCs w:val="20"/>
          <w:lang w:val="en-GB"/>
        </w:rPr>
      </w:pPr>
    </w:p>
    <w:p w14:paraId="0C182A73" w14:textId="56E792B3" w:rsidR="00443CB2" w:rsidRDefault="00443CB2" w:rsidP="000C581C">
      <w:pPr>
        <w:pStyle w:val="PlainText"/>
        <w:jc w:val="both"/>
        <w:rPr>
          <w:rFonts w:ascii="Arial" w:eastAsia="Calibri" w:hAnsi="Arial" w:cs="Arial"/>
          <w:sz w:val="20"/>
          <w:szCs w:val="20"/>
          <w:lang w:val="en-GB"/>
        </w:rPr>
      </w:pPr>
      <w:r>
        <w:rPr>
          <w:rFonts w:ascii="Arial" w:eastAsia="Calibri" w:hAnsi="Arial" w:cs="Arial"/>
          <w:sz w:val="20"/>
          <w:szCs w:val="20"/>
          <w:lang w:val="en-GB"/>
        </w:rPr>
        <w:t>Accordingly, Hammerhead</w:t>
      </w:r>
      <w:r w:rsidR="005C285E" w:rsidRPr="005C285E">
        <w:rPr>
          <w:rFonts w:ascii="Arial" w:eastAsia="Calibri" w:hAnsi="Arial" w:cs="Arial"/>
          <w:sz w:val="20"/>
          <w:szCs w:val="20"/>
          <w:lang w:val="en-GB"/>
        </w:rPr>
        <w:t xml:space="preserve"> believes that excellent </w:t>
      </w:r>
      <w:r w:rsidR="005E7352">
        <w:rPr>
          <w:rFonts w:ascii="Arial" w:eastAsia="Calibri" w:hAnsi="Arial" w:cs="Arial"/>
          <w:sz w:val="20"/>
          <w:szCs w:val="20"/>
          <w:lang w:val="en-GB"/>
        </w:rPr>
        <w:t xml:space="preserve">HSE </w:t>
      </w:r>
      <w:r w:rsidR="005C285E" w:rsidRPr="005C285E">
        <w:rPr>
          <w:rFonts w:ascii="Arial" w:eastAsia="Calibri" w:hAnsi="Arial" w:cs="Arial"/>
          <w:sz w:val="20"/>
          <w:szCs w:val="20"/>
          <w:lang w:val="en-GB"/>
        </w:rPr>
        <w:t xml:space="preserve">performance is an integral part of its business success and corporate responsibility. </w:t>
      </w:r>
    </w:p>
    <w:p w14:paraId="1376B043" w14:textId="77777777" w:rsidR="00443CB2" w:rsidRDefault="00443CB2" w:rsidP="000C581C">
      <w:pPr>
        <w:pStyle w:val="PlainText"/>
        <w:jc w:val="both"/>
        <w:rPr>
          <w:rFonts w:ascii="Arial" w:eastAsia="Calibri" w:hAnsi="Arial" w:cs="Arial"/>
          <w:sz w:val="20"/>
          <w:szCs w:val="20"/>
          <w:lang w:val="en-GB"/>
        </w:rPr>
      </w:pPr>
    </w:p>
    <w:p w14:paraId="4B21C73B" w14:textId="2289B7D7" w:rsidR="005C285E" w:rsidRDefault="005C285E" w:rsidP="000C581C">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Hammerhead strongly encourages everyone’s right to stop work in the event that they cannot control a hazard that may cause harm to themselves, their co-workers or the environment or to stop an act of non-compliance.</w:t>
      </w:r>
    </w:p>
    <w:p w14:paraId="185E7D23" w14:textId="7BF36CDF" w:rsidR="008B1170" w:rsidRDefault="008B1170" w:rsidP="000C581C">
      <w:pPr>
        <w:pStyle w:val="PlainText"/>
        <w:jc w:val="both"/>
        <w:rPr>
          <w:rFonts w:ascii="Arial" w:eastAsia="Calibri" w:hAnsi="Arial" w:cs="Arial"/>
          <w:sz w:val="20"/>
          <w:szCs w:val="20"/>
          <w:lang w:val="en-GB"/>
        </w:rPr>
      </w:pPr>
    </w:p>
    <w:p w14:paraId="44A499F4" w14:textId="21D4964B" w:rsidR="008B1170" w:rsidRPr="005C285E" w:rsidRDefault="008B1170" w:rsidP="000C581C">
      <w:pPr>
        <w:pStyle w:val="PlainText"/>
        <w:jc w:val="both"/>
        <w:rPr>
          <w:rFonts w:ascii="Arial" w:eastAsia="Calibri" w:hAnsi="Arial" w:cs="Arial"/>
          <w:sz w:val="20"/>
          <w:szCs w:val="20"/>
          <w:lang w:val="en-GB"/>
        </w:rPr>
      </w:pPr>
      <w:r>
        <w:rPr>
          <w:rFonts w:ascii="Arial" w:eastAsia="Calibri" w:hAnsi="Arial" w:cs="Arial"/>
          <w:sz w:val="20"/>
          <w:szCs w:val="20"/>
          <w:lang w:val="en-GB"/>
        </w:rPr>
        <w:t xml:space="preserve">Company performance indicators </w:t>
      </w:r>
      <w:r w:rsidRPr="008B1170">
        <w:rPr>
          <w:rFonts w:ascii="Arial" w:eastAsia="Calibri" w:hAnsi="Arial" w:cs="Arial"/>
          <w:sz w:val="20"/>
          <w:szCs w:val="20"/>
          <w:lang w:val="en-GB"/>
        </w:rPr>
        <w:t>and executive compensation include ESG metrics, reflecting a focus on ESG throughout the senior</w:t>
      </w:r>
      <w:r w:rsidR="009C5C71">
        <w:rPr>
          <w:rFonts w:ascii="Arial" w:eastAsia="Calibri" w:hAnsi="Arial" w:cs="Arial"/>
          <w:sz w:val="20"/>
          <w:szCs w:val="20"/>
          <w:lang w:val="en-GB"/>
        </w:rPr>
        <w:t xml:space="preserve"> and board levels of the organis</w:t>
      </w:r>
      <w:r w:rsidRPr="008B1170">
        <w:rPr>
          <w:rFonts w:ascii="Arial" w:eastAsia="Calibri" w:hAnsi="Arial" w:cs="Arial"/>
          <w:sz w:val="20"/>
          <w:szCs w:val="20"/>
          <w:lang w:val="en-GB"/>
        </w:rPr>
        <w:t>ation.</w:t>
      </w:r>
    </w:p>
    <w:p w14:paraId="69E50E54" w14:textId="77777777" w:rsidR="005C285E" w:rsidRPr="005C285E" w:rsidRDefault="005C285E" w:rsidP="000C581C">
      <w:pPr>
        <w:pStyle w:val="PlainText"/>
        <w:jc w:val="both"/>
        <w:rPr>
          <w:rFonts w:ascii="Arial" w:eastAsia="Calibri" w:hAnsi="Arial" w:cs="Arial"/>
          <w:sz w:val="20"/>
          <w:szCs w:val="20"/>
          <w:lang w:val="en-GB"/>
        </w:rPr>
      </w:pPr>
    </w:p>
    <w:p w14:paraId="13639BF0" w14:textId="32AEBAAF" w:rsidR="005C285E" w:rsidRPr="005C285E" w:rsidRDefault="00224993" w:rsidP="000C581C">
      <w:pPr>
        <w:pStyle w:val="PlainText"/>
        <w:jc w:val="both"/>
        <w:rPr>
          <w:rFonts w:ascii="Arial" w:eastAsia="Calibri" w:hAnsi="Arial" w:cs="Arial"/>
          <w:sz w:val="20"/>
          <w:szCs w:val="20"/>
          <w:lang w:val="en-GB"/>
        </w:rPr>
      </w:pPr>
      <w:r>
        <w:rPr>
          <w:rFonts w:ascii="Arial" w:eastAsia="Calibri" w:hAnsi="Arial" w:cs="Arial"/>
          <w:sz w:val="20"/>
          <w:szCs w:val="20"/>
          <w:lang w:val="en-GB"/>
        </w:rPr>
        <w:t>I</w:t>
      </w:r>
      <w:r w:rsidR="005C285E" w:rsidRPr="005C285E">
        <w:rPr>
          <w:rFonts w:ascii="Arial" w:eastAsia="Calibri" w:hAnsi="Arial" w:cs="Arial"/>
          <w:sz w:val="20"/>
          <w:szCs w:val="20"/>
          <w:lang w:val="en-GB"/>
        </w:rPr>
        <w:t>nitiatives</w:t>
      </w:r>
      <w:r>
        <w:rPr>
          <w:rFonts w:ascii="Arial" w:eastAsia="Calibri" w:hAnsi="Arial" w:cs="Arial"/>
          <w:sz w:val="20"/>
          <w:szCs w:val="20"/>
          <w:lang w:val="en-GB"/>
        </w:rPr>
        <w:t xml:space="preserve"> in recent years</w:t>
      </w:r>
      <w:r w:rsidR="005C285E" w:rsidRPr="005C285E">
        <w:rPr>
          <w:rFonts w:ascii="Arial" w:eastAsia="Calibri" w:hAnsi="Arial" w:cs="Arial"/>
          <w:sz w:val="20"/>
          <w:szCs w:val="20"/>
          <w:lang w:val="en-GB"/>
        </w:rPr>
        <w:t xml:space="preserve"> at Hammerhead include:</w:t>
      </w:r>
    </w:p>
    <w:p w14:paraId="6F61FD7B" w14:textId="77777777" w:rsidR="005C285E" w:rsidRPr="005C285E" w:rsidRDefault="005C285E" w:rsidP="000C581C">
      <w:pPr>
        <w:pStyle w:val="PlainText"/>
        <w:jc w:val="both"/>
        <w:rPr>
          <w:rFonts w:ascii="Arial" w:eastAsia="Calibri" w:hAnsi="Arial" w:cs="Arial"/>
          <w:sz w:val="20"/>
          <w:szCs w:val="20"/>
          <w:lang w:val="en-GB"/>
        </w:rPr>
      </w:pPr>
    </w:p>
    <w:p w14:paraId="6A99BA5A" w14:textId="3DD8DF20" w:rsidR="005E7352" w:rsidRDefault="005E7352" w:rsidP="000C581C">
      <w:pPr>
        <w:pStyle w:val="PlainText"/>
        <w:numPr>
          <w:ilvl w:val="0"/>
          <w:numId w:val="27"/>
        </w:numPr>
        <w:jc w:val="both"/>
        <w:rPr>
          <w:rFonts w:ascii="Arial" w:eastAsia="Calibri" w:hAnsi="Arial" w:cs="Arial"/>
          <w:sz w:val="20"/>
          <w:szCs w:val="20"/>
          <w:lang w:val="en-GB"/>
        </w:rPr>
      </w:pPr>
      <w:r>
        <w:rPr>
          <w:rFonts w:ascii="Arial" w:eastAsia="Calibri" w:hAnsi="Arial" w:cs="Arial"/>
          <w:sz w:val="20"/>
          <w:szCs w:val="20"/>
          <w:lang w:val="en-GB"/>
        </w:rPr>
        <w:t>Addition of a new HSE manager role in April 2018</w:t>
      </w:r>
    </w:p>
    <w:p w14:paraId="1D4659D6" w14:textId="7B006B5C" w:rsidR="005C285E" w:rsidRPr="005C285E" w:rsidRDefault="005C285E" w:rsidP="000C581C">
      <w:pPr>
        <w:pStyle w:val="PlainText"/>
        <w:numPr>
          <w:ilvl w:val="0"/>
          <w:numId w:val="27"/>
        </w:numPr>
        <w:jc w:val="both"/>
        <w:rPr>
          <w:rFonts w:ascii="Arial" w:eastAsia="Calibri" w:hAnsi="Arial" w:cs="Arial"/>
          <w:sz w:val="20"/>
          <w:szCs w:val="20"/>
          <w:lang w:val="en-GB"/>
        </w:rPr>
      </w:pPr>
      <w:r w:rsidRPr="005C285E">
        <w:rPr>
          <w:rFonts w:ascii="Arial" w:eastAsia="Calibri" w:hAnsi="Arial" w:cs="Arial"/>
          <w:sz w:val="20"/>
          <w:szCs w:val="20"/>
          <w:lang w:val="en-GB"/>
        </w:rPr>
        <w:t>Annual 1-2 day safety stand-down in the field for all employees</w:t>
      </w:r>
      <w:r w:rsidR="005E7352">
        <w:rPr>
          <w:rFonts w:ascii="Arial" w:eastAsia="Calibri" w:hAnsi="Arial" w:cs="Arial"/>
          <w:sz w:val="20"/>
          <w:szCs w:val="20"/>
          <w:lang w:val="en-GB"/>
        </w:rPr>
        <w:t>, contractors</w:t>
      </w:r>
      <w:r w:rsidRPr="005C285E">
        <w:rPr>
          <w:rFonts w:ascii="Arial" w:eastAsia="Calibri" w:hAnsi="Arial" w:cs="Arial"/>
          <w:sz w:val="20"/>
          <w:szCs w:val="20"/>
          <w:lang w:val="en-GB"/>
        </w:rPr>
        <w:t xml:space="preserve"> and leadership</w:t>
      </w:r>
    </w:p>
    <w:p w14:paraId="2EF12DDA" w14:textId="11A0BD38" w:rsidR="005C285E" w:rsidRPr="005C285E" w:rsidRDefault="005E7352" w:rsidP="000C581C">
      <w:pPr>
        <w:pStyle w:val="PlainText"/>
        <w:numPr>
          <w:ilvl w:val="0"/>
          <w:numId w:val="27"/>
        </w:numPr>
        <w:jc w:val="both"/>
        <w:rPr>
          <w:rFonts w:ascii="Arial" w:eastAsia="Calibri" w:hAnsi="Arial" w:cs="Arial"/>
          <w:sz w:val="20"/>
          <w:szCs w:val="20"/>
          <w:lang w:val="en-GB"/>
        </w:rPr>
      </w:pPr>
      <w:r>
        <w:rPr>
          <w:rFonts w:ascii="Arial" w:eastAsia="Calibri" w:hAnsi="Arial" w:cs="Arial"/>
          <w:sz w:val="20"/>
          <w:szCs w:val="20"/>
          <w:lang w:val="en-GB"/>
        </w:rPr>
        <w:t>S</w:t>
      </w:r>
      <w:r w:rsidR="005C285E" w:rsidRPr="005C285E">
        <w:rPr>
          <w:rFonts w:ascii="Arial" w:eastAsia="Calibri" w:hAnsi="Arial" w:cs="Arial"/>
          <w:sz w:val="20"/>
          <w:szCs w:val="20"/>
          <w:lang w:val="en-GB"/>
        </w:rPr>
        <w:t xml:space="preserve">pill reduction initiative </w:t>
      </w:r>
      <w:r w:rsidR="008B1170">
        <w:rPr>
          <w:rFonts w:ascii="Arial" w:eastAsia="Calibri" w:hAnsi="Arial" w:cs="Arial"/>
          <w:sz w:val="20"/>
          <w:szCs w:val="20"/>
          <w:lang w:val="en-GB"/>
        </w:rPr>
        <w:t xml:space="preserve">in 2018 </w:t>
      </w:r>
      <w:r w:rsidR="005C285E" w:rsidRPr="005C285E">
        <w:rPr>
          <w:rFonts w:ascii="Arial" w:eastAsia="Calibri" w:hAnsi="Arial" w:cs="Arial"/>
          <w:sz w:val="20"/>
          <w:szCs w:val="20"/>
          <w:lang w:val="en-GB"/>
        </w:rPr>
        <w:t>leading to material operational savings</w:t>
      </w:r>
    </w:p>
    <w:p w14:paraId="7578C621" w14:textId="7F2AF841" w:rsidR="005C285E" w:rsidRDefault="005E7352" w:rsidP="000C581C">
      <w:pPr>
        <w:pStyle w:val="PlainText"/>
        <w:numPr>
          <w:ilvl w:val="0"/>
          <w:numId w:val="27"/>
        </w:numPr>
        <w:jc w:val="both"/>
        <w:rPr>
          <w:rFonts w:ascii="Arial" w:eastAsia="Calibri" w:hAnsi="Arial" w:cs="Arial"/>
          <w:sz w:val="20"/>
          <w:szCs w:val="20"/>
          <w:lang w:val="en-GB"/>
        </w:rPr>
      </w:pPr>
      <w:r>
        <w:rPr>
          <w:rFonts w:ascii="Arial" w:eastAsia="Calibri" w:hAnsi="Arial" w:cs="Arial"/>
          <w:sz w:val="20"/>
          <w:szCs w:val="20"/>
          <w:lang w:val="en-GB"/>
        </w:rPr>
        <w:t>C</w:t>
      </w:r>
      <w:r w:rsidR="005C285E" w:rsidRPr="005C285E">
        <w:rPr>
          <w:rFonts w:ascii="Arial" w:eastAsia="Calibri" w:hAnsi="Arial" w:cs="Arial"/>
          <w:sz w:val="20"/>
          <w:szCs w:val="20"/>
          <w:lang w:val="en-GB"/>
        </w:rPr>
        <w:t xml:space="preserve">ontractor HSE </w:t>
      </w:r>
      <w:r w:rsidR="008B1170">
        <w:rPr>
          <w:rFonts w:ascii="Arial" w:eastAsia="Calibri" w:hAnsi="Arial" w:cs="Arial"/>
          <w:sz w:val="20"/>
          <w:szCs w:val="20"/>
          <w:lang w:val="en-GB"/>
        </w:rPr>
        <w:t xml:space="preserve">audit and </w:t>
      </w:r>
      <w:r w:rsidR="005C285E" w:rsidRPr="005C285E">
        <w:rPr>
          <w:rFonts w:ascii="Arial" w:eastAsia="Calibri" w:hAnsi="Arial" w:cs="Arial"/>
          <w:sz w:val="20"/>
          <w:szCs w:val="20"/>
          <w:lang w:val="en-GB"/>
        </w:rPr>
        <w:t xml:space="preserve">compliance </w:t>
      </w:r>
      <w:r w:rsidR="008B1170">
        <w:rPr>
          <w:rFonts w:ascii="Arial" w:eastAsia="Calibri" w:hAnsi="Arial" w:cs="Arial"/>
          <w:sz w:val="20"/>
          <w:szCs w:val="20"/>
          <w:lang w:val="en-GB"/>
        </w:rPr>
        <w:t>reviews</w:t>
      </w:r>
      <w:r w:rsidR="005C285E" w:rsidRPr="005C285E">
        <w:rPr>
          <w:rFonts w:ascii="Arial" w:eastAsia="Calibri" w:hAnsi="Arial" w:cs="Arial"/>
          <w:sz w:val="20"/>
          <w:szCs w:val="20"/>
          <w:lang w:val="en-GB"/>
        </w:rPr>
        <w:t xml:space="preserve"> to ensure that contractors have the appropriate training for the tasks they are hired for</w:t>
      </w:r>
    </w:p>
    <w:p w14:paraId="43FDC77A" w14:textId="79DA76BF" w:rsidR="008B1170" w:rsidRDefault="008B1170" w:rsidP="000C581C">
      <w:pPr>
        <w:pStyle w:val="PlainText"/>
        <w:jc w:val="both"/>
        <w:rPr>
          <w:rFonts w:ascii="Arial" w:eastAsia="Calibri" w:hAnsi="Arial" w:cs="Arial"/>
          <w:sz w:val="20"/>
          <w:szCs w:val="20"/>
          <w:lang w:val="en-GB"/>
        </w:rPr>
      </w:pPr>
    </w:p>
    <w:p w14:paraId="4D0A7F03" w14:textId="50BC2ACD" w:rsidR="008B1170" w:rsidRDefault="008B1170" w:rsidP="000C581C">
      <w:pPr>
        <w:pStyle w:val="PlainText"/>
        <w:jc w:val="both"/>
        <w:rPr>
          <w:rFonts w:ascii="Arial" w:eastAsia="Calibri" w:hAnsi="Arial" w:cs="Arial"/>
          <w:sz w:val="20"/>
          <w:szCs w:val="20"/>
          <w:lang w:val="en-GB"/>
        </w:rPr>
      </w:pPr>
      <w:r>
        <w:rPr>
          <w:rFonts w:ascii="Arial" w:eastAsia="Calibri" w:hAnsi="Arial" w:cs="Arial"/>
          <w:sz w:val="20"/>
          <w:szCs w:val="20"/>
          <w:lang w:val="en-GB"/>
        </w:rPr>
        <w:t>Recent ESG successes at Hammerhead include:</w:t>
      </w:r>
    </w:p>
    <w:p w14:paraId="5DC2EBD6" w14:textId="77777777" w:rsidR="008B1170" w:rsidRPr="005C285E" w:rsidRDefault="008B1170" w:rsidP="000C581C">
      <w:pPr>
        <w:pStyle w:val="PlainText"/>
        <w:jc w:val="both"/>
        <w:rPr>
          <w:rFonts w:ascii="Arial" w:eastAsia="Calibri" w:hAnsi="Arial" w:cs="Arial"/>
          <w:sz w:val="20"/>
          <w:szCs w:val="20"/>
          <w:lang w:val="en-GB"/>
        </w:rPr>
      </w:pPr>
    </w:p>
    <w:p w14:paraId="3555DA33" w14:textId="69553464" w:rsidR="005C285E" w:rsidRPr="005C285E" w:rsidRDefault="005C285E" w:rsidP="000C581C">
      <w:pPr>
        <w:pStyle w:val="PlainText"/>
        <w:numPr>
          <w:ilvl w:val="0"/>
          <w:numId w:val="29"/>
        </w:numPr>
        <w:jc w:val="both"/>
        <w:rPr>
          <w:rFonts w:ascii="Arial" w:eastAsia="Calibri" w:hAnsi="Arial" w:cs="Arial"/>
          <w:sz w:val="20"/>
          <w:szCs w:val="20"/>
          <w:lang w:val="en-GB"/>
        </w:rPr>
      </w:pPr>
      <w:r w:rsidRPr="005C285E">
        <w:rPr>
          <w:rFonts w:ascii="Arial" w:eastAsia="Calibri" w:hAnsi="Arial" w:cs="Arial"/>
          <w:sz w:val="20"/>
          <w:szCs w:val="20"/>
          <w:lang w:val="en-GB"/>
        </w:rPr>
        <w:t xml:space="preserve">Reduction of trucking trips from </w:t>
      </w:r>
      <w:r w:rsidR="005E7352">
        <w:rPr>
          <w:rFonts w:ascii="Arial" w:eastAsia="Calibri" w:hAnsi="Arial" w:cs="Arial"/>
          <w:sz w:val="20"/>
          <w:szCs w:val="20"/>
          <w:lang w:val="en-GB"/>
        </w:rPr>
        <w:t>35</w:t>
      </w:r>
      <w:r w:rsidRPr="005C285E">
        <w:rPr>
          <w:rFonts w:ascii="Arial" w:eastAsia="Calibri" w:hAnsi="Arial" w:cs="Arial"/>
          <w:sz w:val="20"/>
          <w:szCs w:val="20"/>
          <w:lang w:val="en-GB"/>
        </w:rPr>
        <w:t>0 trips/month</w:t>
      </w:r>
      <w:r w:rsidR="005E7352">
        <w:rPr>
          <w:rFonts w:ascii="Arial" w:eastAsia="Calibri" w:hAnsi="Arial" w:cs="Arial"/>
          <w:sz w:val="20"/>
          <w:szCs w:val="20"/>
          <w:lang w:val="en-GB"/>
        </w:rPr>
        <w:t xml:space="preserve"> in 2016</w:t>
      </w:r>
      <w:r w:rsidRPr="005C285E">
        <w:rPr>
          <w:rFonts w:ascii="Arial" w:eastAsia="Calibri" w:hAnsi="Arial" w:cs="Arial"/>
          <w:sz w:val="20"/>
          <w:szCs w:val="20"/>
          <w:lang w:val="en-GB"/>
        </w:rPr>
        <w:t xml:space="preserve"> to under </w:t>
      </w:r>
      <w:r w:rsidR="005E7352">
        <w:rPr>
          <w:rFonts w:ascii="Arial" w:eastAsia="Calibri" w:hAnsi="Arial" w:cs="Arial"/>
          <w:sz w:val="20"/>
          <w:szCs w:val="20"/>
          <w:lang w:val="en-GB"/>
        </w:rPr>
        <w:t>8</w:t>
      </w:r>
      <w:r w:rsidRPr="005C285E">
        <w:rPr>
          <w:rFonts w:ascii="Arial" w:eastAsia="Calibri" w:hAnsi="Arial" w:cs="Arial"/>
          <w:sz w:val="20"/>
          <w:szCs w:val="20"/>
          <w:lang w:val="en-GB"/>
        </w:rPr>
        <w:t>0 trips/month</w:t>
      </w:r>
      <w:r w:rsidR="005E7352">
        <w:rPr>
          <w:rFonts w:ascii="Arial" w:eastAsia="Calibri" w:hAnsi="Arial" w:cs="Arial"/>
          <w:sz w:val="20"/>
          <w:szCs w:val="20"/>
          <w:lang w:val="en-GB"/>
        </w:rPr>
        <w:t xml:space="preserve"> in 2019</w:t>
      </w:r>
    </w:p>
    <w:p w14:paraId="049A315C" w14:textId="5A22C0B0" w:rsidR="008B1170" w:rsidRPr="008B1170" w:rsidRDefault="008B1170" w:rsidP="000C581C">
      <w:pPr>
        <w:pStyle w:val="PlainText"/>
        <w:numPr>
          <w:ilvl w:val="0"/>
          <w:numId w:val="29"/>
        </w:numPr>
        <w:jc w:val="both"/>
        <w:rPr>
          <w:szCs w:val="22"/>
        </w:rPr>
      </w:pPr>
      <w:r w:rsidRPr="008B1170">
        <w:rPr>
          <w:rFonts w:ascii="Arial" w:eastAsia="Calibri" w:hAnsi="Arial" w:cs="Arial"/>
          <w:sz w:val="20"/>
          <w:szCs w:val="20"/>
          <w:lang w:val="en-GB"/>
        </w:rPr>
        <w:t>Improved analysis on incidents in 2018/19 ensuring actions adequately address identified root causes</w:t>
      </w:r>
    </w:p>
    <w:p w14:paraId="72D13E39" w14:textId="0E127423" w:rsidR="005C285E" w:rsidRPr="005C285E" w:rsidRDefault="005C285E" w:rsidP="000C581C">
      <w:pPr>
        <w:pStyle w:val="PlainText"/>
        <w:numPr>
          <w:ilvl w:val="0"/>
          <w:numId w:val="29"/>
        </w:numPr>
        <w:jc w:val="both"/>
        <w:rPr>
          <w:rFonts w:ascii="Arial" w:eastAsia="Calibri" w:hAnsi="Arial" w:cs="Arial"/>
          <w:sz w:val="20"/>
          <w:szCs w:val="20"/>
          <w:lang w:val="en-GB"/>
        </w:rPr>
      </w:pPr>
      <w:r w:rsidRPr="005C285E">
        <w:rPr>
          <w:rFonts w:ascii="Arial" w:eastAsia="Calibri" w:hAnsi="Arial" w:cs="Arial"/>
          <w:sz w:val="20"/>
          <w:szCs w:val="20"/>
          <w:lang w:val="en-GB"/>
        </w:rPr>
        <w:t>Improvement of safety performance</w:t>
      </w:r>
      <w:r w:rsidR="008B1170">
        <w:rPr>
          <w:rFonts w:ascii="Arial" w:eastAsia="Calibri" w:hAnsi="Arial" w:cs="Arial"/>
          <w:sz w:val="20"/>
          <w:szCs w:val="20"/>
          <w:lang w:val="en-GB"/>
        </w:rPr>
        <w:t xml:space="preserve"> </w:t>
      </w:r>
    </w:p>
    <w:p w14:paraId="3AA92F53" w14:textId="31D966BC" w:rsidR="005C285E" w:rsidRDefault="005C285E" w:rsidP="000C581C">
      <w:pPr>
        <w:jc w:val="both"/>
        <w:rPr>
          <w:rFonts w:eastAsia="MS Gothic"/>
          <w:b/>
          <w:bCs/>
          <w:caps/>
          <w:sz w:val="30"/>
          <w:szCs w:val="32"/>
          <w:lang w:val="en-US"/>
        </w:rPr>
      </w:pPr>
    </w:p>
    <w:p w14:paraId="1F7921EC" w14:textId="6396F948" w:rsidR="005C285E" w:rsidRDefault="005C285E" w:rsidP="000C581C">
      <w:pPr>
        <w:pStyle w:val="PlainText"/>
        <w:jc w:val="both"/>
        <w:rPr>
          <w:rFonts w:ascii="Arial" w:eastAsia="Calibri" w:hAnsi="Arial" w:cs="Arial"/>
          <w:sz w:val="20"/>
          <w:szCs w:val="20"/>
          <w:lang w:val="en-GB"/>
        </w:rPr>
      </w:pPr>
      <w:r w:rsidRPr="005C285E">
        <w:rPr>
          <w:rFonts w:ascii="Arial" w:eastAsia="Calibri" w:hAnsi="Arial" w:cs="Arial"/>
          <w:sz w:val="20"/>
          <w:szCs w:val="20"/>
          <w:lang w:val="en-GB"/>
        </w:rPr>
        <w:t xml:space="preserve">For more information on Hammerhead’s HSE and stakeholder relations policy, please visit </w:t>
      </w:r>
      <w:r w:rsidRPr="00CF64AD">
        <w:rPr>
          <w:rFonts w:ascii="Arial" w:eastAsia="Calibri" w:hAnsi="Arial" w:cs="Arial"/>
          <w:sz w:val="20"/>
          <w:szCs w:val="20"/>
          <w:lang w:val="en-GB"/>
        </w:rPr>
        <w:t>www.hhres.com</w:t>
      </w:r>
      <w:r w:rsidRPr="005C285E">
        <w:rPr>
          <w:rFonts w:ascii="Arial" w:eastAsia="Calibri" w:hAnsi="Arial" w:cs="Arial"/>
          <w:sz w:val="20"/>
          <w:szCs w:val="20"/>
          <w:lang w:val="en-GB"/>
        </w:rPr>
        <w:t>.</w:t>
      </w:r>
    </w:p>
    <w:p w14:paraId="5D5CF692" w14:textId="287203FA" w:rsidR="000C581C" w:rsidRDefault="000C581C" w:rsidP="000C581C">
      <w:pPr>
        <w:pStyle w:val="PlainText"/>
        <w:jc w:val="both"/>
        <w:rPr>
          <w:rFonts w:ascii="Arial" w:eastAsia="Calibri" w:hAnsi="Arial" w:cs="Arial"/>
          <w:sz w:val="20"/>
          <w:szCs w:val="20"/>
          <w:lang w:val="en-GB"/>
        </w:rPr>
      </w:pPr>
    </w:p>
    <w:p w14:paraId="390F4C29" w14:textId="77777777" w:rsidR="000C581C" w:rsidRPr="005C285E" w:rsidRDefault="000C581C" w:rsidP="000C581C">
      <w:pPr>
        <w:pStyle w:val="PlainText"/>
        <w:jc w:val="both"/>
        <w:rPr>
          <w:rFonts w:ascii="Arial" w:eastAsia="Calibri" w:hAnsi="Arial" w:cs="Arial"/>
          <w:sz w:val="20"/>
          <w:szCs w:val="20"/>
          <w:lang w:val="en-GB"/>
        </w:rPr>
      </w:pPr>
    </w:p>
    <w:p w14:paraId="72358526" w14:textId="55064418" w:rsidR="00F1041C" w:rsidRPr="00586B9B" w:rsidRDefault="00F1041C" w:rsidP="000C581C">
      <w:pPr>
        <w:jc w:val="both"/>
      </w:pPr>
      <w:bookmarkStart w:id="7" w:name="_Hlk32592641"/>
      <w:r w:rsidRPr="00586B9B">
        <w:rPr>
          <w:b/>
          <w:caps/>
          <w:sz w:val="30"/>
        </w:rPr>
        <w:t>Investment Manager’s Report</w:t>
      </w:r>
    </w:p>
    <w:p w14:paraId="0A420808" w14:textId="77777777" w:rsidR="00F1041C" w:rsidRPr="00F1041C" w:rsidRDefault="00F1041C" w:rsidP="000C581C">
      <w:pPr>
        <w:jc w:val="both"/>
        <w:rPr>
          <w:rFonts w:eastAsia="Cambria"/>
          <w:b/>
          <w:bCs/>
          <w:iCs/>
          <w:highlight w:val="lightGray"/>
          <w:lang w:val="en-US"/>
        </w:rPr>
      </w:pPr>
    </w:p>
    <w:p w14:paraId="223ACCE3" w14:textId="77777777" w:rsidR="00F1041C" w:rsidRPr="00F1041C" w:rsidRDefault="00F1041C" w:rsidP="000C581C">
      <w:pPr>
        <w:jc w:val="both"/>
        <w:rPr>
          <w:rFonts w:eastAsia="Cambria"/>
          <w:b/>
          <w:bCs/>
          <w:i/>
          <w:iCs/>
          <w:sz w:val="28"/>
          <w:szCs w:val="28"/>
        </w:rPr>
      </w:pPr>
      <w:r w:rsidRPr="00F1041C">
        <w:rPr>
          <w:rFonts w:eastAsia="Cambria"/>
          <w:b/>
          <w:bCs/>
          <w:i/>
          <w:iCs/>
          <w:sz w:val="28"/>
          <w:szCs w:val="28"/>
        </w:rPr>
        <w:t>Emphasis on active portfolio management to navigate through difficult market conditions</w:t>
      </w:r>
    </w:p>
    <w:p w14:paraId="44D2D9DC" w14:textId="77777777" w:rsidR="00F1041C" w:rsidRPr="00F1041C" w:rsidRDefault="00F1041C" w:rsidP="000C581C">
      <w:pPr>
        <w:jc w:val="both"/>
        <w:rPr>
          <w:rFonts w:eastAsia="Cambria"/>
          <w:b/>
          <w:bCs/>
          <w:iCs/>
          <w:highlight w:val="yellow"/>
        </w:rPr>
      </w:pPr>
    </w:p>
    <w:p w14:paraId="67FCAC01" w14:textId="28A140F4" w:rsidR="00F1041C" w:rsidRPr="00F1041C" w:rsidRDefault="00F1041C" w:rsidP="000C581C">
      <w:pPr>
        <w:jc w:val="both"/>
        <w:rPr>
          <w:rFonts w:eastAsia="Cambria"/>
          <w:i/>
          <w:iCs/>
          <w:sz w:val="28"/>
          <w:szCs w:val="28"/>
        </w:rPr>
      </w:pPr>
      <w:r w:rsidRPr="00F1041C">
        <w:rPr>
          <w:rFonts w:eastAsia="Cambria"/>
          <w:i/>
          <w:iCs/>
          <w:sz w:val="28"/>
          <w:szCs w:val="28"/>
        </w:rPr>
        <w:t>After a precipitous decline at the end of 2018, WTI prices experienced another volatile year but ended the</w:t>
      </w:r>
      <w:r w:rsidR="00CC687B">
        <w:rPr>
          <w:rFonts w:eastAsia="Cambria"/>
          <w:i/>
          <w:iCs/>
          <w:sz w:val="28"/>
          <w:szCs w:val="28"/>
        </w:rPr>
        <w:t xml:space="preserve"> </w:t>
      </w:r>
      <w:r w:rsidR="00237601">
        <w:rPr>
          <w:rFonts w:eastAsia="Cambria"/>
          <w:i/>
          <w:iCs/>
          <w:sz w:val="28"/>
          <w:szCs w:val="28"/>
        </w:rPr>
        <w:t>p</w:t>
      </w:r>
      <w:r w:rsidRPr="00F1041C">
        <w:rPr>
          <w:rFonts w:eastAsia="Cambria"/>
          <w:i/>
          <w:iCs/>
          <w:sz w:val="28"/>
          <w:szCs w:val="28"/>
        </w:rPr>
        <w:t>eriod at $61 per barrel, a</w:t>
      </w:r>
      <w:r w:rsidR="00F044A3">
        <w:rPr>
          <w:rFonts w:eastAsia="Cambria"/>
          <w:i/>
          <w:iCs/>
          <w:sz w:val="28"/>
          <w:szCs w:val="28"/>
        </w:rPr>
        <w:t xml:space="preserve"> year-over-year</w:t>
      </w:r>
      <w:r w:rsidRPr="00F1041C">
        <w:rPr>
          <w:rFonts w:eastAsia="Cambria"/>
          <w:i/>
          <w:iCs/>
          <w:sz w:val="28"/>
          <w:szCs w:val="28"/>
        </w:rPr>
        <w:t xml:space="preserve"> increase of 3</w:t>
      </w:r>
      <w:r w:rsidR="00597581">
        <w:rPr>
          <w:rFonts w:eastAsia="Cambria"/>
          <w:i/>
          <w:iCs/>
          <w:sz w:val="28"/>
          <w:szCs w:val="28"/>
        </w:rPr>
        <w:t>5</w:t>
      </w:r>
      <w:r w:rsidRPr="00F1041C">
        <w:rPr>
          <w:rFonts w:eastAsia="Cambria"/>
          <w:i/>
          <w:iCs/>
          <w:sz w:val="28"/>
          <w:szCs w:val="28"/>
        </w:rPr>
        <w:t xml:space="preserve"> per cent. Spot oil prices rallied during the fourth quarter due to increasing geopolitical tensions between the U.S. and Iran, in addition to progress in U.S.-China trade negotiations. However, </w:t>
      </w:r>
      <w:r w:rsidR="00F75528">
        <w:rPr>
          <w:rFonts w:eastAsia="Cambria"/>
          <w:i/>
          <w:iCs/>
          <w:sz w:val="28"/>
          <w:szCs w:val="28"/>
        </w:rPr>
        <w:t xml:space="preserve">oil prices </w:t>
      </w:r>
      <w:r w:rsidR="00E24872">
        <w:rPr>
          <w:rFonts w:eastAsia="Cambria"/>
          <w:i/>
          <w:iCs/>
          <w:sz w:val="28"/>
          <w:szCs w:val="28"/>
        </w:rPr>
        <w:t>in</w:t>
      </w:r>
      <w:r w:rsidR="00F75528">
        <w:rPr>
          <w:rFonts w:eastAsia="Cambria"/>
          <w:i/>
          <w:iCs/>
          <w:sz w:val="28"/>
          <w:szCs w:val="28"/>
        </w:rPr>
        <w:t xml:space="preserve"> 2020 have </w:t>
      </w:r>
      <w:r w:rsidR="00307B35">
        <w:rPr>
          <w:rFonts w:eastAsia="Cambria"/>
          <w:i/>
          <w:iCs/>
          <w:sz w:val="28"/>
          <w:szCs w:val="28"/>
        </w:rPr>
        <w:t>fallen precipitously</w:t>
      </w:r>
      <w:r w:rsidR="00F75528">
        <w:rPr>
          <w:rFonts w:eastAsia="Cambria"/>
          <w:i/>
          <w:iCs/>
          <w:sz w:val="28"/>
          <w:szCs w:val="28"/>
        </w:rPr>
        <w:t xml:space="preserve"> as the impact of coronavirus </w:t>
      </w:r>
      <w:r w:rsidR="00307B35">
        <w:rPr>
          <w:rFonts w:eastAsia="Cambria"/>
          <w:i/>
          <w:iCs/>
          <w:sz w:val="28"/>
          <w:szCs w:val="28"/>
        </w:rPr>
        <w:t>has created uncertainty around</w:t>
      </w:r>
      <w:r w:rsidR="00F75528">
        <w:rPr>
          <w:rFonts w:eastAsia="Cambria"/>
          <w:i/>
          <w:iCs/>
          <w:sz w:val="28"/>
          <w:szCs w:val="28"/>
        </w:rPr>
        <w:t xml:space="preserve"> oil demand growth </w:t>
      </w:r>
      <w:r w:rsidR="00307B35">
        <w:rPr>
          <w:rFonts w:eastAsia="Cambria"/>
          <w:i/>
          <w:iCs/>
          <w:sz w:val="28"/>
          <w:szCs w:val="28"/>
        </w:rPr>
        <w:t xml:space="preserve">while OPEC+ </w:t>
      </w:r>
      <w:r w:rsidR="00C77E35">
        <w:rPr>
          <w:rFonts w:eastAsia="Cambria"/>
          <w:i/>
          <w:iCs/>
          <w:sz w:val="28"/>
          <w:szCs w:val="28"/>
        </w:rPr>
        <w:t xml:space="preserve">began </w:t>
      </w:r>
      <w:r w:rsidR="00307B35">
        <w:rPr>
          <w:rFonts w:eastAsia="Cambria"/>
          <w:i/>
          <w:iCs/>
          <w:sz w:val="28"/>
          <w:szCs w:val="28"/>
        </w:rPr>
        <w:t>to engage in a price war</w:t>
      </w:r>
      <w:r w:rsidR="00F75528">
        <w:rPr>
          <w:rFonts w:eastAsia="Cambria"/>
          <w:i/>
          <w:iCs/>
          <w:sz w:val="28"/>
          <w:szCs w:val="28"/>
        </w:rPr>
        <w:t xml:space="preserve">. </w:t>
      </w:r>
      <w:r w:rsidR="00C77E35">
        <w:rPr>
          <w:rFonts w:eastAsia="Cambria"/>
          <w:i/>
          <w:iCs/>
          <w:sz w:val="28"/>
          <w:szCs w:val="28"/>
        </w:rPr>
        <w:t xml:space="preserve">Though OPEC+ has subsequently agreed to production cuts, they may not outweigh the impacts to inventory balance resulting from </w:t>
      </w:r>
      <w:r w:rsidR="00B179F9">
        <w:rPr>
          <w:rFonts w:eastAsia="Cambria"/>
          <w:i/>
          <w:iCs/>
          <w:sz w:val="28"/>
          <w:szCs w:val="28"/>
        </w:rPr>
        <w:t>COVID-19</w:t>
      </w:r>
      <w:r w:rsidR="00C77E35">
        <w:rPr>
          <w:rFonts w:eastAsia="Cambria"/>
          <w:i/>
          <w:iCs/>
          <w:sz w:val="28"/>
          <w:szCs w:val="28"/>
        </w:rPr>
        <w:t xml:space="preserve">. </w:t>
      </w:r>
      <w:r w:rsidR="00F75528">
        <w:rPr>
          <w:rFonts w:eastAsia="Cambria"/>
          <w:i/>
          <w:iCs/>
          <w:sz w:val="28"/>
          <w:szCs w:val="28"/>
        </w:rPr>
        <w:t xml:space="preserve">Additionally, </w:t>
      </w:r>
      <w:r w:rsidRPr="00F1041C">
        <w:rPr>
          <w:rFonts w:eastAsia="Cambria"/>
          <w:i/>
          <w:iCs/>
          <w:sz w:val="28"/>
          <w:szCs w:val="28"/>
        </w:rPr>
        <w:t xml:space="preserve">energy valuations as well as capital markets activity have continued to remain at low levels as the macro environment continues to face significant uncertainty. As a result, REL has focussed on managing its investments through the market turbulence by prioritising </w:t>
      </w:r>
      <w:r w:rsidR="00307B35">
        <w:rPr>
          <w:rFonts w:eastAsia="Cambria"/>
          <w:i/>
          <w:iCs/>
          <w:sz w:val="28"/>
          <w:szCs w:val="28"/>
        </w:rPr>
        <w:t>defensive initiative</w:t>
      </w:r>
      <w:r w:rsidR="00504E5E">
        <w:rPr>
          <w:rFonts w:eastAsia="Cambria"/>
          <w:i/>
          <w:iCs/>
          <w:sz w:val="28"/>
          <w:szCs w:val="28"/>
        </w:rPr>
        <w:t>s</w:t>
      </w:r>
      <w:r w:rsidRPr="00F1041C">
        <w:rPr>
          <w:rFonts w:eastAsia="Cambria"/>
          <w:i/>
          <w:iCs/>
          <w:sz w:val="28"/>
          <w:szCs w:val="28"/>
        </w:rPr>
        <w:t xml:space="preserve"> and liquidity to preserve and maximise value.</w:t>
      </w:r>
    </w:p>
    <w:p w14:paraId="28D66984" w14:textId="095AC6AA" w:rsidR="002000FA" w:rsidRDefault="002000FA" w:rsidP="000C581C">
      <w:pPr>
        <w:tabs>
          <w:tab w:val="left" w:pos="0"/>
        </w:tabs>
        <w:jc w:val="both"/>
        <w:rPr>
          <w:rFonts w:eastAsia="Calibri"/>
        </w:rPr>
      </w:pPr>
    </w:p>
    <w:p w14:paraId="3DFBC39A" w14:textId="3718D55C" w:rsidR="00F1041C" w:rsidRPr="00F1041C" w:rsidRDefault="002000FA" w:rsidP="000C581C">
      <w:pPr>
        <w:tabs>
          <w:tab w:val="left" w:pos="0"/>
        </w:tabs>
        <w:jc w:val="both"/>
        <w:rPr>
          <w:rFonts w:eastAsia="Calibri"/>
        </w:rPr>
      </w:pPr>
      <w:r w:rsidRPr="00F1041C">
        <w:t>Even though geopolitical developments supported gains in WTI prices</w:t>
      </w:r>
      <w:r>
        <w:rPr>
          <w:rFonts w:eastAsia="Calibri"/>
        </w:rPr>
        <w:t xml:space="preserve"> in 2019</w:t>
      </w:r>
      <w:r>
        <w:t>,</w:t>
      </w:r>
      <w:r w:rsidRPr="00F1041C">
        <w:t xml:space="preserve"> forward oil prices which support valuations </w:t>
      </w:r>
      <w:r>
        <w:rPr>
          <w:rFonts w:eastAsia="Calibri"/>
        </w:rPr>
        <w:t>saw</w:t>
      </w:r>
      <w:r w:rsidRPr="00F1041C">
        <w:t xml:space="preserve"> limited upward movement. </w:t>
      </w:r>
      <w:r>
        <w:rPr>
          <w:rFonts w:eastAsia="Calibri"/>
        </w:rPr>
        <w:t>In 2020, the March meeting of OPEC+ resulted with a heavy increase in expected oil supply driven by Russia and Saudi Arabia. This development, coupled with the impact of coronavirus which</w:t>
      </w:r>
      <w:r>
        <w:t xml:space="preserve"> has </w:t>
      </w:r>
      <w:r>
        <w:rPr>
          <w:rFonts w:eastAsia="Calibri"/>
        </w:rPr>
        <w:t>essentially caused the world</w:t>
      </w:r>
      <w:r>
        <w:t xml:space="preserve"> to </w:t>
      </w:r>
      <w:r>
        <w:rPr>
          <w:rFonts w:eastAsia="Calibri"/>
        </w:rPr>
        <w:t xml:space="preserve">halt much of its economic operations, has moved both oil spot and forward </w:t>
      </w:r>
      <w:r>
        <w:t>prices</w:t>
      </w:r>
      <w:r>
        <w:rPr>
          <w:rFonts w:eastAsia="Calibri"/>
        </w:rPr>
        <w:t xml:space="preserve"> down significantly. While</w:t>
      </w:r>
      <w:r>
        <w:t xml:space="preserve"> </w:t>
      </w:r>
      <w:r w:rsidRPr="00F1041C">
        <w:t xml:space="preserve">investors </w:t>
      </w:r>
      <w:r>
        <w:rPr>
          <w:rFonts w:eastAsia="Calibri"/>
        </w:rPr>
        <w:t>were</w:t>
      </w:r>
      <w:r w:rsidRPr="00F1041C">
        <w:t xml:space="preserve"> bearish </w:t>
      </w:r>
      <w:r>
        <w:rPr>
          <w:rFonts w:eastAsia="Calibri"/>
        </w:rPr>
        <w:t>towards energy in 2019, the recent events that have occurred are only expected to keep investors</w:t>
      </w:r>
      <w:r>
        <w:t xml:space="preserve"> from </w:t>
      </w:r>
      <w:r w:rsidRPr="00F1041C">
        <w:t>inflowing capital into the energy industry. This dynamic has had significant impacts on capital markets and M&amp;A activity as well as trading multiples and valuations, as energy companies have faced considerable challenges in funding growth and cash flow generation.</w:t>
      </w:r>
    </w:p>
    <w:p w14:paraId="1AE65C77" w14:textId="672E59F6" w:rsidR="00307B35" w:rsidRDefault="00307B35" w:rsidP="000C581C">
      <w:pPr>
        <w:tabs>
          <w:tab w:val="left" w:pos="0"/>
        </w:tabs>
        <w:jc w:val="both"/>
        <w:rPr>
          <w:rFonts w:eastAsia="Calibri"/>
        </w:rPr>
      </w:pPr>
    </w:p>
    <w:p w14:paraId="563327A5" w14:textId="0BDA3831" w:rsidR="00307B35" w:rsidRPr="00F1041C" w:rsidRDefault="00307B35" w:rsidP="000C581C">
      <w:pPr>
        <w:tabs>
          <w:tab w:val="left" w:pos="0"/>
        </w:tabs>
        <w:jc w:val="both"/>
        <w:rPr>
          <w:rFonts w:eastAsia="Calibri"/>
        </w:rPr>
      </w:pPr>
      <w:r>
        <w:rPr>
          <w:rFonts w:eastAsia="Calibri"/>
        </w:rPr>
        <w:t xml:space="preserve">In the immediate future, oil prices will likely continue to face headwinds as the inventory balance remains weighted towards supply. As a result, WTI traded at </w:t>
      </w:r>
      <w:r>
        <w:rPr>
          <w:rFonts w:eastAsia="Calibri"/>
          <w:lang w:val="en-US"/>
        </w:rPr>
        <w:t>$</w:t>
      </w:r>
      <w:r w:rsidR="00E24872">
        <w:rPr>
          <w:rFonts w:eastAsia="Calibri"/>
          <w:lang w:val="en-US"/>
        </w:rPr>
        <w:t>20.28</w:t>
      </w:r>
      <w:r>
        <w:rPr>
          <w:rFonts w:eastAsia="Calibri"/>
        </w:rPr>
        <w:t xml:space="preserve"> per barrel as of </w:t>
      </w:r>
      <w:r w:rsidR="00E24872">
        <w:rPr>
          <w:rFonts w:eastAsia="Calibri"/>
        </w:rPr>
        <w:t>31</w:t>
      </w:r>
      <w:r>
        <w:rPr>
          <w:rFonts w:eastAsia="Calibri"/>
        </w:rPr>
        <w:t xml:space="preserve"> March 20</w:t>
      </w:r>
      <w:r w:rsidR="002000FA">
        <w:rPr>
          <w:rFonts w:eastAsia="Calibri"/>
        </w:rPr>
        <w:t>20</w:t>
      </w:r>
      <w:r>
        <w:rPr>
          <w:rFonts w:eastAsia="Calibri"/>
        </w:rPr>
        <w:t xml:space="preserve">. Future oil prices will depend on a couple of important factors that can shift the inventory balance immensely. On the demand side of the equation, coronavirus serves as a key driver as travel bans have been enacted globally to stem the spread of the virus. The ability and speed with which the world can overcome this pandemic will be the most important factor driving demand.  On the supply side, Saudi Arabia and Russia </w:t>
      </w:r>
      <w:r w:rsidR="00C77E35">
        <w:rPr>
          <w:rFonts w:eastAsia="Calibri"/>
        </w:rPr>
        <w:t>postured</w:t>
      </w:r>
      <w:r>
        <w:rPr>
          <w:rFonts w:eastAsia="Calibri"/>
        </w:rPr>
        <w:t xml:space="preserve"> that they would be able to sustain a prolonged period of low oil prices, and U.S. producers </w:t>
      </w:r>
      <w:r w:rsidR="00C77E35">
        <w:rPr>
          <w:rFonts w:eastAsia="Calibri"/>
        </w:rPr>
        <w:t>began</w:t>
      </w:r>
      <w:r>
        <w:rPr>
          <w:rFonts w:eastAsia="Calibri"/>
        </w:rPr>
        <w:t xml:space="preserve"> to pullback production activity as a result. </w:t>
      </w:r>
      <w:r w:rsidR="00C77E35">
        <w:rPr>
          <w:rFonts w:eastAsia="Calibri"/>
        </w:rPr>
        <w:t>While OPEC and other oil producing nations have recently agreed to production cuts of 9.7 mmbpd, it is unlikely these production cuts alone will be sufficient in supporting higher prices without subsi</w:t>
      </w:r>
      <w:r w:rsidR="00B179F9">
        <w:rPr>
          <w:rFonts w:eastAsia="Calibri"/>
        </w:rPr>
        <w:t>ding of the pandemic.</w:t>
      </w:r>
      <w:r>
        <w:rPr>
          <w:rFonts w:eastAsia="Calibri"/>
        </w:rPr>
        <w:t xml:space="preserve"> </w:t>
      </w:r>
    </w:p>
    <w:p w14:paraId="5439D6FB" w14:textId="77777777" w:rsidR="00F1041C" w:rsidRPr="00F1041C" w:rsidRDefault="00F1041C" w:rsidP="000C581C">
      <w:pPr>
        <w:tabs>
          <w:tab w:val="left" w:pos="0"/>
        </w:tabs>
        <w:jc w:val="both"/>
        <w:rPr>
          <w:rFonts w:eastAsia="Calibri"/>
        </w:rPr>
      </w:pPr>
    </w:p>
    <w:p w14:paraId="49F94C1A" w14:textId="37EE0CDD" w:rsidR="00F1041C" w:rsidRPr="00F1041C" w:rsidRDefault="00F1041C" w:rsidP="000C581C">
      <w:pPr>
        <w:tabs>
          <w:tab w:val="left" w:pos="0"/>
        </w:tabs>
        <w:jc w:val="both"/>
        <w:rPr>
          <w:rFonts w:eastAsia="Calibri"/>
        </w:rPr>
      </w:pPr>
      <w:r w:rsidRPr="00F1041C">
        <w:rPr>
          <w:rFonts w:eastAsia="Calibri"/>
        </w:rPr>
        <w:t>While market conditions remain uncertain, Riverstone is focussed on adapting its portfolio companies to successfully navigate through this prolonged downturn which has lasted for more than five years. Key themes implemented across the portfolio include an emphasis on improving operations, reducing costs and maintaining ample liquidity. With the public markets demanding that E&amp;P companies focus on profitability over growth, Riverstone expects industry consolidation to continue as companies seek to increase operational efficiency and leverage premium valuations associated with scale. The announced sale of Castex 2014 and</w:t>
      </w:r>
      <w:r w:rsidRPr="00F1041C">
        <w:rPr>
          <w:rFonts w:eastAsia="Calibri"/>
          <w:color w:val="FF0000"/>
        </w:rPr>
        <w:t xml:space="preserve"> </w:t>
      </w:r>
      <w:r w:rsidRPr="00F1041C">
        <w:rPr>
          <w:rFonts w:eastAsia="Calibri"/>
        </w:rPr>
        <w:t>the undrilled exploration leases of ILX III</w:t>
      </w:r>
      <w:r w:rsidRPr="00F1041C">
        <w:rPr>
          <w:rFonts w:eastAsia="Calibri"/>
          <w:color w:val="FF0000"/>
        </w:rPr>
        <w:t xml:space="preserve"> </w:t>
      </w:r>
      <w:r w:rsidRPr="00F1041C">
        <w:rPr>
          <w:rFonts w:eastAsia="Calibri"/>
        </w:rPr>
        <w:t xml:space="preserve">to Talos Energy (“Talos”, NYSE: TALO) on 11 December 2019 for cash proceeds and Talos shares is an example of this trend. </w:t>
      </w:r>
    </w:p>
    <w:p w14:paraId="40D602E9" w14:textId="02C08814" w:rsidR="00F1041C" w:rsidRDefault="00F1041C" w:rsidP="000C581C">
      <w:pPr>
        <w:tabs>
          <w:tab w:val="left" w:pos="0"/>
        </w:tabs>
        <w:jc w:val="both"/>
        <w:rPr>
          <w:rFonts w:eastAsia="Calibri"/>
        </w:rPr>
      </w:pPr>
    </w:p>
    <w:p w14:paraId="7664001D" w14:textId="3BCDB599" w:rsidR="00F1041C" w:rsidRPr="002248AA" w:rsidRDefault="002000FA" w:rsidP="000C581C">
      <w:pPr>
        <w:tabs>
          <w:tab w:val="left" w:pos="0"/>
        </w:tabs>
        <w:jc w:val="both"/>
      </w:pPr>
      <w:r w:rsidRPr="00F1041C">
        <w:t xml:space="preserve">With industry valuations at cyclical troughs, REL </w:t>
      </w:r>
      <w:r>
        <w:t xml:space="preserve">is </w:t>
      </w:r>
      <w:r>
        <w:rPr>
          <w:rFonts w:eastAsia="Calibri"/>
        </w:rPr>
        <w:t>keenly focussed on preserving liquidity</w:t>
      </w:r>
      <w:r>
        <w:t xml:space="preserve"> and </w:t>
      </w:r>
      <w:r>
        <w:rPr>
          <w:rFonts w:eastAsia="Calibri"/>
        </w:rPr>
        <w:t>executing defensive measures at each of its companies to weather through the turmoil</w:t>
      </w:r>
      <w:r>
        <w:t xml:space="preserve"> in the markets</w:t>
      </w:r>
      <w:r>
        <w:rPr>
          <w:rFonts w:eastAsia="Calibri"/>
        </w:rPr>
        <w:t xml:space="preserve">.  While the </w:t>
      </w:r>
      <w:r>
        <w:t xml:space="preserve">Company </w:t>
      </w:r>
      <w:r>
        <w:rPr>
          <w:rFonts w:eastAsia="Calibri"/>
        </w:rPr>
        <w:t xml:space="preserve">may selectively pursue </w:t>
      </w:r>
      <w:r>
        <w:t xml:space="preserve">new investments </w:t>
      </w:r>
      <w:r>
        <w:rPr>
          <w:rFonts w:eastAsia="Calibri"/>
        </w:rPr>
        <w:t>to capitalize on dislocations,</w:t>
      </w:r>
      <w:r>
        <w:t xml:space="preserve"> it </w:t>
      </w:r>
      <w:r>
        <w:rPr>
          <w:rFonts w:eastAsia="Calibri"/>
        </w:rPr>
        <w:t xml:space="preserve">will </w:t>
      </w:r>
      <w:r w:rsidRPr="00F1041C">
        <w:t>employ</w:t>
      </w:r>
      <w:r>
        <w:t xml:space="preserve"> </w:t>
      </w:r>
      <w:r w:rsidRPr="00F1041C">
        <w:t>a conservative approach to ensure that investments can generate strong risk-adjusted returns while having attributes that can protect against downside risk.</w:t>
      </w:r>
    </w:p>
    <w:p w14:paraId="4C9F95AE" w14:textId="77777777" w:rsidR="00F1041C" w:rsidRPr="00F1041C" w:rsidRDefault="00F1041C" w:rsidP="000C581C">
      <w:pPr>
        <w:tabs>
          <w:tab w:val="left" w:pos="0"/>
        </w:tabs>
        <w:jc w:val="both"/>
        <w:rPr>
          <w:rFonts w:eastAsia="Calibri"/>
        </w:rPr>
      </w:pPr>
    </w:p>
    <w:p w14:paraId="213E2488" w14:textId="77777777" w:rsidR="00F1041C" w:rsidRPr="002248AA" w:rsidRDefault="00F1041C" w:rsidP="000C581C">
      <w:pPr>
        <w:ind w:left="567" w:hanging="567"/>
        <w:jc w:val="both"/>
        <w:outlineLvl w:val="1"/>
        <w:rPr>
          <w:b/>
          <w:sz w:val="28"/>
        </w:rPr>
      </w:pPr>
      <w:r w:rsidRPr="002248AA">
        <w:rPr>
          <w:b/>
          <w:sz w:val="28"/>
        </w:rPr>
        <w:t>Investment Strategy</w:t>
      </w:r>
    </w:p>
    <w:p w14:paraId="680C3398" w14:textId="77777777" w:rsidR="00F1041C" w:rsidRPr="00F1041C" w:rsidRDefault="00F1041C" w:rsidP="000C581C">
      <w:pPr>
        <w:jc w:val="both"/>
        <w:rPr>
          <w:rFonts w:eastAsia="Cambria"/>
        </w:rPr>
      </w:pPr>
    </w:p>
    <w:p w14:paraId="37244548" w14:textId="3141E6A0" w:rsidR="00F1041C" w:rsidRPr="00F1041C" w:rsidRDefault="00F1041C" w:rsidP="000C581C">
      <w:pPr>
        <w:jc w:val="both"/>
        <w:rPr>
          <w:rFonts w:eastAsia="Calibri"/>
        </w:rPr>
      </w:pPr>
      <w:r w:rsidRPr="00F1041C">
        <w:rPr>
          <w:rFonts w:eastAsia="Calibri"/>
        </w:rPr>
        <w:t>The Investment Manager’s objective is to achieve superior risk adjusted after tax returns by making privately negotiated investments in the E&amp;P, midstream, services and power sectors, which are a significant component of virtually all major economies. Long-term market drivers of economic expansion, population growth, development of markets, deregulation, and privatisation allied to near-term commodity price volatility are expected to continue to create opportunities globally for Riverstone.</w:t>
      </w:r>
    </w:p>
    <w:p w14:paraId="0582A6B0" w14:textId="77777777" w:rsidR="00F1041C" w:rsidRPr="00F1041C" w:rsidRDefault="00F1041C" w:rsidP="000C581C">
      <w:pPr>
        <w:jc w:val="both"/>
        <w:rPr>
          <w:rFonts w:eastAsia="Cambria"/>
        </w:rPr>
      </w:pPr>
    </w:p>
    <w:p w14:paraId="00416504" w14:textId="77777777" w:rsidR="00F1041C" w:rsidRPr="00F1041C" w:rsidRDefault="00F1041C" w:rsidP="000C581C">
      <w:pPr>
        <w:spacing w:after="100"/>
        <w:jc w:val="both"/>
        <w:rPr>
          <w:rFonts w:eastAsia="Cambria"/>
        </w:rPr>
      </w:pPr>
      <w:r w:rsidRPr="00F1041C">
        <w:rPr>
          <w:rFonts w:eastAsia="Cambria"/>
        </w:rPr>
        <w:t>Key Drivers:</w:t>
      </w:r>
    </w:p>
    <w:p w14:paraId="67CCEAF8" w14:textId="77777777" w:rsidR="00F1041C" w:rsidRPr="00F1041C" w:rsidRDefault="00F1041C" w:rsidP="000C581C">
      <w:pPr>
        <w:spacing w:after="100"/>
        <w:ind w:left="284" w:hanging="284"/>
        <w:jc w:val="both"/>
        <w:rPr>
          <w:rFonts w:eastAsia="Cambria"/>
        </w:rPr>
      </w:pPr>
      <w:r w:rsidRPr="00F1041C">
        <w:rPr>
          <w:rFonts w:eastAsia="Cambria"/>
        </w:rPr>
        <w:t>•</w:t>
      </w:r>
      <w:r w:rsidRPr="00F1041C">
        <w:rPr>
          <w:rFonts w:eastAsia="Cambria"/>
        </w:rPr>
        <w:tab/>
        <w:t>Capital constraints among companies with high levels of leverage and/or limited access to public markets;</w:t>
      </w:r>
    </w:p>
    <w:p w14:paraId="3B5F25DB" w14:textId="77777777" w:rsidR="00F1041C" w:rsidRPr="00F1041C" w:rsidRDefault="00F1041C" w:rsidP="000C581C">
      <w:pPr>
        <w:spacing w:after="100"/>
        <w:ind w:left="284" w:hanging="284"/>
        <w:jc w:val="both"/>
        <w:rPr>
          <w:rFonts w:eastAsia="Cambria"/>
        </w:rPr>
      </w:pPr>
      <w:r w:rsidRPr="00F1041C">
        <w:rPr>
          <w:rFonts w:eastAsia="Cambria"/>
        </w:rPr>
        <w:t>•</w:t>
      </w:r>
      <w:r w:rsidRPr="00F1041C">
        <w:rPr>
          <w:rFonts w:eastAsia="Cambria"/>
        </w:rPr>
        <w:tab/>
        <w:t>Industry distress and pressures to rationalise assets;</w:t>
      </w:r>
    </w:p>
    <w:p w14:paraId="4C3C0ACA" w14:textId="4F65322B" w:rsidR="00F1041C" w:rsidRPr="00F1041C" w:rsidRDefault="00F1041C" w:rsidP="000C581C">
      <w:pPr>
        <w:spacing w:after="100"/>
        <w:ind w:left="284" w:hanging="284"/>
        <w:jc w:val="both"/>
        <w:rPr>
          <w:rFonts w:eastAsia="Cambria"/>
        </w:rPr>
      </w:pPr>
      <w:r w:rsidRPr="00F1041C">
        <w:rPr>
          <w:rFonts w:eastAsia="Cambria"/>
        </w:rPr>
        <w:t>•</w:t>
      </w:r>
      <w:r w:rsidRPr="00F1041C">
        <w:rPr>
          <w:rFonts w:eastAsia="Cambria"/>
        </w:rPr>
        <w:tab/>
        <w:t>Increases in ability to extract hydrocarbons from oil and gas-rich shale formations;</w:t>
      </w:r>
    </w:p>
    <w:p w14:paraId="2CC1F9B8" w14:textId="77777777" w:rsidR="00F044A3" w:rsidRDefault="00F1041C" w:rsidP="000C581C">
      <w:pPr>
        <w:spacing w:after="100"/>
        <w:ind w:left="284" w:hanging="284"/>
        <w:jc w:val="both"/>
        <w:rPr>
          <w:rFonts w:eastAsia="Cambria"/>
        </w:rPr>
      </w:pPr>
      <w:r w:rsidRPr="00F1041C">
        <w:rPr>
          <w:rFonts w:eastAsia="Cambria"/>
        </w:rPr>
        <w:t>•</w:t>
      </w:r>
      <w:r w:rsidRPr="00F1041C">
        <w:rPr>
          <w:rFonts w:eastAsia="Cambria"/>
        </w:rPr>
        <w:tab/>
        <w:t>Historical under-investment in energy infrastructure</w:t>
      </w:r>
      <w:r w:rsidR="00F044A3">
        <w:rPr>
          <w:rFonts w:eastAsia="Cambria"/>
        </w:rPr>
        <w:t>; and</w:t>
      </w:r>
    </w:p>
    <w:p w14:paraId="3676C51E" w14:textId="78427468" w:rsidR="00F1041C" w:rsidRPr="00F1041C" w:rsidRDefault="00F044A3" w:rsidP="000C581C">
      <w:pPr>
        <w:spacing w:after="100"/>
        <w:ind w:left="284" w:hanging="284"/>
        <w:jc w:val="both"/>
        <w:rPr>
          <w:rFonts w:eastAsia="Cambria"/>
        </w:rPr>
      </w:pPr>
      <w:r w:rsidRPr="00F1041C">
        <w:rPr>
          <w:rFonts w:eastAsia="Cambria"/>
        </w:rPr>
        <w:t>•</w:t>
      </w:r>
      <w:r w:rsidRPr="00F1041C">
        <w:rPr>
          <w:rFonts w:eastAsia="Cambria"/>
        </w:rPr>
        <w:tab/>
      </w:r>
      <w:r>
        <w:rPr>
          <w:rFonts w:eastAsia="Cambria"/>
        </w:rPr>
        <w:t>Rapid growth in electricity consumption.</w:t>
      </w:r>
    </w:p>
    <w:p w14:paraId="0574F2A8" w14:textId="77777777" w:rsidR="00F1041C" w:rsidRPr="00F1041C" w:rsidRDefault="00F1041C" w:rsidP="000C581C">
      <w:pPr>
        <w:spacing w:line="276" w:lineRule="auto"/>
        <w:jc w:val="both"/>
        <w:rPr>
          <w:rFonts w:eastAsia="Cambria"/>
        </w:rPr>
      </w:pPr>
    </w:p>
    <w:p w14:paraId="728DD9F1" w14:textId="57E9A685" w:rsidR="00F1041C" w:rsidRPr="00F1041C" w:rsidRDefault="00F1041C" w:rsidP="000C581C">
      <w:pPr>
        <w:jc w:val="both"/>
        <w:rPr>
          <w:rFonts w:eastAsia="Calibri"/>
        </w:rPr>
      </w:pPr>
      <w:r w:rsidRPr="00F1041C">
        <w:rPr>
          <w:rFonts w:eastAsia="Calibri"/>
        </w:rPr>
        <w:t>The Investment Manager, through its affiliates, has a strong track record of building businesses with management teams. The Company aims to capitalise on the opportunities presented by Riverstone’s pipeline of investments</w:t>
      </w:r>
      <w:r w:rsidR="00267236">
        <w:rPr>
          <w:rFonts w:eastAsia="Calibri"/>
        </w:rPr>
        <w:t>,</w:t>
      </w:r>
      <w:r w:rsidR="002C2C72">
        <w:rPr>
          <w:rFonts w:eastAsia="Calibri"/>
        </w:rPr>
        <w:t xml:space="preserve"> as well as through its modified investment strategy implemented in 2019</w:t>
      </w:r>
      <w:r w:rsidR="002030BB">
        <w:rPr>
          <w:rFonts w:eastAsia="Calibri"/>
        </w:rPr>
        <w:t>.</w:t>
      </w:r>
      <w:r w:rsidR="002C2C72">
        <w:rPr>
          <w:rFonts w:eastAsia="Calibri"/>
          <w:lang w:val="en-US"/>
        </w:rPr>
        <w:t xml:space="preserve"> </w:t>
      </w:r>
      <w:r w:rsidR="002030BB">
        <w:rPr>
          <w:rFonts w:eastAsia="Calibri"/>
          <w:lang w:val="en-US"/>
        </w:rPr>
        <w:t xml:space="preserve">This </w:t>
      </w:r>
      <w:r w:rsidR="002C2C72">
        <w:rPr>
          <w:rFonts w:eastAsia="Calibri"/>
          <w:lang w:val="en-US"/>
        </w:rPr>
        <w:t xml:space="preserve">can be seen </w:t>
      </w:r>
      <w:r w:rsidR="002030BB">
        <w:rPr>
          <w:rFonts w:eastAsia="Calibri"/>
          <w:lang w:val="en-US"/>
        </w:rPr>
        <w:t xml:space="preserve">through the </w:t>
      </w:r>
      <w:r w:rsidR="002C2C72">
        <w:rPr>
          <w:rFonts w:eastAsia="Calibri"/>
          <w:lang w:val="en-US"/>
        </w:rPr>
        <w:t>Partnership’s recent investment in Ridgebury H3 as the Private Riverstone Funds did not participate</w:t>
      </w:r>
      <w:r w:rsidRPr="00F1041C">
        <w:rPr>
          <w:rFonts w:eastAsia="Calibri"/>
        </w:rPr>
        <w:t>.</w:t>
      </w:r>
    </w:p>
    <w:p w14:paraId="46EED442" w14:textId="77777777" w:rsidR="00F1041C" w:rsidRPr="00F1041C" w:rsidRDefault="00F1041C" w:rsidP="000C581C">
      <w:pPr>
        <w:jc w:val="both"/>
        <w:rPr>
          <w:rFonts w:eastAsia="Calibri"/>
        </w:rPr>
      </w:pPr>
    </w:p>
    <w:p w14:paraId="5351BC6B" w14:textId="4F13221C" w:rsidR="00F1041C" w:rsidRDefault="00F1041C" w:rsidP="000C581C">
      <w:pPr>
        <w:jc w:val="both"/>
        <w:rPr>
          <w:rFonts w:eastAsia="Calibri"/>
        </w:rPr>
      </w:pPr>
      <w:r w:rsidRPr="00F1041C">
        <w:rPr>
          <w:rFonts w:eastAsia="Calibri"/>
        </w:rPr>
        <w:t>The Investment Manager, having made over 18</w:t>
      </w:r>
      <w:r w:rsidR="00424650">
        <w:rPr>
          <w:rFonts w:eastAsia="Calibri"/>
        </w:rPr>
        <w:t>5</w:t>
      </w:r>
      <w:r w:rsidRPr="00F1041C">
        <w:rPr>
          <w:rFonts w:eastAsia="Calibri"/>
        </w:rPr>
        <w:t xml:space="preserve"> investments globally in the energy sector since being founded in 2000, utilises its extensive industry expertise and relationships to thoroughly evaluate investment opportunities and uses its significant experience in conducting due diligence, valuing assets and all other aspects of deal execution, including financial and legal structuring, accounting and compensation design. The Investment Manager also draws upon its extensive network of relationships with industry-focussed professional advisory firms to assist with due diligence in other areas such as accounting, tax, legal, employee benefits, environmental, engineering and insurance.</w:t>
      </w:r>
    </w:p>
    <w:p w14:paraId="2C107273" w14:textId="77777777" w:rsidR="000C581C" w:rsidRPr="00F1041C" w:rsidRDefault="000C581C" w:rsidP="000C581C">
      <w:pPr>
        <w:jc w:val="both"/>
        <w:rPr>
          <w:rFonts w:eastAsia="Calibri"/>
        </w:rPr>
      </w:pPr>
    </w:p>
    <w:p w14:paraId="493E3ED8" w14:textId="34CA7657" w:rsidR="000C581C" w:rsidRDefault="00F1041C" w:rsidP="00F1041C">
      <w:pPr>
        <w:rPr>
          <w:b/>
          <w:sz w:val="24"/>
          <w:lang w:val="en-US"/>
        </w:rPr>
      </w:pPr>
      <w:r w:rsidRPr="002248AA">
        <w:rPr>
          <w:b/>
          <w:sz w:val="24"/>
          <w:lang w:val="en-US"/>
        </w:rPr>
        <w:t>Current Portfolio</w:t>
      </w:r>
    </w:p>
    <w:tbl>
      <w:tblPr>
        <w:tblW w:w="10475" w:type="dxa"/>
        <w:tblLayout w:type="fixed"/>
        <w:tblCellMar>
          <w:left w:w="0" w:type="dxa"/>
          <w:right w:w="0" w:type="dxa"/>
        </w:tblCellMar>
        <w:tblLook w:val="0420" w:firstRow="1" w:lastRow="0" w:firstColumn="0" w:lastColumn="0" w:noHBand="0" w:noVBand="1"/>
      </w:tblPr>
      <w:tblGrid>
        <w:gridCol w:w="1857"/>
        <w:gridCol w:w="158"/>
        <w:gridCol w:w="1289"/>
        <w:gridCol w:w="1390"/>
        <w:gridCol w:w="956"/>
        <w:gridCol w:w="956"/>
        <w:gridCol w:w="1043"/>
        <w:gridCol w:w="1217"/>
        <w:gridCol w:w="869"/>
        <w:gridCol w:w="740"/>
      </w:tblGrid>
      <w:tr w:rsidR="002248AA" w:rsidRPr="00F1041C" w14:paraId="36416D5B" w14:textId="77777777" w:rsidTr="000C581C">
        <w:trPr>
          <w:trHeight w:val="46"/>
        </w:trPr>
        <w:tc>
          <w:tcPr>
            <w:tcW w:w="1857" w:type="dxa"/>
            <w:tcBorders>
              <w:left w:val="nil"/>
              <w:right w:val="nil"/>
            </w:tcBorders>
            <w:shd w:val="clear" w:color="auto" w:fill="auto"/>
            <w:tcMar>
              <w:top w:w="15" w:type="dxa"/>
              <w:left w:w="137" w:type="dxa"/>
              <w:bottom w:w="0" w:type="dxa"/>
              <w:right w:w="15" w:type="dxa"/>
            </w:tcMar>
            <w:vAlign w:val="bottom"/>
          </w:tcPr>
          <w:p w14:paraId="73FDBE15" w14:textId="1348120C" w:rsidR="00F1041C" w:rsidRPr="002248AA" w:rsidRDefault="00F1041C" w:rsidP="002248AA">
            <w:pPr>
              <w:spacing w:line="276" w:lineRule="auto"/>
              <w:jc w:val="center"/>
              <w:rPr>
                <w:b/>
                <w:lang w:val="en-US"/>
              </w:rPr>
            </w:pPr>
            <w:r w:rsidRPr="00F1041C">
              <w:rPr>
                <w:rFonts w:eastAsia="Calibri"/>
                <w:b/>
                <w:lang w:val="en-US"/>
              </w:rPr>
              <w:t>Investment</w:t>
            </w:r>
            <w:r w:rsidRPr="00F1041C">
              <w:rPr>
                <w:rFonts w:eastAsia="Calibri"/>
                <w:b/>
                <w:lang w:val="en-US"/>
              </w:rPr>
              <w:br/>
            </w:r>
            <w:r w:rsidRPr="002248AA">
              <w:rPr>
                <w:lang w:val="en-US"/>
              </w:rPr>
              <w:t>(</w:t>
            </w:r>
            <w:r w:rsidRPr="00F1041C">
              <w:rPr>
                <w:rFonts w:eastAsia="Calibri"/>
                <w:i/>
                <w:lang w:val="en-US"/>
              </w:rPr>
              <w:t>Initial Investment Date</w:t>
            </w:r>
            <w:r w:rsidRPr="002248AA">
              <w:rPr>
                <w:lang w:val="en-US"/>
              </w:rPr>
              <w:t>)</w:t>
            </w:r>
          </w:p>
        </w:tc>
        <w:tc>
          <w:tcPr>
            <w:tcW w:w="158" w:type="dxa"/>
            <w:tcBorders>
              <w:left w:val="nil"/>
              <w:right w:val="nil"/>
            </w:tcBorders>
            <w:shd w:val="clear" w:color="auto" w:fill="auto"/>
            <w:tcMar>
              <w:top w:w="15" w:type="dxa"/>
              <w:left w:w="69" w:type="dxa"/>
              <w:bottom w:w="0" w:type="dxa"/>
              <w:right w:w="69" w:type="dxa"/>
            </w:tcMar>
            <w:vAlign w:val="bottom"/>
          </w:tcPr>
          <w:p w14:paraId="687225C3" w14:textId="77777777" w:rsidR="00F1041C" w:rsidRPr="00F1041C" w:rsidRDefault="00F1041C" w:rsidP="002248AA">
            <w:pPr>
              <w:spacing w:after="200" w:line="276" w:lineRule="auto"/>
              <w:jc w:val="center"/>
              <w:rPr>
                <w:rFonts w:eastAsia="Calibri"/>
                <w:color w:val="000000"/>
                <w:lang w:val="en-US"/>
              </w:rPr>
            </w:pPr>
          </w:p>
        </w:tc>
        <w:tc>
          <w:tcPr>
            <w:tcW w:w="1289" w:type="dxa"/>
            <w:tcBorders>
              <w:left w:val="nil"/>
              <w:right w:val="nil"/>
            </w:tcBorders>
            <w:shd w:val="clear" w:color="auto" w:fill="auto"/>
            <w:vAlign w:val="bottom"/>
          </w:tcPr>
          <w:p w14:paraId="7E1F86AC" w14:textId="77777777" w:rsidR="00F1041C" w:rsidRPr="00F1041C" w:rsidRDefault="00F1041C" w:rsidP="002248AA">
            <w:pPr>
              <w:spacing w:line="276" w:lineRule="auto"/>
              <w:jc w:val="center"/>
              <w:rPr>
                <w:rFonts w:eastAsia="Calibri"/>
                <w:color w:val="000000"/>
                <w:lang w:val="en-US"/>
              </w:rPr>
            </w:pPr>
            <w:r w:rsidRPr="00F1041C">
              <w:rPr>
                <w:rFonts w:eastAsia="Times New Roman"/>
                <w:b/>
                <w:bCs/>
                <w:lang w:val="en-US"/>
              </w:rPr>
              <w:t>Target Basin</w:t>
            </w:r>
          </w:p>
        </w:tc>
        <w:tc>
          <w:tcPr>
            <w:tcW w:w="1390" w:type="dxa"/>
            <w:tcBorders>
              <w:left w:val="nil"/>
              <w:right w:val="nil"/>
            </w:tcBorders>
            <w:shd w:val="clear" w:color="auto" w:fill="auto"/>
            <w:vAlign w:val="bottom"/>
          </w:tcPr>
          <w:p w14:paraId="1A7E76B6" w14:textId="4EE9197F" w:rsidR="00F1041C" w:rsidRPr="00F1041C" w:rsidRDefault="00F1041C" w:rsidP="002248AA">
            <w:pPr>
              <w:spacing w:line="276" w:lineRule="auto"/>
              <w:jc w:val="center"/>
              <w:rPr>
                <w:rFonts w:eastAsia="Calibri"/>
                <w:lang w:val="en-US"/>
              </w:rPr>
            </w:pPr>
            <w:r w:rsidRPr="00F1041C">
              <w:rPr>
                <w:rFonts w:eastAsia="Times New Roman"/>
                <w:b/>
                <w:bCs/>
                <w:lang w:val="en-US"/>
              </w:rPr>
              <w:t>Gross Committed Capital ($mm)</w:t>
            </w:r>
          </w:p>
        </w:tc>
        <w:tc>
          <w:tcPr>
            <w:tcW w:w="956" w:type="dxa"/>
            <w:tcBorders>
              <w:left w:val="nil"/>
              <w:right w:val="nil"/>
            </w:tcBorders>
            <w:shd w:val="clear" w:color="auto" w:fill="auto"/>
            <w:tcMar>
              <w:top w:w="15" w:type="dxa"/>
              <w:left w:w="69" w:type="dxa"/>
              <w:bottom w:w="0" w:type="dxa"/>
              <w:right w:w="69" w:type="dxa"/>
            </w:tcMar>
            <w:vAlign w:val="bottom"/>
          </w:tcPr>
          <w:p w14:paraId="009CF246" w14:textId="77777777" w:rsidR="00F1041C" w:rsidRPr="00F1041C" w:rsidRDefault="00F1041C" w:rsidP="00F1041C">
            <w:pPr>
              <w:spacing w:line="280" w:lineRule="exact"/>
              <w:jc w:val="center"/>
              <w:rPr>
                <w:rFonts w:eastAsia="Times New Roman"/>
                <w:b/>
                <w:bCs/>
                <w:lang w:val="en-US"/>
              </w:rPr>
            </w:pPr>
            <w:r w:rsidRPr="00F1041C">
              <w:rPr>
                <w:rFonts w:eastAsia="Times New Roman"/>
                <w:b/>
                <w:bCs/>
                <w:lang w:val="en-US"/>
              </w:rPr>
              <w:t>Invested</w:t>
            </w:r>
          </w:p>
          <w:p w14:paraId="200705DA" w14:textId="77777777" w:rsidR="00F1041C" w:rsidRPr="00F1041C" w:rsidRDefault="00F1041C" w:rsidP="002248AA">
            <w:pPr>
              <w:spacing w:line="276" w:lineRule="auto"/>
              <w:jc w:val="center"/>
              <w:rPr>
                <w:rFonts w:eastAsia="Calibri"/>
                <w:lang w:val="en-US"/>
              </w:rPr>
            </w:pPr>
            <w:r w:rsidRPr="00F1041C">
              <w:rPr>
                <w:rFonts w:eastAsia="Times New Roman"/>
                <w:b/>
                <w:bCs/>
                <w:lang w:val="en-US"/>
              </w:rPr>
              <w:t>Capital ($mm)</w:t>
            </w:r>
          </w:p>
        </w:tc>
        <w:tc>
          <w:tcPr>
            <w:tcW w:w="956" w:type="dxa"/>
            <w:tcBorders>
              <w:left w:val="nil"/>
              <w:right w:val="nil"/>
            </w:tcBorders>
            <w:shd w:val="clear" w:color="auto" w:fill="auto"/>
            <w:tcMar>
              <w:top w:w="15" w:type="dxa"/>
              <w:left w:w="69" w:type="dxa"/>
              <w:bottom w:w="0" w:type="dxa"/>
              <w:right w:w="69" w:type="dxa"/>
            </w:tcMar>
            <w:vAlign w:val="bottom"/>
          </w:tcPr>
          <w:p w14:paraId="48784C4B" w14:textId="77777777" w:rsidR="00F1041C" w:rsidRPr="00F1041C" w:rsidRDefault="00F1041C" w:rsidP="00F1041C">
            <w:pPr>
              <w:spacing w:line="280" w:lineRule="exact"/>
              <w:jc w:val="center"/>
              <w:rPr>
                <w:rFonts w:eastAsia="Times New Roman"/>
                <w:b/>
                <w:bCs/>
                <w:lang w:val="en-US"/>
              </w:rPr>
            </w:pPr>
            <w:r w:rsidRPr="00F1041C">
              <w:rPr>
                <w:rFonts w:eastAsia="Times New Roman"/>
                <w:b/>
                <w:bCs/>
                <w:lang w:val="en-US"/>
              </w:rPr>
              <w:t>Gross Realised</w:t>
            </w:r>
          </w:p>
          <w:p w14:paraId="4A13C541" w14:textId="6336B70B" w:rsidR="00F1041C" w:rsidRPr="00F1041C" w:rsidRDefault="00F1041C" w:rsidP="002248AA">
            <w:pPr>
              <w:spacing w:line="276" w:lineRule="auto"/>
              <w:jc w:val="center"/>
              <w:rPr>
                <w:rFonts w:eastAsia="Calibri"/>
                <w:color w:val="000000"/>
                <w:lang w:val="en-US"/>
              </w:rPr>
            </w:pPr>
            <w:r w:rsidRPr="00F1041C">
              <w:rPr>
                <w:rFonts w:eastAsia="Times New Roman"/>
                <w:b/>
                <w:bCs/>
                <w:lang w:val="en-US"/>
              </w:rPr>
              <w:lastRenderedPageBreak/>
              <w:t>Capital ($mm)</w:t>
            </w:r>
            <w:r w:rsidRPr="00F1041C">
              <w:rPr>
                <w:rFonts w:eastAsia="Times New Roman"/>
                <w:b/>
                <w:bCs/>
                <w:vertAlign w:val="superscript"/>
                <w:lang w:val="en-US"/>
              </w:rPr>
              <w:endnoteReference w:id="2"/>
            </w:r>
          </w:p>
        </w:tc>
        <w:tc>
          <w:tcPr>
            <w:tcW w:w="1043" w:type="dxa"/>
            <w:tcBorders>
              <w:left w:val="nil"/>
              <w:right w:val="nil"/>
            </w:tcBorders>
            <w:shd w:val="clear" w:color="auto" w:fill="auto"/>
            <w:vAlign w:val="bottom"/>
          </w:tcPr>
          <w:p w14:paraId="73833543" w14:textId="77777777" w:rsidR="00F1041C" w:rsidRPr="00F1041C" w:rsidRDefault="00F1041C" w:rsidP="00F1041C">
            <w:pPr>
              <w:spacing w:line="280" w:lineRule="exact"/>
              <w:jc w:val="center"/>
              <w:rPr>
                <w:rFonts w:eastAsia="Times New Roman"/>
                <w:b/>
                <w:bCs/>
                <w:lang w:val="en-US"/>
              </w:rPr>
            </w:pPr>
            <w:r w:rsidRPr="00F1041C">
              <w:rPr>
                <w:rFonts w:eastAsia="Times New Roman"/>
                <w:b/>
                <w:bCs/>
                <w:lang w:val="en-US"/>
              </w:rPr>
              <w:lastRenderedPageBreak/>
              <w:t>Gross Unrealised Value</w:t>
            </w:r>
          </w:p>
          <w:p w14:paraId="0B9F45B4" w14:textId="77777777" w:rsidR="00F1041C" w:rsidRPr="002248AA" w:rsidRDefault="00F1041C" w:rsidP="002248AA">
            <w:pPr>
              <w:spacing w:line="276" w:lineRule="auto"/>
              <w:jc w:val="center"/>
              <w:rPr>
                <w:lang w:val="en-US"/>
              </w:rPr>
            </w:pPr>
            <w:r w:rsidRPr="00F1041C">
              <w:rPr>
                <w:rFonts w:eastAsia="Times New Roman"/>
                <w:b/>
                <w:bCs/>
                <w:lang w:val="en-US"/>
              </w:rPr>
              <w:t>($mm)</w:t>
            </w:r>
          </w:p>
        </w:tc>
        <w:tc>
          <w:tcPr>
            <w:tcW w:w="1217" w:type="dxa"/>
            <w:tcBorders>
              <w:left w:val="nil"/>
              <w:right w:val="nil"/>
            </w:tcBorders>
            <w:shd w:val="clear" w:color="auto" w:fill="auto"/>
            <w:vAlign w:val="bottom"/>
          </w:tcPr>
          <w:p w14:paraId="7841AF54" w14:textId="77777777" w:rsidR="00F1041C" w:rsidRPr="00F1041C" w:rsidRDefault="00F1041C" w:rsidP="002248AA">
            <w:pPr>
              <w:spacing w:line="276" w:lineRule="auto"/>
              <w:jc w:val="center"/>
              <w:rPr>
                <w:rFonts w:eastAsia="Calibri"/>
                <w:lang w:val="en-US"/>
              </w:rPr>
            </w:pPr>
            <w:r w:rsidRPr="00F1041C">
              <w:rPr>
                <w:rFonts w:eastAsia="Times New Roman"/>
                <w:b/>
                <w:bCs/>
                <w:lang w:val="en-US"/>
              </w:rPr>
              <w:t xml:space="preserve">Gross Realised Capital &amp; </w:t>
            </w:r>
            <w:r w:rsidRPr="00F1041C">
              <w:rPr>
                <w:rFonts w:eastAsia="Times New Roman"/>
                <w:b/>
                <w:bCs/>
                <w:lang w:val="en-US"/>
              </w:rPr>
              <w:lastRenderedPageBreak/>
              <w:t>Unrealised Value ($mm)</w:t>
            </w:r>
          </w:p>
        </w:tc>
        <w:tc>
          <w:tcPr>
            <w:tcW w:w="869" w:type="dxa"/>
            <w:tcBorders>
              <w:left w:val="nil"/>
              <w:right w:val="nil"/>
            </w:tcBorders>
            <w:shd w:val="clear" w:color="auto" w:fill="auto"/>
            <w:tcMar>
              <w:top w:w="15" w:type="dxa"/>
              <w:left w:w="69" w:type="dxa"/>
              <w:bottom w:w="0" w:type="dxa"/>
              <w:right w:w="69" w:type="dxa"/>
            </w:tcMar>
            <w:vAlign w:val="bottom"/>
          </w:tcPr>
          <w:p w14:paraId="0AF0186A" w14:textId="2F43D792" w:rsidR="00F1041C" w:rsidRPr="00F1041C" w:rsidRDefault="00F1041C" w:rsidP="002248AA">
            <w:pPr>
              <w:spacing w:line="276" w:lineRule="auto"/>
              <w:jc w:val="center"/>
              <w:rPr>
                <w:rFonts w:eastAsia="Calibri"/>
                <w:lang w:val="en-US"/>
              </w:rPr>
            </w:pPr>
            <w:r w:rsidRPr="00F1041C">
              <w:rPr>
                <w:rFonts w:eastAsia="Times New Roman"/>
                <w:b/>
                <w:bCs/>
                <w:lang w:val="en-US"/>
              </w:rPr>
              <w:lastRenderedPageBreak/>
              <w:t>31 Dec 2019 Gross MOIC</w:t>
            </w:r>
            <w:r w:rsidRPr="00F1041C">
              <w:rPr>
                <w:rFonts w:eastAsia="Times New Roman"/>
                <w:b/>
                <w:bCs/>
                <w:vertAlign w:val="superscript"/>
                <w:lang w:val="en-US"/>
              </w:rPr>
              <w:endnoteReference w:customMarkFollows="1" w:id="3"/>
              <w:t>2</w:t>
            </w:r>
          </w:p>
        </w:tc>
        <w:tc>
          <w:tcPr>
            <w:tcW w:w="740" w:type="dxa"/>
            <w:tcBorders>
              <w:left w:val="nil"/>
              <w:right w:val="nil"/>
            </w:tcBorders>
            <w:shd w:val="clear" w:color="auto" w:fill="auto"/>
            <w:vAlign w:val="bottom"/>
          </w:tcPr>
          <w:p w14:paraId="37E54764" w14:textId="58B1BE80" w:rsidR="00F1041C" w:rsidRPr="00F1041C" w:rsidRDefault="00F1041C" w:rsidP="00F1041C">
            <w:pPr>
              <w:spacing w:line="276" w:lineRule="auto"/>
              <w:jc w:val="center"/>
              <w:rPr>
                <w:rFonts w:eastAsia="Times New Roman"/>
                <w:b/>
                <w:bCs/>
                <w:lang w:val="en-US"/>
              </w:rPr>
            </w:pPr>
            <w:r w:rsidRPr="00F1041C">
              <w:rPr>
                <w:rFonts w:eastAsia="Times New Roman"/>
                <w:b/>
                <w:bCs/>
                <w:lang w:val="en-US"/>
              </w:rPr>
              <w:t>31 Dec 2018</w:t>
            </w:r>
          </w:p>
          <w:p w14:paraId="71F09999" w14:textId="565CA77F" w:rsidR="00F1041C" w:rsidRPr="002248AA" w:rsidRDefault="00F1041C" w:rsidP="002248AA">
            <w:pPr>
              <w:spacing w:line="276" w:lineRule="auto"/>
              <w:jc w:val="center"/>
              <w:rPr>
                <w:lang w:val="en-US"/>
              </w:rPr>
            </w:pPr>
            <w:r w:rsidRPr="00F1041C">
              <w:rPr>
                <w:rFonts w:eastAsia="Times New Roman"/>
                <w:b/>
                <w:bCs/>
                <w:lang w:val="en-US"/>
              </w:rPr>
              <w:t>Gross MOIC</w:t>
            </w:r>
            <w:r w:rsidRPr="00F1041C">
              <w:rPr>
                <w:rFonts w:eastAsia="Times New Roman"/>
                <w:b/>
                <w:bCs/>
                <w:vertAlign w:val="superscript"/>
                <w:lang w:val="en-US"/>
              </w:rPr>
              <w:t>2</w:t>
            </w:r>
          </w:p>
        </w:tc>
      </w:tr>
      <w:tr w:rsidR="002248AA" w:rsidRPr="00F1041C" w14:paraId="514E5893" w14:textId="77777777" w:rsidTr="000C581C">
        <w:trPr>
          <w:trHeight w:val="45"/>
        </w:trPr>
        <w:tc>
          <w:tcPr>
            <w:tcW w:w="1857" w:type="dxa"/>
            <w:tcBorders>
              <w:left w:val="nil"/>
              <w:right w:val="nil"/>
            </w:tcBorders>
            <w:shd w:val="clear" w:color="auto" w:fill="auto"/>
            <w:tcMar>
              <w:top w:w="15" w:type="dxa"/>
              <w:left w:w="137" w:type="dxa"/>
              <w:bottom w:w="0" w:type="dxa"/>
              <w:right w:w="15" w:type="dxa"/>
            </w:tcMar>
          </w:tcPr>
          <w:p w14:paraId="070D0FC2" w14:textId="7FEC67DA" w:rsidR="00F1041C" w:rsidRPr="002248AA" w:rsidRDefault="00F1041C" w:rsidP="002248AA">
            <w:pPr>
              <w:spacing w:after="120" w:line="276" w:lineRule="auto"/>
              <w:rPr>
                <w:i/>
                <w:lang w:val="en-US"/>
              </w:rPr>
            </w:pPr>
            <w:r w:rsidRPr="00F1041C">
              <w:rPr>
                <w:rFonts w:eastAsia="Calibri"/>
                <w:b/>
                <w:lang w:val="en-US"/>
              </w:rPr>
              <w:t>Centennial</w:t>
            </w:r>
            <w:r w:rsidRPr="00F1041C">
              <w:rPr>
                <w:rFonts w:eastAsia="Calibri"/>
                <w:i/>
                <w:lang w:val="en-US"/>
              </w:rPr>
              <w:t xml:space="preserve">        </w:t>
            </w:r>
            <w:r w:rsidRPr="00F1041C">
              <w:rPr>
                <w:rFonts w:eastAsia="Calibri"/>
                <w:i/>
                <w:lang w:val="en-US"/>
              </w:rPr>
              <w:br/>
              <w:t>(6 Jul 2016)</w:t>
            </w:r>
          </w:p>
        </w:tc>
        <w:tc>
          <w:tcPr>
            <w:tcW w:w="158" w:type="dxa"/>
            <w:tcBorders>
              <w:left w:val="nil"/>
              <w:right w:val="nil"/>
            </w:tcBorders>
            <w:shd w:val="clear" w:color="auto" w:fill="auto"/>
            <w:tcMar>
              <w:top w:w="15" w:type="dxa"/>
              <w:left w:w="69" w:type="dxa"/>
              <w:bottom w:w="0" w:type="dxa"/>
              <w:right w:w="69" w:type="dxa"/>
            </w:tcMar>
            <w:vAlign w:val="center"/>
          </w:tcPr>
          <w:p w14:paraId="1B2234D5" w14:textId="77777777" w:rsidR="00F1041C" w:rsidRPr="00F1041C" w:rsidRDefault="00F1041C" w:rsidP="002248AA">
            <w:pPr>
              <w:spacing w:after="120" w:line="276" w:lineRule="auto"/>
              <w:rPr>
                <w:rFonts w:eastAsia="Calibri"/>
                <w:color w:val="000000"/>
                <w:lang w:val="en-US"/>
              </w:rPr>
            </w:pPr>
          </w:p>
        </w:tc>
        <w:tc>
          <w:tcPr>
            <w:tcW w:w="1289" w:type="dxa"/>
            <w:tcBorders>
              <w:left w:val="nil"/>
              <w:right w:val="nil"/>
            </w:tcBorders>
            <w:shd w:val="clear" w:color="auto" w:fill="auto"/>
          </w:tcPr>
          <w:p w14:paraId="0A51A16E" w14:textId="2B590E02" w:rsidR="00F1041C" w:rsidRPr="002248AA" w:rsidRDefault="00F1041C" w:rsidP="002248AA">
            <w:pPr>
              <w:spacing w:after="120" w:line="276" w:lineRule="auto"/>
              <w:jc w:val="center"/>
              <w:rPr>
                <w:color w:val="000000"/>
                <w:lang w:val="en-US"/>
              </w:rPr>
            </w:pPr>
            <w:r w:rsidRPr="00F1041C">
              <w:rPr>
                <w:rFonts w:eastAsia="Calibri"/>
                <w:color w:val="000000"/>
                <w:lang w:val="en-US"/>
              </w:rPr>
              <w:t>Permian</w:t>
            </w:r>
            <w:r w:rsidRPr="00F1041C">
              <w:rPr>
                <w:rFonts w:eastAsia="Calibri"/>
                <w:color w:val="000000"/>
                <w:lang w:val="en-US"/>
              </w:rPr>
              <w:br/>
              <w:t>(U.S.)</w:t>
            </w:r>
          </w:p>
        </w:tc>
        <w:tc>
          <w:tcPr>
            <w:tcW w:w="1390" w:type="dxa"/>
            <w:tcBorders>
              <w:left w:val="nil"/>
              <w:right w:val="nil"/>
            </w:tcBorders>
            <w:shd w:val="clear" w:color="auto" w:fill="auto"/>
          </w:tcPr>
          <w:p w14:paraId="78AAA876" w14:textId="77777777" w:rsidR="00F1041C" w:rsidRPr="002248AA" w:rsidRDefault="00F1041C" w:rsidP="002248AA">
            <w:pPr>
              <w:spacing w:after="120" w:line="276" w:lineRule="auto"/>
              <w:jc w:val="center"/>
              <w:rPr>
                <w:lang w:val="en-US"/>
              </w:rPr>
            </w:pPr>
            <w:r w:rsidRPr="002248AA">
              <w:rPr>
                <w:lang w:val="en-US"/>
              </w:rPr>
              <w:t>$268</w:t>
            </w:r>
          </w:p>
        </w:tc>
        <w:tc>
          <w:tcPr>
            <w:tcW w:w="956" w:type="dxa"/>
            <w:tcBorders>
              <w:left w:val="nil"/>
              <w:right w:val="nil"/>
            </w:tcBorders>
            <w:shd w:val="clear" w:color="auto" w:fill="auto"/>
            <w:tcMar>
              <w:top w:w="15" w:type="dxa"/>
              <w:left w:w="69" w:type="dxa"/>
              <w:bottom w:w="0" w:type="dxa"/>
              <w:right w:w="69" w:type="dxa"/>
            </w:tcMar>
          </w:tcPr>
          <w:p w14:paraId="460DBD37" w14:textId="77777777" w:rsidR="00F1041C" w:rsidRPr="002248AA" w:rsidRDefault="00F1041C" w:rsidP="002248AA">
            <w:pPr>
              <w:spacing w:after="120" w:line="276" w:lineRule="auto"/>
              <w:jc w:val="center"/>
              <w:rPr>
                <w:lang w:val="en-US"/>
              </w:rPr>
            </w:pPr>
            <w:r w:rsidRPr="002248AA">
              <w:rPr>
                <w:lang w:val="en-US"/>
              </w:rPr>
              <w:t>$268</w:t>
            </w:r>
          </w:p>
        </w:tc>
        <w:tc>
          <w:tcPr>
            <w:tcW w:w="956" w:type="dxa"/>
            <w:tcBorders>
              <w:left w:val="nil"/>
              <w:right w:val="nil"/>
            </w:tcBorders>
            <w:shd w:val="clear" w:color="auto" w:fill="auto"/>
            <w:tcMar>
              <w:top w:w="15" w:type="dxa"/>
              <w:left w:w="69" w:type="dxa"/>
              <w:bottom w:w="0" w:type="dxa"/>
              <w:right w:w="69" w:type="dxa"/>
            </w:tcMar>
          </w:tcPr>
          <w:p w14:paraId="1820B4AF" w14:textId="77777777" w:rsidR="00F1041C" w:rsidRPr="002248AA" w:rsidRDefault="00F1041C" w:rsidP="002248AA">
            <w:pPr>
              <w:spacing w:after="120" w:line="276" w:lineRule="auto"/>
              <w:jc w:val="center"/>
              <w:rPr>
                <w:color w:val="000000"/>
                <w:lang w:val="en-US"/>
              </w:rPr>
            </w:pPr>
            <w:r w:rsidRPr="002248AA">
              <w:rPr>
                <w:color w:val="000000"/>
                <w:lang w:val="en-US"/>
              </w:rPr>
              <w:t>$172</w:t>
            </w:r>
          </w:p>
        </w:tc>
        <w:tc>
          <w:tcPr>
            <w:tcW w:w="1043" w:type="dxa"/>
            <w:tcBorders>
              <w:left w:val="nil"/>
              <w:right w:val="nil"/>
            </w:tcBorders>
            <w:shd w:val="clear" w:color="auto" w:fill="auto"/>
          </w:tcPr>
          <w:p w14:paraId="39C05EEA" w14:textId="127B274A" w:rsidR="00F1041C" w:rsidRPr="002248AA" w:rsidRDefault="00F1041C" w:rsidP="002248AA">
            <w:pPr>
              <w:spacing w:after="120" w:line="276" w:lineRule="auto"/>
              <w:jc w:val="center"/>
              <w:rPr>
                <w:lang w:val="en-US"/>
              </w:rPr>
            </w:pPr>
            <w:r w:rsidRPr="002248AA">
              <w:rPr>
                <w:lang w:val="en-US"/>
              </w:rPr>
              <w:t>$</w:t>
            </w:r>
            <w:r w:rsidRPr="00F1041C">
              <w:rPr>
                <w:rFonts w:eastAsia="Calibri"/>
                <w:lang w:val="en-US"/>
              </w:rPr>
              <w:t>70</w:t>
            </w:r>
          </w:p>
        </w:tc>
        <w:tc>
          <w:tcPr>
            <w:tcW w:w="1217" w:type="dxa"/>
            <w:tcBorders>
              <w:left w:val="nil"/>
              <w:right w:val="nil"/>
            </w:tcBorders>
            <w:shd w:val="clear" w:color="auto" w:fill="auto"/>
          </w:tcPr>
          <w:p w14:paraId="2405F979" w14:textId="199EFD14" w:rsidR="00F1041C" w:rsidRPr="002248AA" w:rsidRDefault="00F1041C" w:rsidP="002248AA">
            <w:pPr>
              <w:spacing w:after="120" w:line="276" w:lineRule="auto"/>
              <w:jc w:val="center"/>
              <w:rPr>
                <w:lang w:val="en-US"/>
              </w:rPr>
            </w:pPr>
            <w:r w:rsidRPr="002248AA">
              <w:rPr>
                <w:lang w:val="en-US"/>
              </w:rPr>
              <w:t>$</w:t>
            </w:r>
            <w:r w:rsidRPr="00F1041C">
              <w:rPr>
                <w:rFonts w:eastAsia="Calibri"/>
                <w:lang w:val="en-US"/>
              </w:rPr>
              <w:t>242</w:t>
            </w:r>
          </w:p>
        </w:tc>
        <w:tc>
          <w:tcPr>
            <w:tcW w:w="869" w:type="dxa"/>
            <w:tcBorders>
              <w:left w:val="nil"/>
              <w:right w:val="nil"/>
            </w:tcBorders>
            <w:shd w:val="clear" w:color="auto" w:fill="auto"/>
            <w:tcMar>
              <w:top w:w="15" w:type="dxa"/>
              <w:left w:w="69" w:type="dxa"/>
              <w:bottom w:w="0" w:type="dxa"/>
              <w:right w:w="69" w:type="dxa"/>
            </w:tcMar>
          </w:tcPr>
          <w:p w14:paraId="14404EDB" w14:textId="77777777" w:rsidR="00F1041C" w:rsidRPr="002248AA" w:rsidRDefault="00F1041C" w:rsidP="002248AA">
            <w:pPr>
              <w:spacing w:after="120" w:line="276" w:lineRule="auto"/>
              <w:jc w:val="center"/>
              <w:rPr>
                <w:lang w:val="en-US"/>
              </w:rPr>
            </w:pPr>
            <w:r w:rsidRPr="002248AA">
              <w:rPr>
                <w:lang w:val="en-US"/>
              </w:rPr>
              <w:t>0.9x</w:t>
            </w:r>
          </w:p>
        </w:tc>
        <w:tc>
          <w:tcPr>
            <w:tcW w:w="740" w:type="dxa"/>
            <w:tcBorders>
              <w:left w:val="nil"/>
              <w:right w:val="nil"/>
            </w:tcBorders>
            <w:shd w:val="clear" w:color="auto" w:fill="auto"/>
          </w:tcPr>
          <w:p w14:paraId="021DEE5F" w14:textId="77777777" w:rsidR="00F1041C" w:rsidRPr="002248AA" w:rsidRDefault="00F1041C" w:rsidP="002248AA">
            <w:pPr>
              <w:spacing w:after="120" w:line="276" w:lineRule="auto"/>
              <w:jc w:val="center"/>
              <w:rPr>
                <w:lang w:val="en-US"/>
              </w:rPr>
            </w:pPr>
            <w:r w:rsidRPr="002248AA">
              <w:rPr>
                <w:lang w:val="en-US"/>
              </w:rPr>
              <w:t>1.3x</w:t>
            </w:r>
          </w:p>
        </w:tc>
      </w:tr>
      <w:tr w:rsidR="000C581C" w:rsidRPr="00F1041C" w14:paraId="32E9CDA7" w14:textId="77777777" w:rsidTr="00CF64AD">
        <w:trPr>
          <w:trHeight w:val="45"/>
        </w:trPr>
        <w:tc>
          <w:tcPr>
            <w:tcW w:w="1857" w:type="dxa"/>
            <w:tcBorders>
              <w:left w:val="nil"/>
              <w:right w:val="nil"/>
            </w:tcBorders>
            <w:shd w:val="clear" w:color="auto" w:fill="auto"/>
            <w:tcMar>
              <w:top w:w="15" w:type="dxa"/>
              <w:left w:w="137" w:type="dxa"/>
              <w:bottom w:w="0" w:type="dxa"/>
              <w:right w:w="15" w:type="dxa"/>
            </w:tcMar>
          </w:tcPr>
          <w:p w14:paraId="3CDF5A30" w14:textId="66549EED" w:rsidR="000C581C" w:rsidRPr="00F1041C" w:rsidRDefault="000C581C" w:rsidP="000C581C">
            <w:pPr>
              <w:spacing w:after="120" w:line="276" w:lineRule="auto"/>
              <w:rPr>
                <w:rFonts w:eastAsia="Calibri"/>
                <w:b/>
                <w:lang w:val="en-US"/>
              </w:rPr>
            </w:pPr>
            <w:r w:rsidRPr="00F1041C">
              <w:rPr>
                <w:rFonts w:eastAsia="Calibri"/>
                <w:b/>
                <w:lang w:val="en-US"/>
              </w:rPr>
              <w:t>ILX III</w:t>
            </w:r>
            <w:r w:rsidRPr="00F1041C">
              <w:rPr>
                <w:rFonts w:eastAsia="Calibri"/>
                <w:i/>
                <w:lang w:val="en-US"/>
              </w:rPr>
              <w:t xml:space="preserve">             </w:t>
            </w:r>
            <w:r w:rsidRPr="00F1041C">
              <w:rPr>
                <w:rFonts w:eastAsia="Calibri"/>
                <w:i/>
                <w:lang w:val="en-US"/>
              </w:rPr>
              <w:br/>
              <w:t>(8 Oct 2015)</w:t>
            </w:r>
            <w:r w:rsidRPr="00F1041C">
              <w:rPr>
                <w:rFonts w:eastAsia="Calibri"/>
                <w:b/>
                <w:lang w:val="en-US"/>
              </w:rPr>
              <w:t xml:space="preserve"> </w:t>
            </w:r>
          </w:p>
        </w:tc>
        <w:tc>
          <w:tcPr>
            <w:tcW w:w="158" w:type="dxa"/>
            <w:tcBorders>
              <w:left w:val="nil"/>
              <w:right w:val="nil"/>
            </w:tcBorders>
            <w:shd w:val="clear" w:color="auto" w:fill="auto"/>
            <w:tcMar>
              <w:top w:w="15" w:type="dxa"/>
              <w:left w:w="69" w:type="dxa"/>
              <w:bottom w:w="0" w:type="dxa"/>
              <w:right w:w="69" w:type="dxa"/>
            </w:tcMar>
            <w:vAlign w:val="center"/>
          </w:tcPr>
          <w:p w14:paraId="5F93A5D3" w14:textId="5761E355" w:rsidR="000C581C" w:rsidRPr="00F1041C" w:rsidRDefault="000C581C" w:rsidP="000C581C">
            <w:pPr>
              <w:spacing w:after="120" w:line="276" w:lineRule="auto"/>
              <w:rPr>
                <w:rFonts w:eastAsia="Calibri"/>
                <w:color w:val="000000"/>
                <w:lang w:val="en-US"/>
              </w:rPr>
            </w:pPr>
            <w:r w:rsidRPr="00F1041C">
              <w:rPr>
                <w:rFonts w:eastAsia="Calibri"/>
                <w:color w:val="000000"/>
                <w:lang w:val="en-US"/>
              </w:rPr>
              <w:t> </w:t>
            </w:r>
          </w:p>
        </w:tc>
        <w:tc>
          <w:tcPr>
            <w:tcW w:w="1289" w:type="dxa"/>
            <w:tcBorders>
              <w:left w:val="nil"/>
              <w:right w:val="nil"/>
            </w:tcBorders>
            <w:shd w:val="clear" w:color="auto" w:fill="auto"/>
            <w:vAlign w:val="center"/>
          </w:tcPr>
          <w:p w14:paraId="3E4D66F2" w14:textId="615B09AC"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Deepwater GoM (U.S.)</w:t>
            </w:r>
          </w:p>
        </w:tc>
        <w:tc>
          <w:tcPr>
            <w:tcW w:w="1390" w:type="dxa"/>
            <w:tcBorders>
              <w:left w:val="nil"/>
              <w:right w:val="nil"/>
            </w:tcBorders>
            <w:shd w:val="clear" w:color="auto" w:fill="auto"/>
          </w:tcPr>
          <w:p w14:paraId="3A731CD8" w14:textId="7C8EE47F" w:rsidR="000C581C" w:rsidRPr="002248AA" w:rsidRDefault="000C581C" w:rsidP="000C581C">
            <w:pPr>
              <w:spacing w:after="120" w:line="276" w:lineRule="auto"/>
              <w:jc w:val="center"/>
              <w:rPr>
                <w:lang w:val="en-US"/>
              </w:rPr>
            </w:pPr>
            <w:r w:rsidRPr="00F1041C">
              <w:rPr>
                <w:rFonts w:eastAsia="Calibri"/>
                <w:lang w:val="en-US"/>
              </w:rPr>
              <w:t>200</w:t>
            </w:r>
          </w:p>
        </w:tc>
        <w:tc>
          <w:tcPr>
            <w:tcW w:w="956" w:type="dxa"/>
            <w:tcBorders>
              <w:left w:val="nil"/>
              <w:right w:val="nil"/>
            </w:tcBorders>
            <w:shd w:val="clear" w:color="auto" w:fill="auto"/>
            <w:tcMar>
              <w:top w:w="15" w:type="dxa"/>
              <w:left w:w="69" w:type="dxa"/>
              <w:bottom w:w="0" w:type="dxa"/>
              <w:right w:w="69" w:type="dxa"/>
            </w:tcMar>
          </w:tcPr>
          <w:p w14:paraId="6D265685" w14:textId="10E0D440" w:rsidR="000C581C" w:rsidRPr="002248AA" w:rsidRDefault="000C581C" w:rsidP="000C581C">
            <w:pPr>
              <w:spacing w:after="120" w:line="276" w:lineRule="auto"/>
              <w:jc w:val="center"/>
              <w:rPr>
                <w:lang w:val="en-US"/>
              </w:rPr>
            </w:pPr>
            <w:r w:rsidRPr="00F1041C">
              <w:rPr>
                <w:rFonts w:eastAsia="Calibri"/>
                <w:lang w:val="en-US"/>
              </w:rPr>
              <w:t>155</w:t>
            </w:r>
          </w:p>
        </w:tc>
        <w:tc>
          <w:tcPr>
            <w:tcW w:w="956" w:type="dxa"/>
            <w:tcBorders>
              <w:left w:val="nil"/>
              <w:right w:val="nil"/>
            </w:tcBorders>
            <w:shd w:val="clear" w:color="auto" w:fill="auto"/>
            <w:tcMar>
              <w:top w:w="15" w:type="dxa"/>
              <w:left w:w="69" w:type="dxa"/>
              <w:bottom w:w="0" w:type="dxa"/>
              <w:right w:w="69" w:type="dxa"/>
            </w:tcMar>
          </w:tcPr>
          <w:p w14:paraId="72D2142A" w14:textId="1C3B5552" w:rsidR="000C581C" w:rsidRPr="002248AA" w:rsidRDefault="000C581C" w:rsidP="000C581C">
            <w:pPr>
              <w:spacing w:after="120" w:line="276" w:lineRule="auto"/>
              <w:jc w:val="center"/>
              <w:rPr>
                <w:color w:val="000000"/>
                <w:lang w:val="en-US"/>
              </w:rPr>
            </w:pPr>
            <w:r w:rsidRPr="00F1041C">
              <w:rPr>
                <w:rFonts w:eastAsia="Calibri"/>
                <w:color w:val="000000"/>
                <w:lang w:val="en-US"/>
              </w:rPr>
              <w:t>5</w:t>
            </w:r>
          </w:p>
        </w:tc>
        <w:tc>
          <w:tcPr>
            <w:tcW w:w="1043" w:type="dxa"/>
            <w:tcBorders>
              <w:left w:val="nil"/>
              <w:right w:val="nil"/>
            </w:tcBorders>
            <w:shd w:val="clear" w:color="auto" w:fill="auto"/>
          </w:tcPr>
          <w:p w14:paraId="005C862C" w14:textId="2B44FBDD" w:rsidR="000C581C" w:rsidRPr="002248AA" w:rsidRDefault="000C581C" w:rsidP="000C581C">
            <w:pPr>
              <w:spacing w:after="120" w:line="276" w:lineRule="auto"/>
              <w:jc w:val="center"/>
              <w:rPr>
                <w:lang w:val="en-US"/>
              </w:rPr>
            </w:pPr>
            <w:r w:rsidRPr="002248AA">
              <w:rPr>
                <w:color w:val="000000"/>
                <w:lang w:val="en-US"/>
              </w:rPr>
              <w:t>181</w:t>
            </w:r>
          </w:p>
        </w:tc>
        <w:tc>
          <w:tcPr>
            <w:tcW w:w="1217" w:type="dxa"/>
            <w:tcBorders>
              <w:left w:val="nil"/>
              <w:right w:val="nil"/>
            </w:tcBorders>
            <w:shd w:val="clear" w:color="auto" w:fill="auto"/>
          </w:tcPr>
          <w:p w14:paraId="789403A6" w14:textId="107F154B" w:rsidR="000C581C" w:rsidRPr="002248AA" w:rsidRDefault="000C581C" w:rsidP="000C581C">
            <w:pPr>
              <w:spacing w:after="120" w:line="276" w:lineRule="auto"/>
              <w:jc w:val="center"/>
              <w:rPr>
                <w:lang w:val="en-US"/>
              </w:rPr>
            </w:pPr>
            <w:r w:rsidRPr="00F1041C">
              <w:rPr>
                <w:rFonts w:eastAsia="Calibri"/>
                <w:lang w:val="en-US"/>
              </w:rPr>
              <w:t>186</w:t>
            </w:r>
          </w:p>
        </w:tc>
        <w:tc>
          <w:tcPr>
            <w:tcW w:w="869" w:type="dxa"/>
            <w:tcBorders>
              <w:left w:val="nil"/>
              <w:right w:val="nil"/>
            </w:tcBorders>
            <w:shd w:val="clear" w:color="auto" w:fill="auto"/>
            <w:tcMar>
              <w:top w:w="15" w:type="dxa"/>
              <w:left w:w="69" w:type="dxa"/>
              <w:bottom w:w="0" w:type="dxa"/>
              <w:right w:w="69" w:type="dxa"/>
            </w:tcMar>
          </w:tcPr>
          <w:p w14:paraId="615CE3F3" w14:textId="7660A713" w:rsidR="000C581C" w:rsidRPr="002248AA" w:rsidRDefault="000C581C" w:rsidP="000C581C">
            <w:pPr>
              <w:spacing w:after="120" w:line="276" w:lineRule="auto"/>
              <w:jc w:val="center"/>
              <w:rPr>
                <w:lang w:val="en-US"/>
              </w:rPr>
            </w:pPr>
            <w:r w:rsidRPr="002248AA">
              <w:rPr>
                <w:lang w:val="en-US"/>
              </w:rPr>
              <w:t>1.2x</w:t>
            </w:r>
          </w:p>
        </w:tc>
        <w:tc>
          <w:tcPr>
            <w:tcW w:w="740" w:type="dxa"/>
            <w:tcBorders>
              <w:left w:val="nil"/>
              <w:right w:val="nil"/>
            </w:tcBorders>
            <w:shd w:val="clear" w:color="auto" w:fill="auto"/>
          </w:tcPr>
          <w:p w14:paraId="43A1D80A" w14:textId="74F67305" w:rsidR="000C581C" w:rsidRPr="002248AA" w:rsidRDefault="000C581C" w:rsidP="000C581C">
            <w:pPr>
              <w:spacing w:after="120" w:line="276" w:lineRule="auto"/>
              <w:jc w:val="center"/>
              <w:rPr>
                <w:lang w:val="en-US"/>
              </w:rPr>
            </w:pPr>
            <w:r w:rsidRPr="002248AA">
              <w:rPr>
                <w:lang w:val="en-US"/>
              </w:rPr>
              <w:t>1.3x</w:t>
            </w:r>
          </w:p>
        </w:tc>
      </w:tr>
      <w:tr w:rsidR="000C581C" w:rsidRPr="00F1041C" w14:paraId="19DD47D0" w14:textId="77777777" w:rsidTr="000C581C">
        <w:trPr>
          <w:trHeight w:val="45"/>
        </w:trPr>
        <w:tc>
          <w:tcPr>
            <w:tcW w:w="1857" w:type="dxa"/>
            <w:tcBorders>
              <w:left w:val="nil"/>
              <w:right w:val="nil"/>
            </w:tcBorders>
            <w:shd w:val="clear" w:color="auto" w:fill="auto"/>
            <w:tcMar>
              <w:top w:w="15" w:type="dxa"/>
              <w:left w:w="137" w:type="dxa"/>
              <w:bottom w:w="0" w:type="dxa"/>
              <w:right w:w="15" w:type="dxa"/>
            </w:tcMar>
          </w:tcPr>
          <w:p w14:paraId="1849289E" w14:textId="21D90E24" w:rsidR="000C581C" w:rsidRPr="002248AA" w:rsidRDefault="000C581C" w:rsidP="000C581C">
            <w:pPr>
              <w:spacing w:after="120" w:line="276" w:lineRule="auto"/>
              <w:rPr>
                <w:b/>
                <w:lang w:val="en-US"/>
              </w:rPr>
            </w:pPr>
            <w:r w:rsidRPr="00F1041C">
              <w:rPr>
                <w:rFonts w:eastAsia="Calibri"/>
                <w:b/>
                <w:lang w:val="en-US"/>
              </w:rPr>
              <w:t xml:space="preserve">Hammerhead Resources        </w:t>
            </w:r>
            <w:r w:rsidRPr="00F1041C">
              <w:rPr>
                <w:rFonts w:eastAsia="Calibri"/>
                <w:b/>
                <w:lang w:val="en-US"/>
              </w:rPr>
              <w:br/>
            </w:r>
            <w:r w:rsidRPr="00F1041C">
              <w:rPr>
                <w:rFonts w:eastAsia="Calibri"/>
                <w:i/>
                <w:lang w:val="en-US"/>
              </w:rPr>
              <w:t>(27 Mar 2014)</w:t>
            </w:r>
          </w:p>
        </w:tc>
        <w:tc>
          <w:tcPr>
            <w:tcW w:w="158" w:type="dxa"/>
            <w:tcBorders>
              <w:left w:val="nil"/>
              <w:right w:val="nil"/>
            </w:tcBorders>
            <w:shd w:val="clear" w:color="auto" w:fill="auto"/>
            <w:tcMar>
              <w:top w:w="15" w:type="dxa"/>
              <w:left w:w="69" w:type="dxa"/>
              <w:bottom w:w="0" w:type="dxa"/>
              <w:right w:w="69" w:type="dxa"/>
            </w:tcMar>
            <w:vAlign w:val="center"/>
          </w:tcPr>
          <w:p w14:paraId="49A7F6A9" w14:textId="77777777" w:rsidR="000C581C" w:rsidRPr="00F1041C" w:rsidRDefault="000C581C" w:rsidP="000C581C">
            <w:pPr>
              <w:spacing w:after="120" w:line="276" w:lineRule="auto"/>
              <w:rPr>
                <w:rFonts w:eastAsia="Calibri"/>
                <w:color w:val="000000"/>
                <w:lang w:val="en-US"/>
              </w:rPr>
            </w:pPr>
          </w:p>
        </w:tc>
        <w:tc>
          <w:tcPr>
            <w:tcW w:w="1289" w:type="dxa"/>
            <w:tcBorders>
              <w:left w:val="nil"/>
              <w:right w:val="nil"/>
            </w:tcBorders>
            <w:shd w:val="clear" w:color="auto" w:fill="auto"/>
          </w:tcPr>
          <w:p w14:paraId="4BAE9340"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Deep Basin (Canada)</w:t>
            </w:r>
          </w:p>
        </w:tc>
        <w:tc>
          <w:tcPr>
            <w:tcW w:w="1390" w:type="dxa"/>
            <w:tcBorders>
              <w:left w:val="nil"/>
              <w:right w:val="nil"/>
            </w:tcBorders>
            <w:shd w:val="clear" w:color="auto" w:fill="auto"/>
          </w:tcPr>
          <w:p w14:paraId="0353E0A3" w14:textId="77777777" w:rsidR="000C581C" w:rsidRPr="00F1041C" w:rsidRDefault="000C581C" w:rsidP="000C581C">
            <w:pPr>
              <w:spacing w:after="120" w:line="276" w:lineRule="auto"/>
              <w:jc w:val="center"/>
              <w:rPr>
                <w:rFonts w:eastAsia="Calibri"/>
                <w:lang w:val="en-US"/>
              </w:rPr>
            </w:pPr>
            <w:r w:rsidRPr="00F1041C">
              <w:rPr>
                <w:rFonts w:eastAsia="Calibri"/>
                <w:lang w:val="en-US"/>
              </w:rPr>
              <w:t>307</w:t>
            </w:r>
          </w:p>
        </w:tc>
        <w:tc>
          <w:tcPr>
            <w:tcW w:w="956" w:type="dxa"/>
            <w:tcBorders>
              <w:left w:val="nil"/>
              <w:right w:val="nil"/>
            </w:tcBorders>
            <w:shd w:val="clear" w:color="auto" w:fill="auto"/>
            <w:tcMar>
              <w:top w:w="15" w:type="dxa"/>
              <w:left w:w="69" w:type="dxa"/>
              <w:bottom w:w="0" w:type="dxa"/>
              <w:right w:w="69" w:type="dxa"/>
            </w:tcMar>
          </w:tcPr>
          <w:p w14:paraId="43DD6D49" w14:textId="77777777" w:rsidR="000C581C" w:rsidRPr="00F1041C" w:rsidRDefault="000C581C" w:rsidP="000C581C">
            <w:pPr>
              <w:spacing w:after="120" w:line="276" w:lineRule="auto"/>
              <w:jc w:val="center"/>
              <w:rPr>
                <w:rFonts w:eastAsia="Calibri"/>
                <w:lang w:val="en-US"/>
              </w:rPr>
            </w:pPr>
            <w:r w:rsidRPr="00F1041C">
              <w:rPr>
                <w:rFonts w:eastAsia="Calibri"/>
                <w:lang w:val="en-US"/>
              </w:rPr>
              <w:t>295</w:t>
            </w:r>
          </w:p>
        </w:tc>
        <w:tc>
          <w:tcPr>
            <w:tcW w:w="956" w:type="dxa"/>
            <w:tcBorders>
              <w:left w:val="nil"/>
              <w:right w:val="nil"/>
            </w:tcBorders>
            <w:shd w:val="clear" w:color="auto" w:fill="auto"/>
            <w:tcMar>
              <w:top w:w="15" w:type="dxa"/>
              <w:left w:w="69" w:type="dxa"/>
              <w:bottom w:w="0" w:type="dxa"/>
              <w:right w:w="69" w:type="dxa"/>
            </w:tcMar>
          </w:tcPr>
          <w:p w14:paraId="20B65979"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23</w:t>
            </w:r>
          </w:p>
        </w:tc>
        <w:tc>
          <w:tcPr>
            <w:tcW w:w="1043" w:type="dxa"/>
            <w:tcBorders>
              <w:left w:val="nil"/>
              <w:right w:val="nil"/>
            </w:tcBorders>
            <w:shd w:val="clear" w:color="auto" w:fill="auto"/>
          </w:tcPr>
          <w:p w14:paraId="0E933A2C" w14:textId="1F004509" w:rsidR="000C581C" w:rsidRPr="00F1041C" w:rsidRDefault="000C581C" w:rsidP="000C581C">
            <w:pPr>
              <w:spacing w:after="120" w:line="276" w:lineRule="auto"/>
              <w:jc w:val="center"/>
              <w:rPr>
                <w:rFonts w:eastAsia="Calibri"/>
                <w:lang w:val="en-US"/>
              </w:rPr>
            </w:pPr>
            <w:r w:rsidRPr="00F1041C">
              <w:rPr>
                <w:rFonts w:eastAsia="Calibri"/>
                <w:lang w:val="en-US"/>
              </w:rPr>
              <w:t>81</w:t>
            </w:r>
          </w:p>
        </w:tc>
        <w:tc>
          <w:tcPr>
            <w:tcW w:w="1217" w:type="dxa"/>
            <w:tcBorders>
              <w:left w:val="nil"/>
              <w:right w:val="nil"/>
            </w:tcBorders>
            <w:shd w:val="clear" w:color="auto" w:fill="auto"/>
          </w:tcPr>
          <w:p w14:paraId="412B5AD6" w14:textId="68652875" w:rsidR="000C581C" w:rsidRPr="00F1041C" w:rsidRDefault="000C581C" w:rsidP="000C581C">
            <w:pPr>
              <w:spacing w:after="120" w:line="276" w:lineRule="auto"/>
              <w:jc w:val="center"/>
              <w:rPr>
                <w:rFonts w:eastAsia="Calibri"/>
                <w:lang w:val="en-US"/>
              </w:rPr>
            </w:pPr>
            <w:r w:rsidRPr="00F1041C">
              <w:rPr>
                <w:rFonts w:eastAsia="Calibri"/>
                <w:lang w:val="en-US"/>
              </w:rPr>
              <w:t>104</w:t>
            </w:r>
          </w:p>
        </w:tc>
        <w:tc>
          <w:tcPr>
            <w:tcW w:w="869" w:type="dxa"/>
            <w:tcBorders>
              <w:left w:val="nil"/>
              <w:right w:val="nil"/>
            </w:tcBorders>
            <w:shd w:val="clear" w:color="auto" w:fill="auto"/>
            <w:tcMar>
              <w:top w:w="15" w:type="dxa"/>
              <w:left w:w="69" w:type="dxa"/>
              <w:bottom w:w="0" w:type="dxa"/>
              <w:right w:w="69" w:type="dxa"/>
            </w:tcMar>
          </w:tcPr>
          <w:p w14:paraId="3748AE11" w14:textId="77777777" w:rsidR="000C581C" w:rsidRPr="00F1041C" w:rsidRDefault="000C581C" w:rsidP="000C581C">
            <w:pPr>
              <w:spacing w:after="120" w:line="276" w:lineRule="auto"/>
              <w:jc w:val="center"/>
              <w:rPr>
                <w:rFonts w:eastAsia="Calibri"/>
                <w:lang w:val="en-US"/>
              </w:rPr>
            </w:pPr>
            <w:r w:rsidRPr="002248AA">
              <w:rPr>
                <w:lang w:val="en-US"/>
              </w:rPr>
              <w:t>0.4x</w:t>
            </w:r>
          </w:p>
        </w:tc>
        <w:tc>
          <w:tcPr>
            <w:tcW w:w="740" w:type="dxa"/>
            <w:tcBorders>
              <w:left w:val="nil"/>
              <w:right w:val="nil"/>
            </w:tcBorders>
            <w:shd w:val="clear" w:color="auto" w:fill="auto"/>
          </w:tcPr>
          <w:p w14:paraId="7A4A9259" w14:textId="77777777" w:rsidR="000C581C" w:rsidRPr="002248AA" w:rsidRDefault="000C581C" w:rsidP="000C581C">
            <w:pPr>
              <w:spacing w:after="120" w:line="276" w:lineRule="auto"/>
              <w:jc w:val="center"/>
              <w:rPr>
                <w:lang w:val="en-US"/>
              </w:rPr>
            </w:pPr>
            <w:r w:rsidRPr="002248AA">
              <w:rPr>
                <w:lang w:val="en-US"/>
              </w:rPr>
              <w:t>1.5x</w:t>
            </w:r>
          </w:p>
        </w:tc>
      </w:tr>
      <w:tr w:rsidR="000C581C" w:rsidRPr="00F1041C" w14:paraId="40A6E2EA" w14:textId="77777777" w:rsidTr="000C581C">
        <w:trPr>
          <w:trHeight w:val="45"/>
        </w:trPr>
        <w:tc>
          <w:tcPr>
            <w:tcW w:w="1857" w:type="dxa"/>
            <w:tcBorders>
              <w:left w:val="nil"/>
              <w:right w:val="nil"/>
            </w:tcBorders>
            <w:shd w:val="clear" w:color="auto" w:fill="auto"/>
            <w:tcMar>
              <w:top w:w="15" w:type="dxa"/>
              <w:left w:w="137" w:type="dxa"/>
              <w:bottom w:w="0" w:type="dxa"/>
              <w:right w:w="15" w:type="dxa"/>
            </w:tcMar>
          </w:tcPr>
          <w:p w14:paraId="5918A431" w14:textId="5CF6DFE0" w:rsidR="000C581C" w:rsidRPr="00F1041C" w:rsidRDefault="000C581C" w:rsidP="000C581C">
            <w:pPr>
              <w:spacing w:after="120" w:line="276" w:lineRule="auto"/>
              <w:rPr>
                <w:rFonts w:eastAsia="Calibri"/>
                <w:i/>
                <w:lang w:val="en-US"/>
              </w:rPr>
            </w:pPr>
            <w:r w:rsidRPr="00F1041C">
              <w:rPr>
                <w:rFonts w:eastAsia="Calibri"/>
                <w:b/>
                <w:lang w:val="en-US"/>
              </w:rPr>
              <w:t>RCO</w:t>
            </w:r>
            <w:r w:rsidRPr="00F1041C">
              <w:rPr>
                <w:rFonts w:eastAsia="Calibri"/>
                <w:b/>
                <w:vertAlign w:val="superscript"/>
                <w:lang w:val="en-US"/>
              </w:rPr>
              <w:endnoteReference w:customMarkFollows="1" w:id="4"/>
              <w:t xml:space="preserve">3                          </w:t>
            </w:r>
            <w:r w:rsidRPr="00F1041C">
              <w:rPr>
                <w:rFonts w:eastAsia="Calibri"/>
                <w:b/>
                <w:vertAlign w:val="superscript"/>
                <w:lang w:val="en-US"/>
              </w:rPr>
              <w:br/>
            </w:r>
            <w:r w:rsidRPr="00F1041C">
              <w:rPr>
                <w:rFonts w:eastAsia="Calibri"/>
                <w:i/>
                <w:lang w:val="en-US"/>
              </w:rPr>
              <w:t>(2 Feb 2015)</w:t>
            </w:r>
          </w:p>
        </w:tc>
        <w:tc>
          <w:tcPr>
            <w:tcW w:w="158" w:type="dxa"/>
            <w:tcBorders>
              <w:left w:val="nil"/>
              <w:right w:val="nil"/>
            </w:tcBorders>
            <w:shd w:val="clear" w:color="auto" w:fill="auto"/>
            <w:tcMar>
              <w:top w:w="15" w:type="dxa"/>
              <w:left w:w="69" w:type="dxa"/>
              <w:bottom w:w="0" w:type="dxa"/>
              <w:right w:w="69" w:type="dxa"/>
            </w:tcMar>
            <w:vAlign w:val="center"/>
          </w:tcPr>
          <w:p w14:paraId="215FDD65" w14:textId="77777777" w:rsidR="000C581C" w:rsidRPr="00F1041C" w:rsidRDefault="000C581C" w:rsidP="000C581C">
            <w:pPr>
              <w:spacing w:after="120" w:line="276" w:lineRule="auto"/>
              <w:rPr>
                <w:rFonts w:eastAsia="Calibri"/>
                <w:color w:val="000000"/>
                <w:lang w:val="en-US"/>
              </w:rPr>
            </w:pPr>
            <w:r w:rsidRPr="00F1041C">
              <w:rPr>
                <w:rFonts w:eastAsia="Calibri"/>
                <w:color w:val="000000"/>
                <w:lang w:val="en-US"/>
              </w:rPr>
              <w:t> </w:t>
            </w:r>
          </w:p>
        </w:tc>
        <w:tc>
          <w:tcPr>
            <w:tcW w:w="1289" w:type="dxa"/>
            <w:tcBorders>
              <w:left w:val="nil"/>
              <w:right w:val="nil"/>
            </w:tcBorders>
            <w:shd w:val="clear" w:color="auto" w:fill="auto"/>
          </w:tcPr>
          <w:p w14:paraId="75BD2D40"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North America</w:t>
            </w:r>
          </w:p>
        </w:tc>
        <w:tc>
          <w:tcPr>
            <w:tcW w:w="1390" w:type="dxa"/>
            <w:tcBorders>
              <w:left w:val="nil"/>
              <w:right w:val="nil"/>
            </w:tcBorders>
            <w:shd w:val="clear" w:color="auto" w:fill="auto"/>
          </w:tcPr>
          <w:p w14:paraId="757DEDFA" w14:textId="77777777" w:rsidR="000C581C" w:rsidRPr="00F1041C" w:rsidRDefault="000C581C" w:rsidP="000C581C">
            <w:pPr>
              <w:spacing w:after="120" w:line="276" w:lineRule="auto"/>
              <w:jc w:val="center"/>
              <w:rPr>
                <w:rFonts w:eastAsia="Calibri"/>
                <w:lang w:val="en-US"/>
              </w:rPr>
            </w:pPr>
            <w:r w:rsidRPr="00F1041C">
              <w:rPr>
                <w:rFonts w:eastAsia="Calibri"/>
                <w:lang w:val="en-US"/>
              </w:rPr>
              <w:t>80</w:t>
            </w:r>
          </w:p>
        </w:tc>
        <w:tc>
          <w:tcPr>
            <w:tcW w:w="956" w:type="dxa"/>
            <w:tcBorders>
              <w:left w:val="nil"/>
              <w:right w:val="nil"/>
            </w:tcBorders>
            <w:shd w:val="clear" w:color="auto" w:fill="auto"/>
            <w:tcMar>
              <w:top w:w="15" w:type="dxa"/>
              <w:left w:w="69" w:type="dxa"/>
              <w:bottom w:w="0" w:type="dxa"/>
              <w:right w:w="69" w:type="dxa"/>
            </w:tcMar>
          </w:tcPr>
          <w:p w14:paraId="7B1F883A" w14:textId="77777777" w:rsidR="000C581C" w:rsidRPr="00F1041C" w:rsidRDefault="000C581C" w:rsidP="000C581C">
            <w:pPr>
              <w:spacing w:after="120" w:line="276" w:lineRule="auto"/>
              <w:jc w:val="center"/>
              <w:rPr>
                <w:rFonts w:eastAsia="Calibri"/>
                <w:lang w:val="en-US"/>
              </w:rPr>
            </w:pPr>
            <w:r w:rsidRPr="00F1041C">
              <w:rPr>
                <w:rFonts w:eastAsia="Calibri"/>
                <w:lang w:val="en-US"/>
              </w:rPr>
              <w:t>80</w:t>
            </w:r>
          </w:p>
        </w:tc>
        <w:tc>
          <w:tcPr>
            <w:tcW w:w="956" w:type="dxa"/>
            <w:tcBorders>
              <w:left w:val="nil"/>
              <w:right w:val="nil"/>
            </w:tcBorders>
            <w:shd w:val="clear" w:color="auto" w:fill="auto"/>
            <w:tcMar>
              <w:top w:w="15" w:type="dxa"/>
              <w:left w:w="69" w:type="dxa"/>
              <w:bottom w:w="0" w:type="dxa"/>
              <w:right w:w="69" w:type="dxa"/>
            </w:tcMar>
          </w:tcPr>
          <w:p w14:paraId="03BA1561"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79</w:t>
            </w:r>
          </w:p>
        </w:tc>
        <w:tc>
          <w:tcPr>
            <w:tcW w:w="1043" w:type="dxa"/>
            <w:tcBorders>
              <w:left w:val="nil"/>
              <w:right w:val="nil"/>
            </w:tcBorders>
            <w:shd w:val="clear" w:color="auto" w:fill="auto"/>
          </w:tcPr>
          <w:p w14:paraId="14D2EAE8" w14:textId="77777777" w:rsidR="000C581C" w:rsidRPr="002248AA" w:rsidRDefault="000C581C" w:rsidP="000C581C">
            <w:pPr>
              <w:spacing w:after="120" w:line="276" w:lineRule="auto"/>
              <w:jc w:val="center"/>
              <w:rPr>
                <w:color w:val="000000"/>
                <w:lang w:val="en-US"/>
              </w:rPr>
            </w:pPr>
            <w:r w:rsidRPr="002248AA">
              <w:rPr>
                <w:color w:val="000000"/>
                <w:lang w:val="en-US"/>
              </w:rPr>
              <w:t>2</w:t>
            </w:r>
          </w:p>
        </w:tc>
        <w:tc>
          <w:tcPr>
            <w:tcW w:w="1217" w:type="dxa"/>
            <w:tcBorders>
              <w:left w:val="nil"/>
              <w:right w:val="nil"/>
            </w:tcBorders>
            <w:shd w:val="clear" w:color="auto" w:fill="auto"/>
          </w:tcPr>
          <w:p w14:paraId="7A8A7063" w14:textId="77777777" w:rsidR="000C581C" w:rsidRPr="00F1041C" w:rsidRDefault="000C581C" w:rsidP="000C581C">
            <w:pPr>
              <w:spacing w:after="120" w:line="276" w:lineRule="auto"/>
              <w:jc w:val="center"/>
              <w:rPr>
                <w:rFonts w:eastAsia="Calibri"/>
                <w:lang w:val="en-US"/>
              </w:rPr>
            </w:pPr>
            <w:r w:rsidRPr="00F1041C">
              <w:rPr>
                <w:rFonts w:eastAsia="Calibri"/>
                <w:lang w:val="en-US"/>
              </w:rPr>
              <w:t>81</w:t>
            </w:r>
          </w:p>
        </w:tc>
        <w:tc>
          <w:tcPr>
            <w:tcW w:w="869" w:type="dxa"/>
            <w:tcBorders>
              <w:left w:val="nil"/>
              <w:right w:val="nil"/>
            </w:tcBorders>
            <w:shd w:val="clear" w:color="auto" w:fill="auto"/>
            <w:tcMar>
              <w:top w:w="15" w:type="dxa"/>
              <w:left w:w="69" w:type="dxa"/>
              <w:bottom w:w="0" w:type="dxa"/>
              <w:right w:w="69" w:type="dxa"/>
            </w:tcMar>
          </w:tcPr>
          <w:p w14:paraId="2C068951" w14:textId="77777777" w:rsidR="000C581C" w:rsidRPr="00F1041C" w:rsidRDefault="000C581C" w:rsidP="000C581C">
            <w:pPr>
              <w:spacing w:after="120" w:line="276" w:lineRule="auto"/>
              <w:jc w:val="center"/>
              <w:rPr>
                <w:rFonts w:eastAsia="Calibri"/>
                <w:lang w:val="en-US"/>
              </w:rPr>
            </w:pPr>
            <w:r w:rsidRPr="002248AA">
              <w:rPr>
                <w:lang w:val="en-US"/>
              </w:rPr>
              <w:t>1.0x</w:t>
            </w:r>
          </w:p>
        </w:tc>
        <w:tc>
          <w:tcPr>
            <w:tcW w:w="740" w:type="dxa"/>
            <w:tcBorders>
              <w:left w:val="nil"/>
              <w:right w:val="nil"/>
            </w:tcBorders>
            <w:shd w:val="clear" w:color="auto" w:fill="auto"/>
          </w:tcPr>
          <w:p w14:paraId="11CEABF0" w14:textId="77777777" w:rsidR="000C581C" w:rsidRPr="002248AA" w:rsidRDefault="000C581C" w:rsidP="000C581C">
            <w:pPr>
              <w:spacing w:after="120" w:line="276" w:lineRule="auto"/>
              <w:jc w:val="center"/>
              <w:rPr>
                <w:lang w:val="en-US"/>
              </w:rPr>
            </w:pPr>
            <w:r w:rsidRPr="002248AA">
              <w:rPr>
                <w:lang w:val="en-US"/>
              </w:rPr>
              <w:t>1.1x</w:t>
            </w:r>
          </w:p>
        </w:tc>
      </w:tr>
      <w:tr w:rsidR="000C581C" w:rsidRPr="00F1041C" w14:paraId="7FD342D6" w14:textId="77777777" w:rsidTr="000C581C">
        <w:trPr>
          <w:trHeight w:val="45"/>
        </w:trPr>
        <w:tc>
          <w:tcPr>
            <w:tcW w:w="1857" w:type="dxa"/>
            <w:tcBorders>
              <w:left w:val="nil"/>
              <w:right w:val="nil"/>
            </w:tcBorders>
            <w:shd w:val="clear" w:color="auto" w:fill="auto"/>
            <w:tcMar>
              <w:top w:w="15" w:type="dxa"/>
              <w:left w:w="137" w:type="dxa"/>
              <w:bottom w:w="0" w:type="dxa"/>
              <w:right w:w="15" w:type="dxa"/>
            </w:tcMar>
          </w:tcPr>
          <w:p w14:paraId="5D5C04D8" w14:textId="01AAB5E1" w:rsidR="000C581C" w:rsidRPr="00F1041C" w:rsidRDefault="000C581C" w:rsidP="000C581C">
            <w:pPr>
              <w:spacing w:after="120" w:line="276" w:lineRule="auto"/>
              <w:rPr>
                <w:rFonts w:eastAsia="Calibri"/>
                <w:i/>
                <w:lang w:val="en-US"/>
              </w:rPr>
            </w:pPr>
            <w:r w:rsidRPr="00F1041C">
              <w:rPr>
                <w:rFonts w:eastAsia="Calibri"/>
                <w:b/>
                <w:lang w:val="en-US"/>
              </w:rPr>
              <w:t xml:space="preserve">Carrier II        </w:t>
            </w:r>
            <w:r w:rsidRPr="00F1041C">
              <w:rPr>
                <w:rFonts w:eastAsia="Calibri"/>
                <w:b/>
                <w:lang w:val="en-US"/>
              </w:rPr>
              <w:br/>
            </w:r>
            <w:r w:rsidRPr="00F1041C">
              <w:rPr>
                <w:rFonts w:eastAsia="Calibri"/>
                <w:i/>
                <w:lang w:val="en-US"/>
              </w:rPr>
              <w:t>(22 May 2015)</w:t>
            </w:r>
          </w:p>
        </w:tc>
        <w:tc>
          <w:tcPr>
            <w:tcW w:w="158" w:type="dxa"/>
            <w:tcBorders>
              <w:left w:val="nil"/>
              <w:right w:val="nil"/>
            </w:tcBorders>
            <w:shd w:val="clear" w:color="auto" w:fill="auto"/>
            <w:tcMar>
              <w:top w:w="15" w:type="dxa"/>
              <w:left w:w="69" w:type="dxa"/>
              <w:bottom w:w="0" w:type="dxa"/>
              <w:right w:w="69" w:type="dxa"/>
            </w:tcMar>
            <w:vAlign w:val="center"/>
          </w:tcPr>
          <w:p w14:paraId="2E32CA81" w14:textId="77777777" w:rsidR="000C581C" w:rsidRPr="00F1041C" w:rsidRDefault="000C581C" w:rsidP="000C581C">
            <w:pPr>
              <w:spacing w:after="120" w:line="276" w:lineRule="auto"/>
              <w:rPr>
                <w:rFonts w:eastAsia="Calibri"/>
                <w:color w:val="000000"/>
                <w:lang w:val="en-US"/>
              </w:rPr>
            </w:pPr>
            <w:r w:rsidRPr="00F1041C">
              <w:rPr>
                <w:rFonts w:eastAsia="Calibri"/>
                <w:color w:val="000000"/>
                <w:lang w:val="en-US"/>
              </w:rPr>
              <w:t> </w:t>
            </w:r>
          </w:p>
        </w:tc>
        <w:tc>
          <w:tcPr>
            <w:tcW w:w="1289" w:type="dxa"/>
            <w:tcBorders>
              <w:left w:val="nil"/>
              <w:right w:val="nil"/>
            </w:tcBorders>
            <w:shd w:val="clear" w:color="auto" w:fill="auto"/>
            <w:vAlign w:val="center"/>
          </w:tcPr>
          <w:p w14:paraId="6D8F9040"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 xml:space="preserve">Permian &amp; Eagle Ford (U.S.) </w:t>
            </w:r>
          </w:p>
        </w:tc>
        <w:tc>
          <w:tcPr>
            <w:tcW w:w="1390" w:type="dxa"/>
            <w:tcBorders>
              <w:left w:val="nil"/>
              <w:right w:val="nil"/>
            </w:tcBorders>
            <w:shd w:val="clear" w:color="auto" w:fill="auto"/>
          </w:tcPr>
          <w:p w14:paraId="379DDBD7" w14:textId="77777777" w:rsidR="000C581C" w:rsidRPr="002248AA" w:rsidRDefault="000C581C" w:rsidP="000C581C">
            <w:pPr>
              <w:spacing w:after="120" w:line="276" w:lineRule="auto"/>
              <w:jc w:val="center"/>
              <w:rPr>
                <w:lang w:val="en-US"/>
              </w:rPr>
            </w:pPr>
            <w:r w:rsidRPr="002248AA">
              <w:rPr>
                <w:lang w:val="en-US"/>
              </w:rPr>
              <w:t>133</w:t>
            </w:r>
          </w:p>
        </w:tc>
        <w:tc>
          <w:tcPr>
            <w:tcW w:w="956" w:type="dxa"/>
            <w:tcBorders>
              <w:left w:val="nil"/>
              <w:right w:val="nil"/>
            </w:tcBorders>
            <w:shd w:val="clear" w:color="auto" w:fill="auto"/>
            <w:tcMar>
              <w:top w:w="15" w:type="dxa"/>
              <w:left w:w="69" w:type="dxa"/>
              <w:bottom w:w="0" w:type="dxa"/>
              <w:right w:w="69" w:type="dxa"/>
            </w:tcMar>
          </w:tcPr>
          <w:p w14:paraId="3E0792DC" w14:textId="77777777" w:rsidR="000C581C" w:rsidRPr="002248AA" w:rsidRDefault="000C581C" w:rsidP="000C581C">
            <w:pPr>
              <w:spacing w:after="120" w:line="276" w:lineRule="auto"/>
              <w:jc w:val="center"/>
              <w:rPr>
                <w:lang w:val="en-US"/>
              </w:rPr>
            </w:pPr>
            <w:r w:rsidRPr="002248AA">
              <w:rPr>
                <w:lang w:val="en-US"/>
              </w:rPr>
              <w:t>110</w:t>
            </w:r>
          </w:p>
        </w:tc>
        <w:tc>
          <w:tcPr>
            <w:tcW w:w="956" w:type="dxa"/>
            <w:tcBorders>
              <w:left w:val="nil"/>
              <w:right w:val="nil"/>
            </w:tcBorders>
            <w:shd w:val="clear" w:color="auto" w:fill="auto"/>
            <w:tcMar>
              <w:top w:w="15" w:type="dxa"/>
              <w:left w:w="69" w:type="dxa"/>
              <w:bottom w:w="0" w:type="dxa"/>
              <w:right w:w="69" w:type="dxa"/>
            </w:tcMar>
          </w:tcPr>
          <w:p w14:paraId="4399CDE6" w14:textId="77777777" w:rsidR="000C581C" w:rsidRPr="002248AA" w:rsidRDefault="000C581C" w:rsidP="000C581C">
            <w:pPr>
              <w:spacing w:after="120" w:line="276" w:lineRule="auto"/>
              <w:jc w:val="center"/>
              <w:rPr>
                <w:color w:val="000000"/>
                <w:lang w:val="en-US"/>
              </w:rPr>
            </w:pPr>
            <w:r w:rsidRPr="002248AA">
              <w:rPr>
                <w:color w:val="000000"/>
                <w:lang w:val="en-US"/>
              </w:rPr>
              <w:t>29</w:t>
            </w:r>
          </w:p>
        </w:tc>
        <w:tc>
          <w:tcPr>
            <w:tcW w:w="1043" w:type="dxa"/>
            <w:tcBorders>
              <w:left w:val="nil"/>
              <w:right w:val="nil"/>
            </w:tcBorders>
            <w:shd w:val="clear" w:color="auto" w:fill="auto"/>
          </w:tcPr>
          <w:p w14:paraId="7E7CD16F" w14:textId="77777777" w:rsidR="000C581C" w:rsidRPr="002248AA" w:rsidRDefault="000C581C" w:rsidP="000C581C">
            <w:pPr>
              <w:spacing w:after="120" w:line="276" w:lineRule="auto"/>
              <w:jc w:val="center"/>
              <w:rPr>
                <w:lang w:val="en-US"/>
              </w:rPr>
            </w:pPr>
            <w:r w:rsidRPr="002248AA">
              <w:rPr>
                <w:lang w:val="en-US"/>
              </w:rPr>
              <w:t>48</w:t>
            </w:r>
          </w:p>
        </w:tc>
        <w:tc>
          <w:tcPr>
            <w:tcW w:w="1217" w:type="dxa"/>
            <w:tcBorders>
              <w:left w:val="nil"/>
              <w:right w:val="nil"/>
            </w:tcBorders>
            <w:shd w:val="clear" w:color="auto" w:fill="auto"/>
          </w:tcPr>
          <w:p w14:paraId="157B8A36" w14:textId="77777777" w:rsidR="000C581C" w:rsidRPr="002248AA" w:rsidRDefault="000C581C" w:rsidP="000C581C">
            <w:pPr>
              <w:spacing w:after="120" w:line="276" w:lineRule="auto"/>
              <w:jc w:val="center"/>
              <w:rPr>
                <w:lang w:val="en-US"/>
              </w:rPr>
            </w:pPr>
            <w:r w:rsidRPr="002248AA">
              <w:rPr>
                <w:lang w:val="en-US"/>
              </w:rPr>
              <w:t>77</w:t>
            </w:r>
          </w:p>
        </w:tc>
        <w:tc>
          <w:tcPr>
            <w:tcW w:w="869" w:type="dxa"/>
            <w:tcBorders>
              <w:left w:val="nil"/>
              <w:right w:val="nil"/>
            </w:tcBorders>
            <w:shd w:val="clear" w:color="auto" w:fill="auto"/>
            <w:tcMar>
              <w:top w:w="15" w:type="dxa"/>
              <w:left w:w="69" w:type="dxa"/>
              <w:bottom w:w="0" w:type="dxa"/>
              <w:right w:w="69" w:type="dxa"/>
            </w:tcMar>
          </w:tcPr>
          <w:p w14:paraId="3F71E8E6" w14:textId="77777777" w:rsidR="000C581C" w:rsidRPr="002248AA" w:rsidRDefault="000C581C" w:rsidP="000C581C">
            <w:pPr>
              <w:spacing w:after="120" w:line="276" w:lineRule="auto"/>
              <w:jc w:val="center"/>
              <w:rPr>
                <w:lang w:val="en-US"/>
              </w:rPr>
            </w:pPr>
            <w:r w:rsidRPr="002248AA">
              <w:rPr>
                <w:lang w:val="en-US"/>
              </w:rPr>
              <w:t>0.7x</w:t>
            </w:r>
          </w:p>
        </w:tc>
        <w:tc>
          <w:tcPr>
            <w:tcW w:w="740" w:type="dxa"/>
            <w:tcBorders>
              <w:left w:val="nil"/>
              <w:right w:val="nil"/>
            </w:tcBorders>
            <w:shd w:val="clear" w:color="auto" w:fill="auto"/>
          </w:tcPr>
          <w:p w14:paraId="10008AA3" w14:textId="77777777" w:rsidR="000C581C" w:rsidRPr="002248AA" w:rsidRDefault="000C581C" w:rsidP="000C581C">
            <w:pPr>
              <w:spacing w:after="120" w:line="276" w:lineRule="auto"/>
              <w:jc w:val="center"/>
              <w:rPr>
                <w:lang w:val="en-US"/>
              </w:rPr>
            </w:pPr>
            <w:r w:rsidRPr="002248AA">
              <w:rPr>
                <w:lang w:val="en-US"/>
              </w:rPr>
              <w:t>1.0x</w:t>
            </w:r>
          </w:p>
        </w:tc>
      </w:tr>
      <w:tr w:rsidR="000C581C" w:rsidRPr="00F1041C" w14:paraId="18314CFA" w14:textId="77777777" w:rsidTr="000C581C">
        <w:trPr>
          <w:trHeight w:val="45"/>
        </w:trPr>
        <w:tc>
          <w:tcPr>
            <w:tcW w:w="1857" w:type="dxa"/>
            <w:tcBorders>
              <w:left w:val="nil"/>
              <w:right w:val="nil"/>
            </w:tcBorders>
            <w:shd w:val="clear" w:color="auto" w:fill="auto"/>
            <w:tcMar>
              <w:top w:w="15" w:type="dxa"/>
              <w:left w:w="137" w:type="dxa"/>
              <w:bottom w:w="0" w:type="dxa"/>
              <w:right w:w="15" w:type="dxa"/>
            </w:tcMar>
          </w:tcPr>
          <w:p w14:paraId="66B811B6" w14:textId="3FD0936A" w:rsidR="000C581C" w:rsidRPr="00F1041C" w:rsidRDefault="000C581C" w:rsidP="000C581C">
            <w:pPr>
              <w:spacing w:after="120" w:line="276" w:lineRule="auto"/>
              <w:rPr>
                <w:rFonts w:eastAsia="Calibri"/>
                <w:i/>
                <w:lang w:val="en-US"/>
              </w:rPr>
            </w:pPr>
            <w:r w:rsidRPr="00F1041C">
              <w:rPr>
                <w:rFonts w:eastAsia="Calibri"/>
                <w:b/>
                <w:lang w:val="en-US"/>
              </w:rPr>
              <w:t xml:space="preserve">Liberty II        </w:t>
            </w:r>
            <w:r w:rsidRPr="00F1041C">
              <w:rPr>
                <w:rFonts w:eastAsia="Calibri"/>
                <w:b/>
                <w:lang w:val="en-US"/>
              </w:rPr>
              <w:br/>
            </w:r>
            <w:r w:rsidRPr="00F1041C">
              <w:rPr>
                <w:rFonts w:eastAsia="Calibri"/>
                <w:i/>
                <w:lang w:val="en-US"/>
              </w:rPr>
              <w:t>(30 Jan 2014)</w:t>
            </w:r>
          </w:p>
        </w:tc>
        <w:tc>
          <w:tcPr>
            <w:tcW w:w="158" w:type="dxa"/>
            <w:tcBorders>
              <w:left w:val="nil"/>
              <w:right w:val="nil"/>
            </w:tcBorders>
            <w:shd w:val="clear" w:color="auto" w:fill="auto"/>
            <w:tcMar>
              <w:top w:w="15" w:type="dxa"/>
              <w:left w:w="69" w:type="dxa"/>
              <w:bottom w:w="0" w:type="dxa"/>
              <w:right w:w="69" w:type="dxa"/>
            </w:tcMar>
            <w:vAlign w:val="center"/>
          </w:tcPr>
          <w:p w14:paraId="3E8C6AA1" w14:textId="77777777" w:rsidR="000C581C" w:rsidRPr="00F1041C" w:rsidRDefault="000C581C" w:rsidP="000C581C">
            <w:pPr>
              <w:spacing w:after="120" w:line="276" w:lineRule="auto"/>
              <w:rPr>
                <w:rFonts w:eastAsia="Calibri"/>
                <w:color w:val="000000"/>
                <w:lang w:val="en-US"/>
              </w:rPr>
            </w:pPr>
          </w:p>
        </w:tc>
        <w:tc>
          <w:tcPr>
            <w:tcW w:w="1289" w:type="dxa"/>
            <w:tcBorders>
              <w:left w:val="nil"/>
              <w:right w:val="nil"/>
            </w:tcBorders>
            <w:shd w:val="clear" w:color="auto" w:fill="auto"/>
            <w:vAlign w:val="center"/>
          </w:tcPr>
          <w:p w14:paraId="2BE37177"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Bakken, PRB (U.S.)</w:t>
            </w:r>
          </w:p>
        </w:tc>
        <w:tc>
          <w:tcPr>
            <w:tcW w:w="1390" w:type="dxa"/>
            <w:tcBorders>
              <w:left w:val="nil"/>
              <w:right w:val="nil"/>
            </w:tcBorders>
            <w:shd w:val="clear" w:color="auto" w:fill="auto"/>
          </w:tcPr>
          <w:p w14:paraId="4F84A6F0" w14:textId="77777777" w:rsidR="000C581C" w:rsidRPr="00F1041C" w:rsidRDefault="000C581C" w:rsidP="000C581C">
            <w:pPr>
              <w:spacing w:after="120" w:line="276" w:lineRule="auto"/>
              <w:jc w:val="center"/>
              <w:rPr>
                <w:rFonts w:eastAsia="Calibri"/>
                <w:lang w:val="en-US"/>
              </w:rPr>
            </w:pPr>
            <w:r w:rsidRPr="00F1041C">
              <w:rPr>
                <w:rFonts w:eastAsia="Calibri"/>
                <w:lang w:val="en-US"/>
              </w:rPr>
              <w:t>142</w:t>
            </w:r>
          </w:p>
        </w:tc>
        <w:tc>
          <w:tcPr>
            <w:tcW w:w="956" w:type="dxa"/>
            <w:tcBorders>
              <w:left w:val="nil"/>
              <w:right w:val="nil"/>
            </w:tcBorders>
            <w:shd w:val="clear" w:color="auto" w:fill="auto"/>
            <w:tcMar>
              <w:top w:w="15" w:type="dxa"/>
              <w:left w:w="69" w:type="dxa"/>
              <w:bottom w:w="0" w:type="dxa"/>
              <w:right w:w="69" w:type="dxa"/>
            </w:tcMar>
          </w:tcPr>
          <w:p w14:paraId="2F0534AF" w14:textId="77777777" w:rsidR="000C581C" w:rsidRPr="00F1041C" w:rsidRDefault="000C581C" w:rsidP="000C581C">
            <w:pPr>
              <w:spacing w:after="120" w:line="276" w:lineRule="auto"/>
              <w:jc w:val="center"/>
              <w:rPr>
                <w:rFonts w:eastAsia="Calibri"/>
                <w:lang w:val="en-US"/>
              </w:rPr>
            </w:pPr>
            <w:r w:rsidRPr="00F1041C">
              <w:rPr>
                <w:rFonts w:eastAsia="Calibri"/>
                <w:lang w:val="en-US"/>
              </w:rPr>
              <w:t>142</w:t>
            </w:r>
          </w:p>
        </w:tc>
        <w:tc>
          <w:tcPr>
            <w:tcW w:w="956" w:type="dxa"/>
            <w:tcBorders>
              <w:left w:val="nil"/>
              <w:right w:val="nil"/>
            </w:tcBorders>
            <w:shd w:val="clear" w:color="auto" w:fill="auto"/>
            <w:tcMar>
              <w:top w:w="15" w:type="dxa"/>
              <w:left w:w="69" w:type="dxa"/>
              <w:bottom w:w="0" w:type="dxa"/>
              <w:right w:w="69" w:type="dxa"/>
            </w:tcMar>
          </w:tcPr>
          <w:p w14:paraId="75C2DBD6"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w:t>
            </w:r>
          </w:p>
        </w:tc>
        <w:tc>
          <w:tcPr>
            <w:tcW w:w="1043" w:type="dxa"/>
            <w:tcBorders>
              <w:left w:val="nil"/>
              <w:right w:val="nil"/>
            </w:tcBorders>
            <w:shd w:val="clear" w:color="auto" w:fill="auto"/>
          </w:tcPr>
          <w:p w14:paraId="4F789EC5" w14:textId="3FB4249D" w:rsidR="000C581C" w:rsidRPr="00F1041C" w:rsidRDefault="000C581C" w:rsidP="000C581C">
            <w:pPr>
              <w:spacing w:after="120" w:line="276" w:lineRule="auto"/>
              <w:jc w:val="center"/>
              <w:rPr>
                <w:rFonts w:eastAsia="Calibri"/>
                <w:lang w:val="en-US"/>
              </w:rPr>
            </w:pPr>
            <w:r w:rsidRPr="00F1041C">
              <w:rPr>
                <w:rFonts w:eastAsia="Calibri"/>
                <w:lang w:val="en-US"/>
              </w:rPr>
              <w:t>57</w:t>
            </w:r>
          </w:p>
        </w:tc>
        <w:tc>
          <w:tcPr>
            <w:tcW w:w="1217" w:type="dxa"/>
            <w:tcBorders>
              <w:left w:val="nil"/>
              <w:right w:val="nil"/>
            </w:tcBorders>
            <w:shd w:val="clear" w:color="auto" w:fill="auto"/>
          </w:tcPr>
          <w:p w14:paraId="616FD97C" w14:textId="7CED60CA" w:rsidR="000C581C" w:rsidRPr="00F1041C" w:rsidRDefault="000C581C" w:rsidP="000C581C">
            <w:pPr>
              <w:spacing w:after="120" w:line="276" w:lineRule="auto"/>
              <w:jc w:val="center"/>
              <w:rPr>
                <w:rFonts w:eastAsia="Calibri"/>
                <w:lang w:val="en-US"/>
              </w:rPr>
            </w:pPr>
            <w:r w:rsidRPr="00F1041C">
              <w:rPr>
                <w:rFonts w:eastAsia="Calibri"/>
                <w:lang w:val="en-US"/>
              </w:rPr>
              <w:t>57</w:t>
            </w:r>
          </w:p>
        </w:tc>
        <w:tc>
          <w:tcPr>
            <w:tcW w:w="869" w:type="dxa"/>
            <w:tcBorders>
              <w:left w:val="nil"/>
              <w:right w:val="nil"/>
            </w:tcBorders>
            <w:shd w:val="clear" w:color="auto" w:fill="auto"/>
            <w:tcMar>
              <w:top w:w="15" w:type="dxa"/>
              <w:left w:w="69" w:type="dxa"/>
              <w:bottom w:w="0" w:type="dxa"/>
              <w:right w:w="69" w:type="dxa"/>
            </w:tcMar>
          </w:tcPr>
          <w:p w14:paraId="1AF755CC" w14:textId="5CF7D633" w:rsidR="000C581C" w:rsidRPr="00F1041C" w:rsidRDefault="000C581C" w:rsidP="000C581C">
            <w:pPr>
              <w:spacing w:after="120" w:line="276" w:lineRule="auto"/>
              <w:jc w:val="center"/>
              <w:rPr>
                <w:rFonts w:eastAsia="Calibri"/>
                <w:lang w:val="en-US"/>
              </w:rPr>
            </w:pPr>
            <w:r w:rsidRPr="002248AA">
              <w:rPr>
                <w:lang w:val="en-US"/>
              </w:rPr>
              <w:t>0.</w:t>
            </w:r>
            <w:r w:rsidRPr="00F1041C">
              <w:rPr>
                <w:rFonts w:eastAsia="Calibri"/>
                <w:lang w:val="en-US"/>
              </w:rPr>
              <w:t>4x</w:t>
            </w:r>
          </w:p>
        </w:tc>
        <w:tc>
          <w:tcPr>
            <w:tcW w:w="740" w:type="dxa"/>
            <w:tcBorders>
              <w:left w:val="nil"/>
              <w:right w:val="nil"/>
            </w:tcBorders>
            <w:shd w:val="clear" w:color="auto" w:fill="auto"/>
          </w:tcPr>
          <w:p w14:paraId="1DA32E3B" w14:textId="77777777" w:rsidR="000C581C" w:rsidRPr="002248AA" w:rsidRDefault="000C581C" w:rsidP="000C581C">
            <w:pPr>
              <w:spacing w:after="120" w:line="276" w:lineRule="auto"/>
              <w:jc w:val="center"/>
              <w:rPr>
                <w:lang w:val="en-US"/>
              </w:rPr>
            </w:pPr>
            <w:r w:rsidRPr="002248AA">
              <w:rPr>
                <w:lang w:val="en-US"/>
              </w:rPr>
              <w:t>1.1x</w:t>
            </w:r>
          </w:p>
        </w:tc>
      </w:tr>
      <w:tr w:rsidR="000C581C" w:rsidRPr="00F1041C" w14:paraId="71B6541B" w14:textId="77777777" w:rsidTr="000C581C">
        <w:trPr>
          <w:trHeight w:val="45"/>
        </w:trPr>
        <w:tc>
          <w:tcPr>
            <w:tcW w:w="1857" w:type="dxa"/>
            <w:tcBorders>
              <w:top w:val="nil"/>
              <w:left w:val="nil"/>
              <w:right w:val="nil"/>
            </w:tcBorders>
            <w:shd w:val="clear" w:color="auto" w:fill="auto"/>
            <w:tcMar>
              <w:top w:w="15" w:type="dxa"/>
              <w:left w:w="137" w:type="dxa"/>
              <w:bottom w:w="0" w:type="dxa"/>
              <w:right w:w="15" w:type="dxa"/>
            </w:tcMar>
          </w:tcPr>
          <w:p w14:paraId="3662C77F" w14:textId="20623677" w:rsidR="000C581C" w:rsidRPr="002248AA" w:rsidRDefault="000C581C" w:rsidP="000C581C">
            <w:pPr>
              <w:spacing w:after="120" w:line="276" w:lineRule="auto"/>
              <w:rPr>
                <w:i/>
                <w:lang w:val="en-US"/>
              </w:rPr>
            </w:pPr>
            <w:r w:rsidRPr="00F1041C">
              <w:rPr>
                <w:rFonts w:eastAsia="Calibri"/>
                <w:b/>
                <w:lang w:val="en-US"/>
              </w:rPr>
              <w:t xml:space="preserve">Fieldwood       </w:t>
            </w:r>
            <w:r w:rsidRPr="00F1041C">
              <w:rPr>
                <w:rFonts w:eastAsia="Calibri"/>
                <w:b/>
                <w:lang w:val="en-US"/>
              </w:rPr>
              <w:br/>
            </w:r>
            <w:r w:rsidRPr="00F1041C">
              <w:rPr>
                <w:rFonts w:eastAsia="Calibri"/>
                <w:i/>
                <w:lang w:val="en-US"/>
              </w:rPr>
              <w:t>(17 Mar 2014)</w:t>
            </w:r>
          </w:p>
        </w:tc>
        <w:tc>
          <w:tcPr>
            <w:tcW w:w="158" w:type="dxa"/>
            <w:tcBorders>
              <w:top w:val="nil"/>
              <w:left w:val="nil"/>
              <w:right w:val="nil"/>
            </w:tcBorders>
            <w:shd w:val="clear" w:color="auto" w:fill="auto"/>
            <w:tcMar>
              <w:top w:w="15" w:type="dxa"/>
              <w:left w:w="69" w:type="dxa"/>
              <w:bottom w:w="0" w:type="dxa"/>
              <w:right w:w="69" w:type="dxa"/>
            </w:tcMar>
            <w:vAlign w:val="center"/>
          </w:tcPr>
          <w:p w14:paraId="068C2137" w14:textId="77777777" w:rsidR="000C581C" w:rsidRPr="00F1041C" w:rsidRDefault="000C581C" w:rsidP="000C581C">
            <w:pPr>
              <w:spacing w:after="120" w:line="276" w:lineRule="auto"/>
              <w:rPr>
                <w:rFonts w:eastAsia="Calibri"/>
                <w:color w:val="000000"/>
                <w:lang w:val="en-US"/>
              </w:rPr>
            </w:pPr>
            <w:r w:rsidRPr="00F1041C">
              <w:rPr>
                <w:rFonts w:eastAsia="Calibri"/>
                <w:color w:val="000000"/>
                <w:lang w:val="en-US"/>
              </w:rPr>
              <w:t> </w:t>
            </w:r>
          </w:p>
        </w:tc>
        <w:tc>
          <w:tcPr>
            <w:tcW w:w="1289" w:type="dxa"/>
            <w:tcBorders>
              <w:top w:val="nil"/>
              <w:left w:val="nil"/>
              <w:right w:val="nil"/>
            </w:tcBorders>
            <w:shd w:val="clear" w:color="auto" w:fill="auto"/>
            <w:vAlign w:val="center"/>
          </w:tcPr>
          <w:p w14:paraId="48E2F8CC"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GoM Shelf (U.S.)</w:t>
            </w:r>
          </w:p>
        </w:tc>
        <w:tc>
          <w:tcPr>
            <w:tcW w:w="1390" w:type="dxa"/>
            <w:tcBorders>
              <w:top w:val="nil"/>
              <w:left w:val="nil"/>
              <w:right w:val="nil"/>
            </w:tcBorders>
            <w:shd w:val="clear" w:color="auto" w:fill="auto"/>
          </w:tcPr>
          <w:p w14:paraId="466F7E54" w14:textId="77777777" w:rsidR="000C581C" w:rsidRPr="002248AA" w:rsidRDefault="000C581C" w:rsidP="000C581C">
            <w:pPr>
              <w:spacing w:after="120" w:line="276" w:lineRule="auto"/>
              <w:jc w:val="center"/>
              <w:rPr>
                <w:lang w:val="en-US"/>
              </w:rPr>
            </w:pPr>
            <w:r w:rsidRPr="002248AA">
              <w:rPr>
                <w:lang w:val="en-US"/>
              </w:rPr>
              <w:t>89</w:t>
            </w:r>
          </w:p>
        </w:tc>
        <w:tc>
          <w:tcPr>
            <w:tcW w:w="956" w:type="dxa"/>
            <w:tcBorders>
              <w:top w:val="nil"/>
              <w:left w:val="nil"/>
              <w:right w:val="nil"/>
            </w:tcBorders>
            <w:shd w:val="clear" w:color="auto" w:fill="auto"/>
            <w:tcMar>
              <w:top w:w="15" w:type="dxa"/>
              <w:left w:w="69" w:type="dxa"/>
              <w:bottom w:w="0" w:type="dxa"/>
              <w:right w:w="69" w:type="dxa"/>
            </w:tcMar>
          </w:tcPr>
          <w:p w14:paraId="3E4E3CA6" w14:textId="77777777" w:rsidR="000C581C" w:rsidRPr="002248AA" w:rsidRDefault="000C581C" w:rsidP="000C581C">
            <w:pPr>
              <w:spacing w:after="120" w:line="276" w:lineRule="auto"/>
              <w:jc w:val="center"/>
              <w:rPr>
                <w:lang w:val="en-US"/>
              </w:rPr>
            </w:pPr>
            <w:r w:rsidRPr="002248AA">
              <w:rPr>
                <w:lang w:val="en-US"/>
              </w:rPr>
              <w:t>88</w:t>
            </w:r>
          </w:p>
        </w:tc>
        <w:tc>
          <w:tcPr>
            <w:tcW w:w="956" w:type="dxa"/>
            <w:tcBorders>
              <w:top w:val="nil"/>
              <w:left w:val="nil"/>
              <w:right w:val="nil"/>
            </w:tcBorders>
            <w:shd w:val="clear" w:color="auto" w:fill="auto"/>
            <w:tcMar>
              <w:top w:w="15" w:type="dxa"/>
              <w:left w:w="69" w:type="dxa"/>
              <w:bottom w:w="0" w:type="dxa"/>
              <w:right w:w="69" w:type="dxa"/>
            </w:tcMar>
          </w:tcPr>
          <w:p w14:paraId="5A7987DE" w14:textId="77777777" w:rsidR="000C581C" w:rsidRPr="002248AA" w:rsidRDefault="000C581C" w:rsidP="000C581C">
            <w:pPr>
              <w:spacing w:after="120" w:line="276" w:lineRule="auto"/>
              <w:jc w:val="center"/>
              <w:rPr>
                <w:color w:val="000000"/>
                <w:lang w:val="en-US"/>
              </w:rPr>
            </w:pPr>
            <w:r w:rsidRPr="002248AA">
              <w:rPr>
                <w:color w:val="000000"/>
                <w:lang w:val="en-US"/>
              </w:rPr>
              <w:t>8</w:t>
            </w:r>
          </w:p>
        </w:tc>
        <w:tc>
          <w:tcPr>
            <w:tcW w:w="1043" w:type="dxa"/>
            <w:tcBorders>
              <w:top w:val="nil"/>
              <w:left w:val="nil"/>
              <w:right w:val="nil"/>
            </w:tcBorders>
            <w:shd w:val="clear" w:color="auto" w:fill="auto"/>
          </w:tcPr>
          <w:p w14:paraId="035E2825" w14:textId="72D03DDB" w:rsidR="000C581C" w:rsidRPr="002248AA" w:rsidRDefault="000C581C" w:rsidP="000C581C">
            <w:pPr>
              <w:spacing w:after="120" w:line="276" w:lineRule="auto"/>
              <w:jc w:val="center"/>
              <w:rPr>
                <w:lang w:val="en-US"/>
              </w:rPr>
            </w:pPr>
            <w:r w:rsidRPr="00F1041C">
              <w:rPr>
                <w:rFonts w:eastAsia="Calibri"/>
                <w:lang w:val="en-US"/>
              </w:rPr>
              <w:t>39</w:t>
            </w:r>
          </w:p>
        </w:tc>
        <w:tc>
          <w:tcPr>
            <w:tcW w:w="1217" w:type="dxa"/>
            <w:tcBorders>
              <w:top w:val="nil"/>
              <w:left w:val="nil"/>
              <w:right w:val="nil"/>
            </w:tcBorders>
            <w:shd w:val="clear" w:color="auto" w:fill="auto"/>
          </w:tcPr>
          <w:p w14:paraId="4E36B469" w14:textId="39E1F777" w:rsidR="000C581C" w:rsidRPr="002248AA" w:rsidRDefault="000C581C" w:rsidP="000C581C">
            <w:pPr>
              <w:spacing w:after="120" w:line="276" w:lineRule="auto"/>
              <w:jc w:val="center"/>
              <w:rPr>
                <w:lang w:val="en-US"/>
              </w:rPr>
            </w:pPr>
            <w:r w:rsidRPr="00F1041C">
              <w:rPr>
                <w:rFonts w:eastAsia="Calibri"/>
                <w:lang w:val="en-US"/>
              </w:rPr>
              <w:t>47</w:t>
            </w:r>
          </w:p>
        </w:tc>
        <w:tc>
          <w:tcPr>
            <w:tcW w:w="869" w:type="dxa"/>
            <w:tcBorders>
              <w:top w:val="nil"/>
              <w:left w:val="nil"/>
              <w:right w:val="nil"/>
            </w:tcBorders>
            <w:shd w:val="clear" w:color="auto" w:fill="auto"/>
            <w:tcMar>
              <w:top w:w="15" w:type="dxa"/>
              <w:left w:w="69" w:type="dxa"/>
              <w:bottom w:w="0" w:type="dxa"/>
              <w:right w:w="69" w:type="dxa"/>
            </w:tcMar>
          </w:tcPr>
          <w:p w14:paraId="23B3F6FD" w14:textId="10CA13AA" w:rsidR="000C581C" w:rsidRPr="002248AA" w:rsidRDefault="000C581C" w:rsidP="000C581C">
            <w:pPr>
              <w:spacing w:after="120" w:line="276" w:lineRule="auto"/>
              <w:jc w:val="center"/>
              <w:rPr>
                <w:lang w:val="en-US"/>
              </w:rPr>
            </w:pPr>
            <w:r w:rsidRPr="002248AA">
              <w:rPr>
                <w:lang w:val="en-US"/>
              </w:rPr>
              <w:t>0.</w:t>
            </w:r>
            <w:r w:rsidRPr="00F1041C">
              <w:rPr>
                <w:rFonts w:eastAsia="Calibri"/>
                <w:lang w:val="en-US"/>
              </w:rPr>
              <w:t>5x</w:t>
            </w:r>
          </w:p>
        </w:tc>
        <w:tc>
          <w:tcPr>
            <w:tcW w:w="740" w:type="dxa"/>
            <w:tcBorders>
              <w:top w:val="nil"/>
              <w:left w:val="nil"/>
              <w:right w:val="nil"/>
            </w:tcBorders>
            <w:shd w:val="clear" w:color="auto" w:fill="auto"/>
          </w:tcPr>
          <w:p w14:paraId="4A170F64" w14:textId="77777777" w:rsidR="000C581C" w:rsidRPr="002248AA" w:rsidRDefault="000C581C" w:rsidP="000C581C">
            <w:pPr>
              <w:spacing w:after="120" w:line="276" w:lineRule="auto"/>
              <w:jc w:val="center"/>
              <w:rPr>
                <w:lang w:val="en-US"/>
              </w:rPr>
            </w:pPr>
            <w:r w:rsidRPr="002248AA">
              <w:rPr>
                <w:lang w:val="en-US"/>
              </w:rPr>
              <w:t>0.7x</w:t>
            </w:r>
          </w:p>
        </w:tc>
      </w:tr>
      <w:tr w:rsidR="000C581C" w:rsidRPr="00F1041C" w14:paraId="224EADB0" w14:textId="77777777" w:rsidTr="000C581C">
        <w:trPr>
          <w:trHeight w:val="45"/>
        </w:trPr>
        <w:tc>
          <w:tcPr>
            <w:tcW w:w="1857" w:type="dxa"/>
            <w:tcBorders>
              <w:top w:val="nil"/>
              <w:left w:val="nil"/>
              <w:right w:val="nil"/>
            </w:tcBorders>
            <w:shd w:val="clear" w:color="auto" w:fill="auto"/>
            <w:tcMar>
              <w:top w:w="15" w:type="dxa"/>
              <w:left w:w="137" w:type="dxa"/>
              <w:bottom w:w="0" w:type="dxa"/>
              <w:right w:w="15" w:type="dxa"/>
            </w:tcMar>
          </w:tcPr>
          <w:p w14:paraId="7AC57568" w14:textId="632AF056" w:rsidR="000C581C" w:rsidRPr="002248AA" w:rsidRDefault="000C581C" w:rsidP="000C581C">
            <w:pPr>
              <w:spacing w:after="120" w:line="276" w:lineRule="auto"/>
              <w:rPr>
                <w:i/>
                <w:lang w:val="en-US"/>
              </w:rPr>
            </w:pPr>
            <w:bookmarkStart w:id="8" w:name="_Hlk17983282"/>
            <w:r w:rsidRPr="00F1041C">
              <w:rPr>
                <w:rFonts w:eastAsia="Calibri"/>
                <w:b/>
                <w:lang w:val="en-US"/>
              </w:rPr>
              <w:t xml:space="preserve">Onyx                </w:t>
            </w:r>
            <w:r w:rsidRPr="00F1041C">
              <w:rPr>
                <w:rFonts w:eastAsia="Calibri"/>
                <w:b/>
                <w:lang w:val="en-US"/>
              </w:rPr>
              <w:br/>
            </w:r>
            <w:r w:rsidRPr="00F1041C">
              <w:rPr>
                <w:rFonts w:eastAsia="Calibri"/>
                <w:i/>
                <w:lang w:val="en-US"/>
              </w:rPr>
              <w:t>(</w:t>
            </w:r>
            <w:r>
              <w:rPr>
                <w:rFonts w:eastAsia="Calibri"/>
                <w:i/>
                <w:lang w:val="en-US"/>
              </w:rPr>
              <w:t>30</w:t>
            </w:r>
            <w:r w:rsidRPr="00F1041C">
              <w:rPr>
                <w:rFonts w:eastAsia="Calibri"/>
                <w:i/>
                <w:lang w:val="en-US"/>
              </w:rPr>
              <w:t xml:space="preserve"> Nov 2019)</w:t>
            </w:r>
          </w:p>
        </w:tc>
        <w:tc>
          <w:tcPr>
            <w:tcW w:w="158" w:type="dxa"/>
            <w:tcBorders>
              <w:top w:val="nil"/>
              <w:left w:val="nil"/>
              <w:right w:val="nil"/>
            </w:tcBorders>
            <w:shd w:val="clear" w:color="auto" w:fill="auto"/>
            <w:tcMar>
              <w:top w:w="15" w:type="dxa"/>
              <w:left w:w="69" w:type="dxa"/>
              <w:bottom w:w="0" w:type="dxa"/>
              <w:right w:w="69" w:type="dxa"/>
            </w:tcMar>
            <w:vAlign w:val="center"/>
          </w:tcPr>
          <w:p w14:paraId="043622AD" w14:textId="77777777" w:rsidR="000C581C" w:rsidRPr="00F1041C" w:rsidRDefault="000C581C" w:rsidP="000C581C">
            <w:pPr>
              <w:spacing w:after="120" w:line="276" w:lineRule="auto"/>
              <w:rPr>
                <w:rFonts w:eastAsia="Calibri"/>
                <w:color w:val="000000"/>
                <w:lang w:val="en-US"/>
              </w:rPr>
            </w:pPr>
            <w:r w:rsidRPr="00F1041C">
              <w:rPr>
                <w:rFonts w:eastAsia="Calibri"/>
                <w:color w:val="000000"/>
                <w:lang w:val="en-US"/>
              </w:rPr>
              <w:t> </w:t>
            </w:r>
          </w:p>
        </w:tc>
        <w:tc>
          <w:tcPr>
            <w:tcW w:w="1289" w:type="dxa"/>
            <w:tcBorders>
              <w:top w:val="nil"/>
              <w:left w:val="nil"/>
              <w:right w:val="nil"/>
            </w:tcBorders>
            <w:shd w:val="clear" w:color="auto" w:fill="auto"/>
          </w:tcPr>
          <w:p w14:paraId="2BDCFF1F"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Europe</w:t>
            </w:r>
          </w:p>
        </w:tc>
        <w:tc>
          <w:tcPr>
            <w:tcW w:w="1390" w:type="dxa"/>
            <w:tcBorders>
              <w:top w:val="nil"/>
              <w:left w:val="nil"/>
              <w:right w:val="nil"/>
            </w:tcBorders>
            <w:shd w:val="clear" w:color="auto" w:fill="auto"/>
          </w:tcPr>
          <w:p w14:paraId="58340B8C" w14:textId="77777777" w:rsidR="000C581C" w:rsidRPr="00F1041C" w:rsidRDefault="000C581C" w:rsidP="000C581C">
            <w:pPr>
              <w:spacing w:after="120" w:line="276" w:lineRule="auto"/>
              <w:jc w:val="center"/>
              <w:rPr>
                <w:rFonts w:eastAsia="Calibri"/>
                <w:lang w:val="en-US"/>
              </w:rPr>
            </w:pPr>
            <w:r w:rsidRPr="00F1041C">
              <w:rPr>
                <w:rFonts w:eastAsia="Calibri"/>
                <w:lang w:val="en-US"/>
              </w:rPr>
              <w:t>66</w:t>
            </w:r>
          </w:p>
        </w:tc>
        <w:tc>
          <w:tcPr>
            <w:tcW w:w="956" w:type="dxa"/>
            <w:tcBorders>
              <w:top w:val="nil"/>
              <w:left w:val="nil"/>
              <w:right w:val="nil"/>
            </w:tcBorders>
            <w:shd w:val="clear" w:color="auto" w:fill="auto"/>
            <w:tcMar>
              <w:top w:w="15" w:type="dxa"/>
              <w:left w:w="69" w:type="dxa"/>
              <w:bottom w:w="0" w:type="dxa"/>
              <w:right w:w="69" w:type="dxa"/>
            </w:tcMar>
          </w:tcPr>
          <w:p w14:paraId="5FABD80B" w14:textId="77777777" w:rsidR="000C581C" w:rsidRPr="00F1041C" w:rsidRDefault="000C581C" w:rsidP="000C581C">
            <w:pPr>
              <w:spacing w:after="120" w:line="276" w:lineRule="auto"/>
              <w:jc w:val="center"/>
              <w:rPr>
                <w:rFonts w:eastAsia="Calibri"/>
                <w:lang w:val="en-US"/>
              </w:rPr>
            </w:pPr>
            <w:r w:rsidRPr="00F1041C">
              <w:rPr>
                <w:rFonts w:eastAsia="Calibri"/>
                <w:lang w:val="en-US"/>
              </w:rPr>
              <w:t>31</w:t>
            </w:r>
          </w:p>
        </w:tc>
        <w:tc>
          <w:tcPr>
            <w:tcW w:w="956" w:type="dxa"/>
            <w:tcBorders>
              <w:top w:val="nil"/>
              <w:left w:val="nil"/>
              <w:right w:val="nil"/>
            </w:tcBorders>
            <w:shd w:val="clear" w:color="auto" w:fill="auto"/>
            <w:tcMar>
              <w:top w:w="15" w:type="dxa"/>
              <w:left w:w="69" w:type="dxa"/>
              <w:bottom w:w="0" w:type="dxa"/>
              <w:right w:w="69" w:type="dxa"/>
            </w:tcMar>
          </w:tcPr>
          <w:p w14:paraId="5E8C0432"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w:t>
            </w:r>
          </w:p>
        </w:tc>
        <w:tc>
          <w:tcPr>
            <w:tcW w:w="1043" w:type="dxa"/>
            <w:tcBorders>
              <w:top w:val="nil"/>
              <w:left w:val="nil"/>
              <w:right w:val="nil"/>
            </w:tcBorders>
            <w:shd w:val="clear" w:color="auto" w:fill="auto"/>
          </w:tcPr>
          <w:p w14:paraId="3C89E913" w14:textId="77777777" w:rsidR="000C581C" w:rsidRPr="00F1041C" w:rsidRDefault="000C581C" w:rsidP="000C581C">
            <w:pPr>
              <w:spacing w:after="120" w:line="276" w:lineRule="auto"/>
              <w:jc w:val="center"/>
              <w:rPr>
                <w:rFonts w:eastAsia="Calibri"/>
                <w:lang w:val="en-US"/>
              </w:rPr>
            </w:pPr>
            <w:r w:rsidRPr="00F1041C">
              <w:rPr>
                <w:rFonts w:eastAsia="Calibri"/>
                <w:lang w:val="en-US"/>
              </w:rPr>
              <w:t>31</w:t>
            </w:r>
          </w:p>
        </w:tc>
        <w:tc>
          <w:tcPr>
            <w:tcW w:w="1217" w:type="dxa"/>
            <w:tcBorders>
              <w:top w:val="nil"/>
              <w:left w:val="nil"/>
              <w:right w:val="nil"/>
            </w:tcBorders>
            <w:shd w:val="clear" w:color="auto" w:fill="auto"/>
          </w:tcPr>
          <w:p w14:paraId="11BF61DC" w14:textId="77777777" w:rsidR="000C581C" w:rsidRPr="00F1041C" w:rsidRDefault="000C581C" w:rsidP="000C581C">
            <w:pPr>
              <w:spacing w:after="120" w:line="276" w:lineRule="auto"/>
              <w:jc w:val="center"/>
              <w:rPr>
                <w:rFonts w:eastAsia="Calibri"/>
                <w:lang w:val="en-US"/>
              </w:rPr>
            </w:pPr>
            <w:r w:rsidRPr="00F1041C">
              <w:rPr>
                <w:rFonts w:eastAsia="Calibri"/>
                <w:lang w:val="en-US"/>
              </w:rPr>
              <w:t>31</w:t>
            </w:r>
          </w:p>
        </w:tc>
        <w:tc>
          <w:tcPr>
            <w:tcW w:w="869" w:type="dxa"/>
            <w:tcBorders>
              <w:top w:val="nil"/>
              <w:left w:val="nil"/>
              <w:right w:val="nil"/>
            </w:tcBorders>
            <w:shd w:val="clear" w:color="auto" w:fill="auto"/>
            <w:tcMar>
              <w:top w:w="15" w:type="dxa"/>
              <w:left w:w="69" w:type="dxa"/>
              <w:bottom w:w="0" w:type="dxa"/>
              <w:right w:w="69" w:type="dxa"/>
            </w:tcMar>
          </w:tcPr>
          <w:p w14:paraId="7619F43C" w14:textId="77777777" w:rsidR="000C581C" w:rsidRPr="002248AA" w:rsidRDefault="000C581C" w:rsidP="000C581C">
            <w:pPr>
              <w:spacing w:after="120" w:line="276" w:lineRule="auto"/>
              <w:jc w:val="center"/>
              <w:rPr>
                <w:lang w:val="en-US"/>
              </w:rPr>
            </w:pPr>
            <w:r w:rsidRPr="002248AA">
              <w:rPr>
                <w:lang w:val="en-US"/>
              </w:rPr>
              <w:t>1.0x</w:t>
            </w:r>
          </w:p>
        </w:tc>
        <w:tc>
          <w:tcPr>
            <w:tcW w:w="740" w:type="dxa"/>
            <w:tcBorders>
              <w:top w:val="nil"/>
              <w:left w:val="nil"/>
              <w:right w:val="nil"/>
            </w:tcBorders>
            <w:shd w:val="clear" w:color="auto" w:fill="auto"/>
          </w:tcPr>
          <w:p w14:paraId="5CBB8E4B" w14:textId="77777777" w:rsidR="000C581C" w:rsidRPr="002248AA" w:rsidRDefault="000C581C" w:rsidP="000C581C">
            <w:pPr>
              <w:spacing w:after="120" w:line="276" w:lineRule="auto"/>
              <w:jc w:val="center"/>
              <w:rPr>
                <w:lang w:val="en-US"/>
              </w:rPr>
            </w:pPr>
            <w:r w:rsidRPr="002248AA">
              <w:rPr>
                <w:lang w:val="en-US"/>
              </w:rPr>
              <w:t>n/a</w:t>
            </w:r>
          </w:p>
        </w:tc>
      </w:tr>
      <w:tr w:rsidR="000C581C" w:rsidRPr="00F1041C" w14:paraId="651F63CF" w14:textId="77777777" w:rsidTr="000C581C">
        <w:trPr>
          <w:trHeight w:val="45"/>
        </w:trPr>
        <w:tc>
          <w:tcPr>
            <w:tcW w:w="1857" w:type="dxa"/>
            <w:tcBorders>
              <w:top w:val="nil"/>
              <w:left w:val="nil"/>
              <w:right w:val="nil"/>
            </w:tcBorders>
            <w:shd w:val="clear" w:color="auto" w:fill="auto"/>
            <w:tcMar>
              <w:top w:w="15" w:type="dxa"/>
              <w:left w:w="137" w:type="dxa"/>
              <w:bottom w:w="0" w:type="dxa"/>
              <w:right w:w="15" w:type="dxa"/>
            </w:tcMar>
          </w:tcPr>
          <w:p w14:paraId="3F69F5A1" w14:textId="3AC73166" w:rsidR="000C581C" w:rsidRPr="00F1041C" w:rsidRDefault="000C581C" w:rsidP="000C581C">
            <w:pPr>
              <w:spacing w:after="120" w:line="276" w:lineRule="auto"/>
              <w:rPr>
                <w:rFonts w:eastAsia="Calibri"/>
                <w:i/>
                <w:lang w:val="en-US"/>
              </w:rPr>
            </w:pPr>
            <w:r w:rsidRPr="00F1041C">
              <w:rPr>
                <w:rFonts w:eastAsia="Calibri"/>
                <w:b/>
                <w:lang w:val="en-US"/>
              </w:rPr>
              <w:t xml:space="preserve">CNOR             </w:t>
            </w:r>
            <w:r w:rsidRPr="00F1041C">
              <w:rPr>
                <w:rFonts w:eastAsia="Calibri"/>
                <w:b/>
                <w:lang w:val="en-US"/>
              </w:rPr>
              <w:br/>
            </w:r>
            <w:r w:rsidRPr="00F1041C">
              <w:rPr>
                <w:rFonts w:eastAsia="Calibri"/>
                <w:i/>
                <w:lang w:val="en-US"/>
              </w:rPr>
              <w:t>(29 Aug 2014)</w:t>
            </w:r>
          </w:p>
        </w:tc>
        <w:tc>
          <w:tcPr>
            <w:tcW w:w="158" w:type="dxa"/>
            <w:tcBorders>
              <w:top w:val="nil"/>
              <w:left w:val="nil"/>
              <w:right w:val="nil"/>
            </w:tcBorders>
            <w:shd w:val="clear" w:color="auto" w:fill="auto"/>
            <w:tcMar>
              <w:top w:w="15" w:type="dxa"/>
              <w:left w:w="69" w:type="dxa"/>
              <w:bottom w:w="0" w:type="dxa"/>
              <w:right w:w="69" w:type="dxa"/>
            </w:tcMar>
            <w:vAlign w:val="center"/>
          </w:tcPr>
          <w:p w14:paraId="5F010045" w14:textId="77777777" w:rsidR="000C581C" w:rsidRPr="00F1041C" w:rsidRDefault="000C581C" w:rsidP="000C581C">
            <w:pPr>
              <w:spacing w:after="120" w:line="276" w:lineRule="auto"/>
              <w:rPr>
                <w:rFonts w:eastAsia="Calibri"/>
                <w:color w:val="000000"/>
                <w:lang w:val="en-US"/>
              </w:rPr>
            </w:pPr>
            <w:r w:rsidRPr="00F1041C">
              <w:rPr>
                <w:rFonts w:eastAsia="Calibri"/>
                <w:color w:val="000000"/>
                <w:lang w:val="en-US"/>
              </w:rPr>
              <w:t> </w:t>
            </w:r>
          </w:p>
        </w:tc>
        <w:tc>
          <w:tcPr>
            <w:tcW w:w="1289" w:type="dxa"/>
            <w:tcBorders>
              <w:top w:val="nil"/>
              <w:left w:val="nil"/>
              <w:right w:val="nil"/>
            </w:tcBorders>
            <w:shd w:val="clear" w:color="auto" w:fill="auto"/>
            <w:vAlign w:val="center"/>
          </w:tcPr>
          <w:p w14:paraId="44744EA7"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Western Canada</w:t>
            </w:r>
          </w:p>
        </w:tc>
        <w:tc>
          <w:tcPr>
            <w:tcW w:w="1390" w:type="dxa"/>
            <w:tcBorders>
              <w:top w:val="nil"/>
              <w:left w:val="nil"/>
              <w:right w:val="nil"/>
            </w:tcBorders>
            <w:shd w:val="clear" w:color="auto" w:fill="auto"/>
          </w:tcPr>
          <w:p w14:paraId="3CFA329C" w14:textId="77777777" w:rsidR="000C581C" w:rsidRPr="00F1041C" w:rsidRDefault="000C581C" w:rsidP="000C581C">
            <w:pPr>
              <w:spacing w:after="120" w:line="276" w:lineRule="auto"/>
              <w:jc w:val="center"/>
              <w:rPr>
                <w:rFonts w:eastAsia="Calibri"/>
                <w:lang w:val="en-US"/>
              </w:rPr>
            </w:pPr>
            <w:r w:rsidRPr="00F1041C">
              <w:rPr>
                <w:rFonts w:eastAsia="Calibri"/>
                <w:lang w:val="en-US"/>
              </w:rPr>
              <w:t>90</w:t>
            </w:r>
          </w:p>
        </w:tc>
        <w:tc>
          <w:tcPr>
            <w:tcW w:w="956" w:type="dxa"/>
            <w:tcBorders>
              <w:top w:val="nil"/>
              <w:left w:val="nil"/>
              <w:right w:val="nil"/>
            </w:tcBorders>
            <w:shd w:val="clear" w:color="auto" w:fill="auto"/>
            <w:tcMar>
              <w:top w:w="15" w:type="dxa"/>
              <w:left w:w="69" w:type="dxa"/>
              <w:bottom w:w="0" w:type="dxa"/>
              <w:right w:w="69" w:type="dxa"/>
            </w:tcMar>
          </w:tcPr>
          <w:p w14:paraId="6574719F" w14:textId="77777777" w:rsidR="000C581C" w:rsidRPr="00F1041C" w:rsidRDefault="000C581C" w:rsidP="000C581C">
            <w:pPr>
              <w:spacing w:after="120" w:line="276" w:lineRule="auto"/>
              <w:jc w:val="center"/>
              <w:rPr>
                <w:rFonts w:eastAsia="Calibri"/>
                <w:lang w:val="en-US"/>
              </w:rPr>
            </w:pPr>
            <w:r w:rsidRPr="00F1041C">
              <w:rPr>
                <w:rFonts w:eastAsia="Calibri"/>
                <w:lang w:val="en-US"/>
              </w:rPr>
              <w:t>90</w:t>
            </w:r>
          </w:p>
        </w:tc>
        <w:tc>
          <w:tcPr>
            <w:tcW w:w="956" w:type="dxa"/>
            <w:tcBorders>
              <w:top w:val="nil"/>
              <w:left w:val="nil"/>
              <w:right w:val="nil"/>
            </w:tcBorders>
            <w:shd w:val="clear" w:color="auto" w:fill="auto"/>
            <w:tcMar>
              <w:top w:w="15" w:type="dxa"/>
              <w:left w:w="69" w:type="dxa"/>
              <w:bottom w:w="0" w:type="dxa"/>
              <w:right w:w="69" w:type="dxa"/>
            </w:tcMar>
          </w:tcPr>
          <w:p w14:paraId="3F37D0A1"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16</w:t>
            </w:r>
          </w:p>
        </w:tc>
        <w:tc>
          <w:tcPr>
            <w:tcW w:w="1043" w:type="dxa"/>
            <w:tcBorders>
              <w:top w:val="nil"/>
              <w:left w:val="nil"/>
              <w:right w:val="nil"/>
            </w:tcBorders>
            <w:shd w:val="clear" w:color="auto" w:fill="auto"/>
          </w:tcPr>
          <w:p w14:paraId="5B4B9198" w14:textId="06BEF418" w:rsidR="000C581C" w:rsidRPr="00F1041C" w:rsidRDefault="000C581C" w:rsidP="000C581C">
            <w:pPr>
              <w:spacing w:after="120" w:line="276" w:lineRule="auto"/>
              <w:jc w:val="center"/>
              <w:rPr>
                <w:rFonts w:eastAsia="Calibri"/>
                <w:lang w:val="en-US"/>
              </w:rPr>
            </w:pPr>
            <w:r w:rsidRPr="00F1041C">
              <w:rPr>
                <w:rFonts w:eastAsia="Calibri"/>
                <w:lang w:val="en-US"/>
              </w:rPr>
              <w:t>15</w:t>
            </w:r>
          </w:p>
        </w:tc>
        <w:tc>
          <w:tcPr>
            <w:tcW w:w="1217" w:type="dxa"/>
            <w:tcBorders>
              <w:top w:val="nil"/>
              <w:left w:val="nil"/>
              <w:right w:val="nil"/>
            </w:tcBorders>
            <w:shd w:val="clear" w:color="auto" w:fill="auto"/>
          </w:tcPr>
          <w:p w14:paraId="7D1D5DA4" w14:textId="66A6EE9E" w:rsidR="000C581C" w:rsidRPr="00F1041C" w:rsidRDefault="000C581C" w:rsidP="000C581C">
            <w:pPr>
              <w:spacing w:after="120" w:line="276" w:lineRule="auto"/>
              <w:jc w:val="center"/>
              <w:rPr>
                <w:rFonts w:eastAsia="Calibri"/>
                <w:lang w:val="en-US"/>
              </w:rPr>
            </w:pPr>
            <w:r w:rsidRPr="00F1041C">
              <w:rPr>
                <w:rFonts w:eastAsia="Calibri"/>
                <w:lang w:val="en-US"/>
              </w:rPr>
              <w:t>31</w:t>
            </w:r>
          </w:p>
        </w:tc>
        <w:tc>
          <w:tcPr>
            <w:tcW w:w="869" w:type="dxa"/>
            <w:tcBorders>
              <w:top w:val="nil"/>
              <w:left w:val="nil"/>
              <w:right w:val="nil"/>
            </w:tcBorders>
            <w:shd w:val="clear" w:color="auto" w:fill="auto"/>
            <w:tcMar>
              <w:top w:w="15" w:type="dxa"/>
              <w:left w:w="69" w:type="dxa"/>
              <w:bottom w:w="0" w:type="dxa"/>
              <w:right w:w="69" w:type="dxa"/>
            </w:tcMar>
          </w:tcPr>
          <w:p w14:paraId="6A9E4C38" w14:textId="77777777" w:rsidR="000C581C" w:rsidRPr="00F1041C" w:rsidRDefault="000C581C" w:rsidP="000C581C">
            <w:pPr>
              <w:spacing w:after="120" w:line="276" w:lineRule="auto"/>
              <w:jc w:val="center"/>
              <w:rPr>
                <w:rFonts w:eastAsia="Calibri"/>
                <w:lang w:val="en-US"/>
              </w:rPr>
            </w:pPr>
            <w:r w:rsidRPr="002248AA">
              <w:rPr>
                <w:lang w:val="en-US"/>
              </w:rPr>
              <w:t>0.3x</w:t>
            </w:r>
          </w:p>
        </w:tc>
        <w:tc>
          <w:tcPr>
            <w:tcW w:w="740" w:type="dxa"/>
            <w:tcBorders>
              <w:top w:val="nil"/>
              <w:left w:val="nil"/>
              <w:right w:val="nil"/>
            </w:tcBorders>
            <w:shd w:val="clear" w:color="auto" w:fill="auto"/>
          </w:tcPr>
          <w:p w14:paraId="55DEF30F" w14:textId="77777777" w:rsidR="000C581C" w:rsidRPr="002248AA" w:rsidRDefault="000C581C" w:rsidP="000C581C">
            <w:pPr>
              <w:spacing w:after="120" w:line="276" w:lineRule="auto"/>
              <w:jc w:val="center"/>
              <w:rPr>
                <w:lang w:val="en-US"/>
              </w:rPr>
            </w:pPr>
            <w:r w:rsidRPr="002248AA">
              <w:rPr>
                <w:lang w:val="en-US"/>
              </w:rPr>
              <w:t>0.8x</w:t>
            </w:r>
          </w:p>
        </w:tc>
      </w:tr>
      <w:bookmarkEnd w:id="8"/>
      <w:tr w:rsidR="000C581C" w:rsidRPr="00F1041C" w14:paraId="0E17A81F" w14:textId="77777777" w:rsidTr="000C581C">
        <w:trPr>
          <w:trHeight w:val="45"/>
        </w:trPr>
        <w:tc>
          <w:tcPr>
            <w:tcW w:w="1857" w:type="dxa"/>
            <w:tcBorders>
              <w:top w:val="nil"/>
              <w:left w:val="nil"/>
              <w:right w:val="nil"/>
            </w:tcBorders>
            <w:shd w:val="clear" w:color="auto" w:fill="auto"/>
            <w:tcMar>
              <w:top w:w="15" w:type="dxa"/>
              <w:left w:w="137" w:type="dxa"/>
              <w:bottom w:w="0" w:type="dxa"/>
              <w:right w:w="15" w:type="dxa"/>
            </w:tcMar>
          </w:tcPr>
          <w:p w14:paraId="0044E27B" w14:textId="5E6A24ED" w:rsidR="000C581C" w:rsidRPr="002248AA" w:rsidRDefault="000C581C" w:rsidP="000C581C">
            <w:pPr>
              <w:spacing w:after="120" w:line="276" w:lineRule="auto"/>
              <w:rPr>
                <w:i/>
                <w:lang w:val="en-US"/>
              </w:rPr>
            </w:pPr>
            <w:r w:rsidRPr="00F1041C">
              <w:rPr>
                <w:rFonts w:eastAsia="Calibri"/>
                <w:b/>
                <w:lang w:val="en-US"/>
              </w:rPr>
              <w:t>Aleph</w:t>
            </w:r>
            <w:r>
              <w:rPr>
                <w:rFonts w:eastAsia="Calibri"/>
                <w:b/>
                <w:lang w:val="en-US"/>
              </w:rPr>
              <w:t xml:space="preserve"> Midstream</w:t>
            </w:r>
            <w:r w:rsidRPr="00F1041C">
              <w:rPr>
                <w:rFonts w:eastAsia="Calibri"/>
                <w:b/>
                <w:lang w:val="en-US"/>
              </w:rPr>
              <w:t xml:space="preserve">                 </w:t>
            </w:r>
            <w:r w:rsidRPr="00F1041C">
              <w:rPr>
                <w:rFonts w:eastAsia="Calibri"/>
                <w:b/>
                <w:lang w:val="en-US"/>
              </w:rPr>
              <w:br/>
            </w:r>
            <w:r w:rsidRPr="00F1041C">
              <w:rPr>
                <w:rFonts w:eastAsia="Calibri"/>
                <w:i/>
                <w:lang w:val="en-US"/>
              </w:rPr>
              <w:t>(9 Jul 2019)</w:t>
            </w:r>
          </w:p>
        </w:tc>
        <w:tc>
          <w:tcPr>
            <w:tcW w:w="158" w:type="dxa"/>
            <w:tcBorders>
              <w:top w:val="nil"/>
              <w:left w:val="nil"/>
              <w:right w:val="nil"/>
            </w:tcBorders>
            <w:shd w:val="clear" w:color="auto" w:fill="auto"/>
            <w:tcMar>
              <w:top w:w="15" w:type="dxa"/>
              <w:left w:w="69" w:type="dxa"/>
              <w:bottom w:w="0" w:type="dxa"/>
              <w:right w:w="69" w:type="dxa"/>
            </w:tcMar>
            <w:vAlign w:val="center"/>
          </w:tcPr>
          <w:p w14:paraId="6DB139D6" w14:textId="77777777" w:rsidR="000C581C" w:rsidRPr="00F1041C" w:rsidRDefault="000C581C" w:rsidP="000C581C">
            <w:pPr>
              <w:spacing w:after="120" w:line="276" w:lineRule="auto"/>
              <w:rPr>
                <w:rFonts w:eastAsia="Calibri"/>
                <w:color w:val="000000"/>
                <w:lang w:val="en-US"/>
              </w:rPr>
            </w:pPr>
            <w:r w:rsidRPr="00F1041C">
              <w:rPr>
                <w:rFonts w:eastAsia="Calibri"/>
                <w:color w:val="000000"/>
                <w:lang w:val="en-US"/>
              </w:rPr>
              <w:t> </w:t>
            </w:r>
          </w:p>
        </w:tc>
        <w:tc>
          <w:tcPr>
            <w:tcW w:w="1289" w:type="dxa"/>
            <w:tcBorders>
              <w:top w:val="nil"/>
              <w:left w:val="nil"/>
              <w:right w:val="nil"/>
            </w:tcBorders>
            <w:shd w:val="clear" w:color="auto" w:fill="auto"/>
          </w:tcPr>
          <w:p w14:paraId="4304A694"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Vaca Muerta (Argentina)</w:t>
            </w:r>
          </w:p>
        </w:tc>
        <w:tc>
          <w:tcPr>
            <w:tcW w:w="1390" w:type="dxa"/>
            <w:tcBorders>
              <w:top w:val="nil"/>
              <w:left w:val="nil"/>
              <w:right w:val="nil"/>
            </w:tcBorders>
            <w:shd w:val="clear" w:color="auto" w:fill="auto"/>
          </w:tcPr>
          <w:p w14:paraId="247749EB" w14:textId="77777777" w:rsidR="000C581C" w:rsidRPr="00F1041C" w:rsidRDefault="000C581C" w:rsidP="000C581C">
            <w:pPr>
              <w:spacing w:after="120" w:line="276" w:lineRule="auto"/>
              <w:jc w:val="center"/>
              <w:rPr>
                <w:rFonts w:eastAsia="Calibri"/>
                <w:lang w:val="en-US"/>
              </w:rPr>
            </w:pPr>
            <w:r w:rsidRPr="00F1041C">
              <w:rPr>
                <w:rFonts w:eastAsia="Calibri"/>
                <w:lang w:val="en-US"/>
              </w:rPr>
              <w:t>100</w:t>
            </w:r>
          </w:p>
        </w:tc>
        <w:tc>
          <w:tcPr>
            <w:tcW w:w="956" w:type="dxa"/>
            <w:tcBorders>
              <w:top w:val="nil"/>
              <w:left w:val="nil"/>
              <w:right w:val="nil"/>
            </w:tcBorders>
            <w:shd w:val="clear" w:color="auto" w:fill="auto"/>
            <w:tcMar>
              <w:top w:w="15" w:type="dxa"/>
              <w:left w:w="69" w:type="dxa"/>
              <w:bottom w:w="0" w:type="dxa"/>
              <w:right w:w="69" w:type="dxa"/>
            </w:tcMar>
          </w:tcPr>
          <w:p w14:paraId="0F5B8129" w14:textId="77777777" w:rsidR="000C581C" w:rsidRPr="00F1041C" w:rsidRDefault="000C581C" w:rsidP="000C581C">
            <w:pPr>
              <w:spacing w:after="120" w:line="276" w:lineRule="auto"/>
              <w:jc w:val="center"/>
              <w:rPr>
                <w:rFonts w:eastAsia="Calibri"/>
                <w:lang w:val="en-US"/>
              </w:rPr>
            </w:pPr>
            <w:r w:rsidRPr="00F1041C">
              <w:rPr>
                <w:rFonts w:eastAsia="Calibri"/>
                <w:lang w:val="en-US"/>
              </w:rPr>
              <w:t>23</w:t>
            </w:r>
          </w:p>
        </w:tc>
        <w:tc>
          <w:tcPr>
            <w:tcW w:w="956" w:type="dxa"/>
            <w:tcBorders>
              <w:top w:val="nil"/>
              <w:left w:val="nil"/>
              <w:right w:val="nil"/>
            </w:tcBorders>
            <w:shd w:val="clear" w:color="auto" w:fill="auto"/>
            <w:tcMar>
              <w:top w:w="15" w:type="dxa"/>
              <w:left w:w="69" w:type="dxa"/>
              <w:bottom w:w="0" w:type="dxa"/>
              <w:right w:w="69" w:type="dxa"/>
            </w:tcMar>
          </w:tcPr>
          <w:p w14:paraId="4476ABA1"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w:t>
            </w:r>
          </w:p>
        </w:tc>
        <w:tc>
          <w:tcPr>
            <w:tcW w:w="1043" w:type="dxa"/>
            <w:tcBorders>
              <w:top w:val="nil"/>
              <w:left w:val="nil"/>
              <w:right w:val="nil"/>
            </w:tcBorders>
            <w:shd w:val="clear" w:color="auto" w:fill="auto"/>
          </w:tcPr>
          <w:p w14:paraId="17A32000" w14:textId="77777777" w:rsidR="000C581C" w:rsidRPr="00F1041C" w:rsidRDefault="000C581C" w:rsidP="000C581C">
            <w:pPr>
              <w:spacing w:after="120" w:line="276" w:lineRule="auto"/>
              <w:jc w:val="center"/>
              <w:rPr>
                <w:rFonts w:eastAsia="Calibri"/>
                <w:lang w:val="en-US"/>
              </w:rPr>
            </w:pPr>
            <w:r w:rsidRPr="00F1041C">
              <w:rPr>
                <w:rFonts w:eastAsia="Calibri"/>
                <w:lang w:val="en-US"/>
              </w:rPr>
              <w:t>23</w:t>
            </w:r>
          </w:p>
        </w:tc>
        <w:tc>
          <w:tcPr>
            <w:tcW w:w="1217" w:type="dxa"/>
            <w:tcBorders>
              <w:top w:val="nil"/>
              <w:left w:val="nil"/>
              <w:right w:val="nil"/>
            </w:tcBorders>
            <w:shd w:val="clear" w:color="auto" w:fill="auto"/>
          </w:tcPr>
          <w:p w14:paraId="680F51AD" w14:textId="77777777" w:rsidR="000C581C" w:rsidRPr="00F1041C" w:rsidRDefault="000C581C" w:rsidP="000C581C">
            <w:pPr>
              <w:spacing w:after="120" w:line="276" w:lineRule="auto"/>
              <w:jc w:val="center"/>
              <w:rPr>
                <w:rFonts w:eastAsia="Calibri"/>
                <w:lang w:val="en-US"/>
              </w:rPr>
            </w:pPr>
            <w:r w:rsidRPr="00F1041C">
              <w:rPr>
                <w:rFonts w:eastAsia="Calibri"/>
                <w:lang w:val="en-US"/>
              </w:rPr>
              <w:t>23</w:t>
            </w:r>
          </w:p>
        </w:tc>
        <w:tc>
          <w:tcPr>
            <w:tcW w:w="869" w:type="dxa"/>
            <w:tcBorders>
              <w:top w:val="nil"/>
              <w:left w:val="nil"/>
              <w:right w:val="nil"/>
            </w:tcBorders>
            <w:shd w:val="clear" w:color="auto" w:fill="auto"/>
            <w:tcMar>
              <w:top w:w="15" w:type="dxa"/>
              <w:left w:w="69" w:type="dxa"/>
              <w:bottom w:w="0" w:type="dxa"/>
              <w:right w:w="69" w:type="dxa"/>
            </w:tcMar>
          </w:tcPr>
          <w:p w14:paraId="2EBD4419" w14:textId="77777777" w:rsidR="000C581C" w:rsidRPr="002248AA" w:rsidRDefault="000C581C" w:rsidP="000C581C">
            <w:pPr>
              <w:spacing w:after="120" w:line="276" w:lineRule="auto"/>
              <w:jc w:val="center"/>
              <w:rPr>
                <w:lang w:val="en-US"/>
              </w:rPr>
            </w:pPr>
            <w:r w:rsidRPr="002248AA">
              <w:rPr>
                <w:lang w:val="en-US"/>
              </w:rPr>
              <w:t>1.0x</w:t>
            </w:r>
          </w:p>
        </w:tc>
        <w:tc>
          <w:tcPr>
            <w:tcW w:w="740" w:type="dxa"/>
            <w:tcBorders>
              <w:top w:val="nil"/>
              <w:left w:val="nil"/>
              <w:right w:val="nil"/>
            </w:tcBorders>
            <w:shd w:val="clear" w:color="auto" w:fill="auto"/>
          </w:tcPr>
          <w:p w14:paraId="2DEA3C4A" w14:textId="77777777" w:rsidR="000C581C" w:rsidRPr="002248AA" w:rsidRDefault="000C581C" w:rsidP="000C581C">
            <w:pPr>
              <w:spacing w:after="120" w:line="276" w:lineRule="auto"/>
              <w:jc w:val="center"/>
              <w:rPr>
                <w:lang w:val="en-US"/>
              </w:rPr>
            </w:pPr>
            <w:r w:rsidRPr="002248AA">
              <w:rPr>
                <w:lang w:val="en-US"/>
              </w:rPr>
              <w:t>n/a</w:t>
            </w:r>
          </w:p>
        </w:tc>
      </w:tr>
      <w:tr w:rsidR="000C581C" w:rsidRPr="00F1041C" w14:paraId="268416C3" w14:textId="77777777" w:rsidTr="000C581C">
        <w:trPr>
          <w:trHeight w:val="45"/>
        </w:trPr>
        <w:tc>
          <w:tcPr>
            <w:tcW w:w="1857" w:type="dxa"/>
            <w:tcBorders>
              <w:top w:val="nil"/>
              <w:left w:val="nil"/>
              <w:right w:val="nil"/>
            </w:tcBorders>
            <w:shd w:val="clear" w:color="auto" w:fill="auto"/>
            <w:tcMar>
              <w:top w:w="15" w:type="dxa"/>
              <w:left w:w="137" w:type="dxa"/>
              <w:bottom w:w="0" w:type="dxa"/>
              <w:right w:w="15" w:type="dxa"/>
            </w:tcMar>
          </w:tcPr>
          <w:p w14:paraId="3C995A72" w14:textId="4F0A6851" w:rsidR="000C581C" w:rsidRPr="00F1041C" w:rsidRDefault="000C581C" w:rsidP="000C581C">
            <w:pPr>
              <w:spacing w:after="120"/>
              <w:rPr>
                <w:rFonts w:eastAsia="Calibri"/>
                <w:b/>
                <w:lang w:val="en-US"/>
              </w:rPr>
            </w:pPr>
            <w:r w:rsidRPr="00F1041C">
              <w:rPr>
                <w:rFonts w:eastAsia="Calibri"/>
                <w:b/>
                <w:lang w:val="en-US"/>
              </w:rPr>
              <w:t>Ridgebury</w:t>
            </w:r>
          </w:p>
          <w:p w14:paraId="622F8F32" w14:textId="5D50DAC5" w:rsidR="000C581C" w:rsidRPr="00F1041C" w:rsidRDefault="000C581C" w:rsidP="000C581C">
            <w:pPr>
              <w:spacing w:after="120"/>
              <w:rPr>
                <w:rFonts w:eastAsia="Calibri"/>
                <w:b/>
                <w:lang w:val="en-US"/>
              </w:rPr>
            </w:pPr>
            <w:r w:rsidRPr="00F1041C">
              <w:rPr>
                <w:rFonts w:eastAsia="Calibri"/>
                <w:i/>
                <w:lang w:val="en-US"/>
              </w:rPr>
              <w:t>(19 Feb 2019)</w:t>
            </w:r>
          </w:p>
        </w:tc>
        <w:tc>
          <w:tcPr>
            <w:tcW w:w="158" w:type="dxa"/>
            <w:tcBorders>
              <w:top w:val="nil"/>
              <w:left w:val="nil"/>
              <w:right w:val="nil"/>
            </w:tcBorders>
            <w:shd w:val="clear" w:color="auto" w:fill="auto"/>
            <w:tcMar>
              <w:top w:w="15" w:type="dxa"/>
              <w:left w:w="69" w:type="dxa"/>
              <w:bottom w:w="0" w:type="dxa"/>
              <w:right w:w="69" w:type="dxa"/>
            </w:tcMar>
            <w:vAlign w:val="center"/>
          </w:tcPr>
          <w:p w14:paraId="55954B74" w14:textId="01E58E43" w:rsidR="000C581C" w:rsidRPr="00F1041C" w:rsidRDefault="000C581C" w:rsidP="000C581C">
            <w:pPr>
              <w:spacing w:after="120" w:line="276" w:lineRule="auto"/>
              <w:rPr>
                <w:rFonts w:eastAsia="Calibri"/>
                <w:color w:val="000000"/>
                <w:lang w:val="en-US"/>
              </w:rPr>
            </w:pPr>
          </w:p>
        </w:tc>
        <w:tc>
          <w:tcPr>
            <w:tcW w:w="1289" w:type="dxa"/>
            <w:tcBorders>
              <w:top w:val="nil"/>
              <w:left w:val="nil"/>
              <w:right w:val="nil"/>
            </w:tcBorders>
            <w:shd w:val="clear" w:color="auto" w:fill="auto"/>
          </w:tcPr>
          <w:p w14:paraId="5B7C7642"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Global</w:t>
            </w:r>
          </w:p>
        </w:tc>
        <w:tc>
          <w:tcPr>
            <w:tcW w:w="1390" w:type="dxa"/>
            <w:tcBorders>
              <w:top w:val="nil"/>
              <w:left w:val="nil"/>
              <w:right w:val="nil"/>
            </w:tcBorders>
            <w:shd w:val="clear" w:color="auto" w:fill="auto"/>
          </w:tcPr>
          <w:p w14:paraId="50D1A901" w14:textId="77777777" w:rsidR="000C581C" w:rsidRPr="002248AA" w:rsidRDefault="000C581C" w:rsidP="000C581C">
            <w:pPr>
              <w:spacing w:after="120" w:line="276" w:lineRule="auto"/>
              <w:jc w:val="center"/>
              <w:rPr>
                <w:lang w:val="en-US"/>
              </w:rPr>
            </w:pPr>
            <w:r w:rsidRPr="002248AA">
              <w:rPr>
                <w:lang w:val="en-US"/>
              </w:rPr>
              <w:t>22</w:t>
            </w:r>
          </w:p>
        </w:tc>
        <w:tc>
          <w:tcPr>
            <w:tcW w:w="956" w:type="dxa"/>
            <w:tcBorders>
              <w:top w:val="nil"/>
              <w:left w:val="nil"/>
              <w:right w:val="nil"/>
            </w:tcBorders>
            <w:shd w:val="clear" w:color="auto" w:fill="auto"/>
            <w:tcMar>
              <w:top w:w="15" w:type="dxa"/>
              <w:left w:w="69" w:type="dxa"/>
              <w:bottom w:w="0" w:type="dxa"/>
              <w:right w:w="69" w:type="dxa"/>
            </w:tcMar>
          </w:tcPr>
          <w:p w14:paraId="164D5BD7" w14:textId="77777777" w:rsidR="000C581C" w:rsidRPr="002248AA" w:rsidRDefault="000C581C" w:rsidP="000C581C">
            <w:pPr>
              <w:spacing w:after="120" w:line="276" w:lineRule="auto"/>
              <w:jc w:val="center"/>
              <w:rPr>
                <w:lang w:val="en-US"/>
              </w:rPr>
            </w:pPr>
            <w:r w:rsidRPr="002248AA">
              <w:rPr>
                <w:lang w:val="en-US"/>
              </w:rPr>
              <w:t>18</w:t>
            </w:r>
          </w:p>
        </w:tc>
        <w:tc>
          <w:tcPr>
            <w:tcW w:w="956" w:type="dxa"/>
            <w:tcBorders>
              <w:top w:val="nil"/>
              <w:left w:val="nil"/>
              <w:right w:val="nil"/>
            </w:tcBorders>
            <w:shd w:val="clear" w:color="auto" w:fill="auto"/>
            <w:tcMar>
              <w:top w:w="15" w:type="dxa"/>
              <w:left w:w="69" w:type="dxa"/>
              <w:bottom w:w="0" w:type="dxa"/>
              <w:right w:w="69" w:type="dxa"/>
            </w:tcMar>
          </w:tcPr>
          <w:p w14:paraId="30C8FDBB" w14:textId="77777777" w:rsidR="000C581C" w:rsidRPr="002248AA" w:rsidRDefault="000C581C" w:rsidP="000C581C">
            <w:pPr>
              <w:spacing w:after="120" w:line="276" w:lineRule="auto"/>
              <w:jc w:val="center"/>
              <w:rPr>
                <w:color w:val="000000"/>
                <w:lang w:val="en-US"/>
              </w:rPr>
            </w:pPr>
            <w:r w:rsidRPr="002248AA">
              <w:rPr>
                <w:color w:val="000000"/>
                <w:lang w:val="en-US"/>
              </w:rPr>
              <w:t>2</w:t>
            </w:r>
          </w:p>
        </w:tc>
        <w:tc>
          <w:tcPr>
            <w:tcW w:w="1043" w:type="dxa"/>
            <w:tcBorders>
              <w:top w:val="nil"/>
              <w:left w:val="nil"/>
              <w:right w:val="nil"/>
            </w:tcBorders>
            <w:shd w:val="clear" w:color="auto" w:fill="auto"/>
          </w:tcPr>
          <w:p w14:paraId="29BAB25F" w14:textId="77777777" w:rsidR="000C581C" w:rsidRPr="002248AA" w:rsidRDefault="000C581C" w:rsidP="000C581C">
            <w:pPr>
              <w:spacing w:after="120" w:line="276" w:lineRule="auto"/>
              <w:jc w:val="center"/>
              <w:rPr>
                <w:lang w:val="en-US"/>
              </w:rPr>
            </w:pPr>
            <w:r w:rsidRPr="002248AA">
              <w:rPr>
                <w:lang w:val="en-US"/>
              </w:rPr>
              <w:t>20</w:t>
            </w:r>
          </w:p>
        </w:tc>
        <w:tc>
          <w:tcPr>
            <w:tcW w:w="1217" w:type="dxa"/>
            <w:tcBorders>
              <w:top w:val="nil"/>
              <w:left w:val="nil"/>
              <w:right w:val="nil"/>
            </w:tcBorders>
            <w:shd w:val="clear" w:color="auto" w:fill="auto"/>
          </w:tcPr>
          <w:p w14:paraId="7A59AC44" w14:textId="77777777" w:rsidR="000C581C" w:rsidRPr="002248AA" w:rsidRDefault="000C581C" w:rsidP="000C581C">
            <w:pPr>
              <w:spacing w:after="120" w:line="276" w:lineRule="auto"/>
              <w:jc w:val="center"/>
              <w:rPr>
                <w:lang w:val="en-US"/>
              </w:rPr>
            </w:pPr>
            <w:r w:rsidRPr="002248AA">
              <w:rPr>
                <w:lang w:val="en-US"/>
              </w:rPr>
              <w:t>22</w:t>
            </w:r>
          </w:p>
        </w:tc>
        <w:tc>
          <w:tcPr>
            <w:tcW w:w="869" w:type="dxa"/>
            <w:tcBorders>
              <w:top w:val="nil"/>
              <w:left w:val="nil"/>
              <w:right w:val="nil"/>
            </w:tcBorders>
            <w:shd w:val="clear" w:color="auto" w:fill="auto"/>
            <w:tcMar>
              <w:top w:w="15" w:type="dxa"/>
              <w:left w:w="69" w:type="dxa"/>
              <w:bottom w:w="0" w:type="dxa"/>
              <w:right w:w="69" w:type="dxa"/>
            </w:tcMar>
          </w:tcPr>
          <w:p w14:paraId="5D32B106" w14:textId="77777777" w:rsidR="000C581C" w:rsidRPr="002248AA" w:rsidRDefault="000C581C" w:rsidP="000C581C">
            <w:pPr>
              <w:spacing w:after="120" w:line="276" w:lineRule="auto"/>
              <w:jc w:val="center"/>
              <w:rPr>
                <w:lang w:val="en-US"/>
              </w:rPr>
            </w:pPr>
            <w:r w:rsidRPr="002248AA">
              <w:rPr>
                <w:lang w:val="en-US"/>
              </w:rPr>
              <w:t>1.2x</w:t>
            </w:r>
          </w:p>
        </w:tc>
        <w:tc>
          <w:tcPr>
            <w:tcW w:w="740" w:type="dxa"/>
            <w:tcBorders>
              <w:top w:val="nil"/>
              <w:left w:val="nil"/>
              <w:right w:val="nil"/>
            </w:tcBorders>
            <w:shd w:val="clear" w:color="auto" w:fill="auto"/>
          </w:tcPr>
          <w:p w14:paraId="7CBE2AFD" w14:textId="77777777" w:rsidR="000C581C" w:rsidRPr="002248AA" w:rsidRDefault="000C581C" w:rsidP="000C581C">
            <w:pPr>
              <w:spacing w:after="120" w:line="276" w:lineRule="auto"/>
              <w:jc w:val="center"/>
              <w:rPr>
                <w:lang w:val="en-US"/>
              </w:rPr>
            </w:pPr>
            <w:r w:rsidRPr="002248AA">
              <w:rPr>
                <w:lang w:val="en-US"/>
              </w:rPr>
              <w:t>n/a</w:t>
            </w:r>
          </w:p>
        </w:tc>
      </w:tr>
      <w:tr w:rsidR="000C581C" w:rsidRPr="00F1041C" w14:paraId="43025501" w14:textId="77777777" w:rsidTr="000C581C">
        <w:trPr>
          <w:trHeight w:val="45"/>
        </w:trPr>
        <w:tc>
          <w:tcPr>
            <w:tcW w:w="1857" w:type="dxa"/>
            <w:tcBorders>
              <w:top w:val="nil"/>
              <w:left w:val="nil"/>
              <w:right w:val="nil"/>
            </w:tcBorders>
            <w:shd w:val="clear" w:color="auto" w:fill="auto"/>
            <w:tcMar>
              <w:top w:w="15" w:type="dxa"/>
              <w:left w:w="137" w:type="dxa"/>
              <w:bottom w:w="0" w:type="dxa"/>
              <w:right w:w="15" w:type="dxa"/>
            </w:tcMar>
          </w:tcPr>
          <w:p w14:paraId="3469EB37" w14:textId="3C782020" w:rsidR="000C581C" w:rsidRPr="002248AA" w:rsidRDefault="000C581C" w:rsidP="000C581C">
            <w:pPr>
              <w:spacing w:after="120" w:line="276" w:lineRule="auto"/>
              <w:rPr>
                <w:i/>
                <w:lang w:val="en-US"/>
              </w:rPr>
            </w:pPr>
            <w:r w:rsidRPr="00F1041C">
              <w:rPr>
                <w:rFonts w:eastAsia="Calibri"/>
                <w:b/>
                <w:lang w:val="en-US"/>
              </w:rPr>
              <w:t xml:space="preserve">Castex 2014      </w:t>
            </w:r>
            <w:r w:rsidRPr="00F1041C">
              <w:rPr>
                <w:rFonts w:eastAsia="Calibri"/>
                <w:b/>
                <w:lang w:val="en-US"/>
              </w:rPr>
              <w:br/>
            </w:r>
            <w:r w:rsidRPr="00F1041C">
              <w:rPr>
                <w:rFonts w:eastAsia="Calibri"/>
                <w:i/>
                <w:lang w:val="en-US"/>
              </w:rPr>
              <w:t>(3 Sept 2014)</w:t>
            </w:r>
          </w:p>
        </w:tc>
        <w:tc>
          <w:tcPr>
            <w:tcW w:w="158" w:type="dxa"/>
            <w:tcBorders>
              <w:top w:val="nil"/>
              <w:left w:val="nil"/>
              <w:right w:val="nil"/>
            </w:tcBorders>
            <w:shd w:val="clear" w:color="auto" w:fill="auto"/>
            <w:tcMar>
              <w:top w:w="15" w:type="dxa"/>
              <w:left w:w="69" w:type="dxa"/>
              <w:bottom w:w="0" w:type="dxa"/>
              <w:right w:w="69" w:type="dxa"/>
            </w:tcMar>
            <w:vAlign w:val="center"/>
          </w:tcPr>
          <w:p w14:paraId="5E71758B" w14:textId="77777777" w:rsidR="000C581C" w:rsidRPr="00F1041C" w:rsidRDefault="000C581C" w:rsidP="000C581C">
            <w:pPr>
              <w:spacing w:after="120" w:line="276" w:lineRule="auto"/>
              <w:rPr>
                <w:rFonts w:eastAsia="Calibri"/>
                <w:color w:val="000000"/>
                <w:lang w:val="en-US"/>
              </w:rPr>
            </w:pPr>
            <w:r w:rsidRPr="00F1041C">
              <w:rPr>
                <w:rFonts w:eastAsia="Calibri"/>
                <w:color w:val="000000"/>
                <w:lang w:val="en-US"/>
              </w:rPr>
              <w:t> </w:t>
            </w:r>
          </w:p>
        </w:tc>
        <w:tc>
          <w:tcPr>
            <w:tcW w:w="1289" w:type="dxa"/>
            <w:tcBorders>
              <w:top w:val="nil"/>
              <w:left w:val="nil"/>
              <w:right w:val="nil"/>
            </w:tcBorders>
            <w:shd w:val="clear" w:color="auto" w:fill="auto"/>
            <w:vAlign w:val="center"/>
          </w:tcPr>
          <w:p w14:paraId="41B74A29" w14:textId="77777777" w:rsidR="000C581C" w:rsidRPr="00F1041C" w:rsidRDefault="000C581C" w:rsidP="000C581C">
            <w:pPr>
              <w:spacing w:after="120" w:line="276" w:lineRule="auto"/>
              <w:jc w:val="center"/>
              <w:rPr>
                <w:rFonts w:eastAsia="Calibri"/>
                <w:color w:val="000000"/>
                <w:lang w:val="en-US"/>
              </w:rPr>
            </w:pPr>
            <w:r w:rsidRPr="00F1041C">
              <w:rPr>
                <w:rFonts w:eastAsia="Calibri"/>
                <w:color w:val="000000"/>
                <w:lang w:val="en-US"/>
              </w:rPr>
              <w:t>Gulf Coast Region (U.S.)</w:t>
            </w:r>
          </w:p>
        </w:tc>
        <w:tc>
          <w:tcPr>
            <w:tcW w:w="1390" w:type="dxa"/>
            <w:tcBorders>
              <w:top w:val="nil"/>
              <w:left w:val="nil"/>
              <w:right w:val="nil"/>
            </w:tcBorders>
            <w:shd w:val="clear" w:color="auto" w:fill="auto"/>
          </w:tcPr>
          <w:p w14:paraId="2FA4D99E" w14:textId="77777777" w:rsidR="000C581C" w:rsidRPr="002248AA" w:rsidRDefault="000C581C" w:rsidP="000C581C">
            <w:pPr>
              <w:spacing w:after="120" w:line="276" w:lineRule="auto"/>
              <w:jc w:val="center"/>
              <w:rPr>
                <w:lang w:val="en-US"/>
              </w:rPr>
            </w:pPr>
            <w:r w:rsidRPr="002248AA">
              <w:rPr>
                <w:lang w:val="en-US"/>
              </w:rPr>
              <w:t>67</w:t>
            </w:r>
          </w:p>
        </w:tc>
        <w:tc>
          <w:tcPr>
            <w:tcW w:w="956" w:type="dxa"/>
            <w:tcBorders>
              <w:top w:val="nil"/>
              <w:left w:val="nil"/>
              <w:right w:val="nil"/>
            </w:tcBorders>
            <w:shd w:val="clear" w:color="auto" w:fill="auto"/>
            <w:tcMar>
              <w:top w:w="15" w:type="dxa"/>
              <w:left w:w="69" w:type="dxa"/>
              <w:bottom w:w="0" w:type="dxa"/>
              <w:right w:w="69" w:type="dxa"/>
            </w:tcMar>
          </w:tcPr>
          <w:p w14:paraId="623D4A41" w14:textId="77777777" w:rsidR="000C581C" w:rsidRPr="002248AA" w:rsidRDefault="000C581C" w:rsidP="000C581C">
            <w:pPr>
              <w:spacing w:after="120" w:line="276" w:lineRule="auto"/>
              <w:jc w:val="center"/>
              <w:rPr>
                <w:lang w:val="en-US"/>
              </w:rPr>
            </w:pPr>
            <w:r w:rsidRPr="002248AA">
              <w:rPr>
                <w:lang w:val="en-US"/>
              </w:rPr>
              <w:t>52</w:t>
            </w:r>
          </w:p>
        </w:tc>
        <w:tc>
          <w:tcPr>
            <w:tcW w:w="956" w:type="dxa"/>
            <w:tcBorders>
              <w:top w:val="nil"/>
              <w:left w:val="nil"/>
              <w:right w:val="nil"/>
            </w:tcBorders>
            <w:shd w:val="clear" w:color="auto" w:fill="auto"/>
            <w:tcMar>
              <w:top w:w="15" w:type="dxa"/>
              <w:left w:w="69" w:type="dxa"/>
              <w:bottom w:w="0" w:type="dxa"/>
              <w:right w:w="69" w:type="dxa"/>
            </w:tcMar>
          </w:tcPr>
          <w:p w14:paraId="645680DE" w14:textId="77777777" w:rsidR="000C581C" w:rsidRPr="002248AA" w:rsidRDefault="000C581C" w:rsidP="000C581C">
            <w:pPr>
              <w:spacing w:after="120" w:line="276" w:lineRule="auto"/>
              <w:jc w:val="center"/>
              <w:rPr>
                <w:color w:val="000000"/>
                <w:lang w:val="en-US"/>
              </w:rPr>
            </w:pPr>
            <w:r w:rsidRPr="002248AA">
              <w:rPr>
                <w:color w:val="000000"/>
                <w:lang w:val="en-US"/>
              </w:rPr>
              <w:t>-</w:t>
            </w:r>
          </w:p>
        </w:tc>
        <w:tc>
          <w:tcPr>
            <w:tcW w:w="1043" w:type="dxa"/>
            <w:tcBorders>
              <w:top w:val="nil"/>
              <w:left w:val="nil"/>
              <w:right w:val="nil"/>
            </w:tcBorders>
            <w:shd w:val="clear" w:color="auto" w:fill="auto"/>
          </w:tcPr>
          <w:p w14:paraId="659ABC02" w14:textId="6775411E" w:rsidR="000C581C" w:rsidRPr="002248AA" w:rsidRDefault="000C581C" w:rsidP="000C581C">
            <w:pPr>
              <w:spacing w:after="120" w:line="276" w:lineRule="auto"/>
              <w:jc w:val="center"/>
              <w:rPr>
                <w:lang w:val="en-US"/>
              </w:rPr>
            </w:pPr>
            <w:r w:rsidRPr="00F1041C">
              <w:rPr>
                <w:rFonts w:eastAsia="Calibri"/>
                <w:lang w:val="en-US"/>
              </w:rPr>
              <w:t>19</w:t>
            </w:r>
          </w:p>
        </w:tc>
        <w:tc>
          <w:tcPr>
            <w:tcW w:w="1217" w:type="dxa"/>
            <w:tcBorders>
              <w:top w:val="nil"/>
              <w:left w:val="nil"/>
              <w:right w:val="nil"/>
            </w:tcBorders>
            <w:shd w:val="clear" w:color="auto" w:fill="auto"/>
          </w:tcPr>
          <w:p w14:paraId="7C2B8020" w14:textId="184FFF68" w:rsidR="000C581C" w:rsidRPr="002248AA" w:rsidRDefault="000C581C" w:rsidP="000C581C">
            <w:pPr>
              <w:spacing w:after="120" w:line="276" w:lineRule="auto"/>
              <w:jc w:val="center"/>
              <w:rPr>
                <w:lang w:val="en-US"/>
              </w:rPr>
            </w:pPr>
            <w:r w:rsidRPr="00F1041C">
              <w:rPr>
                <w:rFonts w:eastAsia="Calibri"/>
                <w:lang w:val="en-US"/>
              </w:rPr>
              <w:t>19</w:t>
            </w:r>
          </w:p>
        </w:tc>
        <w:tc>
          <w:tcPr>
            <w:tcW w:w="869" w:type="dxa"/>
            <w:tcBorders>
              <w:top w:val="nil"/>
              <w:left w:val="nil"/>
              <w:right w:val="nil"/>
            </w:tcBorders>
            <w:shd w:val="clear" w:color="auto" w:fill="auto"/>
            <w:tcMar>
              <w:top w:w="15" w:type="dxa"/>
              <w:left w:w="69" w:type="dxa"/>
              <w:bottom w:w="0" w:type="dxa"/>
              <w:right w:w="69" w:type="dxa"/>
            </w:tcMar>
          </w:tcPr>
          <w:p w14:paraId="2BDF3EF1" w14:textId="0F87632B" w:rsidR="000C581C" w:rsidRPr="002248AA" w:rsidRDefault="000C581C" w:rsidP="000C581C">
            <w:pPr>
              <w:spacing w:after="120" w:line="276" w:lineRule="auto"/>
              <w:jc w:val="center"/>
              <w:rPr>
                <w:lang w:val="en-US"/>
              </w:rPr>
            </w:pPr>
            <w:r w:rsidRPr="002248AA">
              <w:rPr>
                <w:lang w:val="en-US"/>
              </w:rPr>
              <w:t>0.</w:t>
            </w:r>
            <w:r w:rsidRPr="00F1041C">
              <w:rPr>
                <w:rFonts w:eastAsia="Calibri"/>
                <w:lang w:val="en-US"/>
              </w:rPr>
              <w:t>4x</w:t>
            </w:r>
          </w:p>
        </w:tc>
        <w:tc>
          <w:tcPr>
            <w:tcW w:w="740" w:type="dxa"/>
            <w:tcBorders>
              <w:top w:val="nil"/>
              <w:left w:val="nil"/>
              <w:right w:val="nil"/>
            </w:tcBorders>
            <w:shd w:val="clear" w:color="auto" w:fill="auto"/>
          </w:tcPr>
          <w:p w14:paraId="2E7E6C02" w14:textId="77777777" w:rsidR="000C581C" w:rsidRPr="002248AA" w:rsidRDefault="000C581C" w:rsidP="000C581C">
            <w:pPr>
              <w:spacing w:after="120" w:line="276" w:lineRule="auto"/>
              <w:jc w:val="center"/>
              <w:rPr>
                <w:lang w:val="en-US"/>
              </w:rPr>
            </w:pPr>
            <w:r w:rsidRPr="002248AA">
              <w:rPr>
                <w:lang w:val="en-US"/>
              </w:rPr>
              <w:t>1.0x</w:t>
            </w:r>
          </w:p>
        </w:tc>
      </w:tr>
      <w:tr w:rsidR="000C581C" w:rsidRPr="00F1041C" w14:paraId="6861FB6D" w14:textId="77777777" w:rsidTr="000C581C">
        <w:trPr>
          <w:trHeight w:val="24"/>
        </w:trPr>
        <w:tc>
          <w:tcPr>
            <w:tcW w:w="3304" w:type="dxa"/>
            <w:gridSpan w:val="3"/>
            <w:tcBorders>
              <w:top w:val="single" w:sz="4" w:space="0" w:color="auto"/>
              <w:left w:val="nil"/>
              <w:bottom w:val="single" w:sz="4" w:space="0" w:color="auto"/>
              <w:right w:val="nil"/>
            </w:tcBorders>
            <w:shd w:val="clear" w:color="auto" w:fill="auto"/>
            <w:tcMar>
              <w:top w:w="15" w:type="dxa"/>
              <w:left w:w="137" w:type="dxa"/>
              <w:bottom w:w="0" w:type="dxa"/>
              <w:right w:w="15" w:type="dxa"/>
            </w:tcMar>
          </w:tcPr>
          <w:p w14:paraId="4B83DDC1" w14:textId="4FF16BA0" w:rsidR="000C581C" w:rsidRPr="00F1041C" w:rsidRDefault="000C581C" w:rsidP="000C581C">
            <w:pPr>
              <w:spacing w:after="120" w:line="276" w:lineRule="auto"/>
              <w:rPr>
                <w:rFonts w:eastAsia="Calibri"/>
                <w:color w:val="000000"/>
                <w:lang w:val="en-US"/>
              </w:rPr>
            </w:pPr>
            <w:r w:rsidRPr="00F1041C">
              <w:rPr>
                <w:rFonts w:eastAsia="Calibri"/>
                <w:b/>
                <w:bCs/>
                <w:color w:val="000000"/>
                <w:lang w:val="en-US"/>
              </w:rPr>
              <w:t>Total Current Portfolio</w:t>
            </w:r>
            <w:r w:rsidRPr="00F1041C">
              <w:rPr>
                <w:rFonts w:eastAsia="Calibri"/>
                <w:b/>
                <w:bCs/>
                <w:color w:val="000000"/>
                <w:vertAlign w:val="superscript"/>
                <w:lang w:val="en-US"/>
              </w:rPr>
              <w:t>4</w:t>
            </w:r>
          </w:p>
        </w:tc>
        <w:tc>
          <w:tcPr>
            <w:tcW w:w="1390" w:type="dxa"/>
            <w:tcBorders>
              <w:top w:val="single" w:sz="4" w:space="0" w:color="auto"/>
              <w:left w:val="nil"/>
              <w:bottom w:val="single" w:sz="4" w:space="0" w:color="auto"/>
              <w:right w:val="nil"/>
            </w:tcBorders>
            <w:shd w:val="clear" w:color="auto" w:fill="auto"/>
          </w:tcPr>
          <w:p w14:paraId="1CDF1F84" w14:textId="77777777" w:rsidR="000C581C" w:rsidRPr="002248AA" w:rsidRDefault="000C581C" w:rsidP="000C581C">
            <w:pPr>
              <w:spacing w:after="120" w:line="276" w:lineRule="auto"/>
              <w:jc w:val="center"/>
              <w:rPr>
                <w:lang w:val="en-US"/>
              </w:rPr>
            </w:pPr>
            <w:r w:rsidRPr="002248AA">
              <w:rPr>
                <w:b/>
                <w:color w:val="000000"/>
                <w:lang w:val="en-US"/>
              </w:rPr>
              <w:t>$1,564</w:t>
            </w:r>
          </w:p>
        </w:tc>
        <w:tc>
          <w:tcPr>
            <w:tcW w:w="956"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36C8BBBB" w14:textId="77777777" w:rsidR="000C581C" w:rsidRPr="002248AA" w:rsidRDefault="000C581C" w:rsidP="000C581C">
            <w:pPr>
              <w:spacing w:after="120" w:line="276" w:lineRule="auto"/>
              <w:jc w:val="center"/>
              <w:rPr>
                <w:lang w:val="en-US"/>
              </w:rPr>
            </w:pPr>
            <w:r w:rsidRPr="002248AA">
              <w:rPr>
                <w:b/>
                <w:color w:val="000000"/>
                <w:lang w:val="en-US"/>
              </w:rPr>
              <w:t>$1,352</w:t>
            </w:r>
          </w:p>
        </w:tc>
        <w:tc>
          <w:tcPr>
            <w:tcW w:w="956"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4DD6D84A" w14:textId="77777777" w:rsidR="000C581C" w:rsidRPr="002248AA" w:rsidRDefault="000C581C" w:rsidP="000C581C">
            <w:pPr>
              <w:spacing w:after="120" w:line="276" w:lineRule="auto"/>
              <w:jc w:val="center"/>
              <w:rPr>
                <w:color w:val="000000"/>
                <w:lang w:val="en-US"/>
              </w:rPr>
            </w:pPr>
            <w:r w:rsidRPr="002248AA">
              <w:rPr>
                <w:b/>
                <w:color w:val="000000"/>
                <w:lang w:val="en-US"/>
              </w:rPr>
              <w:t>$332</w:t>
            </w:r>
          </w:p>
        </w:tc>
        <w:tc>
          <w:tcPr>
            <w:tcW w:w="1043" w:type="dxa"/>
            <w:tcBorders>
              <w:top w:val="single" w:sz="4" w:space="0" w:color="auto"/>
              <w:left w:val="nil"/>
              <w:bottom w:val="single" w:sz="4" w:space="0" w:color="auto"/>
              <w:right w:val="nil"/>
            </w:tcBorders>
            <w:shd w:val="clear" w:color="auto" w:fill="auto"/>
          </w:tcPr>
          <w:p w14:paraId="4634632D" w14:textId="7BBACBFD" w:rsidR="000C581C" w:rsidRPr="002248AA" w:rsidRDefault="000C581C" w:rsidP="000C581C">
            <w:pPr>
              <w:spacing w:after="120" w:line="276" w:lineRule="auto"/>
              <w:jc w:val="center"/>
              <w:rPr>
                <w:lang w:val="en-US"/>
              </w:rPr>
            </w:pPr>
            <w:r w:rsidRPr="002248AA">
              <w:rPr>
                <w:b/>
                <w:color w:val="000000"/>
                <w:lang w:val="en-US"/>
              </w:rPr>
              <w:t>$</w:t>
            </w:r>
            <w:r w:rsidRPr="00F1041C">
              <w:rPr>
                <w:rFonts w:eastAsia="Calibri"/>
                <w:b/>
                <w:color w:val="000000"/>
                <w:lang w:val="en-US"/>
              </w:rPr>
              <w:t>587</w:t>
            </w:r>
          </w:p>
        </w:tc>
        <w:tc>
          <w:tcPr>
            <w:tcW w:w="1217" w:type="dxa"/>
            <w:tcBorders>
              <w:top w:val="single" w:sz="4" w:space="0" w:color="auto"/>
              <w:left w:val="nil"/>
              <w:bottom w:val="single" w:sz="4" w:space="0" w:color="auto"/>
              <w:right w:val="nil"/>
            </w:tcBorders>
            <w:shd w:val="clear" w:color="auto" w:fill="auto"/>
          </w:tcPr>
          <w:p w14:paraId="62CD9C72" w14:textId="48309435" w:rsidR="000C581C" w:rsidRPr="002248AA" w:rsidRDefault="000C581C" w:rsidP="000C581C">
            <w:pPr>
              <w:spacing w:after="120" w:line="276" w:lineRule="auto"/>
              <w:jc w:val="center"/>
              <w:rPr>
                <w:lang w:val="en-US"/>
              </w:rPr>
            </w:pPr>
            <w:r w:rsidRPr="002248AA">
              <w:rPr>
                <w:b/>
                <w:color w:val="000000"/>
                <w:lang w:val="en-US"/>
              </w:rPr>
              <w:t>$</w:t>
            </w:r>
            <w:r w:rsidRPr="00F1041C">
              <w:rPr>
                <w:rFonts w:eastAsia="Calibri"/>
                <w:b/>
                <w:color w:val="000000"/>
                <w:lang w:val="en-US"/>
              </w:rPr>
              <w:t>919</w:t>
            </w:r>
          </w:p>
        </w:tc>
        <w:tc>
          <w:tcPr>
            <w:tcW w:w="869"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04F7BF39" w14:textId="77777777" w:rsidR="000C581C" w:rsidRPr="002248AA" w:rsidRDefault="000C581C" w:rsidP="000C581C">
            <w:pPr>
              <w:spacing w:after="120" w:line="276" w:lineRule="auto"/>
              <w:jc w:val="center"/>
              <w:rPr>
                <w:lang w:val="en-US"/>
              </w:rPr>
            </w:pPr>
            <w:r w:rsidRPr="002248AA">
              <w:rPr>
                <w:b/>
                <w:color w:val="000000"/>
                <w:lang w:val="en-US"/>
              </w:rPr>
              <w:t>0.7x</w:t>
            </w:r>
          </w:p>
        </w:tc>
        <w:tc>
          <w:tcPr>
            <w:tcW w:w="740" w:type="dxa"/>
            <w:tcBorders>
              <w:top w:val="single" w:sz="4" w:space="0" w:color="auto"/>
              <w:left w:val="nil"/>
              <w:bottom w:val="single" w:sz="4" w:space="0" w:color="auto"/>
              <w:right w:val="nil"/>
            </w:tcBorders>
            <w:shd w:val="clear" w:color="auto" w:fill="auto"/>
          </w:tcPr>
          <w:p w14:paraId="2F6FA036" w14:textId="77777777" w:rsidR="000C581C" w:rsidRPr="002248AA" w:rsidRDefault="000C581C" w:rsidP="000C581C">
            <w:pPr>
              <w:spacing w:after="120" w:line="276" w:lineRule="auto"/>
              <w:jc w:val="center"/>
              <w:rPr>
                <w:lang w:val="en-US"/>
              </w:rPr>
            </w:pPr>
            <w:r w:rsidRPr="002248AA">
              <w:rPr>
                <w:b/>
                <w:color w:val="000000"/>
                <w:lang w:val="en-US"/>
              </w:rPr>
              <w:t>1.2x</w:t>
            </w:r>
          </w:p>
        </w:tc>
      </w:tr>
    </w:tbl>
    <w:p w14:paraId="11F76D33" w14:textId="77777777" w:rsidR="00F1041C" w:rsidRPr="002248AA" w:rsidRDefault="00F1041C" w:rsidP="002248AA">
      <w:pPr>
        <w:spacing w:after="200" w:line="276" w:lineRule="auto"/>
        <w:rPr>
          <w:b/>
          <w:lang w:val="en-US"/>
        </w:rPr>
      </w:pPr>
    </w:p>
    <w:p w14:paraId="5C2506E1" w14:textId="77777777" w:rsidR="00F1041C" w:rsidRPr="002248AA" w:rsidRDefault="00F1041C" w:rsidP="002248AA">
      <w:pPr>
        <w:spacing w:after="200" w:line="276" w:lineRule="auto"/>
        <w:rPr>
          <w:b/>
          <w:lang w:val="en-US"/>
        </w:rPr>
      </w:pPr>
      <w:r w:rsidRPr="002248AA">
        <w:rPr>
          <w:b/>
          <w:lang w:val="en-US"/>
        </w:rPr>
        <w:t>Realisations</w:t>
      </w:r>
    </w:p>
    <w:tbl>
      <w:tblPr>
        <w:tblW w:w="10196" w:type="dxa"/>
        <w:tblInd w:w="137" w:type="dxa"/>
        <w:tblLayout w:type="fixed"/>
        <w:tblCellMar>
          <w:left w:w="0" w:type="dxa"/>
          <w:right w:w="0" w:type="dxa"/>
        </w:tblCellMar>
        <w:tblLook w:val="0420" w:firstRow="1" w:lastRow="0" w:firstColumn="0" w:lastColumn="0" w:noHBand="0" w:noVBand="1"/>
      </w:tblPr>
      <w:tblGrid>
        <w:gridCol w:w="1701"/>
        <w:gridCol w:w="224"/>
        <w:gridCol w:w="1424"/>
        <w:gridCol w:w="1050"/>
        <w:gridCol w:w="973"/>
        <w:gridCol w:w="1012"/>
        <w:gridCol w:w="1132"/>
        <w:gridCol w:w="1105"/>
        <w:gridCol w:w="851"/>
        <w:gridCol w:w="724"/>
      </w:tblGrid>
      <w:tr w:rsidR="002248AA" w:rsidRPr="00F1041C" w14:paraId="74F8C824" w14:textId="77777777" w:rsidTr="000C581C">
        <w:trPr>
          <w:trHeight w:val="490"/>
        </w:trPr>
        <w:tc>
          <w:tcPr>
            <w:tcW w:w="1701" w:type="dxa"/>
            <w:tcBorders>
              <w:left w:val="nil"/>
              <w:right w:val="nil"/>
            </w:tcBorders>
            <w:shd w:val="clear" w:color="auto" w:fill="auto"/>
            <w:tcMar>
              <w:top w:w="15" w:type="dxa"/>
              <w:left w:w="137" w:type="dxa"/>
              <w:bottom w:w="0" w:type="dxa"/>
              <w:right w:w="15" w:type="dxa"/>
            </w:tcMar>
            <w:vAlign w:val="bottom"/>
          </w:tcPr>
          <w:p w14:paraId="1385DF46" w14:textId="0AB2934B" w:rsidR="00F1041C" w:rsidRPr="00F1041C" w:rsidRDefault="00F1041C" w:rsidP="000C581C">
            <w:pPr>
              <w:spacing w:line="276" w:lineRule="auto"/>
              <w:jc w:val="center"/>
              <w:rPr>
                <w:rFonts w:eastAsia="Calibri"/>
                <w:b/>
                <w:lang w:val="en-US"/>
              </w:rPr>
            </w:pPr>
            <w:r w:rsidRPr="00F1041C">
              <w:rPr>
                <w:rFonts w:eastAsia="Calibri"/>
                <w:b/>
                <w:lang w:val="en-US"/>
              </w:rPr>
              <w:t xml:space="preserve">Investment   </w:t>
            </w:r>
            <w:r w:rsidRPr="002248AA">
              <w:rPr>
                <w:lang w:val="en-US"/>
              </w:rPr>
              <w:t>(</w:t>
            </w:r>
            <w:r w:rsidRPr="00F1041C">
              <w:rPr>
                <w:rFonts w:eastAsia="Calibri"/>
                <w:i/>
                <w:lang w:val="en-US"/>
              </w:rPr>
              <w:t>Initial Investment Date</w:t>
            </w:r>
            <w:r w:rsidRPr="002248AA">
              <w:rPr>
                <w:lang w:val="en-US"/>
              </w:rPr>
              <w:t>)</w:t>
            </w:r>
          </w:p>
        </w:tc>
        <w:tc>
          <w:tcPr>
            <w:tcW w:w="224" w:type="dxa"/>
            <w:tcBorders>
              <w:left w:val="nil"/>
              <w:right w:val="nil"/>
            </w:tcBorders>
            <w:shd w:val="clear" w:color="auto" w:fill="auto"/>
            <w:tcMar>
              <w:top w:w="15" w:type="dxa"/>
              <w:left w:w="69" w:type="dxa"/>
              <w:bottom w:w="0" w:type="dxa"/>
              <w:right w:w="69" w:type="dxa"/>
            </w:tcMar>
            <w:vAlign w:val="bottom"/>
          </w:tcPr>
          <w:p w14:paraId="11D34BBC" w14:textId="77777777" w:rsidR="00F1041C" w:rsidRPr="00F1041C" w:rsidRDefault="00F1041C" w:rsidP="002248AA">
            <w:pPr>
              <w:spacing w:after="200" w:line="276" w:lineRule="auto"/>
              <w:jc w:val="center"/>
              <w:rPr>
                <w:rFonts w:eastAsia="Calibri"/>
                <w:color w:val="000000"/>
                <w:lang w:val="en-US"/>
              </w:rPr>
            </w:pPr>
          </w:p>
        </w:tc>
        <w:tc>
          <w:tcPr>
            <w:tcW w:w="1424" w:type="dxa"/>
            <w:tcBorders>
              <w:left w:val="nil"/>
              <w:right w:val="nil"/>
            </w:tcBorders>
            <w:shd w:val="clear" w:color="auto" w:fill="auto"/>
            <w:vAlign w:val="bottom"/>
          </w:tcPr>
          <w:p w14:paraId="720D33D3" w14:textId="77777777" w:rsidR="00F1041C" w:rsidRPr="00F1041C" w:rsidRDefault="00F1041C" w:rsidP="002248AA">
            <w:pPr>
              <w:spacing w:line="276" w:lineRule="auto"/>
              <w:jc w:val="center"/>
              <w:rPr>
                <w:rFonts w:eastAsia="Calibri"/>
                <w:color w:val="000000"/>
                <w:lang w:val="en-US"/>
              </w:rPr>
            </w:pPr>
            <w:r w:rsidRPr="00F1041C">
              <w:rPr>
                <w:rFonts w:eastAsia="Times New Roman"/>
                <w:b/>
                <w:bCs/>
                <w:lang w:val="en-US"/>
              </w:rPr>
              <w:t>Target Basin</w:t>
            </w:r>
          </w:p>
        </w:tc>
        <w:tc>
          <w:tcPr>
            <w:tcW w:w="1050" w:type="dxa"/>
            <w:tcBorders>
              <w:left w:val="nil"/>
              <w:right w:val="nil"/>
            </w:tcBorders>
            <w:shd w:val="clear" w:color="auto" w:fill="auto"/>
            <w:vAlign w:val="bottom"/>
          </w:tcPr>
          <w:p w14:paraId="7F8A1F42" w14:textId="77777777" w:rsidR="00F1041C" w:rsidRPr="00F1041C" w:rsidRDefault="00F1041C" w:rsidP="002248AA">
            <w:pPr>
              <w:spacing w:line="276" w:lineRule="auto"/>
              <w:jc w:val="center"/>
              <w:rPr>
                <w:rFonts w:eastAsia="Calibri"/>
                <w:lang w:val="en-US"/>
              </w:rPr>
            </w:pPr>
            <w:r w:rsidRPr="00F1041C">
              <w:rPr>
                <w:rFonts w:eastAsia="Times New Roman"/>
                <w:b/>
                <w:bCs/>
                <w:lang w:val="en-US"/>
              </w:rPr>
              <w:t>Gross Committed Capital  ($mm)</w:t>
            </w:r>
          </w:p>
        </w:tc>
        <w:tc>
          <w:tcPr>
            <w:tcW w:w="973" w:type="dxa"/>
            <w:tcBorders>
              <w:left w:val="nil"/>
              <w:right w:val="nil"/>
            </w:tcBorders>
            <w:shd w:val="clear" w:color="auto" w:fill="auto"/>
            <w:tcMar>
              <w:top w:w="15" w:type="dxa"/>
              <w:left w:w="69" w:type="dxa"/>
              <w:bottom w:w="0" w:type="dxa"/>
              <w:right w:w="69" w:type="dxa"/>
            </w:tcMar>
            <w:vAlign w:val="bottom"/>
          </w:tcPr>
          <w:p w14:paraId="70DE1FAF" w14:textId="77777777" w:rsidR="00F1041C" w:rsidRPr="00F1041C" w:rsidRDefault="00F1041C" w:rsidP="00F1041C">
            <w:pPr>
              <w:spacing w:line="280" w:lineRule="exact"/>
              <w:jc w:val="center"/>
              <w:rPr>
                <w:rFonts w:eastAsia="Times New Roman"/>
                <w:b/>
                <w:bCs/>
                <w:lang w:val="en-US"/>
              </w:rPr>
            </w:pPr>
            <w:r w:rsidRPr="00F1041C">
              <w:rPr>
                <w:rFonts w:eastAsia="Times New Roman"/>
                <w:b/>
                <w:bCs/>
                <w:lang w:val="en-US"/>
              </w:rPr>
              <w:t>Invested</w:t>
            </w:r>
          </w:p>
          <w:p w14:paraId="14726E65" w14:textId="77777777" w:rsidR="00F1041C" w:rsidRPr="00F1041C" w:rsidRDefault="00F1041C" w:rsidP="002248AA">
            <w:pPr>
              <w:spacing w:line="276" w:lineRule="auto"/>
              <w:jc w:val="center"/>
              <w:rPr>
                <w:rFonts w:eastAsia="Calibri"/>
                <w:lang w:val="en-US"/>
              </w:rPr>
            </w:pPr>
            <w:r w:rsidRPr="00F1041C">
              <w:rPr>
                <w:rFonts w:eastAsia="Times New Roman"/>
                <w:b/>
                <w:bCs/>
                <w:lang w:val="en-US"/>
              </w:rPr>
              <w:t>Capital ($mm)</w:t>
            </w:r>
          </w:p>
        </w:tc>
        <w:tc>
          <w:tcPr>
            <w:tcW w:w="1012" w:type="dxa"/>
            <w:tcBorders>
              <w:left w:val="nil"/>
              <w:right w:val="nil"/>
            </w:tcBorders>
            <w:shd w:val="clear" w:color="auto" w:fill="auto"/>
            <w:tcMar>
              <w:top w:w="15" w:type="dxa"/>
              <w:left w:w="69" w:type="dxa"/>
              <w:bottom w:w="0" w:type="dxa"/>
              <w:right w:w="69" w:type="dxa"/>
            </w:tcMar>
            <w:vAlign w:val="bottom"/>
          </w:tcPr>
          <w:p w14:paraId="0501C8E0" w14:textId="77777777" w:rsidR="00F1041C" w:rsidRPr="00F1041C" w:rsidRDefault="00F1041C" w:rsidP="00F1041C">
            <w:pPr>
              <w:spacing w:line="280" w:lineRule="exact"/>
              <w:jc w:val="center"/>
              <w:rPr>
                <w:rFonts w:eastAsia="Times New Roman"/>
                <w:b/>
                <w:bCs/>
                <w:lang w:val="en-US"/>
              </w:rPr>
            </w:pPr>
            <w:r w:rsidRPr="00F1041C">
              <w:rPr>
                <w:rFonts w:eastAsia="Times New Roman"/>
                <w:b/>
                <w:bCs/>
                <w:lang w:val="en-US"/>
              </w:rPr>
              <w:t>Gross Realised</w:t>
            </w:r>
          </w:p>
          <w:p w14:paraId="3083E4FC" w14:textId="54EE527F" w:rsidR="00F1041C" w:rsidRPr="00F1041C" w:rsidRDefault="00F1041C" w:rsidP="002248AA">
            <w:pPr>
              <w:spacing w:line="276" w:lineRule="auto"/>
              <w:jc w:val="center"/>
              <w:rPr>
                <w:rFonts w:eastAsia="Calibri"/>
                <w:color w:val="000000"/>
                <w:lang w:val="en-US"/>
              </w:rPr>
            </w:pPr>
            <w:r w:rsidRPr="00F1041C">
              <w:rPr>
                <w:rFonts w:eastAsia="Times New Roman"/>
                <w:b/>
                <w:bCs/>
                <w:lang w:val="en-US"/>
              </w:rPr>
              <w:t>Capital ($mm)</w:t>
            </w:r>
            <w:r w:rsidRPr="00F1041C">
              <w:rPr>
                <w:rFonts w:eastAsia="Times New Roman"/>
                <w:b/>
                <w:bCs/>
                <w:vertAlign w:val="superscript"/>
                <w:lang w:val="en-US"/>
              </w:rPr>
              <w:t>1</w:t>
            </w:r>
          </w:p>
        </w:tc>
        <w:tc>
          <w:tcPr>
            <w:tcW w:w="1132" w:type="dxa"/>
            <w:tcBorders>
              <w:left w:val="nil"/>
              <w:right w:val="nil"/>
            </w:tcBorders>
            <w:shd w:val="clear" w:color="auto" w:fill="auto"/>
            <w:vAlign w:val="bottom"/>
          </w:tcPr>
          <w:p w14:paraId="4EF46672" w14:textId="77777777" w:rsidR="00F1041C" w:rsidRPr="00F1041C" w:rsidRDefault="00F1041C" w:rsidP="00F1041C">
            <w:pPr>
              <w:spacing w:line="280" w:lineRule="exact"/>
              <w:jc w:val="center"/>
              <w:rPr>
                <w:rFonts w:eastAsia="Times New Roman"/>
                <w:b/>
                <w:bCs/>
                <w:lang w:val="en-US"/>
              </w:rPr>
            </w:pPr>
            <w:r w:rsidRPr="00F1041C">
              <w:rPr>
                <w:rFonts w:eastAsia="Times New Roman"/>
                <w:b/>
                <w:bCs/>
                <w:lang w:val="en-US"/>
              </w:rPr>
              <w:t>Gross Unrealised Value</w:t>
            </w:r>
          </w:p>
          <w:p w14:paraId="110B0785" w14:textId="77777777" w:rsidR="00F1041C" w:rsidRPr="002248AA" w:rsidRDefault="00F1041C" w:rsidP="002248AA">
            <w:pPr>
              <w:spacing w:line="276" w:lineRule="auto"/>
              <w:jc w:val="center"/>
              <w:rPr>
                <w:lang w:val="en-US"/>
              </w:rPr>
            </w:pPr>
            <w:r w:rsidRPr="00F1041C">
              <w:rPr>
                <w:rFonts w:eastAsia="Times New Roman"/>
                <w:b/>
                <w:bCs/>
                <w:lang w:val="en-US"/>
              </w:rPr>
              <w:t>($mm)</w:t>
            </w:r>
          </w:p>
        </w:tc>
        <w:tc>
          <w:tcPr>
            <w:tcW w:w="1105" w:type="dxa"/>
            <w:tcBorders>
              <w:left w:val="nil"/>
              <w:right w:val="nil"/>
            </w:tcBorders>
            <w:shd w:val="clear" w:color="auto" w:fill="auto"/>
            <w:vAlign w:val="bottom"/>
          </w:tcPr>
          <w:p w14:paraId="6F2C4691" w14:textId="77777777" w:rsidR="00F1041C" w:rsidRPr="00F1041C" w:rsidRDefault="00F1041C" w:rsidP="002248AA">
            <w:pPr>
              <w:spacing w:line="276" w:lineRule="auto"/>
              <w:jc w:val="center"/>
              <w:rPr>
                <w:rFonts w:eastAsia="Calibri"/>
                <w:lang w:val="en-US"/>
              </w:rPr>
            </w:pPr>
            <w:r w:rsidRPr="00F1041C">
              <w:rPr>
                <w:rFonts w:eastAsia="Times New Roman"/>
                <w:b/>
                <w:bCs/>
                <w:lang w:val="en-US"/>
              </w:rPr>
              <w:t>Gross Realised Capital &amp; Unrealised Value ($mm)</w:t>
            </w:r>
            <w:r w:rsidRPr="00F1041C">
              <w:rPr>
                <w:rFonts w:eastAsia="Calibri"/>
                <w:b/>
                <w:vertAlign w:val="superscript"/>
                <w:lang w:val="en-US"/>
              </w:rPr>
              <w:t xml:space="preserve"> </w:t>
            </w:r>
          </w:p>
        </w:tc>
        <w:tc>
          <w:tcPr>
            <w:tcW w:w="851" w:type="dxa"/>
            <w:tcBorders>
              <w:left w:val="nil"/>
              <w:right w:val="nil"/>
            </w:tcBorders>
            <w:shd w:val="clear" w:color="auto" w:fill="auto"/>
            <w:tcMar>
              <w:top w:w="15" w:type="dxa"/>
              <w:left w:w="69" w:type="dxa"/>
              <w:bottom w:w="0" w:type="dxa"/>
              <w:right w:w="69" w:type="dxa"/>
            </w:tcMar>
            <w:vAlign w:val="bottom"/>
          </w:tcPr>
          <w:p w14:paraId="109C0CEF" w14:textId="2ACCFD70" w:rsidR="00F1041C" w:rsidRPr="00F1041C" w:rsidRDefault="00F1041C" w:rsidP="002248AA">
            <w:pPr>
              <w:spacing w:line="276" w:lineRule="auto"/>
              <w:jc w:val="center"/>
              <w:rPr>
                <w:rFonts w:eastAsia="Calibri"/>
                <w:lang w:val="en-US"/>
              </w:rPr>
            </w:pPr>
            <w:r w:rsidRPr="00F1041C">
              <w:rPr>
                <w:rFonts w:eastAsia="Times New Roman"/>
                <w:b/>
                <w:bCs/>
                <w:lang w:val="en-US"/>
              </w:rPr>
              <w:t>31 Dec 2019 Gross MOIC</w:t>
            </w:r>
            <w:r w:rsidRPr="00F1041C">
              <w:rPr>
                <w:rFonts w:eastAsia="Times New Roman"/>
                <w:b/>
                <w:bCs/>
                <w:vertAlign w:val="superscript"/>
                <w:lang w:val="en-US"/>
              </w:rPr>
              <w:t>2</w:t>
            </w:r>
          </w:p>
        </w:tc>
        <w:tc>
          <w:tcPr>
            <w:tcW w:w="724" w:type="dxa"/>
            <w:tcBorders>
              <w:left w:val="nil"/>
              <w:right w:val="nil"/>
            </w:tcBorders>
            <w:shd w:val="clear" w:color="auto" w:fill="auto"/>
            <w:vAlign w:val="bottom"/>
          </w:tcPr>
          <w:p w14:paraId="4DA8E1CC" w14:textId="15238A1B" w:rsidR="00F1041C" w:rsidRPr="00F1041C" w:rsidRDefault="00F1041C" w:rsidP="00F1041C">
            <w:pPr>
              <w:spacing w:line="276" w:lineRule="auto"/>
              <w:jc w:val="center"/>
              <w:rPr>
                <w:rFonts w:eastAsia="Times New Roman"/>
                <w:b/>
                <w:bCs/>
                <w:lang w:val="en-US"/>
              </w:rPr>
            </w:pPr>
            <w:r w:rsidRPr="00F1041C">
              <w:rPr>
                <w:rFonts w:eastAsia="Times New Roman"/>
                <w:b/>
                <w:bCs/>
                <w:lang w:val="en-US"/>
              </w:rPr>
              <w:t>31 Dec 2018</w:t>
            </w:r>
          </w:p>
          <w:p w14:paraId="62EB390E" w14:textId="0DEC8CE8" w:rsidR="00F1041C" w:rsidRPr="002248AA" w:rsidRDefault="00F1041C" w:rsidP="002248AA">
            <w:pPr>
              <w:spacing w:line="276" w:lineRule="auto"/>
              <w:jc w:val="center"/>
              <w:rPr>
                <w:lang w:val="en-US"/>
              </w:rPr>
            </w:pPr>
            <w:r w:rsidRPr="00F1041C">
              <w:rPr>
                <w:rFonts w:eastAsia="Times New Roman"/>
                <w:b/>
                <w:bCs/>
                <w:lang w:val="en-US"/>
              </w:rPr>
              <w:t>Gross MOIC</w:t>
            </w:r>
            <w:r w:rsidRPr="00F1041C">
              <w:rPr>
                <w:rFonts w:eastAsia="Times New Roman"/>
                <w:b/>
                <w:bCs/>
                <w:vertAlign w:val="superscript"/>
                <w:lang w:val="en-US"/>
              </w:rPr>
              <w:t>2</w:t>
            </w:r>
          </w:p>
        </w:tc>
      </w:tr>
      <w:tr w:rsidR="002248AA" w:rsidRPr="00F1041C" w14:paraId="41D1F917" w14:textId="77777777" w:rsidTr="000C581C">
        <w:trPr>
          <w:trHeight w:val="487"/>
        </w:trPr>
        <w:tc>
          <w:tcPr>
            <w:tcW w:w="1701" w:type="dxa"/>
            <w:tcBorders>
              <w:left w:val="nil"/>
              <w:right w:val="nil"/>
            </w:tcBorders>
            <w:shd w:val="clear" w:color="auto" w:fill="auto"/>
            <w:tcMar>
              <w:top w:w="15" w:type="dxa"/>
              <w:left w:w="137" w:type="dxa"/>
              <w:bottom w:w="0" w:type="dxa"/>
              <w:right w:w="15" w:type="dxa"/>
            </w:tcMar>
          </w:tcPr>
          <w:p w14:paraId="0723092A" w14:textId="46E64DC3" w:rsidR="00F1041C" w:rsidRPr="002248AA" w:rsidRDefault="00F1041C" w:rsidP="002248AA">
            <w:pPr>
              <w:spacing w:after="120" w:line="276" w:lineRule="auto"/>
              <w:rPr>
                <w:i/>
                <w:lang w:val="en-US"/>
              </w:rPr>
            </w:pPr>
            <w:r w:rsidRPr="00F1041C">
              <w:rPr>
                <w:rFonts w:eastAsia="Calibri"/>
                <w:b/>
                <w:lang w:val="en-US"/>
              </w:rPr>
              <w:t>Rock Oil</w:t>
            </w:r>
            <w:r w:rsidRPr="00F1041C">
              <w:rPr>
                <w:rFonts w:eastAsia="Calibri"/>
                <w:b/>
                <w:bCs/>
                <w:color w:val="000000"/>
                <w:vertAlign w:val="superscript"/>
                <w:lang w:val="en-US"/>
              </w:rPr>
              <w:endnoteReference w:customMarkFollows="1" w:id="5"/>
              <w:t>5</w:t>
            </w:r>
            <w:r w:rsidRPr="00F1041C">
              <w:rPr>
                <w:rFonts w:eastAsia="Calibri"/>
                <w:i/>
                <w:lang w:val="en-US"/>
              </w:rPr>
              <w:br/>
              <w:t>(12 Mar 2014</w:t>
            </w:r>
            <w:r w:rsidRPr="002248AA">
              <w:rPr>
                <w:i/>
                <w:lang w:val="en-US"/>
              </w:rPr>
              <w:t>)</w:t>
            </w:r>
          </w:p>
        </w:tc>
        <w:tc>
          <w:tcPr>
            <w:tcW w:w="224" w:type="dxa"/>
            <w:tcBorders>
              <w:left w:val="nil"/>
              <w:right w:val="nil"/>
            </w:tcBorders>
            <w:shd w:val="clear" w:color="auto" w:fill="auto"/>
            <w:tcMar>
              <w:top w:w="15" w:type="dxa"/>
              <w:left w:w="69" w:type="dxa"/>
              <w:bottom w:w="0" w:type="dxa"/>
              <w:right w:w="69" w:type="dxa"/>
            </w:tcMar>
            <w:vAlign w:val="center"/>
          </w:tcPr>
          <w:p w14:paraId="66233BF0" w14:textId="77777777" w:rsidR="00F1041C" w:rsidRPr="00F1041C" w:rsidRDefault="00F1041C" w:rsidP="002248AA">
            <w:pPr>
              <w:spacing w:after="120" w:line="276" w:lineRule="auto"/>
              <w:rPr>
                <w:rFonts w:eastAsia="Calibri"/>
                <w:color w:val="000000"/>
                <w:lang w:val="en-US"/>
              </w:rPr>
            </w:pPr>
          </w:p>
        </w:tc>
        <w:tc>
          <w:tcPr>
            <w:tcW w:w="1424" w:type="dxa"/>
            <w:tcBorders>
              <w:left w:val="nil"/>
              <w:right w:val="nil"/>
            </w:tcBorders>
            <w:shd w:val="clear" w:color="auto" w:fill="auto"/>
          </w:tcPr>
          <w:p w14:paraId="70BF626A" w14:textId="77777777" w:rsidR="00F1041C" w:rsidRPr="00F1041C" w:rsidRDefault="00F1041C" w:rsidP="002248AA">
            <w:pPr>
              <w:spacing w:after="120" w:line="276" w:lineRule="auto"/>
              <w:jc w:val="center"/>
              <w:rPr>
                <w:rFonts w:eastAsia="Calibri"/>
                <w:color w:val="000000"/>
                <w:lang w:val="en-US"/>
              </w:rPr>
            </w:pPr>
            <w:r w:rsidRPr="00F1041C">
              <w:rPr>
                <w:rFonts w:eastAsia="Calibri"/>
                <w:color w:val="000000"/>
                <w:lang w:val="en-US"/>
              </w:rPr>
              <w:t>Permian (U.S.)</w:t>
            </w:r>
          </w:p>
        </w:tc>
        <w:tc>
          <w:tcPr>
            <w:tcW w:w="1050" w:type="dxa"/>
            <w:tcBorders>
              <w:left w:val="nil"/>
              <w:right w:val="nil"/>
            </w:tcBorders>
            <w:shd w:val="clear" w:color="auto" w:fill="auto"/>
          </w:tcPr>
          <w:p w14:paraId="792F82DA" w14:textId="77777777" w:rsidR="00F1041C" w:rsidRPr="00F1041C" w:rsidRDefault="00F1041C" w:rsidP="002248AA">
            <w:pPr>
              <w:spacing w:after="120" w:line="276" w:lineRule="auto"/>
              <w:jc w:val="center"/>
              <w:rPr>
                <w:rFonts w:eastAsia="Calibri"/>
                <w:lang w:val="en-US"/>
              </w:rPr>
            </w:pPr>
            <w:r w:rsidRPr="00F1041C">
              <w:rPr>
                <w:rFonts w:eastAsia="Calibri"/>
                <w:lang w:val="en-US"/>
              </w:rPr>
              <w:t>$114</w:t>
            </w:r>
          </w:p>
        </w:tc>
        <w:tc>
          <w:tcPr>
            <w:tcW w:w="973" w:type="dxa"/>
            <w:tcBorders>
              <w:left w:val="nil"/>
              <w:right w:val="nil"/>
            </w:tcBorders>
            <w:shd w:val="clear" w:color="auto" w:fill="auto"/>
            <w:tcMar>
              <w:top w:w="15" w:type="dxa"/>
              <w:left w:w="69" w:type="dxa"/>
              <w:bottom w:w="0" w:type="dxa"/>
              <w:right w:w="69" w:type="dxa"/>
            </w:tcMar>
          </w:tcPr>
          <w:p w14:paraId="2EBBD943" w14:textId="77777777" w:rsidR="00F1041C" w:rsidRPr="00F1041C" w:rsidRDefault="00F1041C" w:rsidP="002248AA">
            <w:pPr>
              <w:spacing w:after="120" w:line="276" w:lineRule="auto"/>
              <w:jc w:val="center"/>
              <w:rPr>
                <w:rFonts w:eastAsia="Calibri"/>
                <w:lang w:val="en-US"/>
              </w:rPr>
            </w:pPr>
            <w:r w:rsidRPr="00F1041C">
              <w:rPr>
                <w:rFonts w:eastAsia="Calibri"/>
                <w:lang w:val="en-US"/>
              </w:rPr>
              <w:t>$114</w:t>
            </w:r>
          </w:p>
        </w:tc>
        <w:tc>
          <w:tcPr>
            <w:tcW w:w="1012" w:type="dxa"/>
            <w:tcBorders>
              <w:left w:val="nil"/>
              <w:right w:val="nil"/>
            </w:tcBorders>
            <w:shd w:val="clear" w:color="auto" w:fill="auto"/>
            <w:tcMar>
              <w:top w:w="15" w:type="dxa"/>
              <w:left w:w="69" w:type="dxa"/>
              <w:bottom w:w="0" w:type="dxa"/>
              <w:right w:w="69" w:type="dxa"/>
            </w:tcMar>
          </w:tcPr>
          <w:p w14:paraId="778AA0C0" w14:textId="77777777" w:rsidR="00F1041C" w:rsidRPr="00F1041C" w:rsidRDefault="00F1041C" w:rsidP="002248AA">
            <w:pPr>
              <w:spacing w:after="120" w:line="276" w:lineRule="auto"/>
              <w:jc w:val="center"/>
              <w:rPr>
                <w:rFonts w:eastAsia="Calibri"/>
                <w:color w:val="000000"/>
                <w:lang w:val="en-US"/>
              </w:rPr>
            </w:pPr>
            <w:r w:rsidRPr="00F1041C">
              <w:rPr>
                <w:rFonts w:eastAsia="Calibri"/>
                <w:color w:val="000000"/>
                <w:lang w:val="en-US"/>
              </w:rPr>
              <w:t>$231</w:t>
            </w:r>
          </w:p>
        </w:tc>
        <w:tc>
          <w:tcPr>
            <w:tcW w:w="1132" w:type="dxa"/>
            <w:tcBorders>
              <w:left w:val="nil"/>
              <w:right w:val="nil"/>
            </w:tcBorders>
            <w:shd w:val="clear" w:color="auto" w:fill="auto"/>
          </w:tcPr>
          <w:p w14:paraId="1C45D58C" w14:textId="77777777" w:rsidR="00F1041C" w:rsidRPr="002248AA" w:rsidRDefault="00F1041C" w:rsidP="002248AA">
            <w:pPr>
              <w:spacing w:after="120" w:line="276" w:lineRule="auto"/>
              <w:jc w:val="center"/>
              <w:rPr>
                <w:lang w:val="en-US"/>
              </w:rPr>
            </w:pPr>
            <w:r w:rsidRPr="00F1041C">
              <w:rPr>
                <w:rFonts w:eastAsia="Calibri"/>
                <w:lang w:val="en-US"/>
              </w:rPr>
              <w:t>$</w:t>
            </w:r>
            <w:r w:rsidRPr="002248AA">
              <w:rPr>
                <w:lang w:val="en-US"/>
              </w:rPr>
              <w:t>6</w:t>
            </w:r>
          </w:p>
        </w:tc>
        <w:tc>
          <w:tcPr>
            <w:tcW w:w="1105" w:type="dxa"/>
            <w:tcBorders>
              <w:left w:val="nil"/>
              <w:right w:val="nil"/>
            </w:tcBorders>
            <w:shd w:val="clear" w:color="auto" w:fill="auto"/>
          </w:tcPr>
          <w:p w14:paraId="3E1E0FA3" w14:textId="77777777" w:rsidR="00F1041C" w:rsidRPr="00F1041C" w:rsidRDefault="00F1041C" w:rsidP="002248AA">
            <w:pPr>
              <w:spacing w:after="120" w:line="276" w:lineRule="auto"/>
              <w:jc w:val="center"/>
              <w:rPr>
                <w:rFonts w:eastAsia="Calibri"/>
                <w:lang w:val="en-US"/>
              </w:rPr>
            </w:pPr>
            <w:r w:rsidRPr="00F1041C">
              <w:rPr>
                <w:rFonts w:eastAsia="Calibri"/>
                <w:lang w:val="en-US"/>
              </w:rPr>
              <w:t>$237</w:t>
            </w:r>
          </w:p>
        </w:tc>
        <w:tc>
          <w:tcPr>
            <w:tcW w:w="851" w:type="dxa"/>
            <w:tcBorders>
              <w:left w:val="nil"/>
              <w:right w:val="nil"/>
            </w:tcBorders>
            <w:shd w:val="clear" w:color="auto" w:fill="auto"/>
            <w:tcMar>
              <w:top w:w="15" w:type="dxa"/>
              <w:left w:w="69" w:type="dxa"/>
              <w:bottom w:w="0" w:type="dxa"/>
              <w:right w:w="69" w:type="dxa"/>
            </w:tcMar>
          </w:tcPr>
          <w:p w14:paraId="224AA766" w14:textId="77777777" w:rsidR="00F1041C" w:rsidRPr="002248AA" w:rsidRDefault="00F1041C" w:rsidP="002248AA">
            <w:pPr>
              <w:spacing w:after="120" w:line="276" w:lineRule="auto"/>
              <w:jc w:val="center"/>
              <w:rPr>
                <w:lang w:val="en-US"/>
              </w:rPr>
            </w:pPr>
            <w:r w:rsidRPr="002248AA">
              <w:rPr>
                <w:lang w:val="en-US"/>
              </w:rPr>
              <w:t>2.1x</w:t>
            </w:r>
          </w:p>
        </w:tc>
        <w:tc>
          <w:tcPr>
            <w:tcW w:w="724" w:type="dxa"/>
            <w:tcBorders>
              <w:left w:val="nil"/>
              <w:right w:val="nil"/>
            </w:tcBorders>
            <w:shd w:val="clear" w:color="auto" w:fill="auto"/>
          </w:tcPr>
          <w:p w14:paraId="2504BCF6" w14:textId="77777777" w:rsidR="00F1041C" w:rsidRPr="002248AA" w:rsidRDefault="00F1041C" w:rsidP="002248AA">
            <w:pPr>
              <w:spacing w:after="120" w:line="276" w:lineRule="auto"/>
              <w:jc w:val="center"/>
              <w:rPr>
                <w:lang w:val="en-US"/>
              </w:rPr>
            </w:pPr>
            <w:r w:rsidRPr="002248AA">
              <w:rPr>
                <w:lang w:val="en-US"/>
              </w:rPr>
              <w:t>2.1x</w:t>
            </w:r>
          </w:p>
        </w:tc>
      </w:tr>
      <w:tr w:rsidR="002248AA" w:rsidRPr="00F1041C" w14:paraId="6622F5EA" w14:textId="77777777" w:rsidTr="000C581C">
        <w:trPr>
          <w:trHeight w:val="487"/>
        </w:trPr>
        <w:tc>
          <w:tcPr>
            <w:tcW w:w="1701" w:type="dxa"/>
            <w:tcBorders>
              <w:left w:val="nil"/>
              <w:right w:val="nil"/>
            </w:tcBorders>
            <w:shd w:val="clear" w:color="auto" w:fill="auto"/>
            <w:tcMar>
              <w:top w:w="15" w:type="dxa"/>
              <w:left w:w="137" w:type="dxa"/>
              <w:bottom w:w="0" w:type="dxa"/>
              <w:right w:w="15" w:type="dxa"/>
            </w:tcMar>
          </w:tcPr>
          <w:p w14:paraId="2F4DCB63" w14:textId="43295E2B" w:rsidR="00F1041C" w:rsidRPr="00F1041C" w:rsidRDefault="00F1041C" w:rsidP="002248AA">
            <w:pPr>
              <w:spacing w:after="120" w:line="276" w:lineRule="auto"/>
              <w:rPr>
                <w:rFonts w:eastAsia="Calibri"/>
                <w:i/>
                <w:lang w:val="en-US"/>
              </w:rPr>
            </w:pPr>
            <w:r w:rsidRPr="00F1041C">
              <w:rPr>
                <w:rFonts w:eastAsia="Calibri"/>
                <w:b/>
                <w:lang w:val="en-US"/>
              </w:rPr>
              <w:t>Three Rivers III</w:t>
            </w:r>
            <w:r w:rsidRPr="00F1041C">
              <w:rPr>
                <w:rFonts w:eastAsia="Calibri"/>
                <w:i/>
                <w:lang w:val="en-US"/>
              </w:rPr>
              <w:t xml:space="preserve"> (7 Apr 2015)</w:t>
            </w:r>
          </w:p>
        </w:tc>
        <w:tc>
          <w:tcPr>
            <w:tcW w:w="224" w:type="dxa"/>
            <w:tcBorders>
              <w:left w:val="nil"/>
              <w:right w:val="nil"/>
            </w:tcBorders>
            <w:shd w:val="clear" w:color="auto" w:fill="auto"/>
            <w:tcMar>
              <w:top w:w="15" w:type="dxa"/>
              <w:left w:w="69" w:type="dxa"/>
              <w:bottom w:w="0" w:type="dxa"/>
              <w:right w:w="69" w:type="dxa"/>
            </w:tcMar>
            <w:vAlign w:val="center"/>
          </w:tcPr>
          <w:p w14:paraId="56805B3F" w14:textId="250E7090" w:rsidR="00F1041C" w:rsidRPr="00F1041C" w:rsidRDefault="00F1041C" w:rsidP="002248AA">
            <w:pPr>
              <w:spacing w:after="120" w:line="276" w:lineRule="auto"/>
              <w:rPr>
                <w:rFonts w:eastAsia="Calibri"/>
                <w:color w:val="000000"/>
                <w:lang w:val="en-US"/>
              </w:rPr>
            </w:pPr>
          </w:p>
        </w:tc>
        <w:tc>
          <w:tcPr>
            <w:tcW w:w="1424" w:type="dxa"/>
            <w:tcBorders>
              <w:left w:val="nil"/>
              <w:right w:val="nil"/>
            </w:tcBorders>
            <w:shd w:val="clear" w:color="auto" w:fill="auto"/>
          </w:tcPr>
          <w:p w14:paraId="15396844" w14:textId="77777777" w:rsidR="00F1041C" w:rsidRPr="00F1041C" w:rsidRDefault="00F1041C" w:rsidP="002248AA">
            <w:pPr>
              <w:spacing w:after="120" w:line="276" w:lineRule="auto"/>
              <w:jc w:val="center"/>
              <w:rPr>
                <w:rFonts w:eastAsia="Calibri"/>
                <w:color w:val="000000"/>
                <w:lang w:val="en-US"/>
              </w:rPr>
            </w:pPr>
            <w:r w:rsidRPr="00F1041C">
              <w:rPr>
                <w:rFonts w:eastAsia="Calibri"/>
                <w:color w:val="000000"/>
                <w:lang w:val="en-US"/>
              </w:rPr>
              <w:t>Permian (U.S.)</w:t>
            </w:r>
          </w:p>
        </w:tc>
        <w:tc>
          <w:tcPr>
            <w:tcW w:w="1050" w:type="dxa"/>
            <w:tcBorders>
              <w:left w:val="nil"/>
              <w:right w:val="nil"/>
            </w:tcBorders>
            <w:shd w:val="clear" w:color="auto" w:fill="auto"/>
          </w:tcPr>
          <w:p w14:paraId="5661AD27" w14:textId="77777777" w:rsidR="00F1041C" w:rsidRPr="00F1041C" w:rsidRDefault="00F1041C" w:rsidP="002248AA">
            <w:pPr>
              <w:spacing w:after="120" w:line="276" w:lineRule="auto"/>
              <w:jc w:val="center"/>
              <w:rPr>
                <w:rFonts w:eastAsia="Calibri"/>
                <w:lang w:val="en-US"/>
              </w:rPr>
            </w:pPr>
            <w:r w:rsidRPr="00F1041C">
              <w:rPr>
                <w:rFonts w:eastAsia="Calibri"/>
                <w:lang w:val="en-US"/>
              </w:rPr>
              <w:t>94</w:t>
            </w:r>
          </w:p>
        </w:tc>
        <w:tc>
          <w:tcPr>
            <w:tcW w:w="973" w:type="dxa"/>
            <w:tcBorders>
              <w:left w:val="nil"/>
              <w:right w:val="nil"/>
            </w:tcBorders>
            <w:shd w:val="clear" w:color="auto" w:fill="auto"/>
            <w:tcMar>
              <w:top w:w="15" w:type="dxa"/>
              <w:left w:w="69" w:type="dxa"/>
              <w:bottom w:w="0" w:type="dxa"/>
              <w:right w:w="69" w:type="dxa"/>
            </w:tcMar>
          </w:tcPr>
          <w:p w14:paraId="7C3C90B3" w14:textId="77777777" w:rsidR="00F1041C" w:rsidRPr="00F1041C" w:rsidRDefault="00F1041C" w:rsidP="002248AA">
            <w:pPr>
              <w:spacing w:after="120" w:line="276" w:lineRule="auto"/>
              <w:jc w:val="center"/>
              <w:rPr>
                <w:rFonts w:eastAsia="Calibri"/>
                <w:lang w:val="en-US"/>
              </w:rPr>
            </w:pPr>
            <w:r w:rsidRPr="00F1041C">
              <w:rPr>
                <w:rFonts w:eastAsia="Calibri"/>
                <w:lang w:val="en-US"/>
              </w:rPr>
              <w:t>94</w:t>
            </w:r>
          </w:p>
        </w:tc>
        <w:tc>
          <w:tcPr>
            <w:tcW w:w="1012" w:type="dxa"/>
            <w:tcBorders>
              <w:left w:val="nil"/>
              <w:right w:val="nil"/>
            </w:tcBorders>
            <w:shd w:val="clear" w:color="auto" w:fill="auto"/>
            <w:tcMar>
              <w:top w:w="15" w:type="dxa"/>
              <w:left w:w="69" w:type="dxa"/>
              <w:bottom w:w="0" w:type="dxa"/>
              <w:right w:w="69" w:type="dxa"/>
            </w:tcMar>
          </w:tcPr>
          <w:p w14:paraId="3A881392" w14:textId="77777777" w:rsidR="00F1041C" w:rsidRPr="00F1041C" w:rsidRDefault="00F1041C" w:rsidP="002248AA">
            <w:pPr>
              <w:spacing w:after="120" w:line="276" w:lineRule="auto"/>
              <w:jc w:val="center"/>
              <w:rPr>
                <w:rFonts w:eastAsia="Calibri"/>
                <w:color w:val="000000"/>
                <w:lang w:val="en-US"/>
              </w:rPr>
            </w:pPr>
            <w:r w:rsidRPr="00F1041C">
              <w:rPr>
                <w:rFonts w:eastAsia="Calibri"/>
                <w:color w:val="000000"/>
                <w:lang w:val="en-US"/>
              </w:rPr>
              <w:t>204</w:t>
            </w:r>
          </w:p>
        </w:tc>
        <w:tc>
          <w:tcPr>
            <w:tcW w:w="1132" w:type="dxa"/>
            <w:tcBorders>
              <w:left w:val="nil"/>
              <w:right w:val="nil"/>
            </w:tcBorders>
            <w:shd w:val="clear" w:color="auto" w:fill="auto"/>
          </w:tcPr>
          <w:p w14:paraId="11639B4A" w14:textId="77777777" w:rsidR="00F1041C" w:rsidRPr="002248AA" w:rsidRDefault="00F1041C" w:rsidP="002248AA">
            <w:pPr>
              <w:spacing w:after="120" w:line="276" w:lineRule="auto"/>
              <w:jc w:val="center"/>
              <w:rPr>
                <w:lang w:val="en-US"/>
              </w:rPr>
            </w:pPr>
            <w:r w:rsidRPr="002248AA">
              <w:rPr>
                <w:lang w:val="en-US"/>
              </w:rPr>
              <w:t>-</w:t>
            </w:r>
          </w:p>
        </w:tc>
        <w:tc>
          <w:tcPr>
            <w:tcW w:w="1105" w:type="dxa"/>
            <w:tcBorders>
              <w:left w:val="nil"/>
              <w:right w:val="nil"/>
            </w:tcBorders>
            <w:shd w:val="clear" w:color="auto" w:fill="auto"/>
          </w:tcPr>
          <w:p w14:paraId="354911CB" w14:textId="77777777" w:rsidR="00F1041C" w:rsidRPr="00F1041C" w:rsidRDefault="00F1041C" w:rsidP="002248AA">
            <w:pPr>
              <w:spacing w:after="120" w:line="276" w:lineRule="auto"/>
              <w:jc w:val="center"/>
              <w:rPr>
                <w:rFonts w:eastAsia="Calibri"/>
                <w:lang w:val="en-US"/>
              </w:rPr>
            </w:pPr>
            <w:r w:rsidRPr="00F1041C">
              <w:rPr>
                <w:rFonts w:eastAsia="Calibri"/>
                <w:lang w:val="en-US"/>
              </w:rPr>
              <w:t>204</w:t>
            </w:r>
          </w:p>
        </w:tc>
        <w:tc>
          <w:tcPr>
            <w:tcW w:w="851" w:type="dxa"/>
            <w:tcBorders>
              <w:left w:val="nil"/>
              <w:right w:val="nil"/>
            </w:tcBorders>
            <w:shd w:val="clear" w:color="auto" w:fill="auto"/>
            <w:tcMar>
              <w:top w:w="15" w:type="dxa"/>
              <w:left w:w="69" w:type="dxa"/>
              <w:bottom w:w="0" w:type="dxa"/>
              <w:right w:w="69" w:type="dxa"/>
            </w:tcMar>
          </w:tcPr>
          <w:p w14:paraId="4F3C5D28" w14:textId="77777777" w:rsidR="00F1041C" w:rsidRPr="00F1041C" w:rsidRDefault="00F1041C" w:rsidP="002248AA">
            <w:pPr>
              <w:spacing w:after="120" w:line="276" w:lineRule="auto"/>
              <w:jc w:val="center"/>
              <w:rPr>
                <w:rFonts w:eastAsia="Calibri"/>
                <w:lang w:val="en-US"/>
              </w:rPr>
            </w:pPr>
            <w:r w:rsidRPr="002248AA">
              <w:rPr>
                <w:lang w:val="en-US"/>
              </w:rPr>
              <w:t>2.2x</w:t>
            </w:r>
          </w:p>
        </w:tc>
        <w:tc>
          <w:tcPr>
            <w:tcW w:w="724" w:type="dxa"/>
            <w:tcBorders>
              <w:left w:val="nil"/>
              <w:right w:val="nil"/>
            </w:tcBorders>
            <w:shd w:val="clear" w:color="auto" w:fill="auto"/>
          </w:tcPr>
          <w:p w14:paraId="59CE9B26" w14:textId="77777777" w:rsidR="00F1041C" w:rsidRPr="002248AA" w:rsidRDefault="00F1041C" w:rsidP="002248AA">
            <w:pPr>
              <w:spacing w:after="120" w:line="276" w:lineRule="auto"/>
              <w:jc w:val="center"/>
              <w:rPr>
                <w:lang w:val="en-US"/>
              </w:rPr>
            </w:pPr>
            <w:r w:rsidRPr="002248AA">
              <w:rPr>
                <w:lang w:val="en-US"/>
              </w:rPr>
              <w:t>2.2x</w:t>
            </w:r>
          </w:p>
        </w:tc>
      </w:tr>
      <w:tr w:rsidR="002248AA" w:rsidRPr="00F1041C" w14:paraId="0179D30F" w14:textId="77777777" w:rsidTr="000C581C">
        <w:trPr>
          <w:trHeight w:val="487"/>
        </w:trPr>
        <w:tc>
          <w:tcPr>
            <w:tcW w:w="1701" w:type="dxa"/>
            <w:tcBorders>
              <w:top w:val="nil"/>
              <w:left w:val="nil"/>
              <w:right w:val="nil"/>
            </w:tcBorders>
            <w:shd w:val="clear" w:color="auto" w:fill="auto"/>
            <w:tcMar>
              <w:top w:w="15" w:type="dxa"/>
              <w:left w:w="137" w:type="dxa"/>
              <w:bottom w:w="0" w:type="dxa"/>
              <w:right w:w="15" w:type="dxa"/>
            </w:tcMar>
          </w:tcPr>
          <w:p w14:paraId="66410E89" w14:textId="7676845E" w:rsidR="00F1041C" w:rsidRPr="002248AA" w:rsidRDefault="00F1041C" w:rsidP="002248AA">
            <w:pPr>
              <w:spacing w:after="120" w:line="276" w:lineRule="auto"/>
              <w:rPr>
                <w:i/>
                <w:lang w:val="en-US"/>
              </w:rPr>
            </w:pPr>
            <w:r w:rsidRPr="00F1041C">
              <w:rPr>
                <w:rFonts w:eastAsia="Calibri"/>
                <w:b/>
                <w:lang w:val="en-US"/>
              </w:rPr>
              <w:t>Meritage III</w:t>
            </w:r>
            <w:r w:rsidRPr="00F1041C">
              <w:rPr>
                <w:rFonts w:eastAsia="Calibri"/>
                <w:b/>
                <w:vertAlign w:val="superscript"/>
                <w:lang w:val="en-US"/>
              </w:rPr>
              <w:endnoteReference w:customMarkFollows="1" w:id="6"/>
              <w:t>6</w:t>
            </w:r>
            <w:r w:rsidRPr="00F1041C">
              <w:rPr>
                <w:rFonts w:ascii="Calibri" w:eastAsia="Calibri" w:hAnsi="Calibri" w:cs="Times New Roman"/>
                <w:sz w:val="22"/>
                <w:szCs w:val="22"/>
                <w:lang w:val="en-US"/>
              </w:rPr>
              <w:br/>
            </w:r>
            <w:r w:rsidRPr="00F1041C">
              <w:rPr>
                <w:rFonts w:eastAsia="Calibri"/>
                <w:i/>
                <w:lang w:val="en-US"/>
              </w:rPr>
              <w:t>(17 Apr 2015)</w:t>
            </w:r>
          </w:p>
        </w:tc>
        <w:tc>
          <w:tcPr>
            <w:tcW w:w="224" w:type="dxa"/>
            <w:tcBorders>
              <w:top w:val="nil"/>
              <w:left w:val="nil"/>
              <w:right w:val="nil"/>
            </w:tcBorders>
            <w:shd w:val="clear" w:color="auto" w:fill="auto"/>
            <w:tcMar>
              <w:top w:w="15" w:type="dxa"/>
              <w:left w:w="69" w:type="dxa"/>
              <w:bottom w:w="0" w:type="dxa"/>
              <w:right w:w="69" w:type="dxa"/>
            </w:tcMar>
            <w:vAlign w:val="center"/>
          </w:tcPr>
          <w:p w14:paraId="68D799A0" w14:textId="77777777" w:rsidR="00F1041C" w:rsidRPr="00F1041C" w:rsidRDefault="00F1041C" w:rsidP="002248AA">
            <w:pPr>
              <w:spacing w:after="120" w:line="276" w:lineRule="auto"/>
              <w:rPr>
                <w:rFonts w:eastAsia="Calibri"/>
                <w:color w:val="000000"/>
                <w:lang w:val="en-US"/>
              </w:rPr>
            </w:pPr>
            <w:r w:rsidRPr="00F1041C">
              <w:rPr>
                <w:rFonts w:eastAsia="Calibri"/>
                <w:color w:val="000000"/>
                <w:lang w:val="en-US"/>
              </w:rPr>
              <w:t> </w:t>
            </w:r>
          </w:p>
        </w:tc>
        <w:tc>
          <w:tcPr>
            <w:tcW w:w="1424" w:type="dxa"/>
            <w:tcBorders>
              <w:top w:val="nil"/>
              <w:left w:val="nil"/>
              <w:right w:val="nil"/>
            </w:tcBorders>
            <w:shd w:val="clear" w:color="auto" w:fill="auto"/>
            <w:vAlign w:val="center"/>
          </w:tcPr>
          <w:p w14:paraId="322D72A2" w14:textId="77777777" w:rsidR="00F1041C" w:rsidRPr="00F1041C" w:rsidRDefault="00F1041C" w:rsidP="002248AA">
            <w:pPr>
              <w:spacing w:after="120" w:line="276" w:lineRule="auto"/>
              <w:jc w:val="center"/>
              <w:rPr>
                <w:rFonts w:eastAsia="Calibri"/>
                <w:color w:val="000000"/>
                <w:lang w:val="en-US"/>
              </w:rPr>
            </w:pPr>
            <w:r w:rsidRPr="00F1041C">
              <w:rPr>
                <w:rFonts w:eastAsia="Calibri"/>
                <w:color w:val="000000"/>
                <w:lang w:val="en-US"/>
              </w:rPr>
              <w:t>Western Canada</w:t>
            </w:r>
          </w:p>
        </w:tc>
        <w:tc>
          <w:tcPr>
            <w:tcW w:w="1050" w:type="dxa"/>
            <w:tcBorders>
              <w:top w:val="nil"/>
              <w:left w:val="nil"/>
              <w:right w:val="nil"/>
            </w:tcBorders>
            <w:shd w:val="clear" w:color="auto" w:fill="auto"/>
          </w:tcPr>
          <w:p w14:paraId="14936CB9" w14:textId="77777777" w:rsidR="00F1041C" w:rsidRPr="002248AA" w:rsidRDefault="00F1041C" w:rsidP="002248AA">
            <w:pPr>
              <w:spacing w:after="120" w:line="276" w:lineRule="auto"/>
              <w:jc w:val="center"/>
              <w:rPr>
                <w:lang w:val="en-US"/>
              </w:rPr>
            </w:pPr>
            <w:r w:rsidRPr="002248AA">
              <w:rPr>
                <w:lang w:val="en-US"/>
              </w:rPr>
              <w:t>40</w:t>
            </w:r>
          </w:p>
        </w:tc>
        <w:tc>
          <w:tcPr>
            <w:tcW w:w="973" w:type="dxa"/>
            <w:tcBorders>
              <w:top w:val="nil"/>
              <w:left w:val="nil"/>
              <w:right w:val="nil"/>
            </w:tcBorders>
            <w:shd w:val="clear" w:color="auto" w:fill="auto"/>
            <w:tcMar>
              <w:top w:w="15" w:type="dxa"/>
              <w:left w:w="69" w:type="dxa"/>
              <w:bottom w:w="0" w:type="dxa"/>
              <w:right w:w="69" w:type="dxa"/>
            </w:tcMar>
          </w:tcPr>
          <w:p w14:paraId="76BEADB3" w14:textId="77777777" w:rsidR="00F1041C" w:rsidRPr="002248AA" w:rsidRDefault="00F1041C" w:rsidP="002248AA">
            <w:pPr>
              <w:spacing w:after="120" w:line="276" w:lineRule="auto"/>
              <w:jc w:val="center"/>
              <w:rPr>
                <w:lang w:val="en-US"/>
              </w:rPr>
            </w:pPr>
            <w:r w:rsidRPr="002248AA">
              <w:rPr>
                <w:lang w:val="en-US"/>
              </w:rPr>
              <w:t>40</w:t>
            </w:r>
          </w:p>
        </w:tc>
        <w:tc>
          <w:tcPr>
            <w:tcW w:w="1012" w:type="dxa"/>
            <w:tcBorders>
              <w:top w:val="nil"/>
              <w:left w:val="nil"/>
              <w:right w:val="nil"/>
            </w:tcBorders>
            <w:shd w:val="clear" w:color="auto" w:fill="auto"/>
            <w:tcMar>
              <w:top w:w="15" w:type="dxa"/>
              <w:left w:w="69" w:type="dxa"/>
              <w:bottom w:w="0" w:type="dxa"/>
              <w:right w:w="69" w:type="dxa"/>
            </w:tcMar>
          </w:tcPr>
          <w:p w14:paraId="0C1AAA96" w14:textId="77777777" w:rsidR="00F1041C" w:rsidRPr="002248AA" w:rsidRDefault="00F1041C" w:rsidP="002248AA">
            <w:pPr>
              <w:spacing w:after="120" w:line="276" w:lineRule="auto"/>
              <w:jc w:val="center"/>
              <w:rPr>
                <w:color w:val="000000"/>
                <w:lang w:val="en-US"/>
              </w:rPr>
            </w:pPr>
            <w:r w:rsidRPr="002248AA">
              <w:rPr>
                <w:color w:val="000000"/>
                <w:lang w:val="en-US"/>
              </w:rPr>
              <w:t>83</w:t>
            </w:r>
          </w:p>
        </w:tc>
        <w:tc>
          <w:tcPr>
            <w:tcW w:w="1132" w:type="dxa"/>
            <w:tcBorders>
              <w:top w:val="nil"/>
              <w:left w:val="nil"/>
              <w:right w:val="nil"/>
            </w:tcBorders>
            <w:shd w:val="clear" w:color="auto" w:fill="auto"/>
          </w:tcPr>
          <w:p w14:paraId="760EE806" w14:textId="77777777" w:rsidR="00F1041C" w:rsidRPr="002248AA" w:rsidRDefault="00F1041C" w:rsidP="002248AA">
            <w:pPr>
              <w:spacing w:after="120" w:line="276" w:lineRule="auto"/>
              <w:jc w:val="center"/>
              <w:rPr>
                <w:lang w:val="en-US"/>
              </w:rPr>
            </w:pPr>
            <w:r w:rsidRPr="002248AA">
              <w:rPr>
                <w:lang w:val="en-US"/>
              </w:rPr>
              <w:t>-</w:t>
            </w:r>
          </w:p>
        </w:tc>
        <w:tc>
          <w:tcPr>
            <w:tcW w:w="1105" w:type="dxa"/>
            <w:tcBorders>
              <w:top w:val="nil"/>
              <w:left w:val="nil"/>
              <w:right w:val="nil"/>
            </w:tcBorders>
            <w:shd w:val="clear" w:color="auto" w:fill="auto"/>
          </w:tcPr>
          <w:p w14:paraId="34E81C7A" w14:textId="77777777" w:rsidR="00F1041C" w:rsidRPr="002248AA" w:rsidRDefault="00F1041C" w:rsidP="002248AA">
            <w:pPr>
              <w:spacing w:after="120" w:line="276" w:lineRule="auto"/>
              <w:jc w:val="center"/>
              <w:rPr>
                <w:lang w:val="en-US"/>
              </w:rPr>
            </w:pPr>
            <w:r w:rsidRPr="002248AA">
              <w:rPr>
                <w:lang w:val="en-US"/>
              </w:rPr>
              <w:t>83</w:t>
            </w:r>
          </w:p>
        </w:tc>
        <w:tc>
          <w:tcPr>
            <w:tcW w:w="851" w:type="dxa"/>
            <w:tcBorders>
              <w:top w:val="nil"/>
              <w:left w:val="nil"/>
              <w:right w:val="nil"/>
            </w:tcBorders>
            <w:shd w:val="clear" w:color="auto" w:fill="auto"/>
            <w:tcMar>
              <w:top w:w="15" w:type="dxa"/>
              <w:left w:w="69" w:type="dxa"/>
              <w:bottom w:w="0" w:type="dxa"/>
              <w:right w:w="69" w:type="dxa"/>
            </w:tcMar>
          </w:tcPr>
          <w:p w14:paraId="4799362F" w14:textId="77777777" w:rsidR="00F1041C" w:rsidRPr="002248AA" w:rsidRDefault="00F1041C" w:rsidP="002248AA">
            <w:pPr>
              <w:spacing w:after="120" w:line="276" w:lineRule="auto"/>
              <w:jc w:val="center"/>
              <w:rPr>
                <w:lang w:val="en-US"/>
              </w:rPr>
            </w:pPr>
            <w:r w:rsidRPr="002248AA">
              <w:rPr>
                <w:lang w:val="en-US"/>
              </w:rPr>
              <w:t>2.1x</w:t>
            </w:r>
          </w:p>
        </w:tc>
        <w:tc>
          <w:tcPr>
            <w:tcW w:w="724" w:type="dxa"/>
            <w:tcBorders>
              <w:top w:val="nil"/>
              <w:left w:val="nil"/>
              <w:right w:val="nil"/>
            </w:tcBorders>
            <w:shd w:val="clear" w:color="auto" w:fill="auto"/>
          </w:tcPr>
          <w:p w14:paraId="5BC075F3" w14:textId="77777777" w:rsidR="00F1041C" w:rsidRPr="002248AA" w:rsidRDefault="00F1041C" w:rsidP="002248AA">
            <w:pPr>
              <w:spacing w:after="120" w:line="276" w:lineRule="auto"/>
              <w:jc w:val="center"/>
              <w:rPr>
                <w:lang w:val="en-US"/>
              </w:rPr>
            </w:pPr>
            <w:r w:rsidRPr="002248AA">
              <w:rPr>
                <w:lang w:val="en-US"/>
              </w:rPr>
              <w:t>2.0x</w:t>
            </w:r>
          </w:p>
        </w:tc>
      </w:tr>
      <w:tr w:rsidR="002248AA" w:rsidRPr="00F1041C" w14:paraId="320CE6F8" w14:textId="77777777" w:rsidTr="000C581C">
        <w:trPr>
          <w:trHeight w:val="487"/>
        </w:trPr>
        <w:tc>
          <w:tcPr>
            <w:tcW w:w="1701" w:type="dxa"/>
            <w:tcBorders>
              <w:top w:val="nil"/>
              <w:left w:val="nil"/>
              <w:right w:val="nil"/>
            </w:tcBorders>
            <w:shd w:val="clear" w:color="auto" w:fill="auto"/>
            <w:tcMar>
              <w:top w:w="15" w:type="dxa"/>
              <w:left w:w="137" w:type="dxa"/>
              <w:bottom w:w="0" w:type="dxa"/>
              <w:right w:w="15" w:type="dxa"/>
            </w:tcMar>
          </w:tcPr>
          <w:p w14:paraId="39A28984" w14:textId="0389C9F0" w:rsidR="00F1041C" w:rsidRPr="002248AA" w:rsidRDefault="00F1041C" w:rsidP="002248AA">
            <w:pPr>
              <w:spacing w:after="120" w:line="276" w:lineRule="auto"/>
              <w:rPr>
                <w:i/>
                <w:lang w:val="en-US"/>
              </w:rPr>
            </w:pPr>
            <w:r w:rsidRPr="00F1041C">
              <w:rPr>
                <w:rFonts w:eastAsia="Calibri"/>
                <w:b/>
                <w:lang w:val="en-US"/>
              </w:rPr>
              <w:t>Sierra</w:t>
            </w:r>
            <w:r w:rsidRPr="00F1041C">
              <w:rPr>
                <w:rFonts w:eastAsia="Calibri"/>
                <w:b/>
                <w:lang w:val="en-US"/>
              </w:rPr>
              <w:br/>
            </w:r>
            <w:r w:rsidRPr="00F1041C">
              <w:rPr>
                <w:rFonts w:eastAsia="Calibri"/>
                <w:i/>
                <w:lang w:val="en-US"/>
              </w:rPr>
              <w:t>(24 Sept 2014)</w:t>
            </w:r>
          </w:p>
        </w:tc>
        <w:tc>
          <w:tcPr>
            <w:tcW w:w="224" w:type="dxa"/>
            <w:tcBorders>
              <w:top w:val="nil"/>
              <w:left w:val="nil"/>
              <w:right w:val="nil"/>
            </w:tcBorders>
            <w:shd w:val="clear" w:color="auto" w:fill="auto"/>
            <w:tcMar>
              <w:top w:w="15" w:type="dxa"/>
              <w:left w:w="69" w:type="dxa"/>
              <w:bottom w:w="0" w:type="dxa"/>
              <w:right w:w="69" w:type="dxa"/>
            </w:tcMar>
            <w:vAlign w:val="center"/>
          </w:tcPr>
          <w:p w14:paraId="2B826718" w14:textId="77777777" w:rsidR="00F1041C" w:rsidRPr="00F1041C" w:rsidRDefault="00F1041C" w:rsidP="002248AA">
            <w:pPr>
              <w:spacing w:after="120" w:line="276" w:lineRule="auto"/>
              <w:rPr>
                <w:rFonts w:eastAsia="Calibri"/>
                <w:color w:val="000000"/>
                <w:lang w:val="en-US"/>
              </w:rPr>
            </w:pPr>
            <w:r w:rsidRPr="00F1041C">
              <w:rPr>
                <w:rFonts w:eastAsia="Calibri"/>
                <w:color w:val="000000"/>
                <w:lang w:val="en-US"/>
              </w:rPr>
              <w:t> </w:t>
            </w:r>
          </w:p>
        </w:tc>
        <w:tc>
          <w:tcPr>
            <w:tcW w:w="1424" w:type="dxa"/>
            <w:tcBorders>
              <w:top w:val="nil"/>
              <w:left w:val="nil"/>
              <w:right w:val="nil"/>
            </w:tcBorders>
            <w:shd w:val="clear" w:color="auto" w:fill="auto"/>
          </w:tcPr>
          <w:p w14:paraId="44B9D65D" w14:textId="77777777" w:rsidR="00F1041C" w:rsidRPr="00F1041C" w:rsidRDefault="00F1041C" w:rsidP="002248AA">
            <w:pPr>
              <w:spacing w:after="120" w:line="276" w:lineRule="auto"/>
              <w:jc w:val="center"/>
              <w:rPr>
                <w:rFonts w:eastAsia="Calibri"/>
                <w:color w:val="000000"/>
                <w:lang w:val="en-US"/>
              </w:rPr>
            </w:pPr>
            <w:r w:rsidRPr="00F1041C">
              <w:rPr>
                <w:rFonts w:eastAsia="Calibri"/>
                <w:color w:val="000000"/>
                <w:lang w:val="en-US"/>
              </w:rPr>
              <w:t>Mexico</w:t>
            </w:r>
          </w:p>
        </w:tc>
        <w:tc>
          <w:tcPr>
            <w:tcW w:w="1050" w:type="dxa"/>
            <w:tcBorders>
              <w:top w:val="nil"/>
              <w:left w:val="nil"/>
              <w:right w:val="nil"/>
            </w:tcBorders>
            <w:shd w:val="clear" w:color="auto" w:fill="auto"/>
          </w:tcPr>
          <w:p w14:paraId="2861950A" w14:textId="77777777" w:rsidR="00F1041C" w:rsidRPr="002248AA" w:rsidRDefault="00F1041C" w:rsidP="002248AA">
            <w:pPr>
              <w:spacing w:after="120" w:line="276" w:lineRule="auto"/>
              <w:jc w:val="center"/>
              <w:rPr>
                <w:lang w:val="en-US"/>
              </w:rPr>
            </w:pPr>
            <w:r w:rsidRPr="002248AA">
              <w:rPr>
                <w:lang w:val="en-US"/>
              </w:rPr>
              <w:t>18</w:t>
            </w:r>
          </w:p>
        </w:tc>
        <w:tc>
          <w:tcPr>
            <w:tcW w:w="973" w:type="dxa"/>
            <w:tcBorders>
              <w:top w:val="nil"/>
              <w:left w:val="nil"/>
              <w:right w:val="nil"/>
            </w:tcBorders>
            <w:shd w:val="clear" w:color="auto" w:fill="auto"/>
            <w:tcMar>
              <w:top w:w="15" w:type="dxa"/>
              <w:left w:w="69" w:type="dxa"/>
              <w:bottom w:w="0" w:type="dxa"/>
              <w:right w:w="69" w:type="dxa"/>
            </w:tcMar>
          </w:tcPr>
          <w:p w14:paraId="429F5FA6" w14:textId="77777777" w:rsidR="00F1041C" w:rsidRPr="002248AA" w:rsidRDefault="00F1041C" w:rsidP="002248AA">
            <w:pPr>
              <w:spacing w:after="120" w:line="276" w:lineRule="auto"/>
              <w:jc w:val="center"/>
              <w:rPr>
                <w:lang w:val="en-US"/>
              </w:rPr>
            </w:pPr>
            <w:r w:rsidRPr="002248AA">
              <w:rPr>
                <w:lang w:val="en-US"/>
              </w:rPr>
              <w:t>18</w:t>
            </w:r>
          </w:p>
        </w:tc>
        <w:tc>
          <w:tcPr>
            <w:tcW w:w="1012" w:type="dxa"/>
            <w:tcBorders>
              <w:top w:val="nil"/>
              <w:left w:val="nil"/>
              <w:right w:val="nil"/>
            </w:tcBorders>
            <w:shd w:val="clear" w:color="auto" w:fill="auto"/>
            <w:tcMar>
              <w:top w:w="15" w:type="dxa"/>
              <w:left w:w="69" w:type="dxa"/>
              <w:bottom w:w="0" w:type="dxa"/>
              <w:right w:w="69" w:type="dxa"/>
            </w:tcMar>
          </w:tcPr>
          <w:p w14:paraId="772533ED" w14:textId="77777777" w:rsidR="00F1041C" w:rsidRPr="002248AA" w:rsidRDefault="00F1041C" w:rsidP="002248AA">
            <w:pPr>
              <w:spacing w:after="120" w:line="276" w:lineRule="auto"/>
              <w:jc w:val="center"/>
              <w:rPr>
                <w:color w:val="000000"/>
                <w:lang w:val="en-US"/>
              </w:rPr>
            </w:pPr>
            <w:r w:rsidRPr="002248AA">
              <w:rPr>
                <w:color w:val="000000"/>
                <w:lang w:val="en-US"/>
              </w:rPr>
              <w:t>39</w:t>
            </w:r>
          </w:p>
        </w:tc>
        <w:tc>
          <w:tcPr>
            <w:tcW w:w="1132" w:type="dxa"/>
            <w:tcBorders>
              <w:top w:val="nil"/>
              <w:left w:val="nil"/>
              <w:right w:val="nil"/>
            </w:tcBorders>
            <w:shd w:val="clear" w:color="auto" w:fill="auto"/>
          </w:tcPr>
          <w:p w14:paraId="6945F605" w14:textId="77777777" w:rsidR="00F1041C" w:rsidRPr="002248AA" w:rsidRDefault="00F1041C" w:rsidP="002248AA">
            <w:pPr>
              <w:spacing w:after="120" w:line="276" w:lineRule="auto"/>
              <w:jc w:val="center"/>
              <w:rPr>
                <w:lang w:val="en-US"/>
              </w:rPr>
            </w:pPr>
            <w:r w:rsidRPr="002248AA">
              <w:rPr>
                <w:lang w:val="en-US"/>
              </w:rPr>
              <w:t>-</w:t>
            </w:r>
          </w:p>
        </w:tc>
        <w:tc>
          <w:tcPr>
            <w:tcW w:w="1105" w:type="dxa"/>
            <w:tcBorders>
              <w:top w:val="nil"/>
              <w:left w:val="nil"/>
              <w:right w:val="nil"/>
            </w:tcBorders>
            <w:shd w:val="clear" w:color="auto" w:fill="auto"/>
          </w:tcPr>
          <w:p w14:paraId="3BFBFF73" w14:textId="77777777" w:rsidR="00F1041C" w:rsidRPr="002248AA" w:rsidRDefault="00F1041C" w:rsidP="002248AA">
            <w:pPr>
              <w:spacing w:after="120" w:line="276" w:lineRule="auto"/>
              <w:jc w:val="center"/>
              <w:rPr>
                <w:lang w:val="en-US"/>
              </w:rPr>
            </w:pPr>
            <w:r w:rsidRPr="002248AA">
              <w:rPr>
                <w:lang w:val="en-US"/>
              </w:rPr>
              <w:t>39</w:t>
            </w:r>
          </w:p>
        </w:tc>
        <w:tc>
          <w:tcPr>
            <w:tcW w:w="851" w:type="dxa"/>
            <w:tcBorders>
              <w:top w:val="nil"/>
              <w:left w:val="nil"/>
              <w:right w:val="nil"/>
            </w:tcBorders>
            <w:shd w:val="clear" w:color="auto" w:fill="auto"/>
            <w:tcMar>
              <w:top w:w="15" w:type="dxa"/>
              <w:left w:w="69" w:type="dxa"/>
              <w:bottom w:w="0" w:type="dxa"/>
              <w:right w:w="69" w:type="dxa"/>
            </w:tcMar>
          </w:tcPr>
          <w:p w14:paraId="4D83AC41" w14:textId="77777777" w:rsidR="00F1041C" w:rsidRPr="002248AA" w:rsidRDefault="00F1041C" w:rsidP="002248AA">
            <w:pPr>
              <w:spacing w:after="120" w:line="276" w:lineRule="auto"/>
              <w:jc w:val="center"/>
              <w:rPr>
                <w:lang w:val="en-US"/>
              </w:rPr>
            </w:pPr>
            <w:r w:rsidRPr="002248AA">
              <w:rPr>
                <w:lang w:val="en-US"/>
              </w:rPr>
              <w:t>2.1x</w:t>
            </w:r>
          </w:p>
        </w:tc>
        <w:tc>
          <w:tcPr>
            <w:tcW w:w="724" w:type="dxa"/>
            <w:tcBorders>
              <w:top w:val="nil"/>
              <w:left w:val="nil"/>
              <w:right w:val="nil"/>
            </w:tcBorders>
            <w:shd w:val="clear" w:color="auto" w:fill="auto"/>
          </w:tcPr>
          <w:p w14:paraId="4F740C69" w14:textId="77777777" w:rsidR="00F1041C" w:rsidRPr="002248AA" w:rsidRDefault="00F1041C" w:rsidP="002248AA">
            <w:pPr>
              <w:spacing w:after="120" w:line="276" w:lineRule="auto"/>
              <w:jc w:val="center"/>
              <w:rPr>
                <w:lang w:val="en-US"/>
              </w:rPr>
            </w:pPr>
            <w:r w:rsidRPr="002248AA">
              <w:rPr>
                <w:lang w:val="en-US"/>
              </w:rPr>
              <w:t>2.0x</w:t>
            </w:r>
          </w:p>
        </w:tc>
      </w:tr>
      <w:tr w:rsidR="002248AA" w:rsidRPr="00F1041C" w14:paraId="2AF87B7D" w14:textId="77777777" w:rsidTr="000C581C">
        <w:trPr>
          <w:trHeight w:val="490"/>
        </w:trPr>
        <w:tc>
          <w:tcPr>
            <w:tcW w:w="3349" w:type="dxa"/>
            <w:gridSpan w:val="3"/>
            <w:tcBorders>
              <w:top w:val="single" w:sz="4" w:space="0" w:color="auto"/>
              <w:left w:val="nil"/>
              <w:bottom w:val="single" w:sz="4" w:space="0" w:color="auto"/>
              <w:right w:val="nil"/>
            </w:tcBorders>
            <w:shd w:val="clear" w:color="auto" w:fill="auto"/>
            <w:tcMar>
              <w:top w:w="15" w:type="dxa"/>
              <w:left w:w="137" w:type="dxa"/>
              <w:bottom w:w="0" w:type="dxa"/>
              <w:right w:w="15" w:type="dxa"/>
            </w:tcMar>
          </w:tcPr>
          <w:p w14:paraId="2E16D0C9" w14:textId="2A36FA5E" w:rsidR="002248AA" w:rsidRPr="00F1041C" w:rsidRDefault="002248AA" w:rsidP="002248AA">
            <w:pPr>
              <w:spacing w:after="120" w:line="276" w:lineRule="auto"/>
              <w:rPr>
                <w:rFonts w:eastAsia="Calibri"/>
                <w:color w:val="000000"/>
                <w:lang w:val="en-US"/>
              </w:rPr>
            </w:pPr>
            <w:r w:rsidRPr="00F1041C">
              <w:rPr>
                <w:rFonts w:eastAsia="Calibri"/>
                <w:b/>
                <w:bCs/>
                <w:color w:val="000000"/>
                <w:lang w:val="en-US"/>
              </w:rPr>
              <w:lastRenderedPageBreak/>
              <w:t>Total Realisations</w:t>
            </w:r>
            <w:r w:rsidRPr="00F1041C">
              <w:rPr>
                <w:rFonts w:eastAsia="Calibri"/>
                <w:b/>
                <w:bCs/>
                <w:color w:val="000000"/>
                <w:vertAlign w:val="superscript"/>
                <w:lang w:val="en-US"/>
              </w:rPr>
              <w:t>4</w:t>
            </w:r>
          </w:p>
        </w:tc>
        <w:tc>
          <w:tcPr>
            <w:tcW w:w="1050" w:type="dxa"/>
            <w:tcBorders>
              <w:top w:val="single" w:sz="4" w:space="0" w:color="auto"/>
              <w:left w:val="nil"/>
              <w:bottom w:val="single" w:sz="4" w:space="0" w:color="auto"/>
              <w:right w:val="nil"/>
            </w:tcBorders>
            <w:shd w:val="clear" w:color="auto" w:fill="auto"/>
          </w:tcPr>
          <w:p w14:paraId="3C546D6F" w14:textId="77777777" w:rsidR="002248AA" w:rsidRPr="002248AA" w:rsidRDefault="002248AA" w:rsidP="002248AA">
            <w:pPr>
              <w:spacing w:after="120" w:line="276" w:lineRule="auto"/>
              <w:jc w:val="center"/>
              <w:rPr>
                <w:lang w:val="en-US"/>
              </w:rPr>
            </w:pPr>
            <w:r w:rsidRPr="002248AA">
              <w:rPr>
                <w:b/>
                <w:color w:val="000000"/>
                <w:lang w:val="en-US"/>
              </w:rPr>
              <w:t>$267</w:t>
            </w:r>
          </w:p>
        </w:tc>
        <w:tc>
          <w:tcPr>
            <w:tcW w:w="973"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0DF720EE" w14:textId="77777777" w:rsidR="002248AA" w:rsidRPr="002248AA" w:rsidRDefault="002248AA" w:rsidP="002248AA">
            <w:pPr>
              <w:spacing w:after="120" w:line="276" w:lineRule="auto"/>
              <w:jc w:val="center"/>
              <w:rPr>
                <w:lang w:val="en-US"/>
              </w:rPr>
            </w:pPr>
            <w:r w:rsidRPr="002248AA">
              <w:rPr>
                <w:b/>
                <w:color w:val="000000"/>
                <w:lang w:val="en-US"/>
              </w:rPr>
              <w:t>$267</w:t>
            </w:r>
          </w:p>
        </w:tc>
        <w:tc>
          <w:tcPr>
            <w:tcW w:w="1012"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5CB709A0" w14:textId="77777777" w:rsidR="002248AA" w:rsidRPr="002248AA" w:rsidRDefault="002248AA" w:rsidP="002248AA">
            <w:pPr>
              <w:spacing w:after="120" w:line="276" w:lineRule="auto"/>
              <w:jc w:val="center"/>
              <w:rPr>
                <w:color w:val="000000"/>
                <w:lang w:val="en-US"/>
              </w:rPr>
            </w:pPr>
            <w:r w:rsidRPr="002248AA">
              <w:rPr>
                <w:b/>
                <w:color w:val="000000"/>
                <w:lang w:val="en-US"/>
              </w:rPr>
              <w:t>$558</w:t>
            </w:r>
          </w:p>
        </w:tc>
        <w:tc>
          <w:tcPr>
            <w:tcW w:w="1132" w:type="dxa"/>
            <w:tcBorders>
              <w:top w:val="single" w:sz="4" w:space="0" w:color="auto"/>
              <w:left w:val="nil"/>
              <w:bottom w:val="single" w:sz="4" w:space="0" w:color="auto"/>
              <w:right w:val="nil"/>
            </w:tcBorders>
            <w:shd w:val="clear" w:color="auto" w:fill="auto"/>
          </w:tcPr>
          <w:p w14:paraId="74F91DAE" w14:textId="77777777" w:rsidR="002248AA" w:rsidRPr="00F1041C" w:rsidRDefault="002248AA" w:rsidP="002248AA">
            <w:pPr>
              <w:spacing w:after="120" w:line="276" w:lineRule="auto"/>
              <w:jc w:val="center"/>
              <w:rPr>
                <w:rFonts w:eastAsia="Calibri"/>
                <w:b/>
                <w:lang w:val="en-US"/>
              </w:rPr>
            </w:pPr>
            <w:r w:rsidRPr="002248AA">
              <w:rPr>
                <w:b/>
                <w:lang w:val="en-US"/>
              </w:rPr>
              <w:t>$6</w:t>
            </w:r>
          </w:p>
        </w:tc>
        <w:tc>
          <w:tcPr>
            <w:tcW w:w="1105" w:type="dxa"/>
            <w:tcBorders>
              <w:top w:val="single" w:sz="4" w:space="0" w:color="auto"/>
              <w:left w:val="nil"/>
              <w:bottom w:val="single" w:sz="4" w:space="0" w:color="auto"/>
              <w:right w:val="nil"/>
            </w:tcBorders>
            <w:shd w:val="clear" w:color="auto" w:fill="auto"/>
          </w:tcPr>
          <w:p w14:paraId="13F4A542" w14:textId="1A2FA2F8" w:rsidR="002248AA" w:rsidRPr="002248AA" w:rsidRDefault="002248AA" w:rsidP="002248AA">
            <w:pPr>
              <w:spacing w:after="120" w:line="276" w:lineRule="auto"/>
              <w:jc w:val="center"/>
              <w:rPr>
                <w:lang w:val="en-US"/>
              </w:rPr>
            </w:pPr>
            <w:r w:rsidRPr="002248AA">
              <w:rPr>
                <w:b/>
                <w:color w:val="000000"/>
                <w:lang w:val="en-US"/>
              </w:rPr>
              <w:t>$</w:t>
            </w:r>
            <w:r w:rsidRPr="00F1041C">
              <w:rPr>
                <w:rFonts w:eastAsia="Calibri"/>
                <w:b/>
                <w:color w:val="000000"/>
                <w:lang w:val="en-US"/>
              </w:rPr>
              <w:t>565</w:t>
            </w:r>
          </w:p>
        </w:tc>
        <w:tc>
          <w:tcPr>
            <w:tcW w:w="851"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2B7490FF" w14:textId="77777777" w:rsidR="002248AA" w:rsidRPr="002248AA" w:rsidRDefault="002248AA" w:rsidP="002248AA">
            <w:pPr>
              <w:spacing w:after="120" w:line="276" w:lineRule="auto"/>
              <w:jc w:val="center"/>
              <w:rPr>
                <w:lang w:val="en-US"/>
              </w:rPr>
            </w:pPr>
            <w:r w:rsidRPr="002248AA">
              <w:rPr>
                <w:b/>
                <w:color w:val="000000"/>
                <w:lang w:val="en-US"/>
              </w:rPr>
              <w:t>2.1x</w:t>
            </w:r>
          </w:p>
        </w:tc>
        <w:tc>
          <w:tcPr>
            <w:tcW w:w="724" w:type="dxa"/>
            <w:tcBorders>
              <w:top w:val="single" w:sz="4" w:space="0" w:color="auto"/>
              <w:bottom w:val="single" w:sz="4" w:space="0" w:color="auto"/>
            </w:tcBorders>
            <w:shd w:val="clear" w:color="auto" w:fill="auto"/>
          </w:tcPr>
          <w:p w14:paraId="31EB4D12" w14:textId="77777777" w:rsidR="002248AA" w:rsidRPr="002248AA" w:rsidRDefault="002248AA" w:rsidP="002248AA">
            <w:pPr>
              <w:spacing w:after="120" w:line="276" w:lineRule="auto"/>
              <w:jc w:val="center"/>
              <w:rPr>
                <w:lang w:val="en-US"/>
              </w:rPr>
            </w:pPr>
            <w:r w:rsidRPr="002248AA">
              <w:rPr>
                <w:b/>
                <w:color w:val="000000"/>
                <w:lang w:val="en-US"/>
              </w:rPr>
              <w:t>2.1x</w:t>
            </w:r>
          </w:p>
        </w:tc>
      </w:tr>
      <w:tr w:rsidR="002248AA" w:rsidRPr="00F1041C" w14:paraId="73FFD49B" w14:textId="77777777" w:rsidTr="000C581C">
        <w:trPr>
          <w:trHeight w:val="490"/>
        </w:trPr>
        <w:tc>
          <w:tcPr>
            <w:tcW w:w="3349" w:type="dxa"/>
            <w:gridSpan w:val="3"/>
            <w:tcBorders>
              <w:top w:val="single" w:sz="4" w:space="0" w:color="auto"/>
              <w:left w:val="nil"/>
              <w:bottom w:val="single" w:sz="4" w:space="0" w:color="auto"/>
              <w:right w:val="nil"/>
            </w:tcBorders>
            <w:shd w:val="clear" w:color="auto" w:fill="auto"/>
            <w:tcMar>
              <w:top w:w="15" w:type="dxa"/>
              <w:left w:w="137" w:type="dxa"/>
              <w:bottom w:w="0" w:type="dxa"/>
              <w:right w:w="15" w:type="dxa"/>
            </w:tcMar>
          </w:tcPr>
          <w:p w14:paraId="69EDEDBD" w14:textId="7E6F66C8" w:rsidR="002248AA" w:rsidRPr="002248AA" w:rsidRDefault="002248AA" w:rsidP="002248AA">
            <w:pPr>
              <w:spacing w:after="120" w:line="276" w:lineRule="auto"/>
              <w:rPr>
                <w:lang w:val="en-US"/>
              </w:rPr>
            </w:pPr>
            <w:r w:rsidRPr="002248AA">
              <w:rPr>
                <w:lang w:val="en-US"/>
              </w:rPr>
              <w:t>Withdrawn Commitments and Impairments</w:t>
            </w:r>
            <w:r w:rsidRPr="00F1041C">
              <w:rPr>
                <w:rFonts w:eastAsia="Calibri"/>
                <w:vertAlign w:val="superscript"/>
                <w:lang w:val="en-US"/>
              </w:rPr>
              <w:endnoteReference w:customMarkFollows="1" w:id="7"/>
              <w:t>7</w:t>
            </w:r>
          </w:p>
        </w:tc>
        <w:tc>
          <w:tcPr>
            <w:tcW w:w="1050" w:type="dxa"/>
            <w:tcBorders>
              <w:top w:val="single" w:sz="4" w:space="0" w:color="auto"/>
              <w:left w:val="nil"/>
              <w:bottom w:val="single" w:sz="4" w:space="0" w:color="auto"/>
              <w:right w:val="nil"/>
            </w:tcBorders>
            <w:shd w:val="clear" w:color="auto" w:fill="auto"/>
          </w:tcPr>
          <w:p w14:paraId="67C65D2D" w14:textId="77777777" w:rsidR="002248AA" w:rsidRPr="00F1041C" w:rsidRDefault="002248AA" w:rsidP="002248AA">
            <w:pPr>
              <w:spacing w:after="120" w:line="276" w:lineRule="auto"/>
              <w:jc w:val="center"/>
              <w:rPr>
                <w:rFonts w:eastAsia="Calibri"/>
                <w:lang w:val="en-US"/>
              </w:rPr>
            </w:pPr>
            <w:r w:rsidRPr="002248AA">
              <w:rPr>
                <w:lang w:val="en-US"/>
              </w:rPr>
              <w:t>121</w:t>
            </w:r>
          </w:p>
        </w:tc>
        <w:tc>
          <w:tcPr>
            <w:tcW w:w="973"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3FF1684E" w14:textId="77777777" w:rsidR="002248AA" w:rsidRPr="00F1041C" w:rsidRDefault="002248AA" w:rsidP="002248AA">
            <w:pPr>
              <w:spacing w:after="120" w:line="276" w:lineRule="auto"/>
              <w:jc w:val="center"/>
              <w:rPr>
                <w:rFonts w:eastAsia="Calibri"/>
                <w:lang w:val="en-US"/>
              </w:rPr>
            </w:pPr>
            <w:r w:rsidRPr="002248AA">
              <w:rPr>
                <w:lang w:val="en-US"/>
              </w:rPr>
              <w:t>121</w:t>
            </w:r>
          </w:p>
        </w:tc>
        <w:tc>
          <w:tcPr>
            <w:tcW w:w="1012"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2B3B53D3" w14:textId="77777777" w:rsidR="002248AA" w:rsidRPr="00F1041C" w:rsidRDefault="002248AA" w:rsidP="002248AA">
            <w:pPr>
              <w:spacing w:after="120" w:line="276" w:lineRule="auto"/>
              <w:jc w:val="center"/>
              <w:rPr>
                <w:rFonts w:eastAsia="Calibri"/>
                <w:color w:val="000000"/>
                <w:lang w:val="en-US"/>
              </w:rPr>
            </w:pPr>
            <w:r w:rsidRPr="002248AA">
              <w:rPr>
                <w:color w:val="000000"/>
                <w:lang w:val="en-US"/>
              </w:rPr>
              <w:t>1</w:t>
            </w:r>
          </w:p>
        </w:tc>
        <w:tc>
          <w:tcPr>
            <w:tcW w:w="1132" w:type="dxa"/>
            <w:tcBorders>
              <w:top w:val="single" w:sz="4" w:space="0" w:color="auto"/>
              <w:left w:val="nil"/>
              <w:bottom w:val="single" w:sz="4" w:space="0" w:color="auto"/>
              <w:right w:val="nil"/>
            </w:tcBorders>
            <w:shd w:val="clear" w:color="auto" w:fill="auto"/>
          </w:tcPr>
          <w:p w14:paraId="1E0B972D" w14:textId="77777777" w:rsidR="002248AA" w:rsidRPr="00F1041C" w:rsidRDefault="002248AA" w:rsidP="002248AA">
            <w:pPr>
              <w:spacing w:after="120" w:line="276" w:lineRule="auto"/>
              <w:jc w:val="center"/>
              <w:rPr>
                <w:rFonts w:eastAsia="Calibri"/>
                <w:lang w:val="en-US"/>
              </w:rPr>
            </w:pPr>
            <w:r w:rsidRPr="002248AA">
              <w:rPr>
                <w:lang w:val="en-US"/>
              </w:rPr>
              <w:t>-</w:t>
            </w:r>
          </w:p>
        </w:tc>
        <w:tc>
          <w:tcPr>
            <w:tcW w:w="1105" w:type="dxa"/>
            <w:tcBorders>
              <w:top w:val="single" w:sz="4" w:space="0" w:color="auto"/>
              <w:left w:val="nil"/>
              <w:bottom w:val="single" w:sz="4" w:space="0" w:color="auto"/>
              <w:right w:val="nil"/>
            </w:tcBorders>
            <w:shd w:val="clear" w:color="auto" w:fill="auto"/>
          </w:tcPr>
          <w:p w14:paraId="3DB364CD" w14:textId="77777777" w:rsidR="002248AA" w:rsidRPr="00F1041C" w:rsidRDefault="002248AA" w:rsidP="002248AA">
            <w:pPr>
              <w:spacing w:after="120" w:line="276" w:lineRule="auto"/>
              <w:jc w:val="center"/>
              <w:rPr>
                <w:rFonts w:eastAsia="Calibri"/>
                <w:lang w:val="en-US"/>
              </w:rPr>
            </w:pPr>
            <w:r w:rsidRPr="002248AA">
              <w:rPr>
                <w:lang w:val="en-US"/>
              </w:rPr>
              <w:t>1</w:t>
            </w:r>
          </w:p>
        </w:tc>
        <w:tc>
          <w:tcPr>
            <w:tcW w:w="851"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262EE2F1" w14:textId="77777777" w:rsidR="002248AA" w:rsidRPr="00F1041C" w:rsidRDefault="002248AA" w:rsidP="002248AA">
            <w:pPr>
              <w:spacing w:after="120" w:line="276" w:lineRule="auto"/>
              <w:jc w:val="center"/>
              <w:rPr>
                <w:rFonts w:eastAsia="Calibri"/>
                <w:lang w:val="en-US"/>
              </w:rPr>
            </w:pPr>
            <w:r w:rsidRPr="002248AA">
              <w:rPr>
                <w:lang w:val="en-US"/>
              </w:rPr>
              <w:t>0.0x</w:t>
            </w:r>
          </w:p>
        </w:tc>
        <w:tc>
          <w:tcPr>
            <w:tcW w:w="724" w:type="dxa"/>
            <w:tcBorders>
              <w:top w:val="single" w:sz="4" w:space="0" w:color="auto"/>
              <w:left w:val="nil"/>
              <w:bottom w:val="single" w:sz="4" w:space="0" w:color="auto"/>
              <w:right w:val="nil"/>
            </w:tcBorders>
            <w:shd w:val="clear" w:color="auto" w:fill="auto"/>
          </w:tcPr>
          <w:p w14:paraId="6FC5028D" w14:textId="77777777" w:rsidR="002248AA" w:rsidRPr="002248AA" w:rsidRDefault="002248AA" w:rsidP="002248AA">
            <w:pPr>
              <w:spacing w:after="120" w:line="276" w:lineRule="auto"/>
              <w:jc w:val="center"/>
              <w:rPr>
                <w:lang w:val="en-US"/>
              </w:rPr>
            </w:pPr>
            <w:r w:rsidRPr="002248AA">
              <w:rPr>
                <w:lang w:val="en-US"/>
              </w:rPr>
              <w:t>0.0x</w:t>
            </w:r>
          </w:p>
        </w:tc>
      </w:tr>
      <w:tr w:rsidR="002248AA" w:rsidRPr="00F1041C" w14:paraId="022874EB" w14:textId="77777777" w:rsidTr="000C581C">
        <w:trPr>
          <w:trHeight w:val="490"/>
        </w:trPr>
        <w:tc>
          <w:tcPr>
            <w:tcW w:w="3349" w:type="dxa"/>
            <w:gridSpan w:val="3"/>
            <w:tcBorders>
              <w:top w:val="single" w:sz="4" w:space="0" w:color="auto"/>
              <w:left w:val="nil"/>
              <w:bottom w:val="single" w:sz="4" w:space="0" w:color="auto"/>
              <w:right w:val="nil"/>
            </w:tcBorders>
            <w:shd w:val="clear" w:color="auto" w:fill="auto"/>
            <w:tcMar>
              <w:top w:w="15" w:type="dxa"/>
              <w:left w:w="137" w:type="dxa"/>
              <w:bottom w:w="0" w:type="dxa"/>
              <w:right w:w="15" w:type="dxa"/>
            </w:tcMar>
          </w:tcPr>
          <w:p w14:paraId="1F706936" w14:textId="76622EA2" w:rsidR="002248AA" w:rsidRPr="002248AA" w:rsidRDefault="002248AA" w:rsidP="002248AA">
            <w:pPr>
              <w:spacing w:after="120" w:line="276" w:lineRule="auto"/>
              <w:rPr>
                <w:color w:val="000000"/>
                <w:lang w:val="en-US"/>
              </w:rPr>
            </w:pPr>
            <w:r w:rsidRPr="00F1041C">
              <w:rPr>
                <w:rFonts w:eastAsia="Calibri"/>
                <w:b/>
                <w:bCs/>
                <w:color w:val="000000"/>
                <w:lang w:val="en-US"/>
              </w:rPr>
              <w:t>Total Investments</w:t>
            </w:r>
            <w:r w:rsidRPr="00F1041C">
              <w:rPr>
                <w:rFonts w:eastAsia="Calibri"/>
                <w:b/>
                <w:bCs/>
                <w:color w:val="000000"/>
                <w:vertAlign w:val="superscript"/>
                <w:lang w:val="en-US"/>
              </w:rPr>
              <w:t>4</w:t>
            </w:r>
          </w:p>
        </w:tc>
        <w:tc>
          <w:tcPr>
            <w:tcW w:w="1050" w:type="dxa"/>
            <w:tcBorders>
              <w:top w:val="single" w:sz="4" w:space="0" w:color="auto"/>
              <w:left w:val="nil"/>
              <w:bottom w:val="single" w:sz="4" w:space="0" w:color="auto"/>
              <w:right w:val="nil"/>
            </w:tcBorders>
            <w:shd w:val="clear" w:color="auto" w:fill="auto"/>
          </w:tcPr>
          <w:p w14:paraId="3680F471" w14:textId="77777777" w:rsidR="002248AA" w:rsidRPr="002248AA" w:rsidRDefault="002248AA" w:rsidP="002248AA">
            <w:pPr>
              <w:spacing w:after="120" w:line="276" w:lineRule="auto"/>
              <w:jc w:val="center"/>
              <w:rPr>
                <w:lang w:val="en-US"/>
              </w:rPr>
            </w:pPr>
            <w:r w:rsidRPr="002248AA">
              <w:rPr>
                <w:b/>
                <w:color w:val="000000"/>
                <w:lang w:val="en-US"/>
              </w:rPr>
              <w:t>$1,952</w:t>
            </w:r>
          </w:p>
        </w:tc>
        <w:tc>
          <w:tcPr>
            <w:tcW w:w="973"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0C2E52E5" w14:textId="77777777" w:rsidR="002248AA" w:rsidRPr="002248AA" w:rsidRDefault="002248AA" w:rsidP="002248AA">
            <w:pPr>
              <w:spacing w:after="120" w:line="276" w:lineRule="auto"/>
              <w:jc w:val="center"/>
              <w:rPr>
                <w:lang w:val="en-US"/>
              </w:rPr>
            </w:pPr>
            <w:r w:rsidRPr="002248AA">
              <w:rPr>
                <w:b/>
                <w:color w:val="000000"/>
                <w:lang w:val="en-US"/>
              </w:rPr>
              <w:t>$1,739</w:t>
            </w:r>
          </w:p>
        </w:tc>
        <w:tc>
          <w:tcPr>
            <w:tcW w:w="1012"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682EC560" w14:textId="3D899DF0" w:rsidR="002248AA" w:rsidRPr="002248AA" w:rsidRDefault="002248AA" w:rsidP="002248AA">
            <w:pPr>
              <w:spacing w:after="120" w:line="276" w:lineRule="auto"/>
              <w:jc w:val="center"/>
              <w:rPr>
                <w:color w:val="000000"/>
                <w:lang w:val="en-US"/>
              </w:rPr>
            </w:pPr>
            <w:r w:rsidRPr="002248AA">
              <w:rPr>
                <w:b/>
                <w:color w:val="000000"/>
                <w:lang w:val="en-US"/>
              </w:rPr>
              <w:t>$</w:t>
            </w:r>
            <w:r w:rsidRPr="00F1041C">
              <w:rPr>
                <w:rFonts w:eastAsia="Calibri"/>
                <w:b/>
                <w:color w:val="000000"/>
                <w:lang w:val="en-US"/>
              </w:rPr>
              <w:t>892</w:t>
            </w:r>
          </w:p>
        </w:tc>
        <w:tc>
          <w:tcPr>
            <w:tcW w:w="1132" w:type="dxa"/>
            <w:tcBorders>
              <w:top w:val="single" w:sz="4" w:space="0" w:color="auto"/>
              <w:left w:val="nil"/>
              <w:bottom w:val="single" w:sz="4" w:space="0" w:color="auto"/>
              <w:right w:val="nil"/>
            </w:tcBorders>
            <w:shd w:val="clear" w:color="auto" w:fill="auto"/>
          </w:tcPr>
          <w:p w14:paraId="6556D7D4" w14:textId="49491EC1" w:rsidR="002248AA" w:rsidRPr="00F1041C" w:rsidRDefault="002248AA" w:rsidP="002248AA">
            <w:pPr>
              <w:spacing w:after="120" w:line="276" w:lineRule="auto"/>
              <w:jc w:val="center"/>
              <w:rPr>
                <w:rFonts w:eastAsia="Calibri"/>
                <w:b/>
                <w:lang w:val="en-US"/>
              </w:rPr>
            </w:pPr>
            <w:r w:rsidRPr="002248AA">
              <w:rPr>
                <w:b/>
                <w:lang w:val="en-US"/>
              </w:rPr>
              <w:t>$</w:t>
            </w:r>
            <w:r w:rsidRPr="00F1041C">
              <w:rPr>
                <w:rFonts w:eastAsia="Calibri"/>
                <w:b/>
                <w:lang w:val="en-US"/>
              </w:rPr>
              <w:t>593</w:t>
            </w:r>
          </w:p>
        </w:tc>
        <w:tc>
          <w:tcPr>
            <w:tcW w:w="1105" w:type="dxa"/>
            <w:tcBorders>
              <w:top w:val="single" w:sz="4" w:space="0" w:color="auto"/>
              <w:left w:val="nil"/>
              <w:bottom w:val="single" w:sz="4" w:space="0" w:color="auto"/>
              <w:right w:val="nil"/>
            </w:tcBorders>
            <w:shd w:val="clear" w:color="auto" w:fill="auto"/>
          </w:tcPr>
          <w:p w14:paraId="4FA2C5B1" w14:textId="152DBE9D" w:rsidR="002248AA" w:rsidRPr="002248AA" w:rsidRDefault="002248AA" w:rsidP="002248AA">
            <w:pPr>
              <w:spacing w:after="120" w:line="276" w:lineRule="auto"/>
              <w:jc w:val="center"/>
              <w:rPr>
                <w:lang w:val="en-US"/>
              </w:rPr>
            </w:pPr>
            <w:r w:rsidRPr="002248AA">
              <w:rPr>
                <w:b/>
                <w:color w:val="000000"/>
                <w:lang w:val="en-US"/>
              </w:rPr>
              <w:t>$1,</w:t>
            </w:r>
            <w:r w:rsidRPr="00F1041C">
              <w:rPr>
                <w:rFonts w:eastAsia="Calibri"/>
                <w:b/>
                <w:color w:val="000000"/>
                <w:lang w:val="en-US"/>
              </w:rPr>
              <w:t>485</w:t>
            </w:r>
          </w:p>
        </w:tc>
        <w:tc>
          <w:tcPr>
            <w:tcW w:w="851"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328703CC" w14:textId="77777777" w:rsidR="002248AA" w:rsidRPr="002248AA" w:rsidRDefault="002248AA" w:rsidP="002248AA">
            <w:pPr>
              <w:spacing w:after="120" w:line="276" w:lineRule="auto"/>
              <w:jc w:val="center"/>
              <w:rPr>
                <w:lang w:val="en-US"/>
              </w:rPr>
            </w:pPr>
            <w:r w:rsidRPr="002248AA">
              <w:rPr>
                <w:b/>
                <w:color w:val="000000"/>
                <w:lang w:val="en-US"/>
              </w:rPr>
              <w:t>0.9x</w:t>
            </w:r>
          </w:p>
        </w:tc>
        <w:tc>
          <w:tcPr>
            <w:tcW w:w="724" w:type="dxa"/>
            <w:tcBorders>
              <w:top w:val="single" w:sz="4" w:space="0" w:color="auto"/>
              <w:bottom w:val="single" w:sz="4" w:space="0" w:color="auto"/>
            </w:tcBorders>
            <w:shd w:val="clear" w:color="auto" w:fill="auto"/>
          </w:tcPr>
          <w:p w14:paraId="00A9838D" w14:textId="77777777" w:rsidR="002248AA" w:rsidRPr="002248AA" w:rsidRDefault="002248AA" w:rsidP="002248AA">
            <w:pPr>
              <w:spacing w:after="120" w:line="276" w:lineRule="auto"/>
              <w:jc w:val="center"/>
              <w:rPr>
                <w:lang w:val="en-US"/>
              </w:rPr>
            </w:pPr>
            <w:r w:rsidRPr="002248AA">
              <w:rPr>
                <w:b/>
                <w:color w:val="000000"/>
                <w:lang w:val="en-US"/>
              </w:rPr>
              <w:t>1.3x</w:t>
            </w:r>
          </w:p>
        </w:tc>
      </w:tr>
      <w:tr w:rsidR="002248AA" w:rsidRPr="00F1041C" w14:paraId="53DEEA05" w14:textId="77777777" w:rsidTr="000C581C">
        <w:trPr>
          <w:trHeight w:val="541"/>
        </w:trPr>
        <w:tc>
          <w:tcPr>
            <w:tcW w:w="3349" w:type="dxa"/>
            <w:gridSpan w:val="3"/>
            <w:tcBorders>
              <w:top w:val="single" w:sz="4" w:space="0" w:color="auto"/>
              <w:left w:val="nil"/>
              <w:bottom w:val="single" w:sz="4" w:space="0" w:color="auto"/>
              <w:right w:val="nil"/>
            </w:tcBorders>
            <w:shd w:val="clear" w:color="auto" w:fill="auto"/>
            <w:tcMar>
              <w:top w:w="15" w:type="dxa"/>
              <w:left w:w="137" w:type="dxa"/>
              <w:bottom w:w="0" w:type="dxa"/>
              <w:right w:w="15" w:type="dxa"/>
            </w:tcMar>
          </w:tcPr>
          <w:p w14:paraId="44EB25E2" w14:textId="15C3E14A" w:rsidR="002248AA" w:rsidRPr="00F1041C" w:rsidRDefault="002248AA" w:rsidP="002248AA">
            <w:pPr>
              <w:spacing w:after="120" w:line="276" w:lineRule="auto"/>
              <w:rPr>
                <w:rFonts w:eastAsia="Calibri"/>
                <w:b/>
                <w:bCs/>
                <w:color w:val="000000"/>
                <w:lang w:val="en-US"/>
              </w:rPr>
            </w:pPr>
            <w:r w:rsidRPr="00F1041C">
              <w:rPr>
                <w:rFonts w:eastAsia="Calibri"/>
                <w:b/>
                <w:bCs/>
                <w:color w:val="000000"/>
                <w:lang w:val="en-US"/>
              </w:rPr>
              <w:t>Cash and Cash Equivalents</w:t>
            </w:r>
            <w:r w:rsidR="005F13F7" w:rsidRPr="005F13F7">
              <w:rPr>
                <w:rFonts w:eastAsia="Calibri"/>
                <w:b/>
                <w:bCs/>
                <w:color w:val="000000"/>
                <w:vertAlign w:val="superscript"/>
                <w:lang w:val="en-US"/>
              </w:rPr>
              <w:t>8</w:t>
            </w:r>
          </w:p>
        </w:tc>
        <w:tc>
          <w:tcPr>
            <w:tcW w:w="1050" w:type="dxa"/>
            <w:tcBorders>
              <w:top w:val="single" w:sz="4" w:space="0" w:color="auto"/>
              <w:left w:val="nil"/>
              <w:bottom w:val="single" w:sz="4" w:space="0" w:color="auto"/>
              <w:right w:val="nil"/>
            </w:tcBorders>
            <w:shd w:val="clear" w:color="auto" w:fill="auto"/>
          </w:tcPr>
          <w:p w14:paraId="0C19262C" w14:textId="77777777" w:rsidR="002248AA" w:rsidRPr="00F1041C" w:rsidRDefault="002248AA" w:rsidP="002248AA">
            <w:pPr>
              <w:spacing w:after="120" w:line="276" w:lineRule="auto"/>
              <w:jc w:val="center"/>
              <w:rPr>
                <w:rFonts w:eastAsia="Calibri"/>
                <w:b/>
                <w:color w:val="000000"/>
                <w:lang w:val="en-US"/>
              </w:rPr>
            </w:pPr>
          </w:p>
        </w:tc>
        <w:tc>
          <w:tcPr>
            <w:tcW w:w="973"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3BDA1C02" w14:textId="77777777" w:rsidR="002248AA" w:rsidRPr="00F1041C" w:rsidRDefault="002248AA" w:rsidP="002248AA">
            <w:pPr>
              <w:spacing w:after="120" w:line="276" w:lineRule="auto"/>
              <w:jc w:val="center"/>
              <w:rPr>
                <w:rFonts w:eastAsia="Calibri"/>
                <w:b/>
                <w:color w:val="000000"/>
                <w:lang w:val="en-US"/>
              </w:rPr>
            </w:pPr>
          </w:p>
        </w:tc>
        <w:tc>
          <w:tcPr>
            <w:tcW w:w="1012"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39715125" w14:textId="77777777" w:rsidR="002248AA" w:rsidRPr="002248AA" w:rsidRDefault="002248AA" w:rsidP="002248AA">
            <w:pPr>
              <w:spacing w:after="120" w:line="276" w:lineRule="auto"/>
              <w:jc w:val="center"/>
              <w:rPr>
                <w:b/>
                <w:lang w:val="en-US"/>
              </w:rPr>
            </w:pPr>
          </w:p>
        </w:tc>
        <w:tc>
          <w:tcPr>
            <w:tcW w:w="1132" w:type="dxa"/>
            <w:tcBorders>
              <w:top w:val="single" w:sz="4" w:space="0" w:color="auto"/>
              <w:left w:val="nil"/>
              <w:bottom w:val="single" w:sz="4" w:space="0" w:color="auto"/>
              <w:right w:val="nil"/>
            </w:tcBorders>
            <w:shd w:val="clear" w:color="auto" w:fill="auto"/>
          </w:tcPr>
          <w:p w14:paraId="4B42B8CE" w14:textId="77777777" w:rsidR="002248AA" w:rsidRPr="002248AA" w:rsidRDefault="002248AA" w:rsidP="002248AA">
            <w:pPr>
              <w:spacing w:after="120" w:line="276" w:lineRule="auto"/>
              <w:jc w:val="center"/>
              <w:rPr>
                <w:b/>
                <w:lang w:val="en-US"/>
              </w:rPr>
            </w:pPr>
            <w:r w:rsidRPr="00F1041C">
              <w:rPr>
                <w:rFonts w:eastAsia="Calibri"/>
                <w:b/>
                <w:color w:val="000000"/>
                <w:lang w:val="en-US"/>
              </w:rPr>
              <w:t>$183</w:t>
            </w:r>
          </w:p>
        </w:tc>
        <w:tc>
          <w:tcPr>
            <w:tcW w:w="1105" w:type="dxa"/>
            <w:tcBorders>
              <w:top w:val="single" w:sz="4" w:space="0" w:color="auto"/>
              <w:left w:val="nil"/>
              <w:bottom w:val="single" w:sz="4" w:space="0" w:color="auto"/>
              <w:right w:val="nil"/>
            </w:tcBorders>
            <w:shd w:val="clear" w:color="auto" w:fill="auto"/>
          </w:tcPr>
          <w:p w14:paraId="59B891CC" w14:textId="77777777" w:rsidR="002248AA" w:rsidRPr="002248AA" w:rsidRDefault="002248AA" w:rsidP="002248AA">
            <w:pPr>
              <w:spacing w:after="120" w:line="276" w:lineRule="auto"/>
              <w:jc w:val="center"/>
              <w:rPr>
                <w:b/>
                <w:color w:val="000000"/>
                <w:lang w:val="en-US"/>
              </w:rPr>
            </w:pPr>
          </w:p>
        </w:tc>
        <w:tc>
          <w:tcPr>
            <w:tcW w:w="851"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18BE2C95" w14:textId="002CB23B" w:rsidR="002248AA" w:rsidRPr="002248AA" w:rsidRDefault="002248AA" w:rsidP="002248AA">
            <w:pPr>
              <w:spacing w:after="120" w:line="276" w:lineRule="auto"/>
              <w:jc w:val="center"/>
              <w:rPr>
                <w:b/>
                <w:color w:val="000000"/>
                <w:lang w:val="en-US"/>
              </w:rPr>
            </w:pPr>
          </w:p>
        </w:tc>
        <w:tc>
          <w:tcPr>
            <w:tcW w:w="724" w:type="dxa"/>
            <w:tcBorders>
              <w:top w:val="single" w:sz="4" w:space="0" w:color="auto"/>
              <w:bottom w:val="single" w:sz="4" w:space="0" w:color="auto"/>
            </w:tcBorders>
            <w:shd w:val="clear" w:color="auto" w:fill="auto"/>
          </w:tcPr>
          <w:p w14:paraId="52C11211" w14:textId="77777777" w:rsidR="002248AA" w:rsidRPr="002248AA" w:rsidRDefault="002248AA" w:rsidP="002248AA">
            <w:pPr>
              <w:spacing w:after="120" w:line="276" w:lineRule="auto"/>
              <w:jc w:val="center"/>
              <w:rPr>
                <w:b/>
                <w:color w:val="000000"/>
                <w:lang w:val="en-US"/>
              </w:rPr>
            </w:pPr>
          </w:p>
        </w:tc>
      </w:tr>
      <w:tr w:rsidR="002248AA" w:rsidRPr="00F1041C" w14:paraId="42F64214" w14:textId="77777777" w:rsidTr="000C581C">
        <w:trPr>
          <w:trHeight w:val="350"/>
        </w:trPr>
        <w:tc>
          <w:tcPr>
            <w:tcW w:w="3349" w:type="dxa"/>
            <w:gridSpan w:val="3"/>
            <w:tcBorders>
              <w:top w:val="single" w:sz="4" w:space="0" w:color="auto"/>
              <w:left w:val="nil"/>
              <w:bottom w:val="single" w:sz="4" w:space="0" w:color="auto"/>
              <w:right w:val="nil"/>
            </w:tcBorders>
            <w:shd w:val="clear" w:color="auto" w:fill="auto"/>
            <w:tcMar>
              <w:top w:w="15" w:type="dxa"/>
              <w:left w:w="137" w:type="dxa"/>
              <w:bottom w:w="0" w:type="dxa"/>
              <w:right w:w="15" w:type="dxa"/>
            </w:tcMar>
          </w:tcPr>
          <w:p w14:paraId="22893AE1" w14:textId="423A77FC" w:rsidR="002248AA" w:rsidRPr="00F1041C" w:rsidRDefault="002248AA" w:rsidP="002248AA">
            <w:pPr>
              <w:spacing w:after="120" w:line="276" w:lineRule="auto"/>
              <w:rPr>
                <w:rFonts w:eastAsia="Calibri"/>
                <w:b/>
                <w:bCs/>
                <w:color w:val="000000"/>
                <w:lang w:val="en-US"/>
              </w:rPr>
            </w:pPr>
            <w:r w:rsidRPr="00F1041C">
              <w:rPr>
                <w:rFonts w:eastAsia="Calibri"/>
                <w:b/>
                <w:bCs/>
                <w:color w:val="000000"/>
                <w:lang w:val="en-US"/>
              </w:rPr>
              <w:t>Total Investments &amp; Cash and Cash Equivalents</w:t>
            </w:r>
            <w:r w:rsidRPr="00F1041C">
              <w:rPr>
                <w:rFonts w:eastAsia="Calibri"/>
                <w:b/>
                <w:bCs/>
                <w:color w:val="000000"/>
                <w:vertAlign w:val="superscript"/>
                <w:lang w:val="en-US"/>
              </w:rPr>
              <w:t>4</w:t>
            </w:r>
          </w:p>
        </w:tc>
        <w:tc>
          <w:tcPr>
            <w:tcW w:w="1050" w:type="dxa"/>
            <w:tcBorders>
              <w:top w:val="single" w:sz="4" w:space="0" w:color="auto"/>
              <w:left w:val="nil"/>
              <w:bottom w:val="single" w:sz="4" w:space="0" w:color="auto"/>
              <w:right w:val="nil"/>
            </w:tcBorders>
            <w:shd w:val="clear" w:color="auto" w:fill="auto"/>
          </w:tcPr>
          <w:p w14:paraId="05A4927F" w14:textId="77777777" w:rsidR="002248AA" w:rsidRPr="00F1041C" w:rsidRDefault="002248AA" w:rsidP="002248AA">
            <w:pPr>
              <w:spacing w:after="120" w:line="276" w:lineRule="auto"/>
              <w:jc w:val="center"/>
              <w:rPr>
                <w:rFonts w:eastAsia="Calibri"/>
                <w:b/>
                <w:color w:val="000000"/>
                <w:lang w:val="en-US"/>
              </w:rPr>
            </w:pPr>
          </w:p>
        </w:tc>
        <w:tc>
          <w:tcPr>
            <w:tcW w:w="973"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1594D3ED" w14:textId="77777777" w:rsidR="002248AA" w:rsidRPr="00F1041C" w:rsidRDefault="002248AA" w:rsidP="002248AA">
            <w:pPr>
              <w:spacing w:after="120" w:line="276" w:lineRule="auto"/>
              <w:jc w:val="center"/>
              <w:rPr>
                <w:rFonts w:eastAsia="Calibri"/>
                <w:b/>
                <w:color w:val="000000"/>
                <w:lang w:val="en-US"/>
              </w:rPr>
            </w:pPr>
          </w:p>
        </w:tc>
        <w:tc>
          <w:tcPr>
            <w:tcW w:w="1012"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0992F102" w14:textId="77777777" w:rsidR="002248AA" w:rsidRPr="002248AA" w:rsidRDefault="002248AA" w:rsidP="002248AA">
            <w:pPr>
              <w:spacing w:after="120" w:line="276" w:lineRule="auto"/>
              <w:jc w:val="center"/>
              <w:rPr>
                <w:b/>
                <w:lang w:val="en-US"/>
              </w:rPr>
            </w:pPr>
          </w:p>
        </w:tc>
        <w:tc>
          <w:tcPr>
            <w:tcW w:w="1132" w:type="dxa"/>
            <w:tcBorders>
              <w:top w:val="single" w:sz="4" w:space="0" w:color="auto"/>
              <w:left w:val="nil"/>
              <w:bottom w:val="single" w:sz="4" w:space="0" w:color="auto"/>
              <w:right w:val="nil"/>
            </w:tcBorders>
            <w:shd w:val="clear" w:color="auto" w:fill="auto"/>
          </w:tcPr>
          <w:p w14:paraId="65349F42" w14:textId="77777777" w:rsidR="002248AA" w:rsidRPr="002248AA" w:rsidRDefault="002248AA" w:rsidP="002248AA">
            <w:pPr>
              <w:spacing w:after="120" w:line="276" w:lineRule="auto"/>
              <w:jc w:val="center"/>
              <w:rPr>
                <w:b/>
                <w:lang w:val="en-US"/>
              </w:rPr>
            </w:pPr>
            <w:r w:rsidRPr="00F1041C">
              <w:rPr>
                <w:rFonts w:eastAsia="Calibri"/>
                <w:b/>
                <w:lang w:val="en-US"/>
              </w:rPr>
              <w:t>$776</w:t>
            </w:r>
          </w:p>
        </w:tc>
        <w:tc>
          <w:tcPr>
            <w:tcW w:w="1105" w:type="dxa"/>
            <w:tcBorders>
              <w:top w:val="single" w:sz="4" w:space="0" w:color="auto"/>
              <w:left w:val="nil"/>
              <w:bottom w:val="single" w:sz="4" w:space="0" w:color="auto"/>
              <w:right w:val="nil"/>
            </w:tcBorders>
            <w:shd w:val="clear" w:color="auto" w:fill="auto"/>
          </w:tcPr>
          <w:p w14:paraId="2ECE9665" w14:textId="77777777" w:rsidR="002248AA" w:rsidRPr="002248AA" w:rsidRDefault="002248AA" w:rsidP="002248AA">
            <w:pPr>
              <w:spacing w:after="120" w:line="276" w:lineRule="auto"/>
              <w:jc w:val="center"/>
              <w:rPr>
                <w:b/>
                <w:color w:val="000000"/>
                <w:lang w:val="en-US"/>
              </w:rPr>
            </w:pPr>
          </w:p>
        </w:tc>
        <w:tc>
          <w:tcPr>
            <w:tcW w:w="851" w:type="dxa"/>
            <w:tcBorders>
              <w:top w:val="single" w:sz="4" w:space="0" w:color="auto"/>
              <w:left w:val="nil"/>
              <w:bottom w:val="single" w:sz="4" w:space="0" w:color="auto"/>
              <w:right w:val="nil"/>
            </w:tcBorders>
            <w:shd w:val="clear" w:color="auto" w:fill="auto"/>
            <w:tcMar>
              <w:top w:w="15" w:type="dxa"/>
              <w:left w:w="69" w:type="dxa"/>
              <w:bottom w:w="0" w:type="dxa"/>
              <w:right w:w="69" w:type="dxa"/>
            </w:tcMar>
          </w:tcPr>
          <w:p w14:paraId="466C7E5A" w14:textId="48457378" w:rsidR="002248AA" w:rsidRPr="002248AA" w:rsidRDefault="002248AA" w:rsidP="002248AA">
            <w:pPr>
              <w:spacing w:after="120" w:line="276" w:lineRule="auto"/>
              <w:jc w:val="center"/>
              <w:rPr>
                <w:b/>
                <w:color w:val="000000"/>
                <w:lang w:val="en-US"/>
              </w:rPr>
            </w:pPr>
          </w:p>
        </w:tc>
        <w:tc>
          <w:tcPr>
            <w:tcW w:w="724" w:type="dxa"/>
            <w:tcBorders>
              <w:top w:val="single" w:sz="4" w:space="0" w:color="auto"/>
              <w:bottom w:val="single" w:sz="4" w:space="0" w:color="auto"/>
            </w:tcBorders>
            <w:shd w:val="clear" w:color="auto" w:fill="auto"/>
          </w:tcPr>
          <w:p w14:paraId="4B381E7B" w14:textId="77777777" w:rsidR="002248AA" w:rsidRPr="002248AA" w:rsidRDefault="002248AA" w:rsidP="002248AA">
            <w:pPr>
              <w:spacing w:after="120" w:line="276" w:lineRule="auto"/>
              <w:jc w:val="center"/>
              <w:rPr>
                <w:b/>
                <w:color w:val="000000"/>
                <w:lang w:val="en-US"/>
              </w:rPr>
            </w:pPr>
          </w:p>
        </w:tc>
      </w:tr>
    </w:tbl>
    <w:p w14:paraId="7555ACDA" w14:textId="77777777" w:rsidR="00955238" w:rsidRDefault="00955238" w:rsidP="002248AA"/>
    <w:p w14:paraId="6496AB23" w14:textId="06BF5612" w:rsidR="00EE6CB3" w:rsidRPr="002248AA" w:rsidRDefault="00EE6CB3" w:rsidP="00934D43">
      <w:pPr>
        <w:jc w:val="both"/>
      </w:pPr>
      <w:r w:rsidRPr="0048778E">
        <w:rPr>
          <w:vertAlign w:val="superscript"/>
        </w:rPr>
        <w:footnoteRef/>
      </w:r>
      <w:r w:rsidRPr="002248AA">
        <w:t xml:space="preserve"> </w:t>
      </w:r>
      <w:r w:rsidRPr="002248AA">
        <w:rPr>
          <w:sz w:val="18"/>
        </w:rPr>
        <w:t>Gross realised capital is total gross proceeds realised on invested capital. Of the $</w:t>
      </w:r>
      <w:r w:rsidRPr="002B3182">
        <w:rPr>
          <w:sz w:val="18"/>
        </w:rPr>
        <w:t>892</w:t>
      </w:r>
      <w:r w:rsidRPr="002248AA">
        <w:rPr>
          <w:sz w:val="18"/>
        </w:rPr>
        <w:t xml:space="preserve"> million of capital realised to date, $600 million is the return of the cost basis, and the remainder is profit</w:t>
      </w:r>
    </w:p>
    <w:p w14:paraId="033041D3" w14:textId="4DAA5B7C" w:rsidR="00EE6CB3" w:rsidRPr="002248AA" w:rsidRDefault="00EE6CB3" w:rsidP="00934D43">
      <w:pPr>
        <w:jc w:val="both"/>
      </w:pPr>
      <w:r w:rsidRPr="0048778E">
        <w:rPr>
          <w:vertAlign w:val="superscript"/>
        </w:rPr>
        <w:t>2</w:t>
      </w:r>
      <w:r w:rsidRPr="002248AA">
        <w:t xml:space="preserve"> </w:t>
      </w:r>
      <w:r w:rsidRPr="002248AA">
        <w:rPr>
          <w:sz w:val="18"/>
        </w:rPr>
        <w:t>Gross Unrealised Value and Gross MOIC (Gross Multiple of Invested Capital) are before transaction costs, taxes (approximately 21 to 27.5 per cent. of U.S. sourced taxable income) and 20 per cent. carried interest on</w:t>
      </w:r>
      <w:r w:rsidR="007B5927">
        <w:rPr>
          <w:sz w:val="18"/>
        </w:rPr>
        <w:t xml:space="preserve"> applicable</w:t>
      </w:r>
      <w:r w:rsidRPr="002248AA">
        <w:rPr>
          <w:sz w:val="18"/>
        </w:rPr>
        <w:t xml:space="preserve"> gross profits</w:t>
      </w:r>
      <w:r w:rsidR="007B5927" w:rsidRPr="007B5927">
        <w:rPr>
          <w:rFonts w:ascii="Times New Roman" w:hAnsi="Times New Roman" w:cs="Times New Roman"/>
          <w:sz w:val="16"/>
          <w:szCs w:val="16"/>
        </w:rPr>
        <w:t xml:space="preserve"> </w:t>
      </w:r>
      <w:r w:rsidR="007B5927" w:rsidRPr="007B5927">
        <w:rPr>
          <w:sz w:val="18"/>
        </w:rPr>
        <w:t>in accordance with the revised terms announced on 3 January 2020, but effective 30 June 2019</w:t>
      </w:r>
      <w:r w:rsidRPr="002248AA">
        <w:rPr>
          <w:sz w:val="18"/>
        </w:rPr>
        <w:t xml:space="preserve">. Since there </w:t>
      </w:r>
      <w:r w:rsidR="00170ECB">
        <w:rPr>
          <w:sz w:val="18"/>
        </w:rPr>
        <w:t>was</w:t>
      </w:r>
      <w:r w:rsidRPr="002248AA">
        <w:rPr>
          <w:sz w:val="18"/>
        </w:rPr>
        <w:t xml:space="preserve"> no netting of losses against gains</w:t>
      </w:r>
      <w:r w:rsidR="007B5927">
        <w:rPr>
          <w:sz w:val="18"/>
        </w:rPr>
        <w:t xml:space="preserve"> before the aforementioned revised terms</w:t>
      </w:r>
      <w:r w:rsidRPr="002248AA">
        <w:rPr>
          <w:sz w:val="18"/>
        </w:rPr>
        <w:t xml:space="preserve">, the effective carried interest rate on the portfolio as a whole will be greater than 20 per cent. In addition, there is a </w:t>
      </w:r>
      <w:r w:rsidR="00407D9F">
        <w:rPr>
          <w:sz w:val="18"/>
        </w:rPr>
        <w:t>M</w:t>
      </w:r>
      <w:r w:rsidRPr="002248AA">
        <w:rPr>
          <w:sz w:val="18"/>
        </w:rPr>
        <w:t xml:space="preserve">anagement </w:t>
      </w:r>
      <w:r w:rsidR="00407D9F">
        <w:rPr>
          <w:sz w:val="18"/>
        </w:rPr>
        <w:t>F</w:t>
      </w:r>
      <w:r w:rsidRPr="002248AA">
        <w:rPr>
          <w:sz w:val="18"/>
        </w:rPr>
        <w:t>ee of 1.5 per cent. of net assets (including cash) per annum and other expenses. Given these costs, fees and expenses are in aggregate expected to be considerable, Total Net Value and Net MOIC will be materially less than Gross Unrealised Value and Gross MOIC.  Local taxes, primarily on U.S. assets, may apply at the jurisdictional level on profits arising in operating entity investments. Further withholding taxes may apply on distributions from such operating entity investments. In the normal course of business, REL may form wholly-owned subsidiaries, to be treated as C Corporations for US tax purposes. The C Corporations serve to protect REL’s public investors from incurring U.S. effectively connected income. The C Corporations file U.S. corporate tax returns with the U.S. Internal Revenue Service and pay U.S. corporate taxes on its taxable income</w:t>
      </w:r>
    </w:p>
    <w:p w14:paraId="6D59E28A" w14:textId="15E92293" w:rsidR="00EE6CB3" w:rsidRPr="002248AA" w:rsidRDefault="00EE6CB3" w:rsidP="00934D43">
      <w:pPr>
        <w:jc w:val="both"/>
        <w:rPr>
          <w:sz w:val="18"/>
        </w:rPr>
      </w:pPr>
      <w:r w:rsidRPr="0048778E">
        <w:rPr>
          <w:vertAlign w:val="superscript"/>
        </w:rPr>
        <w:t>3</w:t>
      </w:r>
      <w:r w:rsidRPr="002248AA">
        <w:t xml:space="preserve"> </w:t>
      </w:r>
      <w:r w:rsidRPr="002248AA">
        <w:rPr>
          <w:sz w:val="18"/>
        </w:rPr>
        <w:t>Credit investment</w:t>
      </w:r>
    </w:p>
    <w:p w14:paraId="2C54AC64" w14:textId="2BE02750" w:rsidR="00EE6CB3" w:rsidRPr="002248AA" w:rsidRDefault="00EE6CB3" w:rsidP="00934D43">
      <w:pPr>
        <w:jc w:val="both"/>
        <w:rPr>
          <w:sz w:val="18"/>
        </w:rPr>
      </w:pPr>
      <w:r w:rsidRPr="0048778E">
        <w:rPr>
          <w:vertAlign w:val="superscript"/>
        </w:rPr>
        <w:t>4</w:t>
      </w:r>
      <w:r w:rsidRPr="002248AA">
        <w:t xml:space="preserve"> </w:t>
      </w:r>
      <w:r w:rsidRPr="002248AA">
        <w:rPr>
          <w:sz w:val="18"/>
        </w:rPr>
        <w:t>Amounts may vary due to rounding</w:t>
      </w:r>
    </w:p>
    <w:p w14:paraId="4766443B" w14:textId="5150ED98" w:rsidR="00EE6CB3" w:rsidRPr="002248AA" w:rsidRDefault="00EE6CB3" w:rsidP="00934D43">
      <w:pPr>
        <w:jc w:val="both"/>
      </w:pPr>
      <w:r w:rsidRPr="0048778E">
        <w:rPr>
          <w:vertAlign w:val="superscript"/>
        </w:rPr>
        <w:t>5</w:t>
      </w:r>
      <w:r w:rsidRPr="002248AA">
        <w:t xml:space="preserve"> </w:t>
      </w:r>
      <w:r w:rsidRPr="002248AA">
        <w:rPr>
          <w:sz w:val="18"/>
        </w:rPr>
        <w:t>The unrealised value of the Rock Oil investment consists of rights to mineral acres</w:t>
      </w:r>
    </w:p>
    <w:p w14:paraId="39546559" w14:textId="28B7CFA4" w:rsidR="00EE6CB3" w:rsidRPr="002248AA" w:rsidRDefault="00EE6CB3" w:rsidP="00934D43">
      <w:pPr>
        <w:jc w:val="both"/>
      </w:pPr>
      <w:r w:rsidRPr="0048778E">
        <w:rPr>
          <w:vertAlign w:val="superscript"/>
        </w:rPr>
        <w:t>6</w:t>
      </w:r>
      <w:r w:rsidRPr="002248AA">
        <w:t xml:space="preserve"> </w:t>
      </w:r>
      <w:r w:rsidRPr="002248AA">
        <w:rPr>
          <w:sz w:val="18"/>
        </w:rPr>
        <w:t>Midstream investment</w:t>
      </w:r>
    </w:p>
    <w:p w14:paraId="0C90B4A1" w14:textId="04AF3850" w:rsidR="00F1041C" w:rsidRDefault="00EE6CB3" w:rsidP="00934D43">
      <w:pPr>
        <w:spacing w:line="276" w:lineRule="auto"/>
        <w:jc w:val="both"/>
        <w:rPr>
          <w:sz w:val="18"/>
        </w:rPr>
      </w:pPr>
      <w:r w:rsidRPr="0048778E">
        <w:rPr>
          <w:vertAlign w:val="superscript"/>
        </w:rPr>
        <w:t>7</w:t>
      </w:r>
      <w:r w:rsidRPr="002248AA">
        <w:t xml:space="preserve"> </w:t>
      </w:r>
      <w:r w:rsidRPr="002248AA">
        <w:rPr>
          <w:sz w:val="18"/>
        </w:rPr>
        <w:t>Withdrawn commitments consist of Origo ($9 million) and CanEra III ($1 million), and impairments consist of Eagle II ($62 million) and Castex 2005 ($48 million</w:t>
      </w:r>
      <w:r w:rsidRPr="002B3182">
        <w:rPr>
          <w:sz w:val="18"/>
        </w:rPr>
        <w:t>)</w:t>
      </w:r>
    </w:p>
    <w:p w14:paraId="510FFD4C" w14:textId="25DF7BE3" w:rsidR="005F13F7" w:rsidRPr="005F13F7" w:rsidRDefault="005F13F7" w:rsidP="00934D43">
      <w:pPr>
        <w:spacing w:line="276" w:lineRule="auto"/>
        <w:jc w:val="both"/>
        <w:rPr>
          <w:sz w:val="18"/>
          <w:vertAlign w:val="superscript"/>
        </w:rPr>
      </w:pPr>
      <w:r w:rsidRPr="005F13F7">
        <w:rPr>
          <w:sz w:val="18"/>
          <w:vertAlign w:val="superscript"/>
        </w:rPr>
        <w:t xml:space="preserve">8 </w:t>
      </w:r>
      <w:r w:rsidRPr="005F13F7">
        <w:rPr>
          <w:sz w:val="18"/>
        </w:rPr>
        <w:t>This figure is comprised of $0.2 million held at the Company, $163.4 million held at the Partnership and $19.0 million held at REL US Corp</w:t>
      </w:r>
    </w:p>
    <w:p w14:paraId="0E58BDF3" w14:textId="77777777" w:rsidR="005F13F7" w:rsidRPr="002248AA" w:rsidRDefault="005F13F7" w:rsidP="005F13F7">
      <w:pPr>
        <w:spacing w:line="276" w:lineRule="auto"/>
        <w:rPr>
          <w:b/>
          <w:sz w:val="24"/>
          <w:lang w:val="en-US"/>
        </w:rPr>
      </w:pPr>
    </w:p>
    <w:p w14:paraId="266E4AC6" w14:textId="54453E61" w:rsidR="00F1041C" w:rsidRPr="002248AA" w:rsidRDefault="00F1041C" w:rsidP="002248AA">
      <w:pPr>
        <w:ind w:left="567" w:hanging="567"/>
        <w:outlineLvl w:val="1"/>
        <w:rPr>
          <w:b/>
          <w:sz w:val="28"/>
        </w:rPr>
      </w:pPr>
      <w:r w:rsidRPr="002248AA">
        <w:rPr>
          <w:b/>
          <w:sz w:val="28"/>
        </w:rPr>
        <w:t>Investment Portfolio Summary</w:t>
      </w:r>
    </w:p>
    <w:p w14:paraId="70374FF0" w14:textId="77777777" w:rsidR="00F1041C" w:rsidRPr="00F1041C" w:rsidRDefault="00F1041C" w:rsidP="00F1041C">
      <w:pPr>
        <w:ind w:left="567" w:hanging="567"/>
        <w:outlineLvl w:val="1"/>
        <w:rPr>
          <w:rFonts w:eastAsia="Cambria"/>
          <w:b/>
          <w:sz w:val="28"/>
        </w:rPr>
      </w:pPr>
    </w:p>
    <w:p w14:paraId="1502AB5E" w14:textId="5DBFBDC8" w:rsidR="00F1041C" w:rsidRPr="00F1041C" w:rsidRDefault="00F1041C" w:rsidP="00955238">
      <w:pPr>
        <w:jc w:val="both"/>
        <w:rPr>
          <w:rFonts w:eastAsia="Cambria"/>
        </w:rPr>
      </w:pPr>
      <w:r w:rsidRPr="00F1041C">
        <w:rPr>
          <w:rFonts w:eastAsia="Cambria"/>
        </w:rPr>
        <w:t xml:space="preserve">As of 31 December 2019, </w:t>
      </w:r>
      <w:r w:rsidRPr="00F1041C">
        <w:rPr>
          <w:rFonts w:eastAsia="Calibri"/>
        </w:rPr>
        <w:t xml:space="preserve">REL’s portfolio comprised </w:t>
      </w:r>
      <w:r w:rsidRPr="00F1041C">
        <w:rPr>
          <w:rFonts w:eastAsia="Cambria"/>
          <w:color w:val="000000"/>
        </w:rPr>
        <w:t>12</w:t>
      </w:r>
      <w:r w:rsidRPr="00F1041C">
        <w:rPr>
          <w:rFonts w:eastAsia="Cambria"/>
        </w:rPr>
        <w:t xml:space="preserve"> </w:t>
      </w:r>
      <w:r w:rsidRPr="00F1041C">
        <w:rPr>
          <w:rFonts w:eastAsia="Calibri"/>
        </w:rPr>
        <w:t xml:space="preserve">active investments including </w:t>
      </w:r>
      <w:r w:rsidRPr="002248AA">
        <w:rPr>
          <w:color w:val="000000"/>
        </w:rPr>
        <w:t>eight</w:t>
      </w:r>
      <w:r w:rsidRPr="00F1041C">
        <w:rPr>
          <w:rFonts w:eastAsia="Cambria"/>
        </w:rPr>
        <w:t xml:space="preserve"> </w:t>
      </w:r>
      <w:r w:rsidRPr="00F1041C">
        <w:rPr>
          <w:rFonts w:eastAsia="Calibri"/>
        </w:rPr>
        <w:t xml:space="preserve">E&amp;P investments, one midstream investment, </w:t>
      </w:r>
      <w:r w:rsidRPr="002248AA">
        <w:rPr>
          <w:color w:val="000000"/>
        </w:rPr>
        <w:t>one</w:t>
      </w:r>
      <w:r w:rsidRPr="00F1041C">
        <w:rPr>
          <w:rFonts w:eastAsia="Calibri"/>
        </w:rPr>
        <w:t xml:space="preserve"> </w:t>
      </w:r>
      <w:r w:rsidR="00374956">
        <w:rPr>
          <w:rFonts w:eastAsia="Calibri"/>
        </w:rPr>
        <w:t xml:space="preserve">transportation </w:t>
      </w:r>
      <w:r w:rsidRPr="00F1041C">
        <w:rPr>
          <w:rFonts w:eastAsia="Calibri"/>
        </w:rPr>
        <w:t>energy services</w:t>
      </w:r>
      <w:r w:rsidRPr="002248AA">
        <w:t xml:space="preserve"> </w:t>
      </w:r>
      <w:r w:rsidRPr="00F1041C">
        <w:rPr>
          <w:rFonts w:eastAsia="Calibri"/>
        </w:rPr>
        <w:t xml:space="preserve">investment, one power investment and </w:t>
      </w:r>
      <w:r w:rsidRPr="002248AA">
        <w:rPr>
          <w:color w:val="000000"/>
        </w:rPr>
        <w:t>one</w:t>
      </w:r>
      <w:r w:rsidRPr="00F1041C">
        <w:rPr>
          <w:rFonts w:eastAsia="Calibri"/>
        </w:rPr>
        <w:t xml:space="preserve"> credit investment.</w:t>
      </w:r>
    </w:p>
    <w:p w14:paraId="2274EE52" w14:textId="2BD5B522" w:rsidR="00F1041C" w:rsidRPr="002248AA" w:rsidRDefault="00F1041C" w:rsidP="00955238">
      <w:pPr>
        <w:jc w:val="both"/>
        <w:rPr>
          <w:sz w:val="26"/>
          <w:highlight w:val="yellow"/>
        </w:rPr>
      </w:pPr>
    </w:p>
    <w:p w14:paraId="7AE789F7" w14:textId="77777777" w:rsidR="00F1041C" w:rsidRPr="002248AA" w:rsidDel="00B6143B" w:rsidRDefault="00F1041C" w:rsidP="00955238">
      <w:pPr>
        <w:keepNext/>
        <w:keepLines/>
        <w:jc w:val="both"/>
        <w:outlineLvl w:val="2"/>
        <w:rPr>
          <w:sz w:val="26"/>
        </w:rPr>
      </w:pPr>
      <w:r w:rsidRPr="002248AA" w:rsidDel="00B6143B">
        <w:rPr>
          <w:sz w:val="26"/>
        </w:rPr>
        <w:t xml:space="preserve">ILX III </w:t>
      </w:r>
    </w:p>
    <w:p w14:paraId="1FA4C231" w14:textId="6F30F6FF" w:rsidR="00F1041C" w:rsidRPr="00F1041C" w:rsidRDefault="00F1041C" w:rsidP="00955238">
      <w:pPr>
        <w:jc w:val="both"/>
        <w:rPr>
          <w:rFonts w:eastAsia="Cambria"/>
        </w:rPr>
      </w:pPr>
      <w:r w:rsidRPr="00F1041C" w:rsidDel="00B6143B">
        <w:rPr>
          <w:rFonts w:eastAsia="Cambria"/>
          <w:color w:val="000000"/>
        </w:rPr>
        <w:t xml:space="preserve">As of </w:t>
      </w:r>
      <w:r w:rsidRPr="00F1041C">
        <w:rPr>
          <w:rFonts w:eastAsia="Cambria"/>
          <w:color w:val="000000"/>
        </w:rPr>
        <w:t>31 December 2019</w:t>
      </w:r>
      <w:r w:rsidRPr="00F1041C" w:rsidDel="00B6143B">
        <w:rPr>
          <w:rFonts w:eastAsia="Cambria"/>
          <w:color w:val="000000"/>
        </w:rPr>
        <w:t>, REL, through the Partnership, has invested $</w:t>
      </w:r>
      <w:r w:rsidRPr="00F1041C">
        <w:rPr>
          <w:rFonts w:eastAsia="Cambria"/>
          <w:color w:val="000000"/>
        </w:rPr>
        <w:t xml:space="preserve">155 </w:t>
      </w:r>
      <w:r w:rsidRPr="00F1041C" w:rsidDel="00B6143B">
        <w:rPr>
          <w:rFonts w:eastAsia="Cambria"/>
          <w:color w:val="000000"/>
        </w:rPr>
        <w:t>million of its $</w:t>
      </w:r>
      <w:r w:rsidRPr="00F1041C">
        <w:rPr>
          <w:rFonts w:eastAsia="Cambria"/>
          <w:color w:val="000000"/>
        </w:rPr>
        <w:t xml:space="preserve">200 </w:t>
      </w:r>
      <w:r w:rsidRPr="00F1041C" w:rsidDel="00B6143B">
        <w:rPr>
          <w:rFonts w:eastAsia="Cambria"/>
          <w:color w:val="000000"/>
        </w:rPr>
        <w:t>million commitment to ILX III</w:t>
      </w:r>
      <w:r w:rsidRPr="00F1041C" w:rsidDel="00B6143B">
        <w:rPr>
          <w:rFonts w:eastAsia="Calibri"/>
          <w:color w:val="000000"/>
        </w:rPr>
        <w:t xml:space="preserve">. </w:t>
      </w:r>
      <w:r w:rsidRPr="00F1041C">
        <w:rPr>
          <w:rFonts w:eastAsia="Calibri"/>
          <w:color w:val="000000"/>
        </w:rPr>
        <w:t xml:space="preserve">ILX III, based in Houston, Texas, is a joint-venture with Ridgewood Energy Corporation and pursues </w:t>
      </w:r>
      <w:r w:rsidRPr="00F1041C">
        <w:rPr>
          <w:rFonts w:eastAsia="Calibri"/>
        </w:rPr>
        <w:t>a</w:t>
      </w:r>
      <w:r w:rsidRPr="002248AA">
        <w:t xml:space="preserve"> strategy of acquiring non-operated working interests in oil-</w:t>
      </w:r>
      <w:r w:rsidRPr="00F1041C">
        <w:rPr>
          <w:rFonts w:eastAsia="Calibri"/>
        </w:rPr>
        <w:t>focussed exploration projects in the shallow Gulf of Mexico. To date, the company has participated in nine commercial discoveries, of which four are currently producing oil</w:t>
      </w:r>
      <w:r w:rsidR="00424650">
        <w:rPr>
          <w:rFonts w:eastAsia="Calibri"/>
        </w:rPr>
        <w:t>.</w:t>
      </w:r>
    </w:p>
    <w:p w14:paraId="0EBA9637" w14:textId="77777777" w:rsidR="00F1041C" w:rsidRPr="00F1041C" w:rsidRDefault="00F1041C" w:rsidP="00955238">
      <w:pPr>
        <w:jc w:val="both"/>
        <w:rPr>
          <w:rFonts w:eastAsia="Cambria"/>
        </w:rPr>
      </w:pPr>
    </w:p>
    <w:p w14:paraId="2721693D" w14:textId="7C7472A5" w:rsidR="00F1041C" w:rsidRPr="00F1041C" w:rsidRDefault="00F1041C" w:rsidP="00955238">
      <w:pPr>
        <w:jc w:val="both"/>
        <w:rPr>
          <w:rFonts w:eastAsia="Cambria"/>
        </w:rPr>
      </w:pPr>
      <w:r w:rsidRPr="00F1041C">
        <w:rPr>
          <w:rFonts w:eastAsia="Cambria"/>
        </w:rPr>
        <w:t>In late November, ILX III divested its interest in ten undrilled prospects and finalised the sale of its 20 per cent. working interest in Mt. Ouray to Murphy Oil Corporation (NYSE:MUR). Additionally</w:t>
      </w:r>
      <w:r w:rsidR="009E7D05">
        <w:rPr>
          <w:rFonts w:eastAsia="Cambria"/>
        </w:rPr>
        <w:t>,</w:t>
      </w:r>
      <w:r w:rsidRPr="00F1041C">
        <w:rPr>
          <w:rFonts w:eastAsia="Cambria"/>
        </w:rPr>
        <w:t xml:space="preserve"> in early December, ILX III announced the sale of its 18 remaining undrilled exploration leases to Talos for cash proceeds and Talos shares. </w:t>
      </w:r>
    </w:p>
    <w:p w14:paraId="47CF17E9" w14:textId="77777777" w:rsidR="00F1041C" w:rsidRPr="00F1041C" w:rsidRDefault="00F1041C" w:rsidP="00955238">
      <w:pPr>
        <w:jc w:val="both"/>
        <w:rPr>
          <w:rFonts w:eastAsia="Cambria"/>
          <w:color w:val="000000"/>
        </w:rPr>
      </w:pPr>
    </w:p>
    <w:p w14:paraId="6ED51BCF" w14:textId="04AED52E" w:rsidR="00F1041C" w:rsidRPr="00F1041C" w:rsidDel="00B6143B" w:rsidRDefault="00F1041C" w:rsidP="00955238">
      <w:pPr>
        <w:jc w:val="both"/>
        <w:rPr>
          <w:rFonts w:eastAsia="Calibri"/>
          <w:color w:val="000000"/>
        </w:rPr>
      </w:pPr>
      <w:r w:rsidRPr="00F1041C" w:rsidDel="00B6143B">
        <w:rPr>
          <w:rFonts w:eastAsia="Cambria"/>
          <w:color w:val="000000"/>
        </w:rPr>
        <w:t xml:space="preserve">As of </w:t>
      </w:r>
      <w:r w:rsidRPr="00F1041C">
        <w:rPr>
          <w:rFonts w:eastAsia="Cambria"/>
          <w:color w:val="000000"/>
        </w:rPr>
        <w:t>31 December 2019</w:t>
      </w:r>
      <w:r w:rsidRPr="00F1041C" w:rsidDel="00B6143B">
        <w:rPr>
          <w:rFonts w:eastAsia="Cambria"/>
          <w:color w:val="000000"/>
        </w:rPr>
        <w:t xml:space="preserve">, REL’s interest in ILX III, through the Partnership, was valued at </w:t>
      </w:r>
      <w:r w:rsidRPr="00F1041C">
        <w:rPr>
          <w:rFonts w:eastAsia="Cambria"/>
          <w:color w:val="000000"/>
        </w:rPr>
        <w:t>1.2</w:t>
      </w:r>
      <w:r w:rsidRPr="00F1041C" w:rsidDel="00B6143B">
        <w:rPr>
          <w:rFonts w:eastAsia="Cambria"/>
          <w:color w:val="000000"/>
        </w:rPr>
        <w:t>x Gross MOIC</w:t>
      </w:r>
      <w:r w:rsidRPr="00F1041C" w:rsidDel="00B6143B">
        <w:rPr>
          <w:rFonts w:eastAsia="Cambria"/>
          <w:color w:val="000000"/>
          <w:vertAlign w:val="superscript"/>
        </w:rPr>
        <w:t>(1)</w:t>
      </w:r>
      <w:r w:rsidRPr="00F1041C" w:rsidDel="00B6143B">
        <w:rPr>
          <w:rFonts w:eastAsia="Cambria"/>
          <w:color w:val="000000"/>
        </w:rPr>
        <w:t xml:space="preserve"> or $</w:t>
      </w:r>
      <w:r w:rsidRPr="00F1041C">
        <w:rPr>
          <w:rFonts w:eastAsia="Cambria"/>
          <w:color w:val="000000"/>
        </w:rPr>
        <w:t xml:space="preserve">186 </w:t>
      </w:r>
      <w:r w:rsidRPr="00F1041C" w:rsidDel="00B6143B">
        <w:rPr>
          <w:rFonts w:eastAsia="Cambria"/>
          <w:color w:val="000000"/>
        </w:rPr>
        <w:t>million</w:t>
      </w:r>
      <w:r w:rsidRPr="00F1041C">
        <w:rPr>
          <w:rFonts w:eastAsia="Cambria"/>
          <w:color w:val="000000"/>
        </w:rPr>
        <w:t xml:space="preserve"> (Realised: $5 million, Unrealised: $181 million)</w:t>
      </w:r>
      <w:r w:rsidRPr="00F1041C">
        <w:rPr>
          <w:rFonts w:eastAsia="Calibri"/>
          <w:color w:val="000000"/>
        </w:rPr>
        <w:t>. The Gross MOIC</w:t>
      </w:r>
      <w:r w:rsidRPr="00F1041C">
        <w:rPr>
          <w:rFonts w:eastAsia="Cambria"/>
          <w:color w:val="000000"/>
          <w:vertAlign w:val="superscript"/>
        </w:rPr>
        <w:t>(1)</w:t>
      </w:r>
      <w:r w:rsidRPr="00F1041C">
        <w:rPr>
          <w:rFonts w:eastAsia="Calibri"/>
          <w:color w:val="000000"/>
        </w:rPr>
        <w:t xml:space="preserve"> decreased over the </w:t>
      </w:r>
      <w:r w:rsidR="00237601">
        <w:rPr>
          <w:rFonts w:eastAsia="Calibri"/>
          <w:color w:val="000000"/>
        </w:rPr>
        <w:t>p</w:t>
      </w:r>
      <w:r w:rsidRPr="00F1041C">
        <w:rPr>
          <w:rFonts w:eastAsia="Calibri"/>
          <w:color w:val="000000"/>
        </w:rPr>
        <w:t xml:space="preserve">eriod, to reflect lower trading multiples of its peers.  </w:t>
      </w:r>
    </w:p>
    <w:p w14:paraId="0098D00F" w14:textId="77777777" w:rsidR="00F1041C" w:rsidRPr="002248AA" w:rsidRDefault="00F1041C" w:rsidP="00955238">
      <w:pPr>
        <w:keepNext/>
        <w:keepLines/>
        <w:jc w:val="both"/>
        <w:outlineLvl w:val="2"/>
        <w:rPr>
          <w:sz w:val="26"/>
          <w:highlight w:val="yellow"/>
        </w:rPr>
      </w:pPr>
    </w:p>
    <w:p w14:paraId="01728CAB" w14:textId="77777777" w:rsidR="00F1041C" w:rsidRPr="002248AA" w:rsidRDefault="00F1041C" w:rsidP="00955238">
      <w:pPr>
        <w:keepNext/>
        <w:keepLines/>
        <w:jc w:val="both"/>
        <w:outlineLvl w:val="2"/>
        <w:rPr>
          <w:sz w:val="26"/>
        </w:rPr>
      </w:pPr>
      <w:r w:rsidRPr="002248AA">
        <w:rPr>
          <w:sz w:val="26"/>
        </w:rPr>
        <w:t xml:space="preserve">Hammerhead </w:t>
      </w:r>
    </w:p>
    <w:p w14:paraId="228B3EF6" w14:textId="2058594B" w:rsidR="00F1041C" w:rsidRPr="00F1041C" w:rsidRDefault="00F1041C" w:rsidP="00955238">
      <w:pPr>
        <w:jc w:val="both"/>
        <w:rPr>
          <w:rFonts w:eastAsia="Cambria"/>
        </w:rPr>
      </w:pPr>
      <w:r w:rsidRPr="00F1041C">
        <w:rPr>
          <w:rFonts w:eastAsia="Cambria"/>
          <w:color w:val="000000"/>
        </w:rPr>
        <w:t xml:space="preserve">As of 31 December 2019, REL, through the Partnership, has invested $295 million of its $307 million commitment to Hammerhead. Hammerhead is a private E&amp;P company focussed on liquids-rich unconventional resources in the Montney and Duvernay resource play in Western Canada. Since its establishment in 2010, Hammerhead has aggregated one of the largest and most advantaged land positions in the emerging Montney </w:t>
      </w:r>
      <w:r w:rsidRPr="00F1041C">
        <w:rPr>
          <w:rFonts w:eastAsia="Cambria"/>
          <w:color w:val="000000"/>
        </w:rPr>
        <w:lastRenderedPageBreak/>
        <w:t xml:space="preserve">and Duvernay formations of Western Canada’s Deep Basin. The company controls and </w:t>
      </w:r>
      <w:r w:rsidRPr="00F1041C">
        <w:rPr>
          <w:rFonts w:eastAsia="Cambria"/>
        </w:rPr>
        <w:t>operates nearly 100 per cent. of this asset base, which comprises over 2,000</w:t>
      </w:r>
      <w:r w:rsidRPr="002248AA">
        <w:rPr>
          <w:color w:val="FF0000"/>
        </w:rPr>
        <w:t xml:space="preserve"> </w:t>
      </w:r>
      <w:r w:rsidRPr="00F1041C">
        <w:rPr>
          <w:rFonts w:eastAsia="Cambria"/>
        </w:rPr>
        <w:t xml:space="preserve">potential net drilling locations across approximately 200,000 Montney net acres. Since Riverstone’s initial investment, Hammerhead has increased production almost ten-fold to 29,000 boepd and has significantly grown reserves to 407 mmboe. </w:t>
      </w:r>
      <w:r w:rsidR="007D6959" w:rsidRPr="00E46A17">
        <w:rPr>
          <w:rFonts w:eastAsia="Calibri"/>
        </w:rPr>
        <w:t>During the year, Hammerhead significantly improved drilling and completion cost efficiencies as the company executed on its pad development plan</w:t>
      </w:r>
      <w:r w:rsidR="007D6959">
        <w:rPr>
          <w:rFonts w:eastAsia="Calibri"/>
        </w:rPr>
        <w:t>, which was significantly curtailed from 2018 levels and focussed on capital efficiency in order to preserve limited liquidity.</w:t>
      </w:r>
    </w:p>
    <w:p w14:paraId="52FB233E" w14:textId="77777777" w:rsidR="00F1041C" w:rsidRPr="00F1041C" w:rsidRDefault="00F1041C" w:rsidP="00955238">
      <w:pPr>
        <w:jc w:val="both"/>
        <w:rPr>
          <w:rFonts w:eastAsia="Cambria"/>
          <w:color w:val="000000"/>
        </w:rPr>
      </w:pPr>
    </w:p>
    <w:p w14:paraId="0783D1BD" w14:textId="042235B8" w:rsidR="00F1041C" w:rsidRPr="002248AA" w:rsidRDefault="00F1041C" w:rsidP="00955238">
      <w:pPr>
        <w:jc w:val="both"/>
        <w:rPr>
          <w:color w:val="000000"/>
        </w:rPr>
      </w:pPr>
      <w:r w:rsidRPr="00F1041C">
        <w:rPr>
          <w:rFonts w:eastAsia="Cambria"/>
          <w:color w:val="000000"/>
        </w:rPr>
        <w:t>As of 31 December 2019, REL’s interest in Hammerhead, through the Partnership, was valued at 0.4x Gross MOIC</w:t>
      </w:r>
      <w:r w:rsidRPr="00F1041C">
        <w:rPr>
          <w:rFonts w:eastAsia="Cambria"/>
          <w:color w:val="000000"/>
          <w:vertAlign w:val="superscript"/>
        </w:rPr>
        <w:t>(1)</w:t>
      </w:r>
      <w:r w:rsidRPr="00F1041C">
        <w:rPr>
          <w:rFonts w:eastAsia="Cambria"/>
          <w:color w:val="000000"/>
        </w:rPr>
        <w:t xml:space="preserve"> or $104 million (Realised: $23 million, Unrealised: $81 million). </w:t>
      </w:r>
      <w:r w:rsidRPr="00F1041C">
        <w:rPr>
          <w:rFonts w:eastAsia="Calibri"/>
          <w:color w:val="000000"/>
        </w:rPr>
        <w:t>The Gross MOIC</w:t>
      </w:r>
      <w:r w:rsidRPr="00F1041C">
        <w:rPr>
          <w:rFonts w:eastAsia="Cambria"/>
          <w:color w:val="000000"/>
          <w:vertAlign w:val="superscript"/>
        </w:rPr>
        <w:t>(1)</w:t>
      </w:r>
      <w:r w:rsidRPr="00F1041C">
        <w:rPr>
          <w:rFonts w:eastAsia="Calibri"/>
          <w:color w:val="000000"/>
        </w:rPr>
        <w:t xml:space="preserve"> decreased over the </w:t>
      </w:r>
      <w:r w:rsidR="00237601">
        <w:rPr>
          <w:rFonts w:eastAsia="Calibri"/>
          <w:color w:val="000000"/>
        </w:rPr>
        <w:t>p</w:t>
      </w:r>
      <w:r w:rsidRPr="00F1041C">
        <w:rPr>
          <w:rFonts w:eastAsia="Calibri"/>
          <w:color w:val="000000"/>
        </w:rPr>
        <w:t xml:space="preserve">eriod, to reflect </w:t>
      </w:r>
      <w:r w:rsidR="00D60974">
        <w:rPr>
          <w:rFonts w:eastAsia="Calibri"/>
          <w:color w:val="000000"/>
        </w:rPr>
        <w:t xml:space="preserve">a more conservative outlook and limited remaining liquidity at Hammerhead as well as </w:t>
      </w:r>
      <w:r w:rsidRPr="00F1041C">
        <w:rPr>
          <w:rFonts w:eastAsia="Calibri"/>
          <w:color w:val="000000"/>
        </w:rPr>
        <w:t>continued weakness in Canadian E&amp;P capital markets</w:t>
      </w:r>
      <w:r w:rsidR="00D60974">
        <w:rPr>
          <w:rFonts w:eastAsia="Calibri"/>
          <w:color w:val="000000"/>
        </w:rPr>
        <w:t>.</w:t>
      </w:r>
    </w:p>
    <w:p w14:paraId="6711F11C" w14:textId="77777777" w:rsidR="00F1041C" w:rsidRPr="002248AA" w:rsidRDefault="00F1041C" w:rsidP="00955238">
      <w:pPr>
        <w:jc w:val="both"/>
        <w:rPr>
          <w:color w:val="000000"/>
        </w:rPr>
      </w:pPr>
    </w:p>
    <w:p w14:paraId="365BBAE1" w14:textId="77777777" w:rsidR="00F1041C" w:rsidRPr="00F1041C" w:rsidRDefault="00F1041C" w:rsidP="00955238">
      <w:pPr>
        <w:jc w:val="both"/>
        <w:rPr>
          <w:rFonts w:eastAsia="Cambria"/>
        </w:rPr>
      </w:pPr>
      <w:r w:rsidRPr="00F1041C">
        <w:rPr>
          <w:rFonts w:eastAsia="MS Gothic"/>
          <w:bCs/>
          <w:sz w:val="26"/>
        </w:rPr>
        <w:t xml:space="preserve">Centennial </w:t>
      </w:r>
    </w:p>
    <w:p w14:paraId="781D1F4E" w14:textId="01E0586B" w:rsidR="00F1041C" w:rsidRPr="00F1041C" w:rsidRDefault="00F1041C" w:rsidP="00955238">
      <w:pPr>
        <w:jc w:val="both"/>
        <w:rPr>
          <w:rFonts w:eastAsia="Calibri"/>
          <w:color w:val="000000"/>
        </w:rPr>
      </w:pPr>
      <w:r w:rsidRPr="00F1041C">
        <w:rPr>
          <w:rFonts w:eastAsia="Calibri"/>
          <w:color w:val="000000"/>
        </w:rPr>
        <w:t xml:space="preserve">As of </w:t>
      </w:r>
      <w:r w:rsidRPr="00F1041C">
        <w:rPr>
          <w:rFonts w:eastAsia="Cambria"/>
          <w:color w:val="000000"/>
        </w:rPr>
        <w:t>31 December 2019</w:t>
      </w:r>
      <w:r w:rsidRPr="00F1041C">
        <w:rPr>
          <w:rFonts w:eastAsia="Calibri"/>
          <w:color w:val="000000"/>
        </w:rPr>
        <w:t xml:space="preserve">, REL, through the Partnership, has invested in full, its $268 million commitment to Centennial. Centennial is an E&amp;P company focussed on the acquisition and development of oil and liquids-rich natural gas resources in the Permian Delaware Basin, West Texas. The company has rapidly aggregated an </w:t>
      </w:r>
      <w:r w:rsidRPr="00F1041C">
        <w:rPr>
          <w:rFonts w:eastAsia="Calibri"/>
        </w:rPr>
        <w:t>80,200</w:t>
      </w:r>
      <w:r w:rsidRPr="00F1041C">
        <w:rPr>
          <w:rFonts w:eastAsia="Calibri"/>
          <w:color w:val="000000"/>
        </w:rPr>
        <w:t xml:space="preserve"> net acre position in its targeted basin. </w:t>
      </w:r>
    </w:p>
    <w:p w14:paraId="1046DDD0" w14:textId="77777777" w:rsidR="00F1041C" w:rsidRPr="00F1041C" w:rsidRDefault="00F1041C" w:rsidP="00955238">
      <w:pPr>
        <w:jc w:val="both"/>
        <w:rPr>
          <w:rFonts w:eastAsia="Calibri"/>
          <w:color w:val="000000"/>
        </w:rPr>
      </w:pPr>
    </w:p>
    <w:p w14:paraId="09B82C63" w14:textId="2D633FBF" w:rsidR="00F1041C" w:rsidRPr="00F1041C" w:rsidRDefault="00F1041C" w:rsidP="00955238">
      <w:pPr>
        <w:jc w:val="both"/>
        <w:rPr>
          <w:rFonts w:eastAsia="Calibri"/>
          <w:color w:val="000000"/>
        </w:rPr>
      </w:pPr>
      <w:r w:rsidRPr="00F1041C">
        <w:rPr>
          <w:rFonts w:eastAsia="Calibri"/>
          <w:color w:val="000000"/>
        </w:rPr>
        <w:t>Centennial continues to focus on maintaining liquidity and increasing operational efficiencies in the current market environment. The company is currently running a 5.5 rig drilling program</w:t>
      </w:r>
      <w:r w:rsidR="00407D9F">
        <w:rPr>
          <w:rFonts w:eastAsia="Calibri"/>
          <w:color w:val="000000"/>
        </w:rPr>
        <w:t>me</w:t>
      </w:r>
      <w:r w:rsidRPr="00F1041C">
        <w:rPr>
          <w:rFonts w:eastAsia="Calibri"/>
          <w:color w:val="000000"/>
        </w:rPr>
        <w:t xml:space="preserve"> and is targeting crude oil production growth of 22 per cent., </w:t>
      </w:r>
      <w:r w:rsidRPr="00F1041C">
        <w:rPr>
          <w:rFonts w:eastAsia="Cambria"/>
          <w:color w:val="000000"/>
        </w:rPr>
        <w:t xml:space="preserve">with the ability to ramp down rig pace to generate additional free-cash-flow if macro-environment conditions decline. </w:t>
      </w:r>
    </w:p>
    <w:p w14:paraId="798B91CD" w14:textId="77777777" w:rsidR="00F1041C" w:rsidRPr="00F1041C" w:rsidRDefault="00F1041C" w:rsidP="00955238">
      <w:pPr>
        <w:jc w:val="both"/>
        <w:rPr>
          <w:rFonts w:eastAsia="Calibri"/>
          <w:color w:val="000000"/>
        </w:rPr>
      </w:pPr>
    </w:p>
    <w:p w14:paraId="7A655C61" w14:textId="77777777" w:rsidR="00F1041C" w:rsidRPr="00F1041C" w:rsidRDefault="00F1041C" w:rsidP="00955238">
      <w:pPr>
        <w:jc w:val="both"/>
        <w:rPr>
          <w:rFonts w:eastAsia="Calibri"/>
          <w:color w:val="000000"/>
        </w:rPr>
      </w:pPr>
      <w:r w:rsidRPr="00F1041C">
        <w:rPr>
          <w:rFonts w:eastAsia="Calibri"/>
          <w:color w:val="000000"/>
        </w:rPr>
        <w:t xml:space="preserve">REL, through the Partnership, owns approximately </w:t>
      </w:r>
      <w:r w:rsidRPr="002248AA">
        <w:t>15.2</w:t>
      </w:r>
      <w:r w:rsidRPr="00F1041C">
        <w:rPr>
          <w:rFonts w:eastAsia="Calibri"/>
          <w:color w:val="000000"/>
        </w:rPr>
        <w:t xml:space="preserve"> million shares which are publicly traded (NASDAQ:CDEV), at a weighted average purchase price of $</w:t>
      </w:r>
      <w:r w:rsidRPr="002248AA">
        <w:t>11.21</w:t>
      </w:r>
      <w:r w:rsidRPr="00F1041C">
        <w:rPr>
          <w:rFonts w:eastAsia="Calibri"/>
          <w:color w:val="000000"/>
        </w:rPr>
        <w:t xml:space="preserve">. </w:t>
      </w:r>
    </w:p>
    <w:p w14:paraId="1D95FFA2" w14:textId="77777777" w:rsidR="00F1041C" w:rsidRPr="00F1041C" w:rsidRDefault="00F1041C" w:rsidP="00955238">
      <w:pPr>
        <w:jc w:val="both"/>
        <w:rPr>
          <w:rFonts w:eastAsia="Calibri"/>
          <w:color w:val="000000"/>
        </w:rPr>
      </w:pPr>
    </w:p>
    <w:p w14:paraId="1E7CB036" w14:textId="4AEAB556" w:rsidR="00F1041C" w:rsidRPr="002248AA" w:rsidRDefault="00F1041C" w:rsidP="00955238">
      <w:pPr>
        <w:jc w:val="both"/>
        <w:rPr>
          <w:color w:val="000000"/>
        </w:rPr>
      </w:pPr>
      <w:r w:rsidRPr="00F1041C">
        <w:rPr>
          <w:rFonts w:eastAsia="Calibri"/>
          <w:color w:val="000000"/>
        </w:rPr>
        <w:t>As of 31</w:t>
      </w:r>
      <w:r w:rsidRPr="00F1041C">
        <w:rPr>
          <w:rFonts w:eastAsia="Cambria"/>
          <w:color w:val="000000"/>
        </w:rPr>
        <w:t xml:space="preserve"> December 2019</w:t>
      </w:r>
      <w:r w:rsidRPr="00F1041C">
        <w:rPr>
          <w:rFonts w:eastAsia="Calibri"/>
          <w:color w:val="000000"/>
        </w:rPr>
        <w:t>, REL’s interest in Centennial, through the Partnership, was valued at 0.9x Gross MOIC</w:t>
      </w:r>
      <w:r w:rsidRPr="00F1041C">
        <w:rPr>
          <w:rFonts w:eastAsia="Calibri"/>
          <w:color w:val="000000"/>
          <w:vertAlign w:val="superscript"/>
        </w:rPr>
        <w:t>(1)</w:t>
      </w:r>
      <w:r w:rsidRPr="00F1041C">
        <w:rPr>
          <w:rFonts w:eastAsia="Calibri"/>
          <w:color w:val="000000"/>
        </w:rPr>
        <w:t xml:space="preserve"> or $242 million </w:t>
      </w:r>
      <w:r w:rsidRPr="00F1041C">
        <w:rPr>
          <w:rFonts w:eastAsia="Cambria"/>
          <w:color w:val="000000"/>
        </w:rPr>
        <w:t>(Realised: $172 million, Unrealised: $70 million)</w:t>
      </w:r>
      <w:r w:rsidRPr="00F1041C">
        <w:rPr>
          <w:rFonts w:eastAsia="Calibri"/>
          <w:color w:val="000000"/>
        </w:rPr>
        <w:t>. The Gross MOIC</w:t>
      </w:r>
      <w:r w:rsidRPr="00F1041C">
        <w:rPr>
          <w:rFonts w:eastAsia="Cambria"/>
          <w:color w:val="000000"/>
          <w:vertAlign w:val="superscript"/>
        </w:rPr>
        <w:t>(1)</w:t>
      </w:r>
      <w:r w:rsidRPr="00F1041C">
        <w:rPr>
          <w:rFonts w:eastAsia="Calibri"/>
          <w:color w:val="000000"/>
        </w:rPr>
        <w:t xml:space="preserve">, which reflects the mark-to-market value of REL’s shareholding, decreased over the </w:t>
      </w:r>
      <w:r w:rsidR="00237601">
        <w:rPr>
          <w:rFonts w:eastAsia="Calibri"/>
          <w:color w:val="000000"/>
        </w:rPr>
        <w:t>p</w:t>
      </w:r>
      <w:r w:rsidRPr="00F1041C">
        <w:rPr>
          <w:rFonts w:eastAsia="Calibri"/>
          <w:color w:val="000000"/>
        </w:rPr>
        <w:t>eriod.</w:t>
      </w:r>
      <w:r w:rsidRPr="002248AA">
        <w:rPr>
          <w:color w:val="000000"/>
        </w:rPr>
        <w:t xml:space="preserve"> </w:t>
      </w:r>
    </w:p>
    <w:p w14:paraId="3080D099" w14:textId="77777777" w:rsidR="00F1041C" w:rsidRPr="002248AA" w:rsidRDefault="00F1041C" w:rsidP="00955238">
      <w:pPr>
        <w:jc w:val="both"/>
        <w:rPr>
          <w:color w:val="000000"/>
        </w:rPr>
      </w:pPr>
    </w:p>
    <w:p w14:paraId="58CF5446" w14:textId="77777777" w:rsidR="00F1041C" w:rsidRPr="002248AA" w:rsidRDefault="00F1041C" w:rsidP="00955238">
      <w:pPr>
        <w:keepNext/>
        <w:keepLines/>
        <w:jc w:val="both"/>
        <w:outlineLvl w:val="2"/>
        <w:rPr>
          <w:sz w:val="26"/>
        </w:rPr>
      </w:pPr>
      <w:r w:rsidRPr="002248AA">
        <w:rPr>
          <w:sz w:val="26"/>
        </w:rPr>
        <w:t xml:space="preserve">Liberty II </w:t>
      </w:r>
    </w:p>
    <w:p w14:paraId="24E0E157" w14:textId="62AA1859" w:rsidR="00F1041C" w:rsidRPr="002248AA" w:rsidRDefault="00F1041C" w:rsidP="00955238">
      <w:pPr>
        <w:jc w:val="both"/>
        <w:rPr>
          <w:color w:val="000000"/>
          <w:highlight w:val="yellow"/>
        </w:rPr>
      </w:pPr>
      <w:r w:rsidRPr="00F1041C">
        <w:rPr>
          <w:rFonts w:eastAsia="Cambria"/>
          <w:color w:val="000000"/>
        </w:rPr>
        <w:t>As of 31 December 2019, REL, through the Partnership, has invested in full its $142 million commitment to Liberty II</w:t>
      </w:r>
      <w:r w:rsidRPr="00F1041C">
        <w:rPr>
          <w:rFonts w:eastAsia="Calibri"/>
          <w:color w:val="000000"/>
        </w:rPr>
        <w:t>. Liberty II established positions in the Williston (Bakken) and Powder River Basins through a series of acquisitions expected to benefit from Liberty II’s sophisticated and proprietary well completion technology. Liberty II subsequently sold its position in the Powder River Basin and is currently focussed on the development of its Bakken acreage, which has grown to approximately 104,000 net acres through aggressive grassroots leasing efforts in the East Nesson and bolt-on acquisitions. Acquisitions have resulted in an extensive drilling inventory and many contiguous acreage positions of scale.</w:t>
      </w:r>
      <w:r w:rsidRPr="002248AA">
        <w:rPr>
          <w:color w:val="000000"/>
          <w:highlight w:val="yellow"/>
        </w:rPr>
        <w:t xml:space="preserve"> </w:t>
      </w:r>
    </w:p>
    <w:p w14:paraId="62318D43" w14:textId="7687CEA7" w:rsidR="00F1041C" w:rsidRPr="002248AA" w:rsidRDefault="00F1041C" w:rsidP="00955238">
      <w:pPr>
        <w:jc w:val="both"/>
        <w:rPr>
          <w:highlight w:val="yellow"/>
        </w:rPr>
      </w:pPr>
      <w:r w:rsidRPr="002248AA">
        <w:t xml:space="preserve">In 2019, Liberty II drilled 7 wells, brought </w:t>
      </w:r>
      <w:r w:rsidRPr="00F1041C">
        <w:rPr>
          <w:rFonts w:eastAsia="Cambria"/>
        </w:rPr>
        <w:t>13</w:t>
      </w:r>
      <w:r w:rsidRPr="002248AA">
        <w:t xml:space="preserve"> wells online, and is currently producing approximately 8,</w:t>
      </w:r>
      <w:r w:rsidRPr="00F1041C">
        <w:rPr>
          <w:rFonts w:eastAsia="Calibri"/>
        </w:rPr>
        <w:t>500</w:t>
      </w:r>
      <w:r w:rsidRPr="002248AA">
        <w:t xml:space="preserve"> boepd. </w:t>
      </w:r>
    </w:p>
    <w:p w14:paraId="22052832" w14:textId="77777777" w:rsidR="00F1041C" w:rsidRPr="002248AA" w:rsidRDefault="00F1041C" w:rsidP="00955238">
      <w:pPr>
        <w:keepNext/>
        <w:keepLines/>
        <w:jc w:val="both"/>
        <w:outlineLvl w:val="2"/>
        <w:rPr>
          <w:color w:val="000000"/>
          <w:highlight w:val="yellow"/>
        </w:rPr>
      </w:pPr>
    </w:p>
    <w:p w14:paraId="3AE3CC5F" w14:textId="2BAC9415" w:rsidR="00F1041C" w:rsidRPr="002248AA" w:rsidRDefault="00F1041C" w:rsidP="00955238">
      <w:pPr>
        <w:jc w:val="both"/>
        <w:rPr>
          <w:color w:val="000000"/>
        </w:rPr>
      </w:pPr>
      <w:r w:rsidRPr="00F1041C">
        <w:rPr>
          <w:rFonts w:eastAsia="Cambria"/>
          <w:color w:val="000000"/>
        </w:rPr>
        <w:t>As of 31 December 2019, REL’s interest in Liberty II, through the Partnership, was valued at 0.4x Gross MOIC</w:t>
      </w:r>
      <w:r w:rsidRPr="00F1041C">
        <w:rPr>
          <w:rFonts w:eastAsia="Cambria"/>
          <w:color w:val="000000"/>
          <w:vertAlign w:val="superscript"/>
        </w:rPr>
        <w:t>(1)</w:t>
      </w:r>
      <w:r w:rsidRPr="00F1041C">
        <w:rPr>
          <w:rFonts w:eastAsia="Cambria"/>
          <w:color w:val="000000"/>
        </w:rPr>
        <w:t xml:space="preserve"> or $57 million (Realised: $0 million, Unrealised: $57 million)</w:t>
      </w:r>
      <w:r w:rsidRPr="00F1041C">
        <w:rPr>
          <w:rFonts w:eastAsia="Calibri"/>
          <w:color w:val="000000"/>
        </w:rPr>
        <w:t>. The Gross MOIC</w:t>
      </w:r>
      <w:r w:rsidRPr="00F1041C">
        <w:rPr>
          <w:rFonts w:eastAsia="Calibri"/>
          <w:color w:val="000000"/>
          <w:vertAlign w:val="superscript"/>
        </w:rPr>
        <w:t>(1)</w:t>
      </w:r>
      <w:r w:rsidRPr="00F1041C">
        <w:rPr>
          <w:rFonts w:eastAsia="Calibri"/>
          <w:color w:val="000000"/>
        </w:rPr>
        <w:t xml:space="preserve"> decreased over the </w:t>
      </w:r>
      <w:r w:rsidR="00237601">
        <w:rPr>
          <w:rFonts w:eastAsia="Calibri"/>
          <w:color w:val="000000"/>
        </w:rPr>
        <w:t>p</w:t>
      </w:r>
      <w:r w:rsidRPr="00F1041C">
        <w:rPr>
          <w:rFonts w:eastAsia="Calibri"/>
          <w:color w:val="000000"/>
        </w:rPr>
        <w:t>eriod to reflect challenges in securing additional capital to fund growth, coupled with higher discount rates applied to its NAV valuation methodology.</w:t>
      </w:r>
    </w:p>
    <w:p w14:paraId="502439EB" w14:textId="77777777" w:rsidR="00F1041C" w:rsidRPr="002248AA" w:rsidRDefault="00F1041C" w:rsidP="00955238">
      <w:pPr>
        <w:jc w:val="both"/>
        <w:rPr>
          <w:highlight w:val="yellow"/>
        </w:rPr>
      </w:pPr>
    </w:p>
    <w:p w14:paraId="18CECB4F" w14:textId="77777777" w:rsidR="00F1041C" w:rsidRPr="002248AA" w:rsidRDefault="00F1041C" w:rsidP="00955238">
      <w:pPr>
        <w:keepNext/>
        <w:keepLines/>
        <w:jc w:val="both"/>
        <w:outlineLvl w:val="2"/>
        <w:rPr>
          <w:sz w:val="26"/>
        </w:rPr>
      </w:pPr>
      <w:r w:rsidRPr="002248AA">
        <w:rPr>
          <w:sz w:val="26"/>
        </w:rPr>
        <w:t xml:space="preserve">Carrier II </w:t>
      </w:r>
    </w:p>
    <w:p w14:paraId="505A4E7F" w14:textId="6E19D4F2" w:rsidR="00F1041C" w:rsidRPr="00F1041C" w:rsidRDefault="00F1041C" w:rsidP="00955238">
      <w:pPr>
        <w:jc w:val="both"/>
        <w:rPr>
          <w:rFonts w:eastAsia="Calibri"/>
          <w:color w:val="000000"/>
        </w:rPr>
      </w:pPr>
      <w:r w:rsidRPr="00F1041C">
        <w:rPr>
          <w:rFonts w:eastAsia="Cambria"/>
          <w:color w:val="000000"/>
        </w:rPr>
        <w:t>As of 31 December 2019, REL, through the Partnership, has invested $110 million of its $133 million commitment to Carrier II</w:t>
      </w:r>
      <w:r w:rsidRPr="00F1041C">
        <w:rPr>
          <w:rFonts w:eastAsia="Calibri"/>
          <w:color w:val="000000"/>
        </w:rPr>
        <w:t xml:space="preserve">. Carrier II is focussed on the acquisition and exploitation of upstream oil and gas assets by partnering with select operators that are developing both unconventional and conventional reservoirs in North America. Shortly after its establishment in May 2015, Carrier II entered into a joint venture agreement with a highly experienced operator group made up of Henry Resources, LLC and PT Petroleum, LLC, targeting 19,131 net acres for development in the southern Midland Basin (subsequently increased to 20,260 net acres). In addition, through three separate acquisitions, the company has acquired 3,892 net acres in Karnes County in the Eagle Ford basin, targeting the Sugarloaf Project and the Chisholm Project, both operated by Marathon Oil Corp. Carrier II was producing approximately 6,200 boepd at the end of the </w:t>
      </w:r>
      <w:r w:rsidR="00237601">
        <w:rPr>
          <w:rFonts w:eastAsia="Calibri"/>
          <w:color w:val="000000"/>
        </w:rPr>
        <w:t>p</w:t>
      </w:r>
      <w:r w:rsidRPr="00F1041C">
        <w:rPr>
          <w:rFonts w:eastAsia="Calibri"/>
          <w:color w:val="000000"/>
        </w:rPr>
        <w:t>eriod.</w:t>
      </w:r>
    </w:p>
    <w:p w14:paraId="33822BD7" w14:textId="77777777" w:rsidR="00F1041C" w:rsidRPr="00F1041C" w:rsidRDefault="00F1041C" w:rsidP="00955238">
      <w:pPr>
        <w:jc w:val="both"/>
        <w:rPr>
          <w:rFonts w:eastAsia="Cambria"/>
          <w:highlight w:val="yellow"/>
        </w:rPr>
      </w:pPr>
    </w:p>
    <w:p w14:paraId="23D89872" w14:textId="77777777" w:rsidR="00F1041C" w:rsidRPr="00F1041C" w:rsidRDefault="00F1041C" w:rsidP="00955238">
      <w:pPr>
        <w:jc w:val="both"/>
        <w:rPr>
          <w:rFonts w:eastAsia="Cambria"/>
        </w:rPr>
      </w:pPr>
      <w:r w:rsidRPr="00F1041C">
        <w:rPr>
          <w:rFonts w:eastAsia="Cambria"/>
        </w:rPr>
        <w:t>During the fourth quarter, Carrier successfully completed the sale of its Southern Midland Basin assets and brought six additional Eagle Ford wells online, resulting in a total of 34 new wells in 2019. The company continues to generate positive free cash flow from its Eagle Ford assets.</w:t>
      </w:r>
    </w:p>
    <w:p w14:paraId="475D0FE0" w14:textId="77777777" w:rsidR="00F1041C" w:rsidRPr="00F1041C" w:rsidRDefault="00F1041C" w:rsidP="00955238">
      <w:pPr>
        <w:jc w:val="both"/>
        <w:rPr>
          <w:rFonts w:eastAsia="Cambria"/>
          <w:highlight w:val="yellow"/>
        </w:rPr>
      </w:pPr>
    </w:p>
    <w:p w14:paraId="5836E2A2" w14:textId="4A0AA793" w:rsidR="00F1041C" w:rsidRPr="00F1041C" w:rsidRDefault="00F1041C" w:rsidP="00955238">
      <w:pPr>
        <w:jc w:val="both"/>
        <w:rPr>
          <w:rFonts w:eastAsia="Calibri"/>
          <w:color w:val="000000"/>
          <w:highlight w:val="yellow"/>
        </w:rPr>
      </w:pPr>
      <w:r w:rsidRPr="00F1041C">
        <w:rPr>
          <w:rFonts w:eastAsia="Cambria"/>
          <w:color w:val="000000"/>
        </w:rPr>
        <w:t>Since inception, Carrier II has distributed $</w:t>
      </w:r>
      <w:r w:rsidRPr="00F1041C">
        <w:rPr>
          <w:rFonts w:eastAsia="Cambria"/>
        </w:rPr>
        <w:t>29</w:t>
      </w:r>
      <w:r w:rsidRPr="00F1041C">
        <w:rPr>
          <w:rFonts w:eastAsia="Calibri"/>
        </w:rPr>
        <w:t xml:space="preserve"> </w:t>
      </w:r>
      <w:r w:rsidRPr="00F1041C">
        <w:rPr>
          <w:rFonts w:eastAsia="Cambria"/>
          <w:color w:val="000000"/>
        </w:rPr>
        <w:t xml:space="preserve">million through dividends to REL, through the Partnership, representing approximately 26 per cent. of REL’s invested capital. As of 31 December 2019, REL’s interest in </w:t>
      </w:r>
      <w:r w:rsidRPr="00F1041C">
        <w:rPr>
          <w:rFonts w:eastAsia="Cambria"/>
          <w:color w:val="000000"/>
        </w:rPr>
        <w:lastRenderedPageBreak/>
        <w:t>Carrier II, through the Partnership, was valued at 0.7x Gross MOIC</w:t>
      </w:r>
      <w:r w:rsidRPr="00F1041C">
        <w:rPr>
          <w:rFonts w:eastAsia="Cambria"/>
          <w:color w:val="000000"/>
          <w:vertAlign w:val="superscript"/>
        </w:rPr>
        <w:t>(1)</w:t>
      </w:r>
      <w:r w:rsidRPr="00F1041C">
        <w:rPr>
          <w:rFonts w:eastAsia="Cambria"/>
          <w:color w:val="000000"/>
        </w:rPr>
        <w:t xml:space="preserve"> or $77 million (Realised: $29 million, Unrealised: $48 million)</w:t>
      </w:r>
      <w:r w:rsidRPr="00F1041C">
        <w:rPr>
          <w:rFonts w:eastAsia="Calibri"/>
          <w:color w:val="000000"/>
        </w:rPr>
        <w:t>. The Gross MOIC</w:t>
      </w:r>
      <w:r w:rsidRPr="00F1041C">
        <w:rPr>
          <w:rFonts w:eastAsia="Cambria"/>
          <w:color w:val="000000"/>
          <w:vertAlign w:val="superscript"/>
        </w:rPr>
        <w:t>(1)</w:t>
      </w:r>
      <w:r w:rsidRPr="00F1041C">
        <w:rPr>
          <w:rFonts w:eastAsia="Calibri"/>
          <w:color w:val="000000"/>
        </w:rPr>
        <w:t xml:space="preserve"> decreased over the </w:t>
      </w:r>
      <w:r w:rsidR="00237601">
        <w:rPr>
          <w:rFonts w:eastAsia="Calibri"/>
          <w:color w:val="000000"/>
        </w:rPr>
        <w:t>p</w:t>
      </w:r>
      <w:r w:rsidRPr="00F1041C">
        <w:rPr>
          <w:rFonts w:eastAsia="Calibri"/>
          <w:color w:val="000000"/>
        </w:rPr>
        <w:t xml:space="preserve">eriod due to uncertainty around development pacing. </w:t>
      </w:r>
    </w:p>
    <w:p w14:paraId="4CA14E06" w14:textId="77777777" w:rsidR="00F1041C" w:rsidRPr="00F1041C" w:rsidRDefault="00F1041C" w:rsidP="00955238">
      <w:pPr>
        <w:keepNext/>
        <w:keepLines/>
        <w:jc w:val="both"/>
        <w:outlineLvl w:val="2"/>
        <w:rPr>
          <w:rFonts w:eastAsia="MS Gothic"/>
          <w:bCs/>
          <w:highlight w:val="yellow"/>
        </w:rPr>
      </w:pPr>
      <w:r w:rsidRPr="00F1041C">
        <w:rPr>
          <w:rFonts w:eastAsia="Calibri"/>
          <w:bCs/>
          <w:color w:val="000000"/>
          <w:sz w:val="26"/>
          <w:highlight w:val="yellow"/>
        </w:rPr>
        <w:t xml:space="preserve"> </w:t>
      </w:r>
    </w:p>
    <w:p w14:paraId="633B089B" w14:textId="77777777" w:rsidR="00F1041C" w:rsidRPr="00F1041C" w:rsidRDefault="00F1041C" w:rsidP="00955238">
      <w:pPr>
        <w:keepNext/>
        <w:keepLines/>
        <w:jc w:val="both"/>
        <w:outlineLvl w:val="2"/>
        <w:rPr>
          <w:rFonts w:eastAsia="MS Gothic"/>
          <w:bCs/>
          <w:sz w:val="26"/>
        </w:rPr>
      </w:pPr>
      <w:r w:rsidRPr="00F1041C">
        <w:rPr>
          <w:rFonts w:eastAsia="MS Gothic"/>
          <w:bCs/>
          <w:sz w:val="26"/>
        </w:rPr>
        <w:t xml:space="preserve">Fieldwood </w:t>
      </w:r>
    </w:p>
    <w:p w14:paraId="6AC606A3" w14:textId="1A5F1277" w:rsidR="00F1041C" w:rsidRPr="002248AA" w:rsidRDefault="00F1041C" w:rsidP="00955238">
      <w:pPr>
        <w:jc w:val="both"/>
        <w:rPr>
          <w:color w:val="FF0000"/>
        </w:rPr>
      </w:pPr>
      <w:r w:rsidRPr="00F1041C">
        <w:rPr>
          <w:rFonts w:eastAsia="Cambria"/>
          <w:color w:val="000000"/>
        </w:rPr>
        <w:t>As of 31 December 2019, REL, through the Partnership, has invested $88 million of its $89 million commitment to Fieldwood</w:t>
      </w:r>
      <w:r w:rsidRPr="00F1041C">
        <w:rPr>
          <w:rFonts w:eastAsia="Calibri"/>
          <w:color w:val="000000"/>
        </w:rPr>
        <w:t xml:space="preserve">. Riverstone formed Fieldwood in partnership with Chief Executive Officer Matt McCarroll and his team in December 2012. REL made its investment in Fieldwood in 2014, as the company acquired the </w:t>
      </w:r>
      <w:r w:rsidRPr="00F1041C">
        <w:rPr>
          <w:rFonts w:eastAsia="Cambria"/>
        </w:rPr>
        <w:t xml:space="preserve">Gulf of Mexico </w:t>
      </w:r>
      <w:r w:rsidRPr="00F1041C">
        <w:rPr>
          <w:rFonts w:eastAsia="Calibri"/>
          <w:color w:val="000000"/>
        </w:rPr>
        <w:t>interests from Apache Corporation and SandRidge</w:t>
      </w:r>
      <w:r w:rsidR="009E7D05">
        <w:rPr>
          <w:rFonts w:eastAsia="Calibri"/>
          <w:color w:val="000000"/>
        </w:rPr>
        <w:t xml:space="preserve"> </w:t>
      </w:r>
      <w:r w:rsidRPr="00F1041C">
        <w:rPr>
          <w:rFonts w:eastAsia="Calibri"/>
          <w:color w:val="000000"/>
        </w:rPr>
        <w:t>Energy, Inc. Fieldwood underwent a restructuring that concluded in April 2018 and resulted in the acquisition of Noble Energy’s deepwater Gulf of Mexico portfolio.</w:t>
      </w:r>
    </w:p>
    <w:p w14:paraId="49F97D5F" w14:textId="77777777" w:rsidR="00F1041C" w:rsidRPr="002248AA" w:rsidRDefault="00F1041C" w:rsidP="00955238">
      <w:pPr>
        <w:jc w:val="both"/>
        <w:rPr>
          <w:highlight w:val="yellow"/>
        </w:rPr>
      </w:pPr>
    </w:p>
    <w:p w14:paraId="034B7D8E" w14:textId="07A76DF3" w:rsidR="00F1041C" w:rsidRPr="00F1041C" w:rsidRDefault="00F1041C" w:rsidP="00955238">
      <w:pPr>
        <w:jc w:val="both"/>
        <w:rPr>
          <w:rFonts w:eastAsia="Cambria"/>
        </w:rPr>
      </w:pPr>
      <w:r w:rsidRPr="00F1041C">
        <w:rPr>
          <w:rFonts w:eastAsia="Cambria"/>
        </w:rPr>
        <w:t>In 2019, Fieldwood commenced its deepwater drilling program</w:t>
      </w:r>
      <w:r w:rsidR="00407D9F">
        <w:rPr>
          <w:rFonts w:eastAsia="Cambria"/>
        </w:rPr>
        <w:t>me</w:t>
      </w:r>
      <w:r w:rsidRPr="00F1041C">
        <w:rPr>
          <w:rFonts w:eastAsia="Cambria"/>
        </w:rPr>
        <w:t xml:space="preserve"> and encountered commercial discoveries at the Troika, Orlov, Katmai East, and Genovesa prospects. Fieldwood brought its first two deepwater wells online from its drilling campaign in November 2019, the Troika TA-3 and Troika TA-2 wells, which were producing approximately 20,000 boepd. </w:t>
      </w:r>
    </w:p>
    <w:p w14:paraId="021C747A" w14:textId="77777777" w:rsidR="00F1041C" w:rsidRPr="002248AA" w:rsidRDefault="00F1041C" w:rsidP="00955238">
      <w:pPr>
        <w:jc w:val="both"/>
        <w:rPr>
          <w:highlight w:val="yellow"/>
        </w:rPr>
      </w:pPr>
    </w:p>
    <w:p w14:paraId="18AD0F2B" w14:textId="3A70D91C" w:rsidR="00F1041C" w:rsidRPr="002248AA" w:rsidRDefault="00F1041C" w:rsidP="00955238">
      <w:pPr>
        <w:jc w:val="both"/>
        <w:rPr>
          <w:color w:val="000000"/>
          <w:highlight w:val="yellow"/>
        </w:rPr>
      </w:pPr>
      <w:r w:rsidRPr="00F1041C">
        <w:rPr>
          <w:rFonts w:eastAsia="Cambria"/>
          <w:color w:val="000000"/>
        </w:rPr>
        <w:t>As of 31 December 2019, REL’s interest in Fieldwood, through the Partnership, was valued at 0.5x Gross MOIC</w:t>
      </w:r>
      <w:r w:rsidRPr="00F1041C">
        <w:rPr>
          <w:rFonts w:eastAsia="Cambria"/>
          <w:color w:val="000000"/>
          <w:vertAlign w:val="superscript"/>
        </w:rPr>
        <w:t>(1)</w:t>
      </w:r>
      <w:r w:rsidRPr="00F1041C">
        <w:rPr>
          <w:rFonts w:eastAsia="Cambria"/>
          <w:color w:val="000000"/>
        </w:rPr>
        <w:t xml:space="preserve"> or $47 million (Realised: $8 million, Unrealised: $39 million). </w:t>
      </w:r>
      <w:r w:rsidRPr="00F1041C">
        <w:rPr>
          <w:rFonts w:eastAsia="Calibri"/>
          <w:color w:val="000000"/>
        </w:rPr>
        <w:t>The Gross MOIC</w:t>
      </w:r>
      <w:r w:rsidRPr="00F1041C">
        <w:rPr>
          <w:rFonts w:eastAsia="Calibri"/>
          <w:color w:val="000000"/>
          <w:vertAlign w:val="superscript"/>
        </w:rPr>
        <w:t>(1)</w:t>
      </w:r>
      <w:r w:rsidRPr="00F1041C">
        <w:rPr>
          <w:rFonts w:eastAsia="Calibri"/>
          <w:color w:val="000000"/>
        </w:rPr>
        <w:t xml:space="preserve"> decreased over the </w:t>
      </w:r>
      <w:r w:rsidR="00237601">
        <w:rPr>
          <w:rFonts w:eastAsia="Calibri"/>
          <w:color w:val="000000"/>
        </w:rPr>
        <w:t>p</w:t>
      </w:r>
      <w:r w:rsidRPr="00F1041C">
        <w:rPr>
          <w:rFonts w:eastAsia="Calibri"/>
          <w:color w:val="000000"/>
        </w:rPr>
        <w:t xml:space="preserve">eriod due to existing shelf production underperformance, an increase in capital expenditures due to a shift in focus towards higher impact deepwater prospects and increased regulatory scrutiny. </w:t>
      </w:r>
    </w:p>
    <w:p w14:paraId="422B9A7D" w14:textId="77777777" w:rsidR="00F1041C" w:rsidRPr="002248AA" w:rsidRDefault="00F1041C" w:rsidP="00955238">
      <w:pPr>
        <w:jc w:val="both"/>
        <w:rPr>
          <w:sz w:val="26"/>
          <w:highlight w:val="yellow"/>
        </w:rPr>
      </w:pPr>
    </w:p>
    <w:p w14:paraId="1DD296A1" w14:textId="77777777" w:rsidR="00F1041C" w:rsidRPr="00F1041C" w:rsidRDefault="00F1041C" w:rsidP="00955238">
      <w:pPr>
        <w:keepNext/>
        <w:keepLines/>
        <w:jc w:val="both"/>
        <w:outlineLvl w:val="2"/>
        <w:rPr>
          <w:rFonts w:eastAsia="MS Gothic"/>
          <w:bCs/>
          <w:sz w:val="26"/>
        </w:rPr>
      </w:pPr>
      <w:r w:rsidRPr="00F1041C">
        <w:rPr>
          <w:rFonts w:eastAsia="MS Gothic"/>
          <w:bCs/>
          <w:sz w:val="26"/>
        </w:rPr>
        <w:t>Onyx Power</w:t>
      </w:r>
    </w:p>
    <w:p w14:paraId="32E9715C" w14:textId="67E45870" w:rsidR="00F1041C" w:rsidRPr="00F1041C" w:rsidRDefault="00F1041C" w:rsidP="00955238">
      <w:pPr>
        <w:jc w:val="both"/>
        <w:rPr>
          <w:rFonts w:eastAsia="Calibri"/>
          <w:color w:val="000000"/>
        </w:rPr>
      </w:pPr>
      <w:r w:rsidRPr="00F1041C">
        <w:rPr>
          <w:rFonts w:eastAsia="Calibri"/>
          <w:color w:val="000000"/>
        </w:rPr>
        <w:t xml:space="preserve">As of 31 December 2019, REL, through the Partnership, has invested $31 million of its $66 million commitment to Onyx. Onyx is a European-based independent power producer that was created through the successful acquisition of 2,350MW of gross installed capacity (1,941MW of net installed capacity) of five coal- and biomass-fired power plants in Germany and the Netherlands from Engie SA. Two of the facilities in the current portfolio are among Europe’s most recently constructed thermal plants, which benefit from high efficiencies, substantial environmental controls, very low emissions profiles and the potential use of sustainable biomass. </w:t>
      </w:r>
    </w:p>
    <w:p w14:paraId="40AEAC37" w14:textId="77777777" w:rsidR="00F1041C" w:rsidRPr="00F1041C" w:rsidRDefault="00F1041C" w:rsidP="00955238">
      <w:pPr>
        <w:jc w:val="both"/>
        <w:rPr>
          <w:rFonts w:eastAsia="Calibri"/>
          <w:color w:val="000000"/>
        </w:rPr>
      </w:pPr>
    </w:p>
    <w:p w14:paraId="08119300" w14:textId="3547DBB6" w:rsidR="00F1041C" w:rsidRPr="002248AA" w:rsidRDefault="00F1041C" w:rsidP="00955238">
      <w:pPr>
        <w:jc w:val="both"/>
        <w:rPr>
          <w:color w:val="000000"/>
        </w:rPr>
      </w:pPr>
      <w:r w:rsidRPr="00F1041C">
        <w:rPr>
          <w:rFonts w:eastAsia="Calibri"/>
          <w:color w:val="000000"/>
        </w:rPr>
        <w:t xml:space="preserve">As of 31 December 2019, REL’s interest in Onyx, through the Partnership, was valued at 1.0x </w:t>
      </w:r>
      <w:r w:rsidRPr="00F1041C">
        <w:rPr>
          <w:rFonts w:eastAsia="Cambria"/>
          <w:color w:val="000000"/>
        </w:rPr>
        <w:t>Gross MOIC</w:t>
      </w:r>
      <w:r w:rsidRPr="00F1041C">
        <w:rPr>
          <w:rFonts w:eastAsia="Cambria"/>
          <w:color w:val="000000"/>
          <w:vertAlign w:val="superscript"/>
        </w:rPr>
        <w:t>(1)</w:t>
      </w:r>
      <w:r w:rsidRPr="002248AA">
        <w:rPr>
          <w:color w:val="000000"/>
          <w:vertAlign w:val="superscript"/>
        </w:rPr>
        <w:t xml:space="preserve"> </w:t>
      </w:r>
      <w:r w:rsidRPr="00F1041C">
        <w:rPr>
          <w:rFonts w:eastAsia="Cambria"/>
          <w:color w:val="000000"/>
        </w:rPr>
        <w:t>or $31 million.</w:t>
      </w:r>
    </w:p>
    <w:p w14:paraId="25411263" w14:textId="085DACC2" w:rsidR="00F1041C" w:rsidRPr="002248AA" w:rsidRDefault="00F1041C" w:rsidP="00955238">
      <w:pPr>
        <w:jc w:val="both"/>
        <w:rPr>
          <w:color w:val="000000"/>
        </w:rPr>
      </w:pPr>
    </w:p>
    <w:p w14:paraId="4C6B19F5" w14:textId="1C60028F" w:rsidR="00F1041C" w:rsidRPr="00F1041C" w:rsidRDefault="00F1041C" w:rsidP="00955238">
      <w:pPr>
        <w:keepNext/>
        <w:keepLines/>
        <w:jc w:val="both"/>
        <w:outlineLvl w:val="2"/>
        <w:rPr>
          <w:rFonts w:eastAsia="MS Gothic"/>
          <w:bCs/>
          <w:sz w:val="26"/>
        </w:rPr>
      </w:pPr>
      <w:r w:rsidRPr="00F1041C">
        <w:rPr>
          <w:rFonts w:eastAsia="MS Gothic"/>
          <w:bCs/>
          <w:sz w:val="26"/>
        </w:rPr>
        <w:t>Aleph</w:t>
      </w:r>
      <w:r w:rsidR="00194385">
        <w:rPr>
          <w:rFonts w:eastAsia="MS Gothic"/>
          <w:bCs/>
          <w:sz w:val="26"/>
        </w:rPr>
        <w:t xml:space="preserve"> Midstream</w:t>
      </w:r>
    </w:p>
    <w:p w14:paraId="43CFBC79" w14:textId="3DFB8891" w:rsidR="00F1041C" w:rsidRPr="00F1041C" w:rsidRDefault="00F1041C" w:rsidP="00955238">
      <w:pPr>
        <w:jc w:val="both"/>
        <w:rPr>
          <w:rFonts w:eastAsia="Cambria"/>
          <w:color w:val="000000"/>
        </w:rPr>
      </w:pPr>
      <w:r w:rsidRPr="00F1041C">
        <w:rPr>
          <w:rFonts w:eastAsia="Cambria"/>
          <w:color w:val="000000"/>
        </w:rPr>
        <w:t>As of 31 December 2019, REL, through the Partnership, has invested $23 million of its $100 million commitment to Aleph Midstream. Aleph</w:t>
      </w:r>
      <w:r w:rsidR="00A11CF8">
        <w:rPr>
          <w:rFonts w:eastAsia="Cambria"/>
          <w:color w:val="000000"/>
        </w:rPr>
        <w:t xml:space="preserve"> Midstream</w:t>
      </w:r>
      <w:r w:rsidRPr="00F1041C">
        <w:rPr>
          <w:rFonts w:eastAsia="Cambria"/>
          <w:color w:val="000000"/>
        </w:rPr>
        <w:t xml:space="preserve"> is the first independent midstream company focu</w:t>
      </w:r>
      <w:r w:rsidR="00CC687B">
        <w:rPr>
          <w:rFonts w:eastAsia="Cambria"/>
          <w:color w:val="000000"/>
        </w:rPr>
        <w:t>s</w:t>
      </w:r>
      <w:r w:rsidRPr="00F1041C">
        <w:rPr>
          <w:rFonts w:eastAsia="Cambria"/>
          <w:color w:val="000000"/>
        </w:rPr>
        <w:t>sed on gathering and processing infrastructure in the oil window of Argentina’s Vaca Muerta shale play</w:t>
      </w:r>
      <w:r w:rsidR="006F5EA6">
        <w:rPr>
          <w:rFonts w:eastAsia="Cambria"/>
          <w:color w:val="000000"/>
        </w:rPr>
        <w:t>.</w:t>
      </w:r>
    </w:p>
    <w:p w14:paraId="137E3A16" w14:textId="09A6A0A1" w:rsidR="00F1041C" w:rsidRPr="00F1041C" w:rsidRDefault="00F1041C" w:rsidP="00955238">
      <w:pPr>
        <w:jc w:val="both"/>
        <w:rPr>
          <w:rFonts w:eastAsia="Cambria"/>
          <w:color w:val="000000"/>
        </w:rPr>
      </w:pPr>
    </w:p>
    <w:p w14:paraId="6C872672" w14:textId="50AECB1F" w:rsidR="00F1041C" w:rsidRDefault="00F1041C" w:rsidP="00955238">
      <w:pPr>
        <w:jc w:val="both"/>
        <w:rPr>
          <w:rFonts w:eastAsia="Cambria"/>
          <w:color w:val="000000"/>
        </w:rPr>
      </w:pPr>
      <w:r w:rsidRPr="00F1041C">
        <w:rPr>
          <w:rFonts w:eastAsia="Cambria"/>
          <w:color w:val="000000"/>
        </w:rPr>
        <w:t>As of 31 December 2019, REL’s interest in Aleph</w:t>
      </w:r>
      <w:r w:rsidR="00194385">
        <w:rPr>
          <w:rFonts w:eastAsia="Cambria"/>
          <w:color w:val="000000"/>
        </w:rPr>
        <w:t xml:space="preserve"> Midstream</w:t>
      </w:r>
      <w:r w:rsidRPr="00F1041C">
        <w:rPr>
          <w:rFonts w:eastAsia="Cambria"/>
          <w:color w:val="000000"/>
        </w:rPr>
        <w:t>, through the Partnership, was valued at 1.0x Gross MOIC</w:t>
      </w:r>
      <w:r w:rsidRPr="00F1041C">
        <w:rPr>
          <w:rFonts w:eastAsia="Cambria"/>
          <w:color w:val="000000"/>
          <w:vertAlign w:val="superscript"/>
        </w:rPr>
        <w:t>(1)</w:t>
      </w:r>
      <w:r w:rsidRPr="002248AA">
        <w:rPr>
          <w:color w:val="000000"/>
          <w:vertAlign w:val="superscript"/>
        </w:rPr>
        <w:t xml:space="preserve"> </w:t>
      </w:r>
      <w:r w:rsidRPr="00F1041C">
        <w:rPr>
          <w:rFonts w:eastAsia="Cambria"/>
          <w:color w:val="000000"/>
        </w:rPr>
        <w:t>or $23 million.</w:t>
      </w:r>
    </w:p>
    <w:p w14:paraId="6308B1A1" w14:textId="5F9353B0" w:rsidR="008C734B" w:rsidRDefault="008C734B" w:rsidP="00955238">
      <w:pPr>
        <w:jc w:val="both"/>
        <w:rPr>
          <w:rFonts w:eastAsia="Cambria"/>
          <w:color w:val="000000"/>
        </w:rPr>
      </w:pPr>
    </w:p>
    <w:p w14:paraId="31FE7DDA" w14:textId="5CB337A8" w:rsidR="008C734B" w:rsidRPr="008C734B" w:rsidRDefault="008C734B" w:rsidP="00955238">
      <w:pPr>
        <w:pStyle w:val="Bodytext"/>
        <w:jc w:val="both"/>
        <w:rPr>
          <w:rFonts w:eastAsia="Cambria"/>
        </w:rPr>
      </w:pPr>
      <w:r w:rsidRPr="007B5927">
        <w:rPr>
          <w:rFonts w:eastAsia="Cambria"/>
        </w:rPr>
        <w:t>In February 2020, REL decided to unwind its commitment to Aleph</w:t>
      </w:r>
      <w:r>
        <w:rPr>
          <w:rFonts w:eastAsia="Cambria"/>
        </w:rPr>
        <w:t xml:space="preserve"> Midstream</w:t>
      </w:r>
      <w:r w:rsidRPr="007B5927">
        <w:rPr>
          <w:rFonts w:eastAsia="Cambria"/>
        </w:rPr>
        <w:t xml:space="preserve"> due to the macroeconomic conditions in Argentina as well as certain condition precedents that have not been met with its anchor customer. </w:t>
      </w:r>
      <w:r w:rsidR="005F13F7">
        <w:rPr>
          <w:rFonts w:eastAsia="Cambria"/>
        </w:rPr>
        <w:t xml:space="preserve">In March 2020, </w:t>
      </w:r>
      <w:r w:rsidRPr="007B5927">
        <w:rPr>
          <w:rFonts w:eastAsia="Cambria"/>
        </w:rPr>
        <w:t xml:space="preserve">REL </w:t>
      </w:r>
      <w:r w:rsidR="005F13F7">
        <w:rPr>
          <w:rFonts w:eastAsia="Cambria"/>
        </w:rPr>
        <w:t>was</w:t>
      </w:r>
      <w:r w:rsidRPr="007B5927">
        <w:rPr>
          <w:rFonts w:eastAsia="Cambria"/>
        </w:rPr>
        <w:t xml:space="preserve"> reimbursed for it</w:t>
      </w:r>
      <w:r>
        <w:rPr>
          <w:rFonts w:eastAsia="Cambria"/>
        </w:rPr>
        <w:t>s</w:t>
      </w:r>
      <w:r w:rsidRPr="007B5927">
        <w:rPr>
          <w:rFonts w:eastAsia="Cambria"/>
        </w:rPr>
        <w:t xml:space="preserve"> fund invested capital in Aleph</w:t>
      </w:r>
      <w:r>
        <w:rPr>
          <w:rFonts w:eastAsia="Cambria"/>
        </w:rPr>
        <w:t xml:space="preserve"> Midstream</w:t>
      </w:r>
      <w:r w:rsidRPr="007B5927">
        <w:rPr>
          <w:rFonts w:eastAsia="Cambria"/>
        </w:rPr>
        <w:t>.</w:t>
      </w:r>
    </w:p>
    <w:p w14:paraId="17DAD60F" w14:textId="77777777" w:rsidR="00F1041C" w:rsidRPr="002248AA" w:rsidRDefault="00F1041C" w:rsidP="00955238">
      <w:pPr>
        <w:jc w:val="both"/>
        <w:rPr>
          <w:color w:val="000000"/>
        </w:rPr>
      </w:pPr>
    </w:p>
    <w:p w14:paraId="4152ADA1" w14:textId="77777777" w:rsidR="00F1041C" w:rsidRPr="00F1041C" w:rsidRDefault="00F1041C" w:rsidP="00955238">
      <w:pPr>
        <w:keepNext/>
        <w:keepLines/>
        <w:jc w:val="both"/>
        <w:outlineLvl w:val="2"/>
        <w:rPr>
          <w:rFonts w:eastAsia="MS Gothic"/>
          <w:bCs/>
          <w:sz w:val="26"/>
        </w:rPr>
      </w:pPr>
      <w:r w:rsidRPr="00F1041C">
        <w:rPr>
          <w:rFonts w:eastAsia="MS Gothic"/>
          <w:bCs/>
          <w:sz w:val="26"/>
        </w:rPr>
        <w:t>Ridgebury H3</w:t>
      </w:r>
    </w:p>
    <w:p w14:paraId="1BDBCB76" w14:textId="5E4708D6" w:rsidR="00F1041C" w:rsidRPr="00F1041C" w:rsidRDefault="00F1041C" w:rsidP="00955238">
      <w:pPr>
        <w:jc w:val="both"/>
        <w:rPr>
          <w:rFonts w:eastAsia="Calibri"/>
          <w:color w:val="000000"/>
        </w:rPr>
      </w:pPr>
      <w:r w:rsidRPr="00F1041C">
        <w:rPr>
          <w:rFonts w:eastAsia="Cambria"/>
          <w:color w:val="000000"/>
        </w:rPr>
        <w:t xml:space="preserve">As of 31 December 2019, REL, through the Partnership, has invested $18 million of its $22 million commitment to Ridgebury H3. </w:t>
      </w:r>
      <w:r w:rsidRPr="00F1041C">
        <w:rPr>
          <w:rFonts w:eastAsia="Calibri"/>
          <w:color w:val="000000"/>
        </w:rPr>
        <w:t>The company is an international shipping company, targeting the Handy size tanker markets, and owns three approximately 10-year old Handy size product tankers. Ridgebury H3 is managed by the same team as Ridgebury Tankers, a Riverstone portfolio company led by Bob Burke, a long-time shipping executive with 30 years of shipping industry experience.</w:t>
      </w:r>
    </w:p>
    <w:p w14:paraId="5A193CC4" w14:textId="77777777" w:rsidR="00F1041C" w:rsidRPr="00F1041C" w:rsidRDefault="00F1041C" w:rsidP="00955238">
      <w:pPr>
        <w:jc w:val="both"/>
        <w:rPr>
          <w:rFonts w:eastAsia="Cambria"/>
          <w:color w:val="000000"/>
          <w:highlight w:val="yellow"/>
        </w:rPr>
      </w:pPr>
    </w:p>
    <w:p w14:paraId="153D0F4F" w14:textId="25FE05C2" w:rsidR="00F1041C" w:rsidRPr="002248AA" w:rsidRDefault="00F1041C" w:rsidP="00955238">
      <w:pPr>
        <w:jc w:val="both"/>
        <w:rPr>
          <w:color w:val="000000"/>
        </w:rPr>
      </w:pPr>
      <w:r w:rsidRPr="00F1041C">
        <w:rPr>
          <w:rFonts w:eastAsia="Cambria"/>
          <w:color w:val="000000"/>
        </w:rPr>
        <w:t>As of 31 December 2019, REL’s interest in Ridgebury H3, through the Partnership, was valued at 1.2x Gross MOIC</w:t>
      </w:r>
      <w:r w:rsidRPr="00F1041C">
        <w:rPr>
          <w:rFonts w:eastAsia="Cambria"/>
          <w:color w:val="000000"/>
          <w:vertAlign w:val="superscript"/>
        </w:rPr>
        <w:t>(1)</w:t>
      </w:r>
      <w:r w:rsidRPr="00F1041C">
        <w:rPr>
          <w:rFonts w:eastAsia="Cambria"/>
          <w:color w:val="000000"/>
        </w:rPr>
        <w:t xml:space="preserve"> or $22 million (Realised: $2 million, Unrealised: $20 million).</w:t>
      </w:r>
      <w:r w:rsidRPr="002248AA">
        <w:rPr>
          <w:color w:val="000000"/>
        </w:rPr>
        <w:t xml:space="preserve"> </w:t>
      </w:r>
      <w:r w:rsidRPr="00F1041C">
        <w:rPr>
          <w:rFonts w:eastAsia="Cambria"/>
          <w:color w:val="000000"/>
        </w:rPr>
        <w:t>The Gross MOIC</w:t>
      </w:r>
      <w:r w:rsidRPr="00F1041C">
        <w:rPr>
          <w:rFonts w:eastAsia="Cambria"/>
          <w:color w:val="000000"/>
          <w:vertAlign w:val="superscript"/>
        </w:rPr>
        <w:t>(1)</w:t>
      </w:r>
      <w:r w:rsidRPr="002248AA">
        <w:rPr>
          <w:color w:val="000000"/>
          <w:vertAlign w:val="superscript"/>
        </w:rPr>
        <w:t xml:space="preserve"> </w:t>
      </w:r>
      <w:r w:rsidRPr="00F1041C">
        <w:rPr>
          <w:rFonts w:eastAsia="Cambria"/>
          <w:color w:val="000000"/>
        </w:rPr>
        <w:t xml:space="preserve">increased during the </w:t>
      </w:r>
      <w:r w:rsidR="00237601">
        <w:rPr>
          <w:rFonts w:eastAsia="Cambria"/>
          <w:color w:val="000000"/>
        </w:rPr>
        <w:t>p</w:t>
      </w:r>
      <w:r w:rsidRPr="00F1041C">
        <w:rPr>
          <w:rFonts w:eastAsia="Cambria"/>
          <w:color w:val="000000"/>
        </w:rPr>
        <w:t xml:space="preserve">eriod to reflect </w:t>
      </w:r>
      <w:bookmarkStart w:id="9" w:name="_Hlk30512033"/>
      <w:r w:rsidRPr="00F1041C">
        <w:rPr>
          <w:rFonts w:eastAsia="Cambria"/>
          <w:color w:val="000000"/>
        </w:rPr>
        <w:t>strengthening in the Handymax tanker market environment</w:t>
      </w:r>
      <w:bookmarkEnd w:id="9"/>
      <w:r w:rsidRPr="00F1041C">
        <w:rPr>
          <w:rFonts w:eastAsia="Cambria"/>
          <w:color w:val="000000"/>
        </w:rPr>
        <w:t>.</w:t>
      </w:r>
    </w:p>
    <w:p w14:paraId="628116F3" w14:textId="77777777" w:rsidR="00F1041C" w:rsidRPr="002248AA" w:rsidRDefault="00F1041C" w:rsidP="00955238">
      <w:pPr>
        <w:jc w:val="both"/>
        <w:rPr>
          <w:color w:val="000000"/>
          <w:highlight w:val="yellow"/>
        </w:rPr>
      </w:pPr>
    </w:p>
    <w:p w14:paraId="0D5A4C89" w14:textId="77777777" w:rsidR="00F1041C" w:rsidRPr="002248AA" w:rsidRDefault="00F1041C" w:rsidP="00955238">
      <w:pPr>
        <w:keepNext/>
        <w:keepLines/>
        <w:jc w:val="both"/>
        <w:outlineLvl w:val="2"/>
        <w:rPr>
          <w:sz w:val="26"/>
        </w:rPr>
      </w:pPr>
      <w:r w:rsidRPr="002248AA">
        <w:rPr>
          <w:sz w:val="26"/>
        </w:rPr>
        <w:t xml:space="preserve">Castex 2014 </w:t>
      </w:r>
    </w:p>
    <w:p w14:paraId="5C36D898" w14:textId="7EFD7A34" w:rsidR="00F1041C" w:rsidRPr="002248AA" w:rsidRDefault="00F1041C" w:rsidP="00955238">
      <w:pPr>
        <w:jc w:val="both"/>
      </w:pPr>
      <w:r w:rsidRPr="00F1041C">
        <w:rPr>
          <w:rFonts w:eastAsia="Cambria"/>
          <w:color w:val="000000"/>
        </w:rPr>
        <w:t xml:space="preserve">As of 31 December 2019, REL, through the Partnership, has invested $52 million of its $67 million commitment to Castex 2014. </w:t>
      </w:r>
      <w:r w:rsidRPr="00F1041C">
        <w:rPr>
          <w:rFonts w:eastAsia="Calibri"/>
          <w:color w:val="000000"/>
        </w:rPr>
        <w:t xml:space="preserve">Castex 2014 is a Houston-based oil and gas company focussed on gas exploration opportunities in the U.S. Gulf Coast Region. </w:t>
      </w:r>
      <w:r w:rsidR="0042579F">
        <w:rPr>
          <w:rFonts w:eastAsia="Cambria"/>
        </w:rPr>
        <w:t>I</w:t>
      </w:r>
      <w:r w:rsidR="006F5EA6">
        <w:rPr>
          <w:rFonts w:eastAsia="Cambria"/>
        </w:rPr>
        <w:t>n Q4 2019, the company was sold to Talos for cash proceeds and Talos share</w:t>
      </w:r>
      <w:r w:rsidR="0042579F">
        <w:rPr>
          <w:rFonts w:eastAsia="Cambria"/>
        </w:rPr>
        <w:t>s</w:t>
      </w:r>
      <w:r w:rsidR="006F5EA6">
        <w:rPr>
          <w:rFonts w:eastAsia="Cambria"/>
        </w:rPr>
        <w:t>.</w:t>
      </w:r>
    </w:p>
    <w:p w14:paraId="13B34B7C" w14:textId="77777777" w:rsidR="00F1041C" w:rsidRPr="00F1041C" w:rsidRDefault="00F1041C" w:rsidP="00955238">
      <w:pPr>
        <w:jc w:val="both"/>
        <w:rPr>
          <w:rFonts w:eastAsia="Cambria"/>
        </w:rPr>
      </w:pPr>
    </w:p>
    <w:p w14:paraId="606386C6" w14:textId="2697E3E1" w:rsidR="00F1041C" w:rsidRPr="00F1041C" w:rsidRDefault="00F1041C" w:rsidP="00955238">
      <w:pPr>
        <w:jc w:val="both"/>
        <w:rPr>
          <w:rFonts w:eastAsia="Calibri"/>
        </w:rPr>
      </w:pPr>
      <w:r w:rsidRPr="002248AA">
        <w:t>As of 31 December 2019, REL’s interest in Castex 2014, through the Partnership, was valued at 0.</w:t>
      </w:r>
      <w:r w:rsidRPr="00F1041C">
        <w:rPr>
          <w:rFonts w:eastAsia="Cambria"/>
        </w:rPr>
        <w:t>4x</w:t>
      </w:r>
      <w:r w:rsidRPr="002248AA">
        <w:t xml:space="preserve"> Gross MOIC</w:t>
      </w:r>
      <w:r w:rsidRPr="002248AA">
        <w:rPr>
          <w:vertAlign w:val="superscript"/>
        </w:rPr>
        <w:t>(1)</w:t>
      </w:r>
      <w:r w:rsidRPr="002248AA">
        <w:t xml:space="preserve"> or $</w:t>
      </w:r>
      <w:r w:rsidRPr="00F1041C">
        <w:rPr>
          <w:rFonts w:eastAsia="Cambria"/>
        </w:rPr>
        <w:t>19</w:t>
      </w:r>
      <w:r w:rsidRPr="002248AA">
        <w:t xml:space="preserve"> million. The Gross MOIC</w:t>
      </w:r>
      <w:r w:rsidRPr="002248AA">
        <w:rPr>
          <w:vertAlign w:val="superscript"/>
        </w:rPr>
        <w:t>(1)</w:t>
      </w:r>
      <w:r w:rsidRPr="002248AA">
        <w:t xml:space="preserve"> </w:t>
      </w:r>
      <w:r w:rsidRPr="00F1041C">
        <w:rPr>
          <w:rFonts w:eastAsia="Calibri"/>
        </w:rPr>
        <w:t>decreased</w:t>
      </w:r>
      <w:r w:rsidRPr="002248AA">
        <w:t xml:space="preserve"> over the </w:t>
      </w:r>
      <w:r w:rsidR="00237601" w:rsidRPr="002248AA">
        <w:t>p</w:t>
      </w:r>
      <w:r w:rsidRPr="002248AA">
        <w:t>eriod</w:t>
      </w:r>
      <w:r w:rsidRPr="00F1041C">
        <w:rPr>
          <w:rFonts w:eastAsia="Calibri"/>
        </w:rPr>
        <w:t xml:space="preserve"> due to weak performance of public </w:t>
      </w:r>
      <w:r w:rsidRPr="00F1041C">
        <w:rPr>
          <w:rFonts w:eastAsia="Calibri"/>
        </w:rPr>
        <w:lastRenderedPageBreak/>
        <w:t>comparables and delays in the company’s development plan. As of 31 December 2019, the Gross MOIC reflected the mark-to-market value of REL’s shareholding in Talos shares.</w:t>
      </w:r>
    </w:p>
    <w:p w14:paraId="653632A5" w14:textId="77777777" w:rsidR="00F1041C" w:rsidRPr="002248AA" w:rsidRDefault="00F1041C" w:rsidP="00955238">
      <w:pPr>
        <w:jc w:val="both"/>
        <w:rPr>
          <w:color w:val="000000"/>
        </w:rPr>
      </w:pPr>
    </w:p>
    <w:p w14:paraId="6B41C02D" w14:textId="77777777" w:rsidR="00F1041C" w:rsidRPr="002248AA" w:rsidRDefault="00F1041C" w:rsidP="00955238">
      <w:pPr>
        <w:keepNext/>
        <w:keepLines/>
        <w:jc w:val="both"/>
        <w:outlineLvl w:val="2"/>
        <w:rPr>
          <w:sz w:val="26"/>
        </w:rPr>
      </w:pPr>
      <w:r w:rsidRPr="002248AA">
        <w:rPr>
          <w:sz w:val="26"/>
        </w:rPr>
        <w:t xml:space="preserve">CNOR </w:t>
      </w:r>
    </w:p>
    <w:p w14:paraId="54766F30" w14:textId="77777777" w:rsidR="00F1041C" w:rsidRPr="00F1041C" w:rsidRDefault="00F1041C" w:rsidP="00955238">
      <w:pPr>
        <w:jc w:val="both"/>
        <w:rPr>
          <w:rFonts w:eastAsia="Calibri"/>
          <w:color w:val="000000"/>
        </w:rPr>
      </w:pPr>
      <w:r w:rsidRPr="00F1041C" w:rsidDel="00B6143B">
        <w:rPr>
          <w:rFonts w:eastAsia="Cambria"/>
          <w:color w:val="000000"/>
        </w:rPr>
        <w:t xml:space="preserve">As of </w:t>
      </w:r>
      <w:r w:rsidRPr="00F1041C">
        <w:rPr>
          <w:rFonts w:eastAsia="Cambria"/>
          <w:color w:val="000000"/>
        </w:rPr>
        <w:t>31 December 2019, REL, through the Partnership, has invested in full its $90 million commitment to CNOR</w:t>
      </w:r>
      <w:r w:rsidRPr="00F1041C">
        <w:rPr>
          <w:rFonts w:eastAsia="Calibri"/>
          <w:color w:val="000000"/>
        </w:rPr>
        <w:t>. CNOR is a Calgary-based oil and gas company focussed on the Western Canadian Sedimentary Basin. The company invested in a joint venture with Tourmaline Oil Corp. targeting the Peace River High area (126,000 net acres), which it sold in 3Q19 for C$175 million.  Earlier in the year, CNOR closed on a strategic combination with publicly-traded Blackbird Energy to consolidate its ~25,000 net acre Pipestone Montney position with that of Blackbird’s offsetting ~73,000 acres. The pro forma company is named Pipestone Energy Corporation and trades under TSX-V: PIPE. During the period, Pipestone has brought incremental production online, following the completion of required infrastructure, and currently averages approximately 15,700 boepd, which is near the high end of the company’s 2019 exit production guidance of 14,000 to 16,000 boepd.</w:t>
      </w:r>
    </w:p>
    <w:p w14:paraId="5E94738E" w14:textId="77777777" w:rsidR="00F1041C" w:rsidRPr="002248AA" w:rsidRDefault="00F1041C" w:rsidP="00955238">
      <w:pPr>
        <w:jc w:val="both"/>
        <w:rPr>
          <w:color w:val="000000"/>
        </w:rPr>
      </w:pPr>
    </w:p>
    <w:p w14:paraId="0021F6BE" w14:textId="7746502A" w:rsidR="00F1041C" w:rsidRPr="002248AA" w:rsidRDefault="00F1041C" w:rsidP="00955238">
      <w:pPr>
        <w:jc w:val="both"/>
        <w:rPr>
          <w:color w:val="000000"/>
          <w:highlight w:val="yellow"/>
        </w:rPr>
      </w:pPr>
      <w:r w:rsidRPr="002248AA" w:rsidDel="00B6143B">
        <w:rPr>
          <w:color w:val="000000"/>
        </w:rPr>
        <w:t xml:space="preserve">As of </w:t>
      </w:r>
      <w:r w:rsidRPr="002248AA">
        <w:rPr>
          <w:color w:val="000000"/>
        </w:rPr>
        <w:t xml:space="preserve">31 December 2019, REL’s interest in </w:t>
      </w:r>
      <w:r w:rsidRPr="00F1041C">
        <w:rPr>
          <w:rFonts w:eastAsia="Cambria"/>
          <w:color w:val="000000"/>
        </w:rPr>
        <w:t>CNOR</w:t>
      </w:r>
      <w:r w:rsidRPr="002248AA">
        <w:rPr>
          <w:color w:val="000000"/>
        </w:rPr>
        <w:t xml:space="preserve">, through the Partnership, was valued at </w:t>
      </w:r>
      <w:r w:rsidRPr="00F1041C">
        <w:rPr>
          <w:rFonts w:eastAsia="Cambria"/>
          <w:color w:val="000000"/>
        </w:rPr>
        <w:t>0.3x</w:t>
      </w:r>
      <w:r w:rsidRPr="002248AA">
        <w:rPr>
          <w:color w:val="000000"/>
        </w:rPr>
        <w:t xml:space="preserve"> Gross MOIC</w:t>
      </w:r>
      <w:r w:rsidRPr="002248AA">
        <w:rPr>
          <w:color w:val="000000"/>
          <w:vertAlign w:val="superscript"/>
        </w:rPr>
        <w:t>(1)</w:t>
      </w:r>
      <w:r w:rsidRPr="002248AA">
        <w:rPr>
          <w:color w:val="000000"/>
        </w:rPr>
        <w:t xml:space="preserve"> or $</w:t>
      </w:r>
      <w:r w:rsidRPr="00F1041C">
        <w:rPr>
          <w:rFonts w:eastAsia="Cambria"/>
          <w:color w:val="000000"/>
        </w:rPr>
        <w:t>31 million (Realised: $16 million, Unrealised: $15 million).</w:t>
      </w:r>
      <w:r w:rsidRPr="00F1041C">
        <w:rPr>
          <w:rFonts w:eastAsia="Calibri"/>
          <w:color w:val="000000"/>
        </w:rPr>
        <w:t xml:space="preserve"> The Gross MOIC</w:t>
      </w:r>
      <w:r w:rsidRPr="00F1041C">
        <w:rPr>
          <w:rFonts w:eastAsia="Cambria"/>
          <w:color w:val="000000"/>
          <w:vertAlign w:val="superscript"/>
        </w:rPr>
        <w:t>(1)</w:t>
      </w:r>
      <w:r w:rsidRPr="00F1041C">
        <w:rPr>
          <w:rFonts w:eastAsia="Calibri"/>
          <w:color w:val="000000"/>
        </w:rPr>
        <w:t xml:space="preserve"> decreased over the </w:t>
      </w:r>
      <w:r w:rsidR="00237601">
        <w:rPr>
          <w:rFonts w:eastAsia="Calibri"/>
          <w:color w:val="000000"/>
        </w:rPr>
        <w:t>p</w:t>
      </w:r>
      <w:r w:rsidRPr="00F1041C">
        <w:rPr>
          <w:rFonts w:eastAsia="Calibri"/>
          <w:color w:val="000000"/>
        </w:rPr>
        <w:t>eriod and reflects the share price of Pipestone Energy Corporation</w:t>
      </w:r>
      <w:r w:rsidRPr="002248AA">
        <w:rPr>
          <w:color w:val="000000"/>
        </w:rPr>
        <w:t>.</w:t>
      </w:r>
    </w:p>
    <w:p w14:paraId="32037692" w14:textId="77777777" w:rsidR="00F1041C" w:rsidRPr="00F1041C" w:rsidRDefault="00F1041C" w:rsidP="00955238">
      <w:pPr>
        <w:keepNext/>
        <w:keepLines/>
        <w:jc w:val="both"/>
        <w:outlineLvl w:val="2"/>
        <w:rPr>
          <w:rFonts w:eastAsia="MS Gothic"/>
          <w:bCs/>
          <w:sz w:val="26"/>
        </w:rPr>
      </w:pPr>
    </w:p>
    <w:p w14:paraId="49E88493" w14:textId="77777777" w:rsidR="00F1041C" w:rsidRPr="002248AA" w:rsidRDefault="00F1041C" w:rsidP="00955238">
      <w:pPr>
        <w:keepNext/>
        <w:keepLines/>
        <w:jc w:val="both"/>
        <w:outlineLvl w:val="2"/>
        <w:rPr>
          <w:sz w:val="26"/>
        </w:rPr>
      </w:pPr>
      <w:r w:rsidRPr="002248AA">
        <w:rPr>
          <w:sz w:val="26"/>
        </w:rPr>
        <w:t>RCO</w:t>
      </w:r>
    </w:p>
    <w:p w14:paraId="7832D2D7" w14:textId="77777777" w:rsidR="00F1041C" w:rsidRPr="00F1041C" w:rsidRDefault="00F1041C" w:rsidP="00955238">
      <w:pPr>
        <w:jc w:val="both"/>
        <w:rPr>
          <w:rFonts w:eastAsia="Calibri"/>
          <w:color w:val="000000"/>
        </w:rPr>
      </w:pPr>
      <w:r w:rsidRPr="00F1041C">
        <w:rPr>
          <w:rFonts w:eastAsia="Cambria"/>
          <w:color w:val="000000"/>
        </w:rPr>
        <w:t xml:space="preserve">As of 31 December 2019, REL, through the Partnership, has invested in full its $80 million commitment to RCO, of which $79 million has been realised. </w:t>
      </w:r>
      <w:r w:rsidRPr="00F1041C">
        <w:rPr>
          <w:rFonts w:eastAsia="Calibri"/>
          <w:color w:val="000000"/>
        </w:rPr>
        <w:t xml:space="preserve">RCO was formed in January 2015 to take advantage of the dislocation in the leveraged capital markets for energy companies. Since its inception, RCO has made a total of </w:t>
      </w:r>
      <w:r w:rsidRPr="002248AA">
        <w:t>32</w:t>
      </w:r>
      <w:r w:rsidRPr="00F1041C">
        <w:rPr>
          <w:rFonts w:eastAsia="Calibri"/>
          <w:color w:val="000000"/>
        </w:rPr>
        <w:t xml:space="preserve"> investments, </w:t>
      </w:r>
      <w:r w:rsidRPr="002248AA">
        <w:t>31</w:t>
      </w:r>
      <w:r w:rsidRPr="00F1041C">
        <w:rPr>
          <w:rFonts w:eastAsia="Calibri"/>
          <w:color w:val="000000"/>
        </w:rPr>
        <w:t xml:space="preserve"> of which have been fully exited.</w:t>
      </w:r>
    </w:p>
    <w:p w14:paraId="50CF8155" w14:textId="77777777" w:rsidR="00F1041C" w:rsidRPr="00F1041C" w:rsidRDefault="00F1041C" w:rsidP="00955238">
      <w:pPr>
        <w:jc w:val="both"/>
        <w:rPr>
          <w:rFonts w:eastAsia="Calibri"/>
          <w:color w:val="000000"/>
        </w:rPr>
      </w:pPr>
    </w:p>
    <w:p w14:paraId="43A18434" w14:textId="77431015" w:rsidR="00F1041C" w:rsidRPr="00F1041C" w:rsidRDefault="00F1041C" w:rsidP="00955238">
      <w:pPr>
        <w:jc w:val="both"/>
        <w:rPr>
          <w:rFonts w:eastAsia="Cambria"/>
          <w:color w:val="000000"/>
        </w:rPr>
      </w:pPr>
      <w:r w:rsidRPr="00F1041C">
        <w:rPr>
          <w:rFonts w:eastAsia="Cambria"/>
          <w:color w:val="000000"/>
        </w:rPr>
        <w:t>As of 31 December 2019, REL’s interest in RCO, through the Partnership, was valued at 1.0x Gross MOIC</w:t>
      </w:r>
      <w:r w:rsidRPr="00F1041C">
        <w:rPr>
          <w:rFonts w:eastAsia="Cambria"/>
          <w:color w:val="000000"/>
          <w:vertAlign w:val="superscript"/>
        </w:rPr>
        <w:t>(1)</w:t>
      </w:r>
      <w:r w:rsidRPr="00F1041C">
        <w:rPr>
          <w:rFonts w:eastAsia="Cambria"/>
          <w:color w:val="000000"/>
        </w:rPr>
        <w:t xml:space="preserve"> or $81 million (Realised: $79 million, Unrealised: $2 million). </w:t>
      </w:r>
      <w:r w:rsidRPr="00F1041C">
        <w:rPr>
          <w:rFonts w:eastAsia="Calibri"/>
          <w:color w:val="000000"/>
        </w:rPr>
        <w:t>The Gross MOIC</w:t>
      </w:r>
      <w:r w:rsidRPr="00F1041C">
        <w:rPr>
          <w:rFonts w:eastAsia="Calibri"/>
          <w:color w:val="000000"/>
          <w:vertAlign w:val="superscript"/>
        </w:rPr>
        <w:t>(1)</w:t>
      </w:r>
      <w:r w:rsidRPr="00F1041C">
        <w:rPr>
          <w:rFonts w:eastAsia="Calibri"/>
          <w:color w:val="000000"/>
        </w:rPr>
        <w:t xml:space="preserve"> decreased over the </w:t>
      </w:r>
      <w:r w:rsidR="00237601">
        <w:rPr>
          <w:rFonts w:eastAsia="Calibri"/>
          <w:color w:val="000000"/>
        </w:rPr>
        <w:t>p</w:t>
      </w:r>
      <w:r w:rsidRPr="00F1041C">
        <w:rPr>
          <w:rFonts w:eastAsia="Calibri"/>
          <w:color w:val="000000"/>
        </w:rPr>
        <w:t>eriod</w:t>
      </w:r>
      <w:r w:rsidRPr="00F1041C">
        <w:rPr>
          <w:rFonts w:eastAsia="Cambria"/>
          <w:color w:val="000000"/>
        </w:rPr>
        <w:t xml:space="preserve"> to reflect </w:t>
      </w:r>
      <w:r w:rsidRPr="00F1041C">
        <w:rPr>
          <w:rFonts w:eastAsia="Calibri"/>
          <w:color w:val="000000"/>
        </w:rPr>
        <w:t>the mark-to-market value of RCO’s remaining underlying securities.</w:t>
      </w:r>
      <w:r w:rsidRPr="00F1041C">
        <w:rPr>
          <w:rFonts w:eastAsia="Cambria"/>
          <w:color w:val="000000"/>
        </w:rPr>
        <w:t xml:space="preserve"> </w:t>
      </w:r>
    </w:p>
    <w:p w14:paraId="26598F11" w14:textId="77777777" w:rsidR="00F1041C" w:rsidRPr="00F1041C" w:rsidRDefault="00F1041C" w:rsidP="00F1041C">
      <w:pPr>
        <w:rPr>
          <w:rFonts w:eastAsia="Cambria"/>
          <w:color w:val="000000"/>
        </w:rPr>
      </w:pPr>
    </w:p>
    <w:p w14:paraId="54D2404A" w14:textId="77777777" w:rsidR="00F1041C" w:rsidRPr="00F1041C" w:rsidRDefault="00F1041C" w:rsidP="00F1041C">
      <w:pPr>
        <w:keepNext/>
        <w:keepLines/>
        <w:outlineLvl w:val="2"/>
        <w:rPr>
          <w:rFonts w:eastAsia="MS Gothic"/>
          <w:b/>
          <w:bCs/>
          <w:sz w:val="26"/>
        </w:rPr>
      </w:pPr>
      <w:r w:rsidRPr="00F1041C">
        <w:rPr>
          <w:rFonts w:eastAsia="MS Gothic"/>
          <w:b/>
          <w:bCs/>
          <w:sz w:val="26"/>
        </w:rPr>
        <w:t>Realised Investments</w:t>
      </w:r>
    </w:p>
    <w:p w14:paraId="20F92ACE" w14:textId="77777777" w:rsidR="00F1041C" w:rsidRPr="002248AA" w:rsidRDefault="00F1041C" w:rsidP="002248AA">
      <w:pPr>
        <w:keepNext/>
        <w:keepLines/>
        <w:outlineLvl w:val="2"/>
        <w:rPr>
          <w:sz w:val="26"/>
        </w:rPr>
      </w:pPr>
    </w:p>
    <w:p w14:paraId="11EBE519" w14:textId="77777777" w:rsidR="00F1041C" w:rsidRPr="00F1041C" w:rsidRDefault="00F1041C" w:rsidP="00955238">
      <w:pPr>
        <w:keepNext/>
        <w:keepLines/>
        <w:jc w:val="both"/>
        <w:outlineLvl w:val="2"/>
        <w:rPr>
          <w:rFonts w:eastAsia="MS Gothic"/>
          <w:bCs/>
          <w:sz w:val="26"/>
        </w:rPr>
      </w:pPr>
      <w:r w:rsidRPr="00F1041C">
        <w:rPr>
          <w:rFonts w:eastAsia="MS Gothic"/>
          <w:bCs/>
          <w:sz w:val="26"/>
        </w:rPr>
        <w:t xml:space="preserve">Sierra </w:t>
      </w:r>
    </w:p>
    <w:p w14:paraId="21C0B5C4" w14:textId="77777777" w:rsidR="00F1041C" w:rsidRPr="00F1041C" w:rsidRDefault="00F1041C" w:rsidP="00955238">
      <w:pPr>
        <w:jc w:val="both"/>
        <w:rPr>
          <w:rFonts w:eastAsia="Cambria"/>
          <w:color w:val="000000"/>
        </w:rPr>
      </w:pPr>
      <w:r w:rsidRPr="00F1041C">
        <w:rPr>
          <w:rFonts w:eastAsia="Cambria"/>
          <w:color w:val="000000"/>
        </w:rPr>
        <w:t>Sierra was formed in September 2014 to pursue select upstream and midstream opportunities in Mexico as the energy industry underwent a historic period of reform and liberalisation. Through multiple consortia, Sierra won six offshore blocks with over 750,000 net acres, which made it the largest independent acreage holder in Mexico’s Sureste Basin by net acreage. In 2017, a consortium consisting of Sierra, Talos (a Riverstone portfolio company) and Premier Oil plc announced a historic oil discovery in the shallow waters of the Gulf of Mexico. The Zama 1 well, located in Mexico’s Block 7, confirmed the presence of a light oil resource estimated to be in the range 1.4 billion and 2.0 billion barrels of oil in place.</w:t>
      </w:r>
    </w:p>
    <w:p w14:paraId="7909F731" w14:textId="77777777" w:rsidR="00F1041C" w:rsidRPr="00F1041C" w:rsidRDefault="00F1041C" w:rsidP="00955238">
      <w:pPr>
        <w:jc w:val="both"/>
        <w:rPr>
          <w:rFonts w:eastAsia="Cambria"/>
          <w:color w:val="000000"/>
        </w:rPr>
      </w:pPr>
    </w:p>
    <w:p w14:paraId="0E5D0E96" w14:textId="75F04E3B" w:rsidR="00F1041C" w:rsidRPr="00F1041C" w:rsidRDefault="00F1041C" w:rsidP="00955238">
      <w:pPr>
        <w:jc w:val="both"/>
        <w:rPr>
          <w:rFonts w:eastAsia="Cambria"/>
        </w:rPr>
      </w:pPr>
      <w:r w:rsidRPr="00F1041C">
        <w:rPr>
          <w:rFonts w:eastAsia="Cambria"/>
          <w:color w:val="000000"/>
        </w:rPr>
        <w:t xml:space="preserve">In the fourth quarter of 2018, Riverstone </w:t>
      </w:r>
      <w:r w:rsidRPr="00F1041C">
        <w:rPr>
          <w:rFonts w:eastAsia="Calibri"/>
          <w:color w:val="000000"/>
        </w:rPr>
        <w:t>announced that it had agreed to the sale of 100 per cent. of its membership interests in Sierra to DEA Deutsche Erdoel AG (“DEA”), an international independent exploration and production company headquartered in Germany. The transaction subsequently closed in March 2019</w:t>
      </w:r>
      <w:r w:rsidRPr="00F1041C">
        <w:rPr>
          <w:rFonts w:eastAsia="Cambria"/>
        </w:rPr>
        <w:t>, following approval by Mexico</w:t>
      </w:r>
      <w:r w:rsidR="00A11CF8">
        <w:rPr>
          <w:rFonts w:eastAsia="Cambria"/>
        </w:rPr>
        <w:t>’</w:t>
      </w:r>
      <w:r w:rsidRPr="00F1041C">
        <w:rPr>
          <w:rFonts w:eastAsia="Cambria"/>
        </w:rPr>
        <w:t>s antitrust and hydrocarbons regulators. At closing, REL received $37 million of upfront cash, then subsequently received an additional $3 million in April 2019 as part of an earn-out related to appraisal and exploration activities. T</w:t>
      </w:r>
      <w:r w:rsidRPr="00F1041C">
        <w:rPr>
          <w:rFonts w:eastAsia="Cambria"/>
          <w:color w:val="000000"/>
        </w:rPr>
        <w:t>his implies a Gross MOIC</w:t>
      </w:r>
      <w:r w:rsidRPr="00F1041C">
        <w:rPr>
          <w:rFonts w:eastAsia="Cambria"/>
          <w:color w:val="000000"/>
          <w:vertAlign w:val="superscript"/>
        </w:rPr>
        <w:t>(1)</w:t>
      </w:r>
      <w:r w:rsidRPr="00F1041C">
        <w:rPr>
          <w:rFonts w:eastAsia="Cambria"/>
          <w:color w:val="000000"/>
        </w:rPr>
        <w:t xml:space="preserve"> of 2.1x, a Gross IRR</w:t>
      </w:r>
      <w:r w:rsidRPr="00F1041C">
        <w:rPr>
          <w:rFonts w:eastAsia="Cambria"/>
          <w:color w:val="000000"/>
          <w:vertAlign w:val="superscript"/>
        </w:rPr>
        <w:t>(1)</w:t>
      </w:r>
      <w:r w:rsidRPr="00F1041C">
        <w:rPr>
          <w:rFonts w:eastAsia="Cambria"/>
          <w:color w:val="000000"/>
        </w:rPr>
        <w:t xml:space="preserve"> of 55 per cent. and a gain of $21 million on the Company</w:t>
      </w:r>
      <w:r w:rsidR="00A11CF8">
        <w:rPr>
          <w:rFonts w:eastAsia="Cambria"/>
          <w:color w:val="000000"/>
        </w:rPr>
        <w:t>’</w:t>
      </w:r>
      <w:r w:rsidRPr="00F1041C">
        <w:rPr>
          <w:rFonts w:eastAsia="Cambria"/>
          <w:color w:val="000000"/>
        </w:rPr>
        <w:t>s investment, through the Partnership, of $18 million</w:t>
      </w:r>
      <w:r w:rsidRPr="002248AA">
        <w:rPr>
          <w:color w:val="000000"/>
        </w:rPr>
        <w:t>.</w:t>
      </w:r>
    </w:p>
    <w:p w14:paraId="230546AB" w14:textId="77777777" w:rsidR="00F1041C" w:rsidRPr="00F1041C" w:rsidRDefault="00F1041C" w:rsidP="00955238">
      <w:pPr>
        <w:keepNext/>
        <w:keepLines/>
        <w:jc w:val="both"/>
        <w:outlineLvl w:val="2"/>
        <w:rPr>
          <w:rFonts w:eastAsia="MS Gothic"/>
          <w:bCs/>
          <w:sz w:val="26"/>
          <w:highlight w:val="yellow"/>
        </w:rPr>
      </w:pPr>
    </w:p>
    <w:p w14:paraId="1C74CE1D" w14:textId="2530B010" w:rsidR="00F1041C" w:rsidRPr="002248AA" w:rsidRDefault="00F1041C" w:rsidP="00955238">
      <w:pPr>
        <w:jc w:val="both"/>
      </w:pPr>
      <w:r w:rsidRPr="00F1041C">
        <w:rPr>
          <w:rFonts w:eastAsia="Cambria"/>
        </w:rPr>
        <w:t xml:space="preserve">As of 31 December 2019, REL’s total interest in Sierra, through the Partnership, was valued at </w:t>
      </w:r>
      <w:r w:rsidRPr="002248AA">
        <w:t>2.1</w:t>
      </w:r>
      <w:r w:rsidRPr="00F1041C">
        <w:rPr>
          <w:rFonts w:eastAsia="Cambria"/>
        </w:rPr>
        <w:t>x Gross MOIC</w:t>
      </w:r>
      <w:r w:rsidRPr="00F1041C">
        <w:rPr>
          <w:rFonts w:eastAsia="Cambria"/>
          <w:vertAlign w:val="superscript"/>
        </w:rPr>
        <w:t>(1)</w:t>
      </w:r>
      <w:r w:rsidRPr="00F1041C">
        <w:rPr>
          <w:rFonts w:eastAsia="Cambria"/>
        </w:rPr>
        <w:t xml:space="preserve"> or $</w:t>
      </w:r>
      <w:r w:rsidRPr="002248AA">
        <w:t xml:space="preserve">39 </w:t>
      </w:r>
      <w:r w:rsidRPr="00F1041C">
        <w:rPr>
          <w:rFonts w:eastAsia="Cambria"/>
        </w:rPr>
        <w:t>million (100 per cent. realised).</w:t>
      </w:r>
    </w:p>
    <w:p w14:paraId="4813E6A8" w14:textId="77777777" w:rsidR="00F1041C" w:rsidRPr="002248AA" w:rsidRDefault="00F1041C" w:rsidP="00955238">
      <w:pPr>
        <w:jc w:val="both"/>
        <w:rPr>
          <w:highlight w:val="yellow"/>
        </w:rPr>
      </w:pPr>
    </w:p>
    <w:p w14:paraId="3E8496BE" w14:textId="77777777" w:rsidR="00F1041C" w:rsidRPr="00F1041C" w:rsidRDefault="00F1041C" w:rsidP="00955238">
      <w:pPr>
        <w:keepNext/>
        <w:keepLines/>
        <w:jc w:val="both"/>
        <w:outlineLvl w:val="2"/>
        <w:rPr>
          <w:rFonts w:eastAsia="MS Gothic"/>
          <w:bCs/>
          <w:sz w:val="26"/>
          <w:highlight w:val="yellow"/>
        </w:rPr>
      </w:pPr>
      <w:r w:rsidRPr="00F1041C">
        <w:rPr>
          <w:rFonts w:eastAsia="MS Gothic"/>
          <w:bCs/>
          <w:sz w:val="26"/>
        </w:rPr>
        <w:t xml:space="preserve">Meritage III </w:t>
      </w:r>
    </w:p>
    <w:p w14:paraId="7F97DD72" w14:textId="77777777" w:rsidR="00F1041C" w:rsidRPr="00F1041C" w:rsidRDefault="00F1041C" w:rsidP="00955238">
      <w:pPr>
        <w:jc w:val="both"/>
        <w:rPr>
          <w:rFonts w:eastAsia="Calibri"/>
          <w:color w:val="000000"/>
        </w:rPr>
      </w:pPr>
      <w:r w:rsidRPr="00F1041C">
        <w:rPr>
          <w:rFonts w:eastAsia="Cambria"/>
          <w:color w:val="000000"/>
        </w:rPr>
        <w:t xml:space="preserve">Meritage III was established in April 2015 to pursue greenfield development opportunities and opportunistic acquisitions for the gathering, treating and handling of natural gas, NGLs and crude oil in Western Canada. </w:t>
      </w:r>
      <w:r w:rsidRPr="00F1041C">
        <w:rPr>
          <w:rFonts w:eastAsia="Calibri"/>
          <w:color w:val="000000"/>
        </w:rPr>
        <w:t xml:space="preserve">Since inception, the company has </w:t>
      </w:r>
      <w:r w:rsidRPr="002248AA">
        <w:rPr>
          <w:color w:val="000000"/>
        </w:rPr>
        <w:t xml:space="preserve">constructed and commissioned two gas processing facilities, underpinned by gas gathering and processing agreements with Hammerhead and three additional operators. </w:t>
      </w:r>
      <w:r w:rsidRPr="00F1041C">
        <w:rPr>
          <w:rFonts w:eastAsia="Calibri"/>
          <w:color w:val="000000"/>
        </w:rPr>
        <w:t xml:space="preserve">In the second quarter of 2018, Meritage III executed an additional offtake agreement with Hammerhead which supported the construction of a third gas processing facility, and in the third quarter of 2018, it also expanded its gathering and processing agreement with Velvet Energy Ltd. </w:t>
      </w:r>
    </w:p>
    <w:p w14:paraId="00176A3C" w14:textId="77777777" w:rsidR="00F1041C" w:rsidRPr="00F1041C" w:rsidRDefault="00F1041C" w:rsidP="00955238">
      <w:pPr>
        <w:jc w:val="both"/>
        <w:rPr>
          <w:rFonts w:eastAsia="Cambria"/>
          <w:color w:val="000000"/>
        </w:rPr>
      </w:pPr>
    </w:p>
    <w:p w14:paraId="1D53312D" w14:textId="1EF6167C" w:rsidR="00F1041C" w:rsidRPr="00F1041C" w:rsidRDefault="00F1041C" w:rsidP="00955238">
      <w:pPr>
        <w:jc w:val="both"/>
        <w:rPr>
          <w:rFonts w:eastAsia="Cambria"/>
          <w:color w:val="000000"/>
        </w:rPr>
      </w:pPr>
      <w:r w:rsidRPr="00F1041C">
        <w:rPr>
          <w:rFonts w:eastAsia="Cambria"/>
          <w:color w:val="000000"/>
        </w:rPr>
        <w:t xml:space="preserve">In January 2019, REL announced the sale of Meritage III to a newly formed joint venture between SemGroup Corporation (NYSE: SEMG) and KKR &amp; Co. Inc., for aggregate gross proceeds to Meritage III of C$600 million (US$449 million). The transaction closed in February 2019, </w:t>
      </w:r>
      <w:r w:rsidRPr="00F1041C">
        <w:rPr>
          <w:rFonts w:eastAsia="Cambria"/>
        </w:rPr>
        <w:t xml:space="preserve">resulting in gross proceeds to REL of $83 million. This implies a gross multiple of invested capital of 2.1x, a gross IRR of 30 per cent. and a gain of $44 million </w:t>
      </w:r>
      <w:r w:rsidRPr="00F1041C">
        <w:rPr>
          <w:rFonts w:eastAsia="Cambria"/>
        </w:rPr>
        <w:lastRenderedPageBreak/>
        <w:t>on the Company</w:t>
      </w:r>
      <w:r w:rsidR="00A11CF8">
        <w:rPr>
          <w:rFonts w:eastAsia="Cambria"/>
        </w:rPr>
        <w:t>’</w:t>
      </w:r>
      <w:r w:rsidRPr="00F1041C">
        <w:rPr>
          <w:rFonts w:eastAsia="Cambria"/>
        </w:rPr>
        <w:t>s investment, through the Partnership, of $40 million. The MOIC and IRR, net of performance allocation and estimated taxes, are approximately 1.9x and 26 per cent., respectively.</w:t>
      </w:r>
    </w:p>
    <w:p w14:paraId="1B9259BA" w14:textId="77777777" w:rsidR="00F1041C" w:rsidRPr="00F1041C" w:rsidRDefault="00F1041C" w:rsidP="00955238">
      <w:pPr>
        <w:jc w:val="both"/>
        <w:rPr>
          <w:rFonts w:eastAsia="Cambria"/>
          <w:color w:val="000000"/>
          <w:highlight w:val="yellow"/>
        </w:rPr>
      </w:pPr>
    </w:p>
    <w:p w14:paraId="2DEA5574" w14:textId="74F04528" w:rsidR="00F1041C" w:rsidRPr="002248AA" w:rsidRDefault="00F1041C" w:rsidP="00955238">
      <w:pPr>
        <w:jc w:val="both"/>
        <w:rPr>
          <w:highlight w:val="yellow"/>
        </w:rPr>
      </w:pPr>
      <w:r w:rsidRPr="00F1041C">
        <w:rPr>
          <w:rFonts w:eastAsia="Cambria"/>
        </w:rPr>
        <w:t>As of 31 December 2019, REL’s total interest in Meritage III, through the Partnership, was valued at 2.1x Gross MOIC</w:t>
      </w:r>
      <w:r w:rsidRPr="00F1041C">
        <w:rPr>
          <w:rFonts w:eastAsia="Cambria"/>
          <w:vertAlign w:val="superscript"/>
        </w:rPr>
        <w:t>(1)</w:t>
      </w:r>
      <w:r w:rsidRPr="00F1041C">
        <w:rPr>
          <w:rFonts w:eastAsia="Cambria"/>
        </w:rPr>
        <w:t xml:space="preserve"> or $83 million (100 per cent. realised).</w:t>
      </w:r>
    </w:p>
    <w:p w14:paraId="11DD19D6" w14:textId="77777777" w:rsidR="00F1041C" w:rsidRPr="002248AA" w:rsidRDefault="00F1041C" w:rsidP="00955238">
      <w:pPr>
        <w:jc w:val="both"/>
        <w:rPr>
          <w:color w:val="000000"/>
          <w:highlight w:val="yellow"/>
        </w:rPr>
      </w:pPr>
    </w:p>
    <w:p w14:paraId="6A34EBC9" w14:textId="77777777" w:rsidR="00F1041C" w:rsidRPr="002248AA" w:rsidRDefault="00F1041C" w:rsidP="00955238">
      <w:pPr>
        <w:keepNext/>
        <w:keepLines/>
        <w:jc w:val="both"/>
        <w:outlineLvl w:val="2"/>
        <w:rPr>
          <w:b/>
          <w:sz w:val="26"/>
        </w:rPr>
      </w:pPr>
      <w:r w:rsidRPr="002248AA">
        <w:rPr>
          <w:b/>
          <w:sz w:val="26"/>
        </w:rPr>
        <w:t>Withdrawn Commitments and Impairments</w:t>
      </w:r>
    </w:p>
    <w:p w14:paraId="0B4679B1" w14:textId="77777777" w:rsidR="00F1041C" w:rsidRPr="002248AA" w:rsidRDefault="00F1041C" w:rsidP="00955238">
      <w:pPr>
        <w:jc w:val="both"/>
      </w:pPr>
    </w:p>
    <w:p w14:paraId="29B73A3E" w14:textId="77777777" w:rsidR="00F1041C" w:rsidRPr="00F1041C" w:rsidRDefault="00F1041C" w:rsidP="00955238">
      <w:pPr>
        <w:keepNext/>
        <w:keepLines/>
        <w:jc w:val="both"/>
        <w:outlineLvl w:val="2"/>
        <w:rPr>
          <w:rFonts w:eastAsia="MS Gothic"/>
          <w:bCs/>
          <w:sz w:val="26"/>
        </w:rPr>
      </w:pPr>
      <w:r w:rsidRPr="00F1041C">
        <w:rPr>
          <w:rFonts w:eastAsia="MS Gothic"/>
          <w:bCs/>
          <w:sz w:val="26"/>
        </w:rPr>
        <w:t>Eagle II</w:t>
      </w:r>
    </w:p>
    <w:p w14:paraId="2E3BDD81" w14:textId="70B0D899" w:rsidR="00955238" w:rsidRPr="002248AA" w:rsidRDefault="00F1041C" w:rsidP="00955238">
      <w:pPr>
        <w:spacing w:after="200"/>
        <w:jc w:val="both"/>
        <w:rPr>
          <w:color w:val="000000"/>
        </w:rPr>
      </w:pPr>
      <w:r w:rsidRPr="002248AA">
        <w:t>During 2Q 2019, REL, through the Partnership, wrote-off its investment in Eagle II of $6</w:t>
      </w:r>
      <w:r w:rsidR="00926940">
        <w:t>2</w:t>
      </w:r>
      <w:r w:rsidRPr="002248AA">
        <w:t xml:space="preserve"> million after the company signed a PSA to sell its SCOOP assets. The proceeds from the sale </w:t>
      </w:r>
      <w:r w:rsidRPr="00F1041C">
        <w:rPr>
          <w:rFonts w:eastAsia="Cambria"/>
        </w:rPr>
        <w:t>were</w:t>
      </w:r>
      <w:r w:rsidRPr="002248AA">
        <w:t xml:space="preserve"> used to repay </w:t>
      </w:r>
      <w:r w:rsidRPr="00F1041C">
        <w:rPr>
          <w:rFonts w:eastAsia="Cambria"/>
        </w:rPr>
        <w:t xml:space="preserve">a portion of the company’s outstanding </w:t>
      </w:r>
      <w:r w:rsidRPr="002248AA">
        <w:t xml:space="preserve">debt. </w:t>
      </w:r>
      <w:r w:rsidRPr="00F1041C">
        <w:rPr>
          <w:rFonts w:eastAsia="Cambria"/>
        </w:rPr>
        <w:t>REL does not anticipate future proceeds to be realised on this investment.</w:t>
      </w:r>
    </w:p>
    <w:p w14:paraId="3D3A075C" w14:textId="77777777" w:rsidR="00F1041C" w:rsidRPr="002248AA" w:rsidRDefault="00F1041C" w:rsidP="00955238">
      <w:pPr>
        <w:ind w:left="567" w:hanging="567"/>
        <w:jc w:val="both"/>
        <w:outlineLvl w:val="1"/>
        <w:rPr>
          <w:b/>
          <w:sz w:val="28"/>
        </w:rPr>
      </w:pPr>
      <w:r w:rsidRPr="002248AA">
        <w:rPr>
          <w:b/>
          <w:sz w:val="28"/>
        </w:rPr>
        <w:t>Valuation</w:t>
      </w:r>
    </w:p>
    <w:p w14:paraId="763937B3" w14:textId="51D3FEBD" w:rsidR="00F1041C" w:rsidRPr="00F1041C" w:rsidRDefault="00F1041C" w:rsidP="00955238">
      <w:pPr>
        <w:jc w:val="both"/>
        <w:rPr>
          <w:rFonts w:eastAsia="Cambria"/>
          <w:lang w:val="en-US"/>
        </w:rPr>
      </w:pPr>
      <w:r w:rsidRPr="00F1041C">
        <w:rPr>
          <w:rFonts w:eastAsia="Cambria"/>
          <w:lang w:val="en-US"/>
        </w:rPr>
        <w:t>The Investment Manager is charged with proposing the valuation of the assets held by REL through the Partnership. The Partnership has directed that securities and instruments be valued at their fair value. REL’s valuation policy is compliant with IFRS and IPEV Valuation Guidelines</w:t>
      </w:r>
      <w:r w:rsidRPr="002248AA">
        <w:rPr>
          <w:sz w:val="22"/>
        </w:rPr>
        <w:t xml:space="preserve"> </w:t>
      </w:r>
      <w:r w:rsidRPr="00F1041C">
        <w:rPr>
          <w:rFonts w:eastAsia="Cambria"/>
          <w:lang w:val="en-US"/>
        </w:rPr>
        <w:t xml:space="preserve">and has been applied consistently from period to period since inception. </w:t>
      </w:r>
      <w:r w:rsidRPr="00F1041C">
        <w:rPr>
          <w:rFonts w:eastAsia="Cambria"/>
        </w:rPr>
        <w:t>As the Company’s investments are generally not publicly quoted, valuations require meaningful judgment to establish a range of values, and the ultimate value at which an investment is realised may differ from its most recent valuation and the difference may be significant.</w:t>
      </w:r>
    </w:p>
    <w:p w14:paraId="0C1AC1B8" w14:textId="77777777" w:rsidR="00F1041C" w:rsidRPr="00F1041C" w:rsidRDefault="00F1041C" w:rsidP="00955238">
      <w:pPr>
        <w:jc w:val="both"/>
        <w:rPr>
          <w:rFonts w:eastAsia="Cambria"/>
          <w:lang w:val="en-US"/>
        </w:rPr>
      </w:pPr>
    </w:p>
    <w:p w14:paraId="798674B3" w14:textId="626B083D" w:rsidR="00F1041C" w:rsidRPr="00F1041C" w:rsidRDefault="00F1041C" w:rsidP="00955238">
      <w:pPr>
        <w:jc w:val="both"/>
        <w:rPr>
          <w:rFonts w:eastAsia="Cambria"/>
        </w:rPr>
      </w:pPr>
      <w:r w:rsidRPr="00F1041C">
        <w:rPr>
          <w:rFonts w:eastAsia="Cambria"/>
          <w:lang w:val="en-US"/>
        </w:rPr>
        <w:t>The Investment Manager values each underlying investment in accordance with the Riverstone valuation policy, the IFRS accounting standards and IPEV Valuation Guidelines. The value of REL’s portion of that investment is derived by multiplying its ownership percentage by the value of the underlying investment. If there is any divergence between the Riverstone valuation policy and REL’s valuation policy, the Partnership’s proportion of the total holding will follow REL’s valuation policy.</w:t>
      </w:r>
      <w:r w:rsidRPr="00F1041C">
        <w:rPr>
          <w:rFonts w:eastAsia="Cambria"/>
          <w:szCs w:val="22"/>
        </w:rPr>
        <w:t xml:space="preserve"> </w:t>
      </w:r>
      <w:r w:rsidRPr="00F1041C">
        <w:rPr>
          <w:rFonts w:eastAsia="Cambria"/>
          <w:lang w:val="en-US"/>
        </w:rPr>
        <w:t xml:space="preserve">There were no valuation adjustments recorded by REL as a result of differences between IFRS and U.S. Generally Accepted Accounting Principles for the </w:t>
      </w:r>
      <w:r w:rsidR="009411FA">
        <w:rPr>
          <w:rFonts w:eastAsia="Cambria"/>
          <w:lang w:val="en-US"/>
        </w:rPr>
        <w:t>year</w:t>
      </w:r>
      <w:r w:rsidRPr="00F1041C">
        <w:rPr>
          <w:rFonts w:eastAsia="Cambria"/>
          <w:lang w:val="en-US"/>
        </w:rPr>
        <w:t xml:space="preserve"> ended 31 December 2019 or in any period to date.</w:t>
      </w:r>
      <w:r w:rsidRPr="00F1041C">
        <w:rPr>
          <w:rFonts w:eastAsia="Cambria"/>
          <w:szCs w:val="22"/>
        </w:rPr>
        <w:t xml:space="preserve"> </w:t>
      </w:r>
      <w:r w:rsidRPr="00F1041C">
        <w:rPr>
          <w:rFonts w:eastAsia="Cambria"/>
          <w:lang w:val="en-US"/>
        </w:rPr>
        <w:t xml:space="preserve"> Valuations of REL’s investments through the Partnership are determined by the Investment Manager and disclosed quarterly to investors, subject to Board approval.</w:t>
      </w:r>
    </w:p>
    <w:p w14:paraId="3637F475" w14:textId="77777777" w:rsidR="00F1041C" w:rsidRPr="00F1041C" w:rsidRDefault="00F1041C" w:rsidP="00955238">
      <w:pPr>
        <w:jc w:val="both"/>
        <w:rPr>
          <w:rFonts w:eastAsia="Cambria"/>
        </w:rPr>
      </w:pPr>
    </w:p>
    <w:p w14:paraId="1BAA090B" w14:textId="77777777" w:rsidR="00F1041C" w:rsidRPr="00F1041C" w:rsidRDefault="00F1041C" w:rsidP="00955238">
      <w:pPr>
        <w:jc w:val="both"/>
        <w:rPr>
          <w:rFonts w:eastAsia="Cambria"/>
        </w:rPr>
      </w:pPr>
      <w:r w:rsidRPr="00F1041C">
        <w:rPr>
          <w:rFonts w:eastAsia="Cambria"/>
        </w:rPr>
        <w:t>Riverstone values its investments using common industry valuation techniques, including comparable public market valuation, comparable merger and acquisition transaction valuation, and discounted cash flow valuation.</w:t>
      </w:r>
    </w:p>
    <w:p w14:paraId="6529AAFC" w14:textId="77777777" w:rsidR="00F1041C" w:rsidRPr="00F1041C" w:rsidRDefault="00F1041C" w:rsidP="00955238">
      <w:pPr>
        <w:jc w:val="both"/>
        <w:rPr>
          <w:rFonts w:eastAsia="Cambria"/>
        </w:rPr>
      </w:pPr>
    </w:p>
    <w:p w14:paraId="0A916409" w14:textId="77777777" w:rsidR="00F1041C" w:rsidRPr="00F1041C" w:rsidRDefault="00F1041C" w:rsidP="00955238">
      <w:pPr>
        <w:jc w:val="both"/>
        <w:rPr>
          <w:rFonts w:eastAsia="Cambria"/>
        </w:rPr>
      </w:pPr>
      <w:r w:rsidRPr="00F1041C">
        <w:rPr>
          <w:rFonts w:eastAsia="Cambria"/>
        </w:rPr>
        <w:t>For development-type investments, Riverstone also considers the recognition of appreciation or depreciation of subsequent financing rounds, if any. For those early stage privately held companies where there are other indicators of a decline in the value of the investment, Riverstone will value the investment accordingly even in the absence of a subsequent financing round.</w:t>
      </w:r>
    </w:p>
    <w:p w14:paraId="06B7629F" w14:textId="77777777" w:rsidR="00F1041C" w:rsidRPr="00F1041C" w:rsidRDefault="00F1041C" w:rsidP="00955238">
      <w:pPr>
        <w:jc w:val="both"/>
        <w:rPr>
          <w:rFonts w:eastAsia="Cambria"/>
        </w:rPr>
      </w:pPr>
    </w:p>
    <w:p w14:paraId="444F2DD3" w14:textId="77777777" w:rsidR="00F1041C" w:rsidRPr="00F1041C" w:rsidRDefault="00F1041C" w:rsidP="00955238">
      <w:pPr>
        <w:jc w:val="both"/>
        <w:rPr>
          <w:rFonts w:eastAsia="Cambria"/>
        </w:rPr>
      </w:pPr>
      <w:r w:rsidRPr="00F1041C">
        <w:rPr>
          <w:rFonts w:eastAsia="Cambria"/>
        </w:rPr>
        <w:t>Riverstone reviews the valuations on a quarterly basis with the assistance of the Riverstone Performance Review Team (“PRT”) as part of the valuation process. The PRT was formed to serve as a single structure overseeing the existing Riverstone portfolio with the goal of improving operational and financial performance.</w:t>
      </w:r>
    </w:p>
    <w:p w14:paraId="2C9DDD1B" w14:textId="77777777" w:rsidR="00F1041C" w:rsidRPr="00F1041C" w:rsidRDefault="00F1041C" w:rsidP="00955238">
      <w:pPr>
        <w:jc w:val="both"/>
        <w:rPr>
          <w:rFonts w:eastAsia="Cambria"/>
          <w:szCs w:val="22"/>
        </w:rPr>
      </w:pPr>
    </w:p>
    <w:p w14:paraId="3F382C66" w14:textId="59396E4F" w:rsidR="00F1041C" w:rsidRPr="00F1041C" w:rsidRDefault="00F1041C" w:rsidP="00955238">
      <w:pPr>
        <w:jc w:val="both"/>
        <w:rPr>
          <w:rFonts w:eastAsia="Cambria"/>
        </w:rPr>
      </w:pPr>
      <w:r w:rsidRPr="00F1041C">
        <w:rPr>
          <w:rFonts w:eastAsia="Cambria"/>
        </w:rPr>
        <w:t>The Audit Committee reviews the valuations of the Company’s investments held through the Partnership and makes a recommendation to the Board for formal consideration and acceptance.</w:t>
      </w:r>
    </w:p>
    <w:p w14:paraId="690C2BDB" w14:textId="77777777" w:rsidR="00F1041C" w:rsidRPr="002248AA" w:rsidRDefault="00F1041C" w:rsidP="00955238">
      <w:pPr>
        <w:jc w:val="both"/>
        <w:rPr>
          <w:highlight w:val="yellow"/>
        </w:rPr>
      </w:pPr>
    </w:p>
    <w:p w14:paraId="12FB527E" w14:textId="77777777" w:rsidR="00F1041C" w:rsidRPr="002248AA" w:rsidRDefault="00F1041C" w:rsidP="00955238">
      <w:pPr>
        <w:ind w:left="567" w:hanging="567"/>
        <w:jc w:val="both"/>
        <w:outlineLvl w:val="1"/>
        <w:rPr>
          <w:b/>
          <w:sz w:val="28"/>
        </w:rPr>
      </w:pPr>
      <w:r w:rsidRPr="002248AA">
        <w:rPr>
          <w:b/>
          <w:sz w:val="28"/>
        </w:rPr>
        <w:t>Uninvested Cash</w:t>
      </w:r>
    </w:p>
    <w:p w14:paraId="4E986EC2" w14:textId="4A3F17B0" w:rsidR="00F1041C" w:rsidRPr="00F1041C" w:rsidRDefault="00F1041C" w:rsidP="00955238">
      <w:pPr>
        <w:jc w:val="both"/>
        <w:rPr>
          <w:rFonts w:eastAsia="Cambria"/>
        </w:rPr>
      </w:pPr>
      <w:bookmarkStart w:id="10" w:name="_Hlk36925856"/>
      <w:r w:rsidRPr="00F1041C">
        <w:rPr>
          <w:rFonts w:eastAsia="Cambria"/>
        </w:rPr>
        <w:t xml:space="preserve">As of 31 December 2019, </w:t>
      </w:r>
      <w:r w:rsidRPr="00540770">
        <w:rPr>
          <w:rFonts w:eastAsia="Cambria"/>
        </w:rPr>
        <w:t>REL</w:t>
      </w:r>
      <w:r w:rsidR="00540770" w:rsidRPr="00540770">
        <w:rPr>
          <w:rFonts w:eastAsia="Cambria"/>
        </w:rPr>
        <w:t xml:space="preserve"> had a cash balance of $0.2 million</w:t>
      </w:r>
      <w:r w:rsidRPr="00540770">
        <w:rPr>
          <w:rFonts w:eastAsia="Cambria"/>
        </w:rPr>
        <w:t xml:space="preserve"> </w:t>
      </w:r>
      <w:r w:rsidR="00540770" w:rsidRPr="00540770">
        <w:rPr>
          <w:rFonts w:eastAsia="Cambria"/>
        </w:rPr>
        <w:t xml:space="preserve">and </w:t>
      </w:r>
      <w:r w:rsidRPr="00540770">
        <w:rPr>
          <w:rFonts w:eastAsia="Cambria"/>
        </w:rPr>
        <w:t xml:space="preserve">the Partnership, </w:t>
      </w:r>
      <w:r w:rsidR="00540770" w:rsidRPr="00540770">
        <w:t>including its wholly-owned subsidiaries, REL Cayman Holdings, LP, REL US Corp and REL US Centennial Holdings, LLC,</w:t>
      </w:r>
      <w:r w:rsidR="00540770" w:rsidRPr="00540770">
        <w:rPr>
          <w:rFonts w:eastAsia="Cambria"/>
        </w:rPr>
        <w:t xml:space="preserve"> </w:t>
      </w:r>
      <w:r w:rsidRPr="00540770">
        <w:rPr>
          <w:rFonts w:eastAsia="Cambria"/>
        </w:rPr>
        <w:t>had uninvested funds of over $180 million held as cash and money market fixed deposits, net of</w:t>
      </w:r>
      <w:r w:rsidR="00407D9F">
        <w:rPr>
          <w:rFonts w:eastAsia="Cambria"/>
        </w:rPr>
        <w:t xml:space="preserve"> the</w:t>
      </w:r>
      <w:r w:rsidRPr="00540770">
        <w:rPr>
          <w:rFonts w:eastAsia="Cambria"/>
        </w:rPr>
        <w:t xml:space="preserve"> </w:t>
      </w:r>
      <w:r w:rsidR="005E5457" w:rsidRPr="00540770">
        <w:rPr>
          <w:rFonts w:eastAsia="Cambria"/>
        </w:rPr>
        <w:t>accrued</w:t>
      </w:r>
      <w:r w:rsidRPr="00540770">
        <w:rPr>
          <w:rFonts w:eastAsia="Cambria"/>
        </w:rPr>
        <w:t xml:space="preserve"> </w:t>
      </w:r>
      <w:r w:rsidR="00407D9F">
        <w:rPr>
          <w:rFonts w:eastAsia="Cambria"/>
        </w:rPr>
        <w:t>M</w:t>
      </w:r>
      <w:r w:rsidRPr="00540770">
        <w:rPr>
          <w:rFonts w:eastAsia="Cambria"/>
        </w:rPr>
        <w:t xml:space="preserve">anagement </w:t>
      </w:r>
      <w:r w:rsidR="00407D9F">
        <w:rPr>
          <w:rFonts w:eastAsia="Cambria"/>
        </w:rPr>
        <w:t>F</w:t>
      </w:r>
      <w:r w:rsidRPr="00540770">
        <w:rPr>
          <w:rFonts w:eastAsia="Cambria"/>
        </w:rPr>
        <w:t xml:space="preserve">ee. </w:t>
      </w:r>
      <w:bookmarkStart w:id="11" w:name="_Hlk37663856"/>
      <w:r w:rsidR="00540770" w:rsidRPr="00540770">
        <w:t>As in prior years, in accordance the Partnership Agreement, i</w:t>
      </w:r>
      <w:r w:rsidR="00327293">
        <w:t>f</w:t>
      </w:r>
      <w:r w:rsidR="00540770" w:rsidRPr="00540770">
        <w:t xml:space="preserve"> the Company requir</w:t>
      </w:r>
      <w:r w:rsidR="00152EF0">
        <w:t>es</w:t>
      </w:r>
      <w:r w:rsidR="00540770" w:rsidRPr="00540770">
        <w:t xml:space="preserve"> additional funds for working capital, it is entitled to receive another distribution from the Partnership.</w:t>
      </w:r>
      <w:r w:rsidR="002E4628">
        <w:t xml:space="preserve"> </w:t>
      </w:r>
      <w:bookmarkEnd w:id="11"/>
      <w:r w:rsidR="002E4628">
        <w:t>In Q1 2020, the Company requested and</w:t>
      </w:r>
      <w:r w:rsidR="002E4628" w:rsidRPr="002E4628">
        <w:t xml:space="preserve"> </w:t>
      </w:r>
      <w:r w:rsidR="002E4628">
        <w:t>received a distribution of $5 million from the Partnership for working capital.</w:t>
      </w:r>
      <w:r w:rsidR="00540770" w:rsidRPr="00540770">
        <w:rPr>
          <w:rFonts w:eastAsia="Cambria"/>
        </w:rPr>
        <w:t xml:space="preserve"> </w:t>
      </w:r>
      <w:r w:rsidR="00A11CF8">
        <w:rPr>
          <w:rFonts w:eastAsia="Cambria"/>
        </w:rPr>
        <w:t xml:space="preserve">Additionally, </w:t>
      </w:r>
      <w:r w:rsidR="00A11CF8">
        <w:t>i</w:t>
      </w:r>
      <w:r w:rsidR="00A11CF8" w:rsidRPr="004A19B6">
        <w:t xml:space="preserve">n Q1 2020, </w:t>
      </w:r>
      <w:r w:rsidR="00A11CF8">
        <w:t xml:space="preserve">the Company, through the Partnership, received </w:t>
      </w:r>
      <w:r w:rsidR="00A11CF8" w:rsidRPr="004A19B6">
        <w:t>$23 million</w:t>
      </w:r>
      <w:r w:rsidR="00A11CF8">
        <w:t xml:space="preserve"> of proceeds</w:t>
      </w:r>
      <w:r w:rsidR="00A11CF8" w:rsidRPr="004A19B6">
        <w:t xml:space="preserve"> upon closing of the</w:t>
      </w:r>
      <w:r w:rsidR="00A11CF8">
        <w:t xml:space="preserve"> Aleph Midstream investment</w:t>
      </w:r>
      <w:r w:rsidR="00A11CF8" w:rsidRPr="004A19B6">
        <w:t xml:space="preserve"> winddown</w:t>
      </w:r>
      <w:r w:rsidR="00A11CF8">
        <w:t>, as well as proceeds of $8 million from the partial realisation of Ridgebury H3 LLC and $7 million from the sale of Castex Energy 2014 LLC</w:t>
      </w:r>
      <w:r w:rsidR="00A11CF8" w:rsidRPr="004A19B6">
        <w:t>, which</w:t>
      </w:r>
      <w:r w:rsidR="00A11CF8">
        <w:t>, in aggregate,</w:t>
      </w:r>
      <w:r w:rsidR="00A11CF8" w:rsidRPr="004A19B6">
        <w:t xml:space="preserve"> brought the uninvested cash balance to $2</w:t>
      </w:r>
      <w:r w:rsidR="0042343A">
        <w:t>11</w:t>
      </w:r>
      <w:r w:rsidR="00A11CF8" w:rsidRPr="004A19B6">
        <w:t xml:space="preserve"> million</w:t>
      </w:r>
      <w:r w:rsidR="00A11CF8">
        <w:t xml:space="preserve"> after funding $7 million to Onyx Power and paying $1.2 million of the 31 December 2019 Management Fee of $2.4 million</w:t>
      </w:r>
      <w:r w:rsidR="00A11CF8" w:rsidRPr="004A19B6">
        <w:t xml:space="preserve">. </w:t>
      </w:r>
      <w:r w:rsidRPr="00540770">
        <w:rPr>
          <w:rFonts w:eastAsia="Cambria"/>
        </w:rPr>
        <w:t xml:space="preserve">The </w:t>
      </w:r>
      <w:r w:rsidRPr="00F1041C">
        <w:rPr>
          <w:rFonts w:eastAsia="Cambria"/>
        </w:rPr>
        <w:t xml:space="preserve">Partnership maintains deposit accounts with several leading international banks. In addition, the Partnership invests a portion of its cash deposits in short-term money market fixed deposits. REL’s treasury policy seeks to protect the principal value of cash deposits utilising low risk investments with top-tier counterparts. Uninvested cash earned approximately </w:t>
      </w:r>
      <w:r w:rsidR="00162DB4">
        <w:rPr>
          <w:rFonts w:eastAsia="Cambria"/>
        </w:rPr>
        <w:t>250</w:t>
      </w:r>
      <w:r w:rsidRPr="00F1041C">
        <w:rPr>
          <w:rFonts w:eastAsia="Cambria"/>
        </w:rPr>
        <w:t xml:space="preserve"> basis points during the year ended 31 December 2019.</w:t>
      </w:r>
      <w:bookmarkEnd w:id="10"/>
    </w:p>
    <w:p w14:paraId="48DDF127" w14:textId="77777777" w:rsidR="00F1041C" w:rsidRPr="00F1041C" w:rsidRDefault="00F1041C" w:rsidP="00955238">
      <w:pPr>
        <w:jc w:val="both"/>
        <w:rPr>
          <w:rFonts w:eastAsia="Cambria"/>
        </w:rPr>
      </w:pPr>
    </w:p>
    <w:p w14:paraId="1605F1D3" w14:textId="64A37B43" w:rsidR="00F1041C" w:rsidRPr="00F1041C" w:rsidRDefault="00F1041C" w:rsidP="00955238">
      <w:pPr>
        <w:jc w:val="both"/>
        <w:rPr>
          <w:rFonts w:eastAsia="Cambria"/>
        </w:rPr>
      </w:pPr>
      <w:r w:rsidRPr="00F1041C">
        <w:rPr>
          <w:rFonts w:eastAsia="Cambria"/>
        </w:rPr>
        <w:lastRenderedPageBreak/>
        <w:t xml:space="preserve">As of 31 December 2019, REL, through the Partnership, had </w:t>
      </w:r>
      <w:r w:rsidR="00F579AC">
        <w:rPr>
          <w:rFonts w:eastAsia="Cambria"/>
        </w:rPr>
        <w:t xml:space="preserve">potential </w:t>
      </w:r>
      <w:r w:rsidRPr="00F1041C">
        <w:rPr>
          <w:rFonts w:eastAsia="Cambria"/>
        </w:rPr>
        <w:t>unfunded commitments of $212 million.</w:t>
      </w:r>
      <w:r w:rsidR="00F579AC">
        <w:rPr>
          <w:rFonts w:eastAsia="Cambria"/>
        </w:rPr>
        <w:t xml:space="preserve"> </w:t>
      </w:r>
      <w:r w:rsidR="00A11CF8">
        <w:rPr>
          <w:rFonts w:eastAsia="Cambria"/>
        </w:rPr>
        <w:t xml:space="preserve">However, </w:t>
      </w:r>
      <w:r w:rsidR="00C55B1D" w:rsidRPr="004A19B6">
        <w:t>the</w:t>
      </w:r>
      <w:r w:rsidR="00C55B1D">
        <w:t xml:space="preserve"> withdrawal of the</w:t>
      </w:r>
      <w:r w:rsidR="00C55B1D" w:rsidRPr="004A19B6">
        <w:t xml:space="preserve"> commitment to Aleph</w:t>
      </w:r>
      <w:r w:rsidR="00A11CF8">
        <w:t xml:space="preserve"> Midstream</w:t>
      </w:r>
      <w:r w:rsidR="00C55B1D" w:rsidRPr="004A19B6">
        <w:t xml:space="preserve"> </w:t>
      </w:r>
      <w:r w:rsidR="00C55B1D">
        <w:t>in Q1 2020</w:t>
      </w:r>
      <w:r w:rsidR="00C55B1D" w:rsidRPr="004A19B6">
        <w:t xml:space="preserve"> brought the </w:t>
      </w:r>
      <w:r w:rsidR="00C55B1D">
        <w:t>potential</w:t>
      </w:r>
      <w:r w:rsidR="00C55B1D" w:rsidRPr="004A19B6">
        <w:t xml:space="preserve"> unfunded commitments</w:t>
      </w:r>
      <w:r w:rsidR="00C55B1D">
        <w:t xml:space="preserve"> down</w:t>
      </w:r>
      <w:r w:rsidR="00C55B1D" w:rsidRPr="004A19B6">
        <w:t xml:space="preserve"> to $135 million</w:t>
      </w:r>
      <w:r w:rsidR="00C55B1D">
        <w:t>.</w:t>
      </w:r>
      <w:r w:rsidR="00C55B1D" w:rsidRPr="005E501E">
        <w:t xml:space="preserve"> </w:t>
      </w:r>
      <w:r w:rsidRPr="00F1041C">
        <w:rPr>
          <w:rFonts w:eastAsia="Cambria"/>
        </w:rPr>
        <w:t>In connection with the listing of REL on the London Stock Exchange, all proceeds of the offering were converted to U.S. dollars at an average rate of 1.606 at inception. All cash deposits referred to above are denominated in U.S. dollars. Additionally, REL’s functional currency and Financial Statements are all presented in U.S. dollars. The Partnership’s commitments are denominated in U.S. dollars, except Hammerhead and CNOR which are denominated in Canadian dollars.</w:t>
      </w:r>
    </w:p>
    <w:p w14:paraId="5640EE8E" w14:textId="0F51ED7A" w:rsidR="00B6592E" w:rsidRDefault="00B6592E" w:rsidP="00955238">
      <w:pPr>
        <w:pStyle w:val="Bodytext"/>
        <w:jc w:val="both"/>
      </w:pPr>
    </w:p>
    <w:p w14:paraId="25E0B65E" w14:textId="088A0267" w:rsidR="007B5927" w:rsidRPr="002248AA" w:rsidRDefault="007B5927" w:rsidP="00955238">
      <w:pPr>
        <w:ind w:left="567" w:hanging="567"/>
        <w:jc w:val="both"/>
        <w:outlineLvl w:val="1"/>
        <w:rPr>
          <w:b/>
          <w:sz w:val="28"/>
        </w:rPr>
      </w:pPr>
      <w:r>
        <w:rPr>
          <w:b/>
          <w:sz w:val="28"/>
        </w:rPr>
        <w:t>Subsequent Events</w:t>
      </w:r>
    </w:p>
    <w:p w14:paraId="73A8C9CD" w14:textId="77777777" w:rsidR="001366D9" w:rsidRDefault="001366D9" w:rsidP="00955238">
      <w:pPr>
        <w:pStyle w:val="Bodytext"/>
        <w:jc w:val="both"/>
        <w:rPr>
          <w:rFonts w:eastAsia="Cambria"/>
        </w:rPr>
      </w:pPr>
      <w:r>
        <w:t>On 3 January 2020, the Company announced amendments to Performance Allocation arrangements under the Investment Management Agreement that are effective from 30 June 2019 (see Note 10 for further detail).</w:t>
      </w:r>
    </w:p>
    <w:p w14:paraId="58FBB656" w14:textId="77777777" w:rsidR="001366D9" w:rsidRDefault="001366D9" w:rsidP="00955238">
      <w:pPr>
        <w:pStyle w:val="Bodytext"/>
        <w:jc w:val="both"/>
        <w:rPr>
          <w:rFonts w:eastAsia="Cambria"/>
        </w:rPr>
      </w:pPr>
    </w:p>
    <w:p w14:paraId="21A72FC7" w14:textId="7CB8D376" w:rsidR="007B5927" w:rsidRDefault="007B5927" w:rsidP="00955238">
      <w:pPr>
        <w:pStyle w:val="Bodytext"/>
        <w:jc w:val="both"/>
        <w:rPr>
          <w:rFonts w:eastAsia="Cambria"/>
        </w:rPr>
      </w:pPr>
      <w:r w:rsidRPr="007B5927">
        <w:rPr>
          <w:rFonts w:eastAsia="Cambria"/>
        </w:rPr>
        <w:t xml:space="preserve">In January 2020, Ridgebury H3 decided to sell the Nalini D, one of the three Handy vessels purchased in April 2019, to Tufton Oceanic, at a premium to its original purchase price. Ridgebury H3 decided to take advantage of a recent market spike to reduce risk and lock in returns. REL’s realized </w:t>
      </w:r>
      <w:r w:rsidR="00283524">
        <w:rPr>
          <w:rFonts w:eastAsia="Cambria"/>
        </w:rPr>
        <w:t xml:space="preserve">Gross </w:t>
      </w:r>
      <w:r w:rsidRPr="007B5927">
        <w:rPr>
          <w:rFonts w:eastAsia="Cambria"/>
        </w:rPr>
        <w:t xml:space="preserve">MOIC in this investment </w:t>
      </w:r>
      <w:r w:rsidR="003103F0">
        <w:rPr>
          <w:rFonts w:eastAsia="Cambria"/>
        </w:rPr>
        <w:t>is</w:t>
      </w:r>
      <w:r w:rsidRPr="007B5927">
        <w:rPr>
          <w:rFonts w:eastAsia="Cambria"/>
        </w:rPr>
        <w:t xml:space="preserve"> 0.5x</w:t>
      </w:r>
      <w:r w:rsidR="00283524">
        <w:rPr>
          <w:rFonts w:eastAsia="Cambria"/>
        </w:rPr>
        <w:t xml:space="preserve"> (total Gross MOIC of 1.2x)</w:t>
      </w:r>
      <w:r w:rsidRPr="007B5927">
        <w:rPr>
          <w:rFonts w:eastAsia="Cambria"/>
        </w:rPr>
        <w:t>, including prior distributions.</w:t>
      </w:r>
    </w:p>
    <w:p w14:paraId="15FBE25F" w14:textId="4B6BF76C" w:rsidR="007B5927" w:rsidRDefault="007B5927" w:rsidP="00955238">
      <w:pPr>
        <w:pStyle w:val="Bodytext"/>
        <w:jc w:val="both"/>
        <w:rPr>
          <w:rFonts w:eastAsia="Cambria"/>
        </w:rPr>
      </w:pPr>
    </w:p>
    <w:p w14:paraId="49256B51" w14:textId="79FCD0AB" w:rsidR="007B5927" w:rsidRDefault="007B5927" w:rsidP="00955238">
      <w:pPr>
        <w:pStyle w:val="Bodytext"/>
        <w:jc w:val="both"/>
        <w:rPr>
          <w:rFonts w:eastAsia="Cambria"/>
        </w:rPr>
      </w:pPr>
      <w:r w:rsidRPr="007B5927">
        <w:rPr>
          <w:rFonts w:eastAsia="Cambria"/>
        </w:rPr>
        <w:t>In February 2020, REL decided to unwind its commitment to Aleph</w:t>
      </w:r>
      <w:r w:rsidR="00194385">
        <w:rPr>
          <w:rFonts w:eastAsia="Cambria"/>
        </w:rPr>
        <w:t xml:space="preserve"> Midstream</w:t>
      </w:r>
      <w:r w:rsidRPr="007B5927">
        <w:rPr>
          <w:rFonts w:eastAsia="Cambria"/>
        </w:rPr>
        <w:t xml:space="preserve"> due to the macroeconomic conditions in Argentina as well as certain condition precedents that have not been met with its anchor customer. </w:t>
      </w:r>
      <w:r w:rsidR="005F13F7">
        <w:rPr>
          <w:rFonts w:eastAsia="Cambria"/>
        </w:rPr>
        <w:t xml:space="preserve">In March 2020, </w:t>
      </w:r>
      <w:r w:rsidRPr="007B5927">
        <w:rPr>
          <w:rFonts w:eastAsia="Cambria"/>
        </w:rPr>
        <w:t xml:space="preserve">REL </w:t>
      </w:r>
      <w:r w:rsidR="005F13F7">
        <w:rPr>
          <w:rFonts w:eastAsia="Cambria"/>
        </w:rPr>
        <w:t>was</w:t>
      </w:r>
      <w:r w:rsidRPr="007B5927">
        <w:rPr>
          <w:rFonts w:eastAsia="Cambria"/>
        </w:rPr>
        <w:t xml:space="preserve"> reimbursed for it</w:t>
      </w:r>
      <w:r w:rsidR="00194385">
        <w:rPr>
          <w:rFonts w:eastAsia="Cambria"/>
        </w:rPr>
        <w:t>s</w:t>
      </w:r>
      <w:r w:rsidRPr="007B5927">
        <w:rPr>
          <w:rFonts w:eastAsia="Cambria"/>
        </w:rPr>
        <w:t xml:space="preserve"> fund invested capital in Aleph</w:t>
      </w:r>
      <w:r w:rsidR="00194385">
        <w:rPr>
          <w:rFonts w:eastAsia="Cambria"/>
        </w:rPr>
        <w:t xml:space="preserve"> Midstream</w:t>
      </w:r>
      <w:r w:rsidRPr="007B5927">
        <w:rPr>
          <w:rFonts w:eastAsia="Cambria"/>
        </w:rPr>
        <w:t>.</w:t>
      </w:r>
    </w:p>
    <w:p w14:paraId="64B2DD20" w14:textId="77777777" w:rsidR="0042579F" w:rsidRDefault="0042579F" w:rsidP="00955238">
      <w:pPr>
        <w:pStyle w:val="Bodytext"/>
        <w:jc w:val="both"/>
        <w:rPr>
          <w:rFonts w:eastAsia="Cambria"/>
        </w:rPr>
      </w:pPr>
    </w:p>
    <w:p w14:paraId="3E004DDE" w14:textId="7BA5B561" w:rsidR="0042579F" w:rsidRDefault="0042579F" w:rsidP="00955238">
      <w:pPr>
        <w:pStyle w:val="Bodytext"/>
        <w:jc w:val="both"/>
        <w:rPr>
          <w:rFonts w:eastAsia="Cambria"/>
        </w:rPr>
      </w:pPr>
      <w:r w:rsidRPr="006F5EA6">
        <w:rPr>
          <w:rFonts w:eastAsia="Cambria"/>
        </w:rPr>
        <w:t xml:space="preserve">In March 2020, the macro environment for energy significantly weakened due to coronavirus and developments related to </w:t>
      </w:r>
      <w:r w:rsidRPr="006F0F97">
        <w:rPr>
          <w:rFonts w:eastAsia="Cambria"/>
        </w:rPr>
        <w:t xml:space="preserve">OPEC+. </w:t>
      </w:r>
      <w:r w:rsidR="005B7FE7" w:rsidRPr="006F0F97">
        <w:rPr>
          <w:rFonts w:eastAsia="Cambria"/>
        </w:rPr>
        <w:t>Several countries have restricted travel and quarantined those who have been exposed. Quarantines and the inability to move or interact freely will have an impact on economic results. In particular, such actions could reduce the world demand for oil.</w:t>
      </w:r>
      <w:r w:rsidRPr="006F0F97">
        <w:rPr>
          <w:rFonts w:eastAsia="Cambria"/>
        </w:rPr>
        <w:t xml:space="preserve"> </w:t>
      </w:r>
      <w:r w:rsidR="005B7FE7" w:rsidRPr="006F0F97">
        <w:t xml:space="preserve">Crude oil has experienced near term downward pressure as a result of softer demand from the growing impact of the coronavirus related crisis across the world. </w:t>
      </w:r>
      <w:r w:rsidRPr="006F0F97">
        <w:rPr>
          <w:rFonts w:eastAsia="Cambria"/>
        </w:rPr>
        <w:t>As a result, WTI and REL’s share price have declined by 6</w:t>
      </w:r>
      <w:r w:rsidR="00E0460A">
        <w:rPr>
          <w:rFonts w:eastAsia="Cambria"/>
        </w:rPr>
        <w:t>8</w:t>
      </w:r>
      <w:r w:rsidRPr="006F0F97">
        <w:rPr>
          <w:rFonts w:eastAsia="Cambria"/>
        </w:rPr>
        <w:t xml:space="preserve"> per cent. and 6</w:t>
      </w:r>
      <w:r w:rsidR="00E0460A">
        <w:rPr>
          <w:rFonts w:eastAsia="Cambria"/>
        </w:rPr>
        <w:t>7</w:t>
      </w:r>
      <w:r w:rsidRPr="006F0F97">
        <w:rPr>
          <w:rFonts w:eastAsia="Cambria"/>
        </w:rPr>
        <w:t xml:space="preserve"> per cent., respectively year-to-date</w:t>
      </w:r>
      <w:r w:rsidR="00DC70E7">
        <w:rPr>
          <w:rFonts w:eastAsia="Cambria"/>
        </w:rPr>
        <w:t xml:space="preserve"> as of 31 March 2020</w:t>
      </w:r>
      <w:r w:rsidR="00152131">
        <w:rPr>
          <w:rFonts w:eastAsia="Cambria"/>
        </w:rPr>
        <w:t>.</w:t>
      </w:r>
      <w:r w:rsidR="00F84F81">
        <w:rPr>
          <w:rFonts w:eastAsia="Cambria"/>
        </w:rPr>
        <w:t xml:space="preserve"> </w:t>
      </w:r>
      <w:r w:rsidR="00152131">
        <w:rPr>
          <w:rFonts w:eastAsia="Cambria"/>
        </w:rPr>
        <w:t xml:space="preserve">Additionally, </w:t>
      </w:r>
      <w:r w:rsidR="00F84F81">
        <w:rPr>
          <w:rFonts w:eastAsia="Cambria"/>
        </w:rPr>
        <w:t>there’s expected to be an impact on the valuations of the Company’s investments, through the Partnership, as of 31 March 2020</w:t>
      </w:r>
      <w:r w:rsidR="006D5F71">
        <w:rPr>
          <w:rFonts w:eastAsia="Cambria"/>
        </w:rPr>
        <w:t>,</w:t>
      </w:r>
      <w:r w:rsidR="0034554D">
        <w:rPr>
          <w:rFonts w:eastAsia="Cambria"/>
        </w:rPr>
        <w:t xml:space="preserve"> </w:t>
      </w:r>
      <w:r w:rsidR="00152131">
        <w:rPr>
          <w:rFonts w:eastAsia="Cambria"/>
        </w:rPr>
        <w:t>but an estimate of the financial effect of COVID-19 on the fair value of investments cannot be made at this stage. However, Note 5 includes sensitivity disclosures in respect of the fair value of the Partnership’s investments held at year end</w:t>
      </w:r>
      <w:r w:rsidRPr="006F0F97">
        <w:rPr>
          <w:rFonts w:eastAsia="Cambria"/>
        </w:rPr>
        <w:t>.</w:t>
      </w:r>
    </w:p>
    <w:p w14:paraId="27F50556" w14:textId="7DDA7D5E" w:rsidR="00867BE1" w:rsidRDefault="00867BE1" w:rsidP="00955238">
      <w:pPr>
        <w:pStyle w:val="Bodytext"/>
        <w:jc w:val="both"/>
        <w:rPr>
          <w:rFonts w:eastAsia="Cambria"/>
        </w:rPr>
      </w:pPr>
    </w:p>
    <w:p w14:paraId="5CA85ED1" w14:textId="694928D1" w:rsidR="00867BE1" w:rsidRDefault="00867BE1" w:rsidP="00955238">
      <w:pPr>
        <w:jc w:val="both"/>
        <w:rPr>
          <w:rFonts w:eastAsia="Cambria"/>
        </w:rPr>
      </w:pPr>
      <w:bookmarkStart w:id="12" w:name="_Hlk36928053"/>
      <w:r w:rsidRPr="006F5FE4">
        <w:rPr>
          <w:rFonts w:eastAsia="Cambria"/>
        </w:rPr>
        <w:t xml:space="preserve">The Board </w:t>
      </w:r>
      <w:r w:rsidRPr="00F62C2E">
        <w:rPr>
          <w:rFonts w:eastAsia="Cambria"/>
        </w:rPr>
        <w:t>and Investment Manager have been in continuous dialogue regarding the impact of COVID-19 and appropriate disclosures within the Company’s 2019 Annual Report and Financial Statements</w:t>
      </w:r>
      <w:r w:rsidR="00F62C2E" w:rsidRPr="00F62C2E">
        <w:rPr>
          <w:rFonts w:eastAsia="Cambria"/>
        </w:rPr>
        <w:t>, including an update to the inherent risk of the global energy sector in the Principal Risks and Uncert</w:t>
      </w:r>
      <w:r w:rsidR="00337278">
        <w:rPr>
          <w:rFonts w:eastAsia="Cambria"/>
        </w:rPr>
        <w:t>ainties section</w:t>
      </w:r>
      <w:r w:rsidRPr="00F62C2E">
        <w:rPr>
          <w:rFonts w:eastAsia="Cambria"/>
        </w:rPr>
        <w:t xml:space="preserve">. The Company’s Management Engagement Committee requested and received updates from REL’s key service providers, including the Investment </w:t>
      </w:r>
      <w:r w:rsidRPr="006F5FE4">
        <w:rPr>
          <w:rFonts w:eastAsia="Cambria"/>
        </w:rPr>
        <w:t>Manager, regarding the</w:t>
      </w:r>
      <w:r>
        <w:rPr>
          <w:rFonts w:eastAsia="Cambria"/>
        </w:rPr>
        <w:t>ir response to COVID-19, including an update on their</w:t>
      </w:r>
      <w:r w:rsidRPr="006F5FE4">
        <w:rPr>
          <w:rFonts w:eastAsia="Cambria"/>
        </w:rPr>
        <w:t xml:space="preserve"> respective business continuity plans.</w:t>
      </w:r>
    </w:p>
    <w:p w14:paraId="424A6CAA" w14:textId="77777777" w:rsidR="00867BE1" w:rsidRDefault="00867BE1" w:rsidP="00955238">
      <w:pPr>
        <w:jc w:val="both"/>
        <w:rPr>
          <w:rFonts w:eastAsia="Cambria"/>
        </w:rPr>
      </w:pPr>
    </w:p>
    <w:p w14:paraId="4C89D5A0" w14:textId="213B874D" w:rsidR="0034554D" w:rsidRDefault="00867BE1" w:rsidP="00955238">
      <w:pPr>
        <w:pStyle w:val="Bodytext"/>
        <w:jc w:val="both"/>
        <w:rPr>
          <w:rFonts w:eastAsia="Cambria"/>
        </w:rPr>
      </w:pPr>
      <w:r w:rsidRPr="006F5FE4">
        <w:rPr>
          <w:rFonts w:eastAsia="Cambria"/>
        </w:rPr>
        <w:t>The Investment Manager activat</w:t>
      </w:r>
      <w:r>
        <w:rPr>
          <w:rFonts w:eastAsia="Cambria"/>
        </w:rPr>
        <w:t>ed</w:t>
      </w:r>
      <w:r w:rsidRPr="006F5FE4">
        <w:rPr>
          <w:rFonts w:eastAsia="Cambria"/>
        </w:rPr>
        <w:t xml:space="preserve"> its business continuity plan</w:t>
      </w:r>
      <w:r>
        <w:rPr>
          <w:rFonts w:eastAsia="Cambria"/>
        </w:rPr>
        <w:t xml:space="preserve"> and its </w:t>
      </w:r>
      <w:r>
        <w:t>regular working pattern has changed to remote working, though all staff are continuing to assume their day-to-day responsibilities remotely.</w:t>
      </w:r>
      <w:r>
        <w:rPr>
          <w:rFonts w:eastAsia="Cambria"/>
        </w:rPr>
        <w:t xml:space="preserve"> There</w:t>
      </w:r>
      <w:r w:rsidRPr="006F5FE4">
        <w:rPr>
          <w:rFonts w:eastAsia="Cambria"/>
        </w:rPr>
        <w:t xml:space="preserve"> has been regular communication with its employees</w:t>
      </w:r>
      <w:r>
        <w:rPr>
          <w:rFonts w:eastAsia="Cambria"/>
        </w:rPr>
        <w:t xml:space="preserve">, as well as its investors. </w:t>
      </w:r>
      <w:r>
        <w:t xml:space="preserve">In addition, the Investment Manager’s partners are hosting weekly calls on potential investment opportunities in this new environment (caused by COVID and OPEC+ news), so that Riverstone can best position the portfolio for the future. </w:t>
      </w:r>
      <w:r>
        <w:rPr>
          <w:rFonts w:eastAsia="Cambria"/>
        </w:rPr>
        <w:t>The Investment Manager has contacted its</w:t>
      </w:r>
      <w:r w:rsidRPr="006F5FE4">
        <w:rPr>
          <w:rFonts w:eastAsia="Cambria"/>
        </w:rPr>
        <w:t xml:space="preserve"> portfolio companies </w:t>
      </w:r>
      <w:r>
        <w:t>to make sure that they have the appropriate plans and resources in place to prioritize the health and safety of their employees, as well as to assess supply chain disruptions and ensure the normal operations of our businesses</w:t>
      </w:r>
      <w:r w:rsidRPr="006F5FE4">
        <w:rPr>
          <w:rFonts w:eastAsia="Cambria"/>
        </w:rPr>
        <w:t>.</w:t>
      </w:r>
    </w:p>
    <w:bookmarkEnd w:id="12"/>
    <w:p w14:paraId="0C51EB11" w14:textId="77777777" w:rsidR="007B5927" w:rsidRPr="007B5927" w:rsidRDefault="007B5927" w:rsidP="00955238">
      <w:pPr>
        <w:pStyle w:val="Bodytext"/>
        <w:jc w:val="both"/>
        <w:rPr>
          <w:rFonts w:eastAsia="Cambria"/>
        </w:rPr>
      </w:pPr>
    </w:p>
    <w:p w14:paraId="4C9E79DE" w14:textId="2C36F5DC" w:rsidR="004761F3" w:rsidRDefault="004761F3" w:rsidP="00955238">
      <w:pPr>
        <w:ind w:left="567" w:hanging="567"/>
        <w:jc w:val="both"/>
        <w:outlineLvl w:val="1"/>
        <w:rPr>
          <w:b/>
          <w:sz w:val="28"/>
        </w:rPr>
      </w:pPr>
      <w:r>
        <w:rPr>
          <w:b/>
          <w:sz w:val="28"/>
        </w:rPr>
        <w:t>Outlook</w:t>
      </w:r>
    </w:p>
    <w:p w14:paraId="45122B94" w14:textId="77777777" w:rsidR="004761F3" w:rsidRDefault="004761F3" w:rsidP="00955238">
      <w:pPr>
        <w:jc w:val="both"/>
      </w:pPr>
      <w:bookmarkStart w:id="13" w:name="_Hlk36928500"/>
      <w:r>
        <w:t>The Investment Manager is actively working with each of its portfolio company management teams to determine the go-forward business plan, especially in light of the recent developments in the market related to OPEC+ and coronavirus.  The next twelve months are expected to be challenging, and Riverstone is focused on preparing its portfolio for a period of continued and prolonged uncertainty.  Initiatives across portfolio companies that are expected to be taken include prioritizing liquidity, reductions in G&amp;A, pulling back capital expenditures and drilling activity, and monetizing hedges where accretive.</w:t>
      </w:r>
    </w:p>
    <w:bookmarkEnd w:id="13"/>
    <w:p w14:paraId="25557CAB" w14:textId="77777777" w:rsidR="004761F3" w:rsidRPr="002248AA" w:rsidRDefault="004761F3" w:rsidP="004761F3">
      <w:pPr>
        <w:ind w:left="567" w:hanging="567"/>
        <w:outlineLvl w:val="1"/>
        <w:rPr>
          <w:b/>
          <w:sz w:val="28"/>
        </w:rPr>
      </w:pPr>
    </w:p>
    <w:p w14:paraId="533A11EE" w14:textId="77777777" w:rsidR="009038ED" w:rsidRPr="00B6592E" w:rsidRDefault="009038ED" w:rsidP="00B6592E">
      <w:pPr>
        <w:pStyle w:val="Bodytext"/>
      </w:pPr>
    </w:p>
    <w:p w14:paraId="7429BB2C" w14:textId="77777777" w:rsidR="00CE7DED" w:rsidRPr="00811BA1" w:rsidRDefault="00CE7DED" w:rsidP="00EB7E49">
      <w:pPr>
        <w:pStyle w:val="Bodytext"/>
        <w:rPr>
          <w:b/>
        </w:rPr>
      </w:pPr>
      <w:r w:rsidRPr="00811BA1">
        <w:rPr>
          <w:b/>
        </w:rPr>
        <w:t>Riverstone International Limited</w:t>
      </w:r>
    </w:p>
    <w:p w14:paraId="34921728" w14:textId="4B724BEF" w:rsidR="00CE7DED" w:rsidRPr="00811BA1" w:rsidRDefault="005B1414" w:rsidP="00EB7E49">
      <w:pPr>
        <w:pStyle w:val="Bodytext"/>
      </w:pPr>
      <w:r>
        <w:t>22</w:t>
      </w:r>
      <w:r w:rsidR="00400EEA">
        <w:t xml:space="preserve"> </w:t>
      </w:r>
      <w:r w:rsidR="00F573BD">
        <w:t xml:space="preserve">April </w:t>
      </w:r>
      <w:r w:rsidR="00B92A20" w:rsidRPr="00811BA1">
        <w:t>20</w:t>
      </w:r>
      <w:r w:rsidR="00B92A20">
        <w:t>20</w:t>
      </w:r>
    </w:p>
    <w:p w14:paraId="638F17B8" w14:textId="77777777" w:rsidR="00CE7DED" w:rsidRPr="00811BA1" w:rsidRDefault="00CE7DED" w:rsidP="00EB7E49">
      <w:pPr>
        <w:pStyle w:val="Bodytext"/>
      </w:pPr>
    </w:p>
    <w:p w14:paraId="3A7AA04E" w14:textId="51AEFB4D" w:rsidR="00B92A20" w:rsidRPr="00DF29DD" w:rsidRDefault="00CE7DED" w:rsidP="000009D3">
      <w:pPr>
        <w:jc w:val="both"/>
        <w:rPr>
          <w:sz w:val="16"/>
          <w:szCs w:val="16"/>
          <w:lang w:val="en-US"/>
        </w:rPr>
      </w:pPr>
      <w:r w:rsidRPr="00811BA1">
        <w:rPr>
          <w:vertAlign w:val="superscript"/>
        </w:rPr>
        <w:t>(1)</w:t>
      </w:r>
      <w:r w:rsidR="00B92A20" w:rsidRPr="00DF29DD">
        <w:rPr>
          <w:sz w:val="16"/>
          <w:szCs w:val="16"/>
          <w:lang w:val="en-US"/>
        </w:rPr>
        <w:t xml:space="preserve">Gross Unrealised Value and Gross MOIC are before transaction costs, taxes (approximately 21 to 27.5 per cent. of U.S. sourced taxable income) and 20 per cent. carried interest on </w:t>
      </w:r>
      <w:r w:rsidR="007B5927">
        <w:rPr>
          <w:sz w:val="16"/>
          <w:szCs w:val="16"/>
          <w:lang w:val="en-US"/>
        </w:rPr>
        <w:t xml:space="preserve">applicable </w:t>
      </w:r>
      <w:r w:rsidR="00B92A20" w:rsidRPr="00DF29DD">
        <w:rPr>
          <w:sz w:val="16"/>
          <w:szCs w:val="16"/>
          <w:lang w:val="en-US"/>
        </w:rPr>
        <w:t>gross profits</w:t>
      </w:r>
      <w:r w:rsidR="007B5927" w:rsidRPr="007B5927">
        <w:rPr>
          <w:sz w:val="16"/>
          <w:szCs w:val="16"/>
          <w:lang w:val="en-US"/>
        </w:rPr>
        <w:t xml:space="preserve"> in accordance with the revised terms announced on 3 January 2020, but effective 30 June 2019</w:t>
      </w:r>
      <w:r w:rsidR="00B92A20" w:rsidRPr="00DF29DD">
        <w:rPr>
          <w:sz w:val="16"/>
          <w:szCs w:val="16"/>
          <w:lang w:val="en-US"/>
        </w:rPr>
        <w:t xml:space="preserve">. Since there </w:t>
      </w:r>
      <w:r w:rsidR="00327293">
        <w:rPr>
          <w:sz w:val="16"/>
          <w:szCs w:val="16"/>
          <w:lang w:val="en-US"/>
        </w:rPr>
        <w:t>was</w:t>
      </w:r>
      <w:r w:rsidR="00B92A20" w:rsidRPr="00DF29DD">
        <w:rPr>
          <w:sz w:val="16"/>
          <w:szCs w:val="16"/>
          <w:lang w:val="en-US"/>
        </w:rPr>
        <w:t xml:space="preserve"> no netting of losses against gains</w:t>
      </w:r>
      <w:r w:rsidR="007B5927">
        <w:rPr>
          <w:sz w:val="16"/>
          <w:szCs w:val="16"/>
          <w:lang w:val="en-US"/>
        </w:rPr>
        <w:t xml:space="preserve"> before the aforementioned revised terms</w:t>
      </w:r>
      <w:r w:rsidR="00B92A20" w:rsidRPr="00DF29DD">
        <w:rPr>
          <w:sz w:val="16"/>
          <w:szCs w:val="16"/>
          <w:lang w:val="en-US"/>
        </w:rPr>
        <w:t xml:space="preserve">, the effective carried interest rate on the portfolio as a whole will be greater than 20 per cent. In addition, there is a </w:t>
      </w:r>
      <w:r w:rsidR="00407D9F">
        <w:rPr>
          <w:sz w:val="16"/>
          <w:szCs w:val="16"/>
          <w:lang w:val="en-US"/>
        </w:rPr>
        <w:t>M</w:t>
      </w:r>
      <w:r w:rsidR="00B92A20" w:rsidRPr="00DF29DD">
        <w:rPr>
          <w:sz w:val="16"/>
          <w:szCs w:val="16"/>
          <w:lang w:val="en-US"/>
        </w:rPr>
        <w:t xml:space="preserve">anagement </w:t>
      </w:r>
      <w:r w:rsidR="00407D9F">
        <w:rPr>
          <w:sz w:val="16"/>
          <w:szCs w:val="16"/>
          <w:lang w:val="en-US"/>
        </w:rPr>
        <w:t>F</w:t>
      </w:r>
      <w:r w:rsidR="00B92A20" w:rsidRPr="00DF29DD">
        <w:rPr>
          <w:sz w:val="16"/>
          <w:szCs w:val="16"/>
          <w:lang w:val="en-US"/>
        </w:rPr>
        <w:t xml:space="preserve">ee of 1.5 per cent. of net assets (including cash) per annum and other expenses. Given these costs, fees and expenses are in aggregate expected to be </w:t>
      </w:r>
      <w:r w:rsidR="00B92A20" w:rsidRPr="00DF29DD">
        <w:rPr>
          <w:sz w:val="16"/>
          <w:szCs w:val="16"/>
          <w:lang w:val="en-US"/>
        </w:rPr>
        <w:lastRenderedPageBreak/>
        <w:t>considerable, Total Net Value and Net MOIC will be materially less than Gross Unrealised Value and Gross MOIC.  Local taxes, primarily on U.S. assets, may apply at the jurisdictional level on profits arising in operating entity investments. Further withholding taxes may apply on distributions from such operating entity investments. In the normal course of business, REL may form wholly-owned subsidiaries, to be treated as C Corporations for U.S. tax purposes. The C Corporations serve to protect REL’s public investors from incurring U.S. ECI. The C Corporations file U.S. corporate tax returns with the U.S. IRS and pay U.S. corporate taxes on its taxable income</w:t>
      </w:r>
    </w:p>
    <w:bookmarkEnd w:id="7"/>
    <w:bookmarkEnd w:id="0"/>
    <w:p w14:paraId="79EEB957" w14:textId="77777777" w:rsidR="00484AF4" w:rsidRPr="00811BA1" w:rsidRDefault="00484AF4" w:rsidP="00EB7E49">
      <w:pPr>
        <w:pStyle w:val="Bodytext"/>
      </w:pPr>
    </w:p>
    <w:p w14:paraId="40D925CC" w14:textId="52E657A4" w:rsidR="001E62A5" w:rsidRPr="00811BA1" w:rsidRDefault="001E62A5" w:rsidP="00EB7E49">
      <w:pPr>
        <w:pStyle w:val="Bodytext"/>
      </w:pPr>
    </w:p>
    <w:p w14:paraId="1A0ADC9C" w14:textId="6E6C61DF" w:rsidR="00662B07" w:rsidRPr="00811BA1" w:rsidRDefault="00662B07" w:rsidP="00484AF4">
      <w:pPr>
        <w:pStyle w:val="Heading1"/>
        <w:spacing w:before="0"/>
      </w:pPr>
      <w:r w:rsidRPr="00811BA1">
        <w:t>Investment Policy</w:t>
      </w:r>
    </w:p>
    <w:p w14:paraId="2DBE0D69" w14:textId="77777777" w:rsidR="00662B07" w:rsidRPr="00811BA1" w:rsidRDefault="00662B07" w:rsidP="00EB7E49">
      <w:pPr>
        <w:pStyle w:val="Bodytext"/>
      </w:pPr>
    </w:p>
    <w:p w14:paraId="162400C2" w14:textId="3AABB52A" w:rsidR="009038ED" w:rsidRDefault="00662B07" w:rsidP="000009D3">
      <w:pPr>
        <w:pStyle w:val="Bodytext"/>
        <w:jc w:val="both"/>
      </w:pPr>
      <w:r w:rsidRPr="00811BA1">
        <w:t xml:space="preserve">REL invests exclusively in the global energy industry, with a particular focus on the exploration and </w:t>
      </w:r>
      <w:r w:rsidR="00696D05" w:rsidRPr="00811BA1">
        <w:t xml:space="preserve">production, </w:t>
      </w:r>
      <w:r w:rsidRPr="00811BA1">
        <w:t xml:space="preserve">and midstream sectors. The Company may also make investments in other energy sub-sectors </w:t>
      </w:r>
      <w:r w:rsidR="00000FC7">
        <w:t>(</w:t>
      </w:r>
      <w:r w:rsidRPr="00811BA1">
        <w:t xml:space="preserve">including </w:t>
      </w:r>
      <w:r w:rsidR="00F75528">
        <w:t xml:space="preserve">transportation </w:t>
      </w:r>
      <w:r w:rsidRPr="00811BA1">
        <w:t>energy services and power and coal</w:t>
      </w:r>
      <w:r w:rsidR="00000FC7">
        <w:t>)</w:t>
      </w:r>
      <w:r w:rsidRPr="00811BA1">
        <w:t xml:space="preserve">. REL is well positioned to take advantage of, and benefit from, the large number of investment opportunities being driven by </w:t>
      </w:r>
      <w:r w:rsidR="00A35E5C">
        <w:t xml:space="preserve">the current commodity price environment, as well as </w:t>
      </w:r>
      <w:r w:rsidRPr="00811BA1">
        <w:t xml:space="preserve">continued growth in global energy demand, the North American energy revolution, asset rationalisation by larger companies, and growing deepwater exploration success rates. </w:t>
      </w:r>
    </w:p>
    <w:p w14:paraId="2563D658" w14:textId="77777777" w:rsidR="009038ED" w:rsidRDefault="009038ED" w:rsidP="000009D3">
      <w:pPr>
        <w:pStyle w:val="Bodytext"/>
        <w:jc w:val="both"/>
      </w:pPr>
    </w:p>
    <w:p w14:paraId="6F154C95" w14:textId="69420C25" w:rsidR="00662B07" w:rsidRDefault="00662B07" w:rsidP="000009D3">
      <w:pPr>
        <w:pStyle w:val="Bodytext"/>
        <w:jc w:val="both"/>
      </w:pPr>
      <w:r w:rsidRPr="00811BA1">
        <w:t xml:space="preserve">Since REL, through the Partnership, </w:t>
      </w:r>
      <w:r w:rsidR="00C344BF">
        <w:t>has the right to invest</w:t>
      </w:r>
      <w:r w:rsidR="00C344BF" w:rsidRPr="00811BA1">
        <w:t xml:space="preserve"> </w:t>
      </w:r>
      <w:r w:rsidRPr="00811BA1">
        <w:t>alongside the Private Riverstone Funds in all Qualifying Investments in which the Private Riverstone Funds participate, REL presents a unique opportunity for public market investors to gain exposure to Riverstone’s investments in the attractive global energy sector</w:t>
      </w:r>
      <w:r w:rsidR="002926B9">
        <w:t xml:space="preserve"> while prices are depressed</w:t>
      </w:r>
      <w:r w:rsidRPr="00811BA1">
        <w:t>.</w:t>
      </w:r>
    </w:p>
    <w:p w14:paraId="735B12B7" w14:textId="77777777" w:rsidR="00FB64F8" w:rsidRDefault="00FB64F8" w:rsidP="000009D3">
      <w:pPr>
        <w:pStyle w:val="Bodytext"/>
        <w:jc w:val="both"/>
      </w:pPr>
    </w:p>
    <w:p w14:paraId="24E9B487" w14:textId="5D440AE1" w:rsidR="00FB64F8" w:rsidRPr="00FB64F8" w:rsidRDefault="00FB64F8" w:rsidP="000009D3">
      <w:pPr>
        <w:jc w:val="both"/>
      </w:pPr>
      <w:r w:rsidRPr="00FB64F8">
        <w:t>The Investment Manager intends to manage investments for the benefit of all of its investors. If any matter arises that</w:t>
      </w:r>
      <w:r>
        <w:t xml:space="preserve"> </w:t>
      </w:r>
      <w:r w:rsidRPr="00FB64F8">
        <w:t>the Investment Manager determines in its good faith judg</w:t>
      </w:r>
      <w:r w:rsidR="00B0535E">
        <w:t>e</w:t>
      </w:r>
      <w:r w:rsidRPr="00FB64F8">
        <w:t>ment constitutes an actual conflict of interest, the</w:t>
      </w:r>
      <w:r>
        <w:t xml:space="preserve"> </w:t>
      </w:r>
      <w:r w:rsidRPr="00FB64F8">
        <w:t>Investment Manager may take such actions as may be necessary or appropriate, having regard to all</w:t>
      </w:r>
      <w:r>
        <w:t xml:space="preserve"> </w:t>
      </w:r>
      <w:r w:rsidRPr="00FB64F8">
        <w:t>relevant terms of the Investment Management Agreement, to manage the conflict (and upon taking such</w:t>
      </w:r>
      <w:r>
        <w:t xml:space="preserve"> </w:t>
      </w:r>
      <w:r w:rsidRPr="00FB64F8">
        <w:t>actions the Investment Manager will be considered to have discharged responsibility for managing such</w:t>
      </w:r>
      <w:r w:rsidR="00484AF4">
        <w:t xml:space="preserve"> </w:t>
      </w:r>
      <w:r w:rsidRPr="00FB64F8">
        <w:t xml:space="preserve">conflict). </w:t>
      </w:r>
      <w:r w:rsidRPr="00A921AB">
        <w:t xml:space="preserve">The Directors are required by </w:t>
      </w:r>
      <w:r w:rsidRPr="00F94775">
        <w:t xml:space="preserve">the Registered Collective Investment Schemes Rules </w:t>
      </w:r>
      <w:r w:rsidR="00DA75D5" w:rsidRPr="00F94775">
        <w:t>201</w:t>
      </w:r>
      <w:r w:rsidR="00DA75D5">
        <w:t xml:space="preserve">8 </w:t>
      </w:r>
      <w:r w:rsidRPr="00F94775">
        <w:t>issued by the GFSC</w:t>
      </w:r>
      <w:r w:rsidRPr="00A921AB">
        <w:t xml:space="preserve"> to take all reasonable steps to ensure that there is no breach of the conflicts of interest</w:t>
      </w:r>
      <w:r w:rsidR="00484AF4">
        <w:t xml:space="preserve"> </w:t>
      </w:r>
      <w:r w:rsidRPr="00A921AB">
        <w:t>requirements of those rules.</w:t>
      </w:r>
    </w:p>
    <w:p w14:paraId="1F27EF5C" w14:textId="77777777" w:rsidR="00662B07" w:rsidRPr="00811BA1" w:rsidRDefault="00662B07" w:rsidP="000009D3">
      <w:pPr>
        <w:pStyle w:val="Bodytext"/>
        <w:jc w:val="both"/>
      </w:pPr>
    </w:p>
    <w:p w14:paraId="5A166061" w14:textId="77777777" w:rsidR="00662B07" w:rsidRPr="00811BA1" w:rsidRDefault="00662B07" w:rsidP="000009D3">
      <w:pPr>
        <w:pStyle w:val="Heading2"/>
        <w:jc w:val="both"/>
      </w:pPr>
      <w:r w:rsidRPr="00811BA1">
        <w:t>Asset Allocation</w:t>
      </w:r>
    </w:p>
    <w:p w14:paraId="277C5FC7" w14:textId="18F6D17F" w:rsidR="00662B07" w:rsidRPr="00811BA1" w:rsidRDefault="00662B07" w:rsidP="000009D3">
      <w:pPr>
        <w:pStyle w:val="Bodytext"/>
        <w:jc w:val="both"/>
      </w:pPr>
      <w:r w:rsidRPr="00811BA1">
        <w:t>The Company acquires its interests in each Qualifying Investment at the same time (or as near as practicable thereto) as, and on substantially the same economic and financial terms as, the relevant Private Riverstone Fund</w:t>
      </w:r>
      <w:r w:rsidR="005B4735" w:rsidRPr="00811BA1">
        <w:t>s</w:t>
      </w:r>
      <w:r w:rsidRPr="00811BA1">
        <w:t>.</w:t>
      </w:r>
    </w:p>
    <w:p w14:paraId="69731667" w14:textId="77777777" w:rsidR="00662B07" w:rsidRPr="00811BA1" w:rsidRDefault="00662B07" w:rsidP="000009D3">
      <w:pPr>
        <w:pStyle w:val="Bodytext"/>
        <w:jc w:val="both"/>
      </w:pPr>
    </w:p>
    <w:p w14:paraId="7F2F67B3" w14:textId="316437BE" w:rsidR="00662B07" w:rsidRPr="00811BA1" w:rsidRDefault="00662B07" w:rsidP="000009D3">
      <w:pPr>
        <w:pStyle w:val="Bodytext"/>
        <w:jc w:val="both"/>
      </w:pPr>
      <w:r w:rsidRPr="00811BA1">
        <w:t>The Company and the current Private Riverstone Fund</w:t>
      </w:r>
      <w:r w:rsidR="00B2247D" w:rsidRPr="00811BA1">
        <w:t>s</w:t>
      </w:r>
      <w:r w:rsidRPr="00811BA1">
        <w:t xml:space="preserve">, </w:t>
      </w:r>
      <w:r w:rsidR="003C1661" w:rsidRPr="00811BA1">
        <w:t>(</w:t>
      </w:r>
      <w:r w:rsidRPr="007506DC">
        <w:t>Fund V</w:t>
      </w:r>
      <w:r w:rsidR="00B2247D" w:rsidRPr="007506DC">
        <w:t xml:space="preserve"> and Fund VI</w:t>
      </w:r>
      <w:r w:rsidR="003C1661" w:rsidRPr="007506DC">
        <w:t>)</w:t>
      </w:r>
      <w:r w:rsidR="003C1661" w:rsidRPr="00811BA1">
        <w:t xml:space="preserve"> </w:t>
      </w:r>
      <w:r w:rsidRPr="00811BA1">
        <w:t xml:space="preserve">invest in each Qualifying Investment in which </w:t>
      </w:r>
      <w:r w:rsidR="00B841B1" w:rsidRPr="00811BA1">
        <w:t xml:space="preserve">the Private Riverstone </w:t>
      </w:r>
      <w:r w:rsidRPr="00811BA1">
        <w:t>Fund</w:t>
      </w:r>
      <w:r w:rsidR="00B841B1" w:rsidRPr="00811BA1">
        <w:t>s</w:t>
      </w:r>
      <w:r w:rsidRPr="00811BA1">
        <w:t xml:space="preserve"> participate in a ratio of one-third to REL to two-thirds to </w:t>
      </w:r>
      <w:r w:rsidR="00D44135" w:rsidRPr="00811BA1">
        <w:t>the Private Riverstone Funds</w:t>
      </w:r>
      <w:r w:rsidRPr="00811BA1">
        <w:t xml:space="preserve">. This investment ratio is subject to adjustment on a case-by-case basis (a) to take account of the liquid assets available to each of the Company and </w:t>
      </w:r>
      <w:r w:rsidR="00D44135" w:rsidRPr="00811BA1">
        <w:t>the Private Riverstone Funds</w:t>
      </w:r>
      <w:r w:rsidR="00213846" w:rsidRPr="00811BA1">
        <w:t xml:space="preserve"> </w:t>
      </w:r>
      <w:r w:rsidRPr="00811BA1">
        <w:t>for investment at the relevant time and any other investment limitations applicable to either of them or otherwise and (b) if both (i) a majority of the Company’s independent Directors and (ii) the Investment Manager agree that the investment ratio should be adjusted for specific Qualifying Investments.</w:t>
      </w:r>
    </w:p>
    <w:p w14:paraId="58AA28A6" w14:textId="77777777" w:rsidR="00662B07" w:rsidRPr="00811BA1" w:rsidRDefault="00662B07" w:rsidP="000009D3">
      <w:pPr>
        <w:pStyle w:val="Bodytext"/>
        <w:jc w:val="both"/>
      </w:pPr>
    </w:p>
    <w:p w14:paraId="12E6546E" w14:textId="42A77632" w:rsidR="00662B07" w:rsidRPr="00811BA1" w:rsidRDefault="00662B07" w:rsidP="000009D3">
      <w:pPr>
        <w:pStyle w:val="Bodytext"/>
        <w:jc w:val="both"/>
      </w:pPr>
      <w:r w:rsidRPr="00811BA1">
        <w:t xml:space="preserve">For each Private Riverstone Fund subsequent to Fund V </w:t>
      </w:r>
      <w:r w:rsidR="003C1661" w:rsidRPr="00811BA1">
        <w:t xml:space="preserve">and Fund VI </w:t>
      </w:r>
      <w:r w:rsidRPr="00811BA1">
        <w:t xml:space="preserve">which is of a similar size and has a similar investment policy to the Company, Riverstone </w:t>
      </w:r>
      <w:r w:rsidR="00420D55" w:rsidRPr="00811BA1">
        <w:t xml:space="preserve">will </w:t>
      </w:r>
      <w:r w:rsidRPr="00811BA1">
        <w:t>seek to ensure that</w:t>
      </w:r>
      <w:r w:rsidR="00CE7DED" w:rsidRPr="00811BA1">
        <w:t>,</w:t>
      </w:r>
      <w:r w:rsidRPr="00811BA1">
        <w:t xml:space="preserve"> subject to the investment capacity of the Company at the time, the Company and the Private Riverstone Fund invest in Qualifying Investments in an investment ratio of one-third to REL to two-thirds to the Private Riverstone Fund or in such other ratio as the Company’s independent Directors and the Investment Manager agree at or prior to the first closing of such Private Riverstone Fund.</w:t>
      </w:r>
    </w:p>
    <w:p w14:paraId="2941B78F" w14:textId="77777777" w:rsidR="00BC7A9E" w:rsidRPr="00811BA1" w:rsidRDefault="00BC7A9E" w:rsidP="000009D3">
      <w:pPr>
        <w:pStyle w:val="Bodytext"/>
        <w:jc w:val="both"/>
      </w:pPr>
    </w:p>
    <w:p w14:paraId="592BBA3F" w14:textId="77777777" w:rsidR="00662B07" w:rsidRPr="00811BA1" w:rsidRDefault="00662B07" w:rsidP="000009D3">
      <w:pPr>
        <w:pStyle w:val="Bodytext"/>
        <w:jc w:val="both"/>
      </w:pPr>
      <w:r w:rsidRPr="00811BA1">
        <w:t>Such investment ratio may be adjusted by agreement between the Company’s independent Directors and the Investment Manager on subsequent closings of a Private Riverstone Fund having regard to the total capital commitments raised by that Private Riverstone Fund during its commitment period, the liquid assets available to the Company at that time and any other investment limitations applicable to either of them.</w:t>
      </w:r>
    </w:p>
    <w:p w14:paraId="7D94DFCB" w14:textId="77777777" w:rsidR="00BC7A9E" w:rsidRPr="00811BA1" w:rsidRDefault="00BC7A9E" w:rsidP="000009D3">
      <w:pPr>
        <w:pStyle w:val="Bodytext"/>
        <w:jc w:val="both"/>
      </w:pPr>
    </w:p>
    <w:p w14:paraId="535A77F0" w14:textId="77777777" w:rsidR="00662B07" w:rsidRPr="00811BA1" w:rsidRDefault="00662B07" w:rsidP="000009D3">
      <w:pPr>
        <w:pStyle w:val="Bodytext"/>
        <w:jc w:val="both"/>
      </w:pPr>
      <w:r w:rsidRPr="00811BA1">
        <w:t>The Investment Manager typically seeks to ensure that the Company and the Private Riverstone Funds dispose of their interests in Qualifying Investments at the same time, on substantially the same terms, and in the case of partial disposals, in the same ratio as the relevant Qualifying Investment was acquired, but this may not always be the case.</w:t>
      </w:r>
    </w:p>
    <w:p w14:paraId="50B82281" w14:textId="77777777" w:rsidR="00BC7A9E" w:rsidRPr="00811BA1" w:rsidRDefault="00BC7A9E" w:rsidP="000009D3">
      <w:pPr>
        <w:pStyle w:val="Bodytext"/>
        <w:jc w:val="both"/>
      </w:pPr>
    </w:p>
    <w:p w14:paraId="4310936B" w14:textId="77777777" w:rsidR="00662B07" w:rsidRPr="00811BA1" w:rsidRDefault="00662B07" w:rsidP="000009D3">
      <w:pPr>
        <w:pStyle w:val="Bodytext"/>
        <w:jc w:val="both"/>
      </w:pPr>
      <w:r w:rsidRPr="00EE08EA">
        <w:t>In addition, the Company may at any time make investments consistent with its investment policy independent from Private Riverstone Funds, which may include investments alongside Riverstone employee co-investment vehicles</w:t>
      </w:r>
      <w:r w:rsidR="00E26134" w:rsidRPr="00EE08EA">
        <w:t xml:space="preserve"> </w:t>
      </w:r>
      <w:r w:rsidRPr="00EE08EA">
        <w:t>or other Riverstone managed or advised</w:t>
      </w:r>
      <w:r w:rsidR="00E26134" w:rsidRPr="00EE08EA">
        <w:t xml:space="preserve"> </w:t>
      </w:r>
      <w:r w:rsidRPr="00EE08EA">
        <w:t>co-investment vehicles. In such cases, approval</w:t>
      </w:r>
      <w:r w:rsidR="00E26134" w:rsidRPr="00EE08EA">
        <w:t xml:space="preserve"> </w:t>
      </w:r>
      <w:r w:rsidRPr="00EE08EA">
        <w:t>by the Board is required.</w:t>
      </w:r>
    </w:p>
    <w:p w14:paraId="6DF44091" w14:textId="77777777" w:rsidR="00E26134" w:rsidRPr="00811BA1" w:rsidRDefault="00E26134" w:rsidP="000009D3">
      <w:pPr>
        <w:pStyle w:val="Bodytext"/>
        <w:jc w:val="both"/>
      </w:pPr>
    </w:p>
    <w:p w14:paraId="4E5DEC91" w14:textId="1A659662" w:rsidR="00662B07" w:rsidRPr="00811BA1" w:rsidRDefault="00662B07" w:rsidP="000009D3">
      <w:pPr>
        <w:pStyle w:val="Bodytext"/>
        <w:jc w:val="both"/>
      </w:pPr>
      <w:r w:rsidRPr="00811BA1">
        <w:lastRenderedPageBreak/>
        <w:t xml:space="preserve">The Company invests in public or private securities, may hold controlling or non-controlling positions in its investments and may make investments in the form of equity, equity-related instruments, indebtedness or derivatives </w:t>
      </w:r>
      <w:r w:rsidR="00AF29EA">
        <w:t>(</w:t>
      </w:r>
      <w:r w:rsidRPr="00811BA1">
        <w:t>or a combination of any of them</w:t>
      </w:r>
      <w:r w:rsidR="00AF29EA">
        <w:t>)</w:t>
      </w:r>
      <w:r w:rsidRPr="00811BA1">
        <w:t>. The Company does not permit any investments to be the subject of stock lending or sale and repurchase of shares.</w:t>
      </w:r>
    </w:p>
    <w:p w14:paraId="0449541E" w14:textId="77777777" w:rsidR="00E26134" w:rsidRPr="00811BA1" w:rsidRDefault="00E26134" w:rsidP="000009D3">
      <w:pPr>
        <w:pStyle w:val="Bodytext"/>
        <w:jc w:val="both"/>
      </w:pPr>
    </w:p>
    <w:p w14:paraId="0C2CA36C" w14:textId="77777777" w:rsidR="00662B07" w:rsidRPr="00811BA1" w:rsidRDefault="00DF3FD2" w:rsidP="000009D3">
      <w:pPr>
        <w:pStyle w:val="Heading2"/>
        <w:jc w:val="both"/>
      </w:pPr>
      <w:r w:rsidRPr="00811BA1">
        <w:t>Diversification</w:t>
      </w:r>
    </w:p>
    <w:p w14:paraId="27861345" w14:textId="709D36E5" w:rsidR="00662B07" w:rsidRPr="00811BA1" w:rsidRDefault="00754D2F" w:rsidP="000009D3">
      <w:pPr>
        <w:pStyle w:val="Bodytext"/>
        <w:jc w:val="both"/>
      </w:pPr>
      <w:r w:rsidRPr="00C87AC3">
        <w:rPr>
          <w:color w:val="000000" w:themeColor="text1"/>
        </w:rPr>
        <w:t xml:space="preserve">Save for the Company’s investment in </w:t>
      </w:r>
      <w:r w:rsidR="00955678">
        <w:rPr>
          <w:color w:val="000000" w:themeColor="text1"/>
        </w:rPr>
        <w:t>Hammerhead</w:t>
      </w:r>
      <w:r w:rsidRPr="00C87AC3">
        <w:rPr>
          <w:color w:val="000000" w:themeColor="text1"/>
        </w:rPr>
        <w:t xml:space="preserve">, which may represent up to </w:t>
      </w:r>
      <w:r w:rsidR="008860BC">
        <w:t>35</w:t>
      </w:r>
      <w:r w:rsidR="001A13C6" w:rsidRPr="00C87AC3">
        <w:rPr>
          <w:color w:val="000000" w:themeColor="text1"/>
        </w:rPr>
        <w:t xml:space="preserve"> </w:t>
      </w:r>
      <w:r w:rsidRPr="00C87AC3">
        <w:rPr>
          <w:color w:val="000000" w:themeColor="text1"/>
        </w:rPr>
        <w:t xml:space="preserve">per cent. of the Company’s gross assets, including cash holdings, measured at the time the investment is made, </w:t>
      </w:r>
      <w:r>
        <w:t>n</w:t>
      </w:r>
      <w:r w:rsidR="00662B07" w:rsidRPr="00811BA1">
        <w:t>o one investment made by the Company, through the Partnership, may (at the time of the relevant investment) represent more than 25 per cent. of the Company’s gross assets, including cash holdings, measured at the time the investment is made. The Company utilises the Partnership and its subsidiary undertakings or other similar investment holding structures to make investments and this limitation does not apply to its ownership interest in any su</w:t>
      </w:r>
      <w:r w:rsidR="00DF3FD2" w:rsidRPr="00811BA1">
        <w:t xml:space="preserve">ch subsidiary undertaking </w:t>
      </w:r>
      <w:r w:rsidR="00AF29EA">
        <w:t>(</w:t>
      </w:r>
      <w:r w:rsidR="00DF3FD2" w:rsidRPr="00811BA1">
        <w:t xml:space="preserve">nor, </w:t>
      </w:r>
      <w:r w:rsidR="00662B07" w:rsidRPr="00811BA1">
        <w:t>for the avoidance of doubt, to the Company’s interest in the Partnership</w:t>
      </w:r>
      <w:r w:rsidR="00AF29EA">
        <w:t>)</w:t>
      </w:r>
      <w:r w:rsidR="00662B07" w:rsidRPr="00811BA1">
        <w:t>.</w:t>
      </w:r>
    </w:p>
    <w:p w14:paraId="5D9DF7E9" w14:textId="77777777" w:rsidR="00DF3FD2" w:rsidRPr="00811BA1" w:rsidRDefault="00DF3FD2" w:rsidP="000009D3">
      <w:pPr>
        <w:pStyle w:val="Bodytext"/>
        <w:jc w:val="both"/>
      </w:pPr>
    </w:p>
    <w:p w14:paraId="103C882E" w14:textId="77777777" w:rsidR="00662B07" w:rsidRPr="00811BA1" w:rsidRDefault="00DF3FD2" w:rsidP="000009D3">
      <w:pPr>
        <w:pStyle w:val="Heading2"/>
        <w:jc w:val="both"/>
      </w:pPr>
      <w:r w:rsidRPr="00811BA1">
        <w:t>Gearing</w:t>
      </w:r>
    </w:p>
    <w:p w14:paraId="7D40FAB7" w14:textId="3A6C7D90" w:rsidR="00662B07" w:rsidRPr="00811BA1" w:rsidRDefault="00662B07" w:rsidP="000009D3">
      <w:pPr>
        <w:pStyle w:val="Bodytext"/>
        <w:jc w:val="both"/>
      </w:pPr>
      <w:r w:rsidRPr="00811BA1">
        <w:t>The Company can, but is not required to, incur indebtedness for investment purposes, to the extent that such</w:t>
      </w:r>
      <w:r w:rsidR="00DF3FD2" w:rsidRPr="00811BA1">
        <w:t xml:space="preserve"> indebtedness is a precursor to </w:t>
      </w:r>
      <w:r w:rsidRPr="00811BA1">
        <w:t>an ultimate equity investment, working capital requirements and to fund own-share purchases</w:t>
      </w:r>
      <w:r w:rsidR="00DF3FD2" w:rsidRPr="00811BA1">
        <w:t xml:space="preserve"> </w:t>
      </w:r>
      <w:r w:rsidRPr="00811BA1">
        <w:t>or retentions up to a maximum of 30 per cent.</w:t>
      </w:r>
      <w:r w:rsidR="00DF3FD2" w:rsidRPr="00811BA1">
        <w:t xml:space="preserve"> </w:t>
      </w:r>
      <w:r w:rsidRPr="00811BA1">
        <w:t>of the last published NAV as at the time of the borrowing unless approved by the Company by an ordinary resolution. This limitation does not apply to portfolio level entities in respect of which the Company is invested but it does apply to all subsidiary undertakings utilised by the Company or the Partnership for the purposes of making investments. The consent of a majority</w:t>
      </w:r>
      <w:r w:rsidR="00DF3FD2" w:rsidRPr="00811BA1">
        <w:t xml:space="preserve"> </w:t>
      </w:r>
      <w:r w:rsidRPr="00811BA1">
        <w:t>of the Company’s Directors</w:t>
      </w:r>
      <w:r w:rsidR="007B5927">
        <w:t xml:space="preserve">, </w:t>
      </w:r>
      <w:r w:rsidR="004820E4">
        <w:t>with</w:t>
      </w:r>
      <w:r w:rsidR="007B5927">
        <w:t xml:space="preserve"> consent of the Investment Manager,</w:t>
      </w:r>
      <w:r w:rsidRPr="00811BA1">
        <w:t xml:space="preserve"> shall be required for the Company or the Partnership to enter into</w:t>
      </w:r>
      <w:r w:rsidR="00DF3FD2" w:rsidRPr="00811BA1">
        <w:t xml:space="preserve"> </w:t>
      </w:r>
      <w:r w:rsidRPr="00811BA1">
        <w:t>any credit or other borrowing facility.</w:t>
      </w:r>
    </w:p>
    <w:p w14:paraId="40DF2C8D" w14:textId="77777777" w:rsidR="00DF3FD2" w:rsidRPr="00811BA1" w:rsidRDefault="00DF3FD2" w:rsidP="000009D3">
      <w:pPr>
        <w:pStyle w:val="Bodytext"/>
        <w:jc w:val="both"/>
      </w:pPr>
    </w:p>
    <w:p w14:paraId="0767BD9C" w14:textId="4393983D" w:rsidR="00A01515" w:rsidRPr="00811BA1" w:rsidRDefault="00662B07" w:rsidP="000009D3">
      <w:pPr>
        <w:pStyle w:val="Bodytext"/>
        <w:jc w:val="both"/>
      </w:pPr>
      <w:r w:rsidRPr="00811BA1">
        <w:t>The Company must at all times comply with its published investment policy. For so long as the Ordinary Shares are listed on the Official List, no material change may be made to the Company’s investment policy other than with the prior approval of both the Company’s Shareholders and a majority of the independent Directors of the Company, and otherwise in accordance with the Listing Rules.</w:t>
      </w:r>
    </w:p>
    <w:p w14:paraId="541AD003" w14:textId="77777777" w:rsidR="00484AF4" w:rsidRDefault="00484AF4" w:rsidP="00484AF4"/>
    <w:p w14:paraId="23AAED57" w14:textId="77777777" w:rsidR="00484AF4" w:rsidRPr="00484AF4" w:rsidRDefault="00484AF4" w:rsidP="00484AF4"/>
    <w:p w14:paraId="5841F4DD" w14:textId="487D8B02" w:rsidR="000B1FE3" w:rsidRPr="00811BA1" w:rsidRDefault="000B1FE3" w:rsidP="00484AF4">
      <w:pPr>
        <w:pStyle w:val="Heading1"/>
        <w:spacing w:before="0"/>
      </w:pPr>
      <w:r w:rsidRPr="00811BA1">
        <w:t>Investment Restrictions</w:t>
      </w:r>
    </w:p>
    <w:p w14:paraId="755B9B86" w14:textId="77777777" w:rsidR="000B1FE3" w:rsidRPr="00811BA1" w:rsidRDefault="000B1FE3" w:rsidP="00EB7E49"/>
    <w:p w14:paraId="566A4A55" w14:textId="77777777" w:rsidR="000B1FE3" w:rsidRPr="00811BA1" w:rsidRDefault="000B1FE3" w:rsidP="000009D3">
      <w:pPr>
        <w:pStyle w:val="Bodytext"/>
        <w:spacing w:after="80"/>
        <w:jc w:val="both"/>
      </w:pPr>
      <w:r w:rsidRPr="00811BA1">
        <w:t>The Company is subject to the following investment restrictions:</w:t>
      </w:r>
    </w:p>
    <w:p w14:paraId="46B27306" w14:textId="77777777" w:rsidR="000B1FE3" w:rsidRPr="00811BA1" w:rsidRDefault="000B1FE3" w:rsidP="000009D3">
      <w:pPr>
        <w:pStyle w:val="Bodytext"/>
        <w:numPr>
          <w:ilvl w:val="0"/>
          <w:numId w:val="2"/>
        </w:numPr>
        <w:spacing w:after="80"/>
        <w:ind w:left="340" w:hanging="340"/>
        <w:jc w:val="both"/>
      </w:pPr>
      <w:r w:rsidRPr="00811BA1">
        <w:t>for so long as required by the Listing Rules, it will at all times seek to ensure that the Investment Manager invests and manages the Company’s and the Partnership’s assets in a way which is consistent with the Company’s objective of spreading risk and in accordance with the Company’s investment policy;</w:t>
      </w:r>
    </w:p>
    <w:p w14:paraId="46F38658" w14:textId="77777777" w:rsidR="000B1FE3" w:rsidRPr="00811BA1" w:rsidRDefault="000B1FE3" w:rsidP="000009D3">
      <w:pPr>
        <w:pStyle w:val="Bodytext"/>
        <w:numPr>
          <w:ilvl w:val="0"/>
          <w:numId w:val="2"/>
        </w:numPr>
        <w:spacing w:after="80"/>
        <w:ind w:left="340" w:hanging="340"/>
        <w:jc w:val="both"/>
      </w:pPr>
      <w:r w:rsidRPr="00811BA1">
        <w:t>for so long as required by the Listing Rules, it must not conduct a trading activity which is significant in the context of the Company and its Investment Undertakings;</w:t>
      </w:r>
    </w:p>
    <w:p w14:paraId="0775BDA8" w14:textId="77777777" w:rsidR="000B1FE3" w:rsidRPr="00811BA1" w:rsidRDefault="000B1FE3" w:rsidP="000009D3">
      <w:pPr>
        <w:pStyle w:val="Bodytext"/>
        <w:numPr>
          <w:ilvl w:val="0"/>
          <w:numId w:val="2"/>
        </w:numPr>
        <w:spacing w:after="80"/>
        <w:ind w:left="340" w:hanging="340"/>
        <w:jc w:val="both"/>
      </w:pPr>
      <w:r w:rsidRPr="00811BA1">
        <w:t>for so long as required by the Listing Rules, not more than 10 per cent. of the value of its total assets will be invested in other UK-listed closed-ended investment funds, except for those which themselves have published investment policies to invest not more than 15 per cent. of their total assets in other UK-listed closed-ended investment funds; and</w:t>
      </w:r>
    </w:p>
    <w:p w14:paraId="4AF987C9" w14:textId="2C06E1F8" w:rsidR="000B1FE3" w:rsidRPr="00811BA1" w:rsidRDefault="000B1FE3" w:rsidP="000009D3">
      <w:pPr>
        <w:pStyle w:val="Bodytext"/>
        <w:numPr>
          <w:ilvl w:val="0"/>
          <w:numId w:val="2"/>
        </w:numPr>
        <w:ind w:left="340" w:hanging="340"/>
        <w:jc w:val="both"/>
      </w:pPr>
      <w:r w:rsidRPr="00811BA1">
        <w:t xml:space="preserve">any investment restrictions that may be imposed by Guernsey law </w:t>
      </w:r>
      <w:r w:rsidR="00AF29EA">
        <w:t>(</w:t>
      </w:r>
      <w:r w:rsidRPr="00811BA1">
        <w:t>although no such restrictions currently exist</w:t>
      </w:r>
      <w:r w:rsidR="00AF29EA">
        <w:t>)</w:t>
      </w:r>
      <w:r w:rsidRPr="00811BA1">
        <w:t>.</w:t>
      </w:r>
    </w:p>
    <w:p w14:paraId="61DAF4DF" w14:textId="77777777" w:rsidR="000B1FE3" w:rsidRPr="00811BA1" w:rsidRDefault="000B1FE3" w:rsidP="000009D3">
      <w:pPr>
        <w:pStyle w:val="Bodytext"/>
        <w:jc w:val="both"/>
      </w:pPr>
    </w:p>
    <w:p w14:paraId="27F0FA76" w14:textId="77777777" w:rsidR="000B1FE3" w:rsidRPr="00081323" w:rsidRDefault="000B1FE3" w:rsidP="000009D3">
      <w:pPr>
        <w:pStyle w:val="Bodytext"/>
        <w:jc w:val="both"/>
      </w:pPr>
      <w:r w:rsidRPr="00811BA1">
        <w:t xml:space="preserve">Currency and interest rate hedging transactions will only be undertaken for the purpose of efficient portfolio </w:t>
      </w:r>
      <w:r w:rsidRPr="00081323">
        <w:t>management and these transactions will not be undertaken for speculative purposes.</w:t>
      </w:r>
    </w:p>
    <w:p w14:paraId="62C54679" w14:textId="77777777" w:rsidR="000B1FE3" w:rsidRPr="00081323" w:rsidRDefault="000B1FE3" w:rsidP="00EB7E49">
      <w:pPr>
        <w:pStyle w:val="Bodytext"/>
      </w:pPr>
    </w:p>
    <w:p w14:paraId="7E87B781" w14:textId="55AC6A20" w:rsidR="00C15904" w:rsidRPr="00811BA1" w:rsidRDefault="00C15904" w:rsidP="000009D3">
      <w:pPr>
        <w:pStyle w:val="Bodytext"/>
        <w:jc w:val="both"/>
        <w:rPr>
          <w:i/>
          <w:caps/>
          <w:sz w:val="28"/>
          <w:szCs w:val="28"/>
        </w:rPr>
      </w:pPr>
      <w:r w:rsidRPr="00A53241">
        <w:rPr>
          <w:i/>
          <w:caps/>
          <w:sz w:val="28"/>
          <w:szCs w:val="28"/>
        </w:rPr>
        <w:t>“The Company invests in the global energy sector, which is undergoing significant transformation driven in large part by a revolution in horizontal drilling and completion technology.”</w:t>
      </w:r>
    </w:p>
    <w:p w14:paraId="568EF451" w14:textId="77777777" w:rsidR="00560B69" w:rsidRDefault="00560B69" w:rsidP="00484AF4">
      <w:pPr>
        <w:pStyle w:val="Heading1"/>
        <w:spacing w:before="0"/>
        <w:rPr>
          <w:sz w:val="20"/>
          <w:szCs w:val="20"/>
        </w:rPr>
      </w:pPr>
    </w:p>
    <w:p w14:paraId="137F1E01" w14:textId="51335CFF" w:rsidR="001E4E0B" w:rsidRPr="00811BA1" w:rsidRDefault="001E4E0B" w:rsidP="00484AF4">
      <w:pPr>
        <w:pStyle w:val="Heading1"/>
        <w:spacing w:before="0"/>
      </w:pPr>
      <w:r w:rsidRPr="00981BBE">
        <w:t>Board of Directors</w:t>
      </w:r>
      <w:r w:rsidR="00981BBE" w:rsidRPr="00981BBE">
        <w:t xml:space="preserve"> </w:t>
      </w:r>
    </w:p>
    <w:p w14:paraId="0EAEB880" w14:textId="77777777" w:rsidR="00301DF4" w:rsidRPr="00811BA1" w:rsidRDefault="00301DF4" w:rsidP="00EB7E49">
      <w:pPr>
        <w:pStyle w:val="Bodytext"/>
      </w:pPr>
    </w:p>
    <w:p w14:paraId="098D341A" w14:textId="3330118F" w:rsidR="00EB470B" w:rsidRPr="00811BA1" w:rsidRDefault="00EB470B" w:rsidP="000009D3">
      <w:pPr>
        <w:pStyle w:val="Bodytext"/>
        <w:jc w:val="both"/>
        <w:rPr>
          <w:i/>
        </w:rPr>
      </w:pPr>
      <w:r w:rsidRPr="00811BA1">
        <w:rPr>
          <w:b/>
          <w:sz w:val="24"/>
        </w:rPr>
        <w:t>Richard Hayden</w:t>
      </w:r>
      <w:r w:rsidRPr="00811BA1">
        <w:t xml:space="preserve"> (7</w:t>
      </w:r>
      <w:r w:rsidR="0041667D">
        <w:t>4</w:t>
      </w:r>
      <w:r w:rsidRPr="00811BA1">
        <w:t xml:space="preserve">), </w:t>
      </w:r>
      <w:r w:rsidRPr="00052FF2">
        <w:rPr>
          <w:i/>
          <w:iCs/>
        </w:rPr>
        <w:t xml:space="preserve">Chairman </w:t>
      </w:r>
      <w:r w:rsidR="00AF29EA" w:rsidRPr="00052FF2">
        <w:rPr>
          <w:i/>
          <w:iCs/>
        </w:rPr>
        <w:t>and Non-</w:t>
      </w:r>
      <w:r w:rsidR="00937039" w:rsidRPr="00052FF2">
        <w:rPr>
          <w:i/>
          <w:iCs/>
        </w:rPr>
        <w:t>e</w:t>
      </w:r>
      <w:r w:rsidR="00AF29EA" w:rsidRPr="00052FF2">
        <w:rPr>
          <w:i/>
          <w:iCs/>
        </w:rPr>
        <w:t>xecutive Independent Director</w:t>
      </w:r>
    </w:p>
    <w:p w14:paraId="09146C84" w14:textId="77777777" w:rsidR="00EB470B" w:rsidRPr="00811BA1" w:rsidRDefault="00EB470B" w:rsidP="000009D3">
      <w:pPr>
        <w:pStyle w:val="Bodytext"/>
        <w:jc w:val="both"/>
      </w:pPr>
    </w:p>
    <w:p w14:paraId="6F93B7BA" w14:textId="0D154C97" w:rsidR="00EB470B" w:rsidRPr="00811BA1" w:rsidRDefault="00EB470B" w:rsidP="000009D3">
      <w:pPr>
        <w:pStyle w:val="Bodytext"/>
        <w:jc w:val="both"/>
      </w:pPr>
      <w:r w:rsidRPr="00811BA1">
        <w:rPr>
          <w:b/>
        </w:rPr>
        <w:t>Appointment:</w:t>
      </w:r>
      <w:r w:rsidRPr="00811BA1">
        <w:t xml:space="preserve"> Ap</w:t>
      </w:r>
      <w:r w:rsidR="00037C2D">
        <w:t>pointed to the Board in May 2013 and appointed as Chairman in May 2016</w:t>
      </w:r>
    </w:p>
    <w:p w14:paraId="10FC481E" w14:textId="77777777" w:rsidR="00EB470B" w:rsidRPr="00811BA1" w:rsidRDefault="00EB470B" w:rsidP="000009D3">
      <w:pPr>
        <w:pStyle w:val="Bodytext"/>
        <w:jc w:val="both"/>
      </w:pPr>
    </w:p>
    <w:p w14:paraId="39676FCE" w14:textId="74A2139A" w:rsidR="00EB470B" w:rsidRPr="00811BA1" w:rsidRDefault="00EB470B" w:rsidP="000009D3">
      <w:pPr>
        <w:pStyle w:val="Bodytext"/>
        <w:jc w:val="both"/>
      </w:pPr>
      <w:r w:rsidRPr="00811BA1">
        <w:rPr>
          <w:b/>
        </w:rPr>
        <w:lastRenderedPageBreak/>
        <w:t>Experience:</w:t>
      </w:r>
      <w:r w:rsidRPr="00811BA1">
        <w:t xml:space="preserve"> Mr Hayden serves as </w:t>
      </w:r>
      <w:r w:rsidR="000570BC">
        <w:t>n</w:t>
      </w:r>
      <w:r w:rsidRPr="00811BA1">
        <w:t xml:space="preserve">on-executive Chairman of </w:t>
      </w:r>
      <w:r w:rsidR="005B46A4">
        <w:t>TowerBrook Capital Partners Advisory Board and member of the Investment Committee</w:t>
      </w:r>
      <w:r w:rsidRPr="00811BA1">
        <w:t xml:space="preserve">. Prior to joining </w:t>
      </w:r>
      <w:r w:rsidR="005B46A4">
        <w:t>TowerBrook</w:t>
      </w:r>
      <w:r w:rsidRPr="00811BA1">
        <w:t xml:space="preserve"> in 2009, Mr Hayden was Vice Chairman of GSC Group Inc and Global Head of the CLO and Mezzanine Debt business. Previously, Mr Hayden was with Goldman Sachs from 1969 to 1999</w:t>
      </w:r>
      <w:r w:rsidR="005B46A4">
        <w:t>.</w:t>
      </w:r>
      <w:r w:rsidRPr="00811BA1">
        <w:t xml:space="preserve"> Mr Hayden held a variety of senior positions during his time at Goldman Sachs, including Deputy Chairman of Goldman Sachs International Ltd and Chairman of the Global Credit Committee. Mr Hayden has served on a number of corporate and advisory boards</w:t>
      </w:r>
      <w:r w:rsidR="00586B9B">
        <w:t xml:space="preserve"> </w:t>
      </w:r>
      <w:r w:rsidR="00586B9B" w:rsidRPr="00586B9B">
        <w:t>including CQS Capital Management, Haymarket Financial, Deutsche Borse and Abbey National Bank. Mr Hayden is currently on the Finance and Investment Committee of the Children’s Investment Fund Foundation</w:t>
      </w:r>
      <w:r w:rsidR="005B46A4">
        <w:t>.</w:t>
      </w:r>
      <w:r w:rsidR="006475DD">
        <w:t xml:space="preserve"> </w:t>
      </w:r>
      <w:r w:rsidR="005B46A4" w:rsidRPr="00811BA1">
        <w:t>Mr Hayden is a UK resident.</w:t>
      </w:r>
    </w:p>
    <w:p w14:paraId="5039018F" w14:textId="77777777" w:rsidR="00EB470B" w:rsidRPr="00811BA1" w:rsidRDefault="00EB470B" w:rsidP="000009D3">
      <w:pPr>
        <w:pStyle w:val="Bodytext"/>
        <w:jc w:val="both"/>
      </w:pPr>
    </w:p>
    <w:p w14:paraId="35FDAEFB" w14:textId="008A5E1A" w:rsidR="00EB470B" w:rsidRDefault="00EB470B" w:rsidP="000009D3">
      <w:pPr>
        <w:pStyle w:val="Bodytext"/>
        <w:jc w:val="both"/>
      </w:pPr>
      <w:r w:rsidRPr="00811BA1">
        <w:rPr>
          <w:b/>
        </w:rPr>
        <w:t>Committee Membership:</w:t>
      </w:r>
      <w:r w:rsidRPr="00811BA1">
        <w:t xml:space="preserve"> </w:t>
      </w:r>
      <w:r w:rsidR="0064337E">
        <w:t>Audit Committee Member; Nomination Committee Chairman; Management Engagement Committee Member</w:t>
      </w:r>
    </w:p>
    <w:p w14:paraId="5FD16749" w14:textId="77777777" w:rsidR="00EB470B" w:rsidRPr="00811BA1" w:rsidRDefault="00EB470B" w:rsidP="000009D3">
      <w:pPr>
        <w:pStyle w:val="Bodytext"/>
        <w:jc w:val="both"/>
      </w:pPr>
    </w:p>
    <w:p w14:paraId="5CD42B77" w14:textId="561E77C9" w:rsidR="009B7D5D" w:rsidRPr="00811BA1" w:rsidRDefault="009B7D5D" w:rsidP="000009D3">
      <w:pPr>
        <w:pStyle w:val="Bodytext"/>
        <w:jc w:val="both"/>
        <w:rPr>
          <w:i/>
        </w:rPr>
      </w:pPr>
      <w:r w:rsidRPr="00811BA1">
        <w:rPr>
          <w:b/>
          <w:sz w:val="24"/>
        </w:rPr>
        <w:t>Peter Barker</w:t>
      </w:r>
      <w:r w:rsidRPr="00811BA1">
        <w:rPr>
          <w:b/>
        </w:rPr>
        <w:t xml:space="preserve"> </w:t>
      </w:r>
      <w:r w:rsidRPr="00811BA1">
        <w:t>(</w:t>
      </w:r>
      <w:r w:rsidR="00230C76">
        <w:t>7</w:t>
      </w:r>
      <w:r w:rsidR="0041667D">
        <w:t>1</w:t>
      </w:r>
      <w:r w:rsidRPr="00811BA1">
        <w:t xml:space="preserve">), </w:t>
      </w:r>
      <w:r w:rsidRPr="00811BA1">
        <w:rPr>
          <w:i/>
        </w:rPr>
        <w:t>Non-executive Independent Director</w:t>
      </w:r>
    </w:p>
    <w:p w14:paraId="52945111" w14:textId="77777777" w:rsidR="00A01515" w:rsidRPr="00811BA1" w:rsidRDefault="00A01515" w:rsidP="000009D3">
      <w:pPr>
        <w:pStyle w:val="Bodytext"/>
        <w:jc w:val="both"/>
      </w:pPr>
    </w:p>
    <w:p w14:paraId="1EF6D50A" w14:textId="77777777" w:rsidR="009B7D5D" w:rsidRPr="00811BA1" w:rsidRDefault="009B7D5D" w:rsidP="000009D3">
      <w:pPr>
        <w:pStyle w:val="Bodytext"/>
        <w:jc w:val="both"/>
      </w:pPr>
      <w:r w:rsidRPr="00811BA1">
        <w:rPr>
          <w:b/>
        </w:rPr>
        <w:t xml:space="preserve">Appointment: </w:t>
      </w:r>
      <w:r w:rsidRPr="00811BA1">
        <w:t>Appointed to the Board in September 2013</w:t>
      </w:r>
    </w:p>
    <w:p w14:paraId="7E57AEA1" w14:textId="77777777" w:rsidR="00A01515" w:rsidRPr="00811BA1" w:rsidRDefault="00A01515" w:rsidP="000009D3">
      <w:pPr>
        <w:pStyle w:val="Bodytext"/>
        <w:jc w:val="both"/>
      </w:pPr>
    </w:p>
    <w:p w14:paraId="04D35A11" w14:textId="0C9A58FA" w:rsidR="009B7D5D" w:rsidRPr="00811BA1" w:rsidRDefault="009B7D5D" w:rsidP="000009D3">
      <w:pPr>
        <w:pStyle w:val="Bodytext"/>
        <w:jc w:val="both"/>
      </w:pPr>
      <w:r w:rsidRPr="00811BA1">
        <w:rPr>
          <w:b/>
        </w:rPr>
        <w:t xml:space="preserve">Experience: </w:t>
      </w:r>
      <w:r w:rsidRPr="00811BA1">
        <w:t>Mr Barker was California Chairman of JPMorgan Chase &amp; Co., a global financial services firm, from September 2009 until his retirement on</w:t>
      </w:r>
      <w:r w:rsidR="00A01515" w:rsidRPr="00811BA1">
        <w:t xml:space="preserve"> </w:t>
      </w:r>
      <w:r w:rsidRPr="00811BA1">
        <w:t>31 January 2013, and a member of its Executive Committee in New York.</w:t>
      </w:r>
      <w:r w:rsidR="00A01515" w:rsidRPr="00811BA1">
        <w:t xml:space="preserve"> </w:t>
      </w:r>
      <w:r w:rsidRPr="00811BA1">
        <w:t>Mr Barker was also a</w:t>
      </w:r>
      <w:r w:rsidR="00101F08">
        <w:t>n</w:t>
      </w:r>
      <w:r w:rsidRPr="00811BA1">
        <w:t xml:space="preserve"> Advisory Director of Goldman, Sachs &amp; Co. from December 1998 until his retirement in May 2002, and a Partner of Goldman,</w:t>
      </w:r>
      <w:r w:rsidR="00A01515" w:rsidRPr="00811BA1">
        <w:t xml:space="preserve"> </w:t>
      </w:r>
      <w:r w:rsidRPr="00811BA1">
        <w:t>Sachs &amp; Co. from 1982 to 1998, heading up Investment Banking on the West Coast, having joined Goldman, Sachs &amp; Co. in 1971. Mr Barker is President of the Fletcher Jones Foundation and has held numerous directorships. He is currently</w:t>
      </w:r>
      <w:r w:rsidR="00A01515" w:rsidRPr="00811BA1">
        <w:t xml:space="preserve"> </w:t>
      </w:r>
      <w:r w:rsidRPr="00811BA1">
        <w:t>on the board of Flu</w:t>
      </w:r>
      <w:r w:rsidR="00230C76">
        <w:t xml:space="preserve">or Corporation, Avery Dennison </w:t>
      </w:r>
      <w:r w:rsidR="0005241C">
        <w:t>C</w:t>
      </w:r>
      <w:r w:rsidRPr="00811BA1">
        <w:t>orporation, the W. M. Keck Foundation, the Irvine Company, Franklin Resources, Inc., and the Automobile Club of Southern California. Mr Barker is also a Trustee of Claremont McKenna College, having formerly been its Chairman, and was previously Chair of the Los Angeles Area Council of the Boy Scouts of America. Mr Barker is a U.S. resident.</w:t>
      </w:r>
    </w:p>
    <w:p w14:paraId="3B32F027" w14:textId="77777777" w:rsidR="00A01515" w:rsidRPr="00811BA1" w:rsidRDefault="00A01515" w:rsidP="000009D3">
      <w:pPr>
        <w:pStyle w:val="Bodytext"/>
        <w:jc w:val="both"/>
      </w:pPr>
    </w:p>
    <w:p w14:paraId="2C33E7EE" w14:textId="77777777" w:rsidR="009B7D5D" w:rsidRPr="00811BA1" w:rsidRDefault="009B7D5D" w:rsidP="000009D3">
      <w:pPr>
        <w:pStyle w:val="Bodytext"/>
        <w:jc w:val="both"/>
      </w:pPr>
      <w:r w:rsidRPr="00811BA1">
        <w:rPr>
          <w:b/>
        </w:rPr>
        <w:t>Committee Membership:</w:t>
      </w:r>
      <w:r w:rsidRPr="00811BA1">
        <w:t xml:space="preserve"> Audit Committee Member; Nomination Committee Member; Management Engagement Committee Member</w:t>
      </w:r>
    </w:p>
    <w:p w14:paraId="5E554E2E" w14:textId="77777777" w:rsidR="002535C1" w:rsidRPr="00811BA1" w:rsidRDefault="002535C1" w:rsidP="000009D3">
      <w:pPr>
        <w:pStyle w:val="Bodytext"/>
        <w:jc w:val="both"/>
      </w:pPr>
    </w:p>
    <w:p w14:paraId="47A2CE13" w14:textId="69E635E1" w:rsidR="009B7D5D" w:rsidRPr="00811BA1" w:rsidRDefault="009B7D5D" w:rsidP="000009D3">
      <w:pPr>
        <w:pStyle w:val="Bodytext"/>
        <w:jc w:val="both"/>
        <w:rPr>
          <w:i/>
        </w:rPr>
      </w:pPr>
      <w:r w:rsidRPr="00811BA1">
        <w:rPr>
          <w:b/>
          <w:sz w:val="24"/>
        </w:rPr>
        <w:t>Patrick Firth</w:t>
      </w:r>
      <w:r w:rsidRPr="00811BA1">
        <w:t xml:space="preserve"> (</w:t>
      </w:r>
      <w:r w:rsidR="00B80746" w:rsidRPr="00811BA1">
        <w:t>5</w:t>
      </w:r>
      <w:r w:rsidR="0041667D">
        <w:t>8</w:t>
      </w:r>
      <w:r w:rsidRPr="00811BA1">
        <w:t xml:space="preserve">), </w:t>
      </w:r>
      <w:r w:rsidRPr="00811BA1">
        <w:rPr>
          <w:i/>
        </w:rPr>
        <w:t xml:space="preserve">Non-executive </w:t>
      </w:r>
      <w:r w:rsidR="00A76D40">
        <w:rPr>
          <w:i/>
        </w:rPr>
        <w:t xml:space="preserve">Senior </w:t>
      </w:r>
      <w:r w:rsidRPr="00811BA1">
        <w:rPr>
          <w:i/>
        </w:rPr>
        <w:t>Independent Director</w:t>
      </w:r>
    </w:p>
    <w:p w14:paraId="4BC87EDA" w14:textId="77777777" w:rsidR="004D3364" w:rsidRPr="00811BA1" w:rsidRDefault="004D3364" w:rsidP="000009D3">
      <w:pPr>
        <w:pStyle w:val="Bodytext"/>
        <w:jc w:val="both"/>
      </w:pPr>
    </w:p>
    <w:p w14:paraId="65B743C4" w14:textId="24B47912" w:rsidR="009B7D5D" w:rsidRPr="00811BA1" w:rsidRDefault="009B7D5D" w:rsidP="000009D3">
      <w:pPr>
        <w:pStyle w:val="Bodytext"/>
        <w:jc w:val="both"/>
      </w:pPr>
      <w:r w:rsidRPr="00811BA1">
        <w:rPr>
          <w:b/>
        </w:rPr>
        <w:t xml:space="preserve">Appointment: </w:t>
      </w:r>
      <w:r w:rsidRPr="00811BA1">
        <w:t>Appointed to the Board in May 2013</w:t>
      </w:r>
      <w:r w:rsidR="00037C2D">
        <w:t xml:space="preserve"> and appointed as Senior Independent Director in May 2016</w:t>
      </w:r>
    </w:p>
    <w:p w14:paraId="42AF967C" w14:textId="77777777" w:rsidR="004D3364" w:rsidRPr="00811BA1" w:rsidRDefault="004D3364" w:rsidP="000009D3">
      <w:pPr>
        <w:pStyle w:val="Bodytext"/>
        <w:jc w:val="both"/>
      </w:pPr>
    </w:p>
    <w:p w14:paraId="652CFC8B" w14:textId="3FADED1A" w:rsidR="009B7D5D" w:rsidRPr="00811BA1" w:rsidRDefault="009B7D5D" w:rsidP="000009D3">
      <w:pPr>
        <w:pStyle w:val="Bodytext"/>
        <w:jc w:val="both"/>
      </w:pPr>
      <w:r w:rsidRPr="00811BA1">
        <w:rPr>
          <w:b/>
        </w:rPr>
        <w:t>Experience:</w:t>
      </w:r>
      <w:r w:rsidRPr="00811BA1">
        <w:t xml:space="preserve"> Mr Firth qualified as a Chartered Accountant with KPMG Guernsey in 1991 and is also a member of the Chartered Institute for Securities and Investment. He has worked in the fund industry in Guernsey since joining Rothschild Asset Management (CI) Limited in 1992 before moving to become Managing Director at Butterfield Fund Services (Guernsey) Limited (subsequently Butterfield Fulcrum Group (Guernsey) Limited), a company providing third party fund administration services, where he worked from April 2002 until June 2009. He is a </w:t>
      </w:r>
      <w:r w:rsidR="000570BC">
        <w:t>n</w:t>
      </w:r>
      <w:r w:rsidR="000570BC" w:rsidRPr="00811BA1">
        <w:t>on</w:t>
      </w:r>
      <w:r w:rsidRPr="00811BA1">
        <w:t xml:space="preserve">-executive Director of a number of investment funds and management companies, including </w:t>
      </w:r>
      <w:r w:rsidR="009E6DC4">
        <w:t>GLI Finance Limited,</w:t>
      </w:r>
      <w:r w:rsidR="00CC5480">
        <w:t xml:space="preserve"> </w:t>
      </w:r>
      <w:r w:rsidRPr="00811BA1">
        <w:t>ICG Longbow Senior Secured UK Property Debt Investments Limited and NextEnergy Solar Fund Limited. Mr Firth is a resident of Guernsey.</w:t>
      </w:r>
    </w:p>
    <w:p w14:paraId="09E1571C" w14:textId="77777777" w:rsidR="004D3364" w:rsidRPr="00811BA1" w:rsidRDefault="004D3364" w:rsidP="000009D3">
      <w:pPr>
        <w:pStyle w:val="Bodytext"/>
        <w:jc w:val="both"/>
      </w:pPr>
    </w:p>
    <w:p w14:paraId="24D79541" w14:textId="486DB82C" w:rsidR="009B7D5D" w:rsidRPr="00811BA1" w:rsidRDefault="009B7D5D" w:rsidP="000009D3">
      <w:pPr>
        <w:pStyle w:val="Bodytext"/>
        <w:jc w:val="both"/>
      </w:pPr>
      <w:r w:rsidRPr="00811BA1">
        <w:rPr>
          <w:b/>
        </w:rPr>
        <w:t>Committee Membership:</w:t>
      </w:r>
      <w:r w:rsidRPr="00811BA1">
        <w:t xml:space="preserve"> Audit Committee </w:t>
      </w:r>
      <w:r w:rsidR="00037C2D">
        <w:t>Chairman</w:t>
      </w:r>
      <w:r w:rsidRPr="00811BA1">
        <w:t>; Nomination Committee Member; Management Engagement Committee Member</w:t>
      </w:r>
    </w:p>
    <w:p w14:paraId="7D85AE69" w14:textId="77777777" w:rsidR="004D3364" w:rsidRPr="00811BA1" w:rsidRDefault="004D3364" w:rsidP="000009D3">
      <w:pPr>
        <w:pStyle w:val="Bodytext"/>
        <w:jc w:val="both"/>
      </w:pPr>
    </w:p>
    <w:p w14:paraId="35F8FEEC" w14:textId="0E6DDBA9" w:rsidR="009B7D5D" w:rsidRPr="00811BA1" w:rsidRDefault="009B7D5D" w:rsidP="000009D3">
      <w:pPr>
        <w:pStyle w:val="Bodytext"/>
        <w:jc w:val="both"/>
        <w:rPr>
          <w:i/>
        </w:rPr>
      </w:pPr>
      <w:r w:rsidRPr="00811BA1">
        <w:rPr>
          <w:b/>
          <w:sz w:val="24"/>
        </w:rPr>
        <w:t>Pierre F. Lapeyre</w:t>
      </w:r>
      <w:r w:rsidRPr="00811BA1">
        <w:t xml:space="preserve"> (</w:t>
      </w:r>
      <w:r w:rsidR="00B80746" w:rsidRPr="00811BA1">
        <w:t>5</w:t>
      </w:r>
      <w:r w:rsidR="0041667D">
        <w:t>7</w:t>
      </w:r>
      <w:r w:rsidRPr="00811BA1">
        <w:t xml:space="preserve">), </w:t>
      </w:r>
      <w:r w:rsidRPr="00811BA1">
        <w:rPr>
          <w:i/>
        </w:rPr>
        <w:t>Non-executive Director</w:t>
      </w:r>
    </w:p>
    <w:p w14:paraId="2C5874E2" w14:textId="77777777" w:rsidR="00185C05" w:rsidRPr="00811BA1" w:rsidRDefault="00185C05" w:rsidP="000009D3">
      <w:pPr>
        <w:pStyle w:val="Bodytext"/>
        <w:jc w:val="both"/>
      </w:pPr>
    </w:p>
    <w:p w14:paraId="5888D113" w14:textId="77777777" w:rsidR="009B7D5D" w:rsidRPr="00811BA1" w:rsidRDefault="009B7D5D" w:rsidP="000009D3">
      <w:pPr>
        <w:pStyle w:val="Bodytext"/>
        <w:jc w:val="both"/>
      </w:pPr>
      <w:r w:rsidRPr="00811BA1">
        <w:rPr>
          <w:b/>
        </w:rPr>
        <w:t>Appointment:</w:t>
      </w:r>
      <w:r w:rsidRPr="00811BA1">
        <w:t xml:space="preserve"> Appointed to the Board in May 2013</w:t>
      </w:r>
    </w:p>
    <w:p w14:paraId="13C9B0FA" w14:textId="77777777" w:rsidR="00185C05" w:rsidRPr="00811BA1" w:rsidRDefault="00185C05" w:rsidP="000009D3">
      <w:pPr>
        <w:pStyle w:val="Bodytext"/>
        <w:jc w:val="both"/>
      </w:pPr>
    </w:p>
    <w:p w14:paraId="3B972FF3" w14:textId="5F3EE3BD" w:rsidR="009B7D5D" w:rsidRPr="00811BA1" w:rsidRDefault="009B7D5D" w:rsidP="000009D3">
      <w:pPr>
        <w:pStyle w:val="Bodytext"/>
        <w:jc w:val="both"/>
      </w:pPr>
      <w:r w:rsidRPr="00811BA1">
        <w:rPr>
          <w:b/>
        </w:rPr>
        <w:t>Experience:</w:t>
      </w:r>
      <w:r w:rsidRPr="00811BA1">
        <w:t xml:space="preserve"> Mr Lapeyre is a Founder and Senior Managing Director of Riverstone. He is based in New York. Prior to founding Riverstone, Mr Lapeyre was a Managing Director of Goldman Sachs in its Global Energy and Power Group. Mr Lapeyre joined Goldman Sachs in 1986 and spent his 14-year investment banking career focu</w:t>
      </w:r>
      <w:r w:rsidR="005819E9">
        <w:t>s</w:t>
      </w:r>
      <w:r w:rsidRPr="00811BA1">
        <w:t xml:space="preserve">sed on energy and power, particularly the midstream, upstream and energy service sectors. Mr Lapeyre’s responsibilities at Goldman Sachs included client coverage and leading the </w:t>
      </w:r>
      <w:r w:rsidR="0050262E" w:rsidRPr="00811BA1">
        <w:t>execution of a wide variety of mergers and acquisitions</w:t>
      </w:r>
      <w:r w:rsidRPr="00811BA1">
        <w:t>, IPO, strategic advisory and capital markets financings for clients across all sectors of the industry.</w:t>
      </w:r>
    </w:p>
    <w:p w14:paraId="321761E8" w14:textId="77777777" w:rsidR="00185C05" w:rsidRPr="00811BA1" w:rsidRDefault="00185C05" w:rsidP="000009D3">
      <w:pPr>
        <w:pStyle w:val="Bodytext"/>
        <w:jc w:val="both"/>
      </w:pPr>
    </w:p>
    <w:p w14:paraId="4613D8F3" w14:textId="77777777" w:rsidR="009B7D5D" w:rsidRPr="00811BA1" w:rsidRDefault="009B7D5D" w:rsidP="000009D3">
      <w:pPr>
        <w:pStyle w:val="Bodytext"/>
        <w:jc w:val="both"/>
      </w:pPr>
      <w:r w:rsidRPr="00811BA1">
        <w:t>While at Goldman Sachs, Mr Lapeyre served as sector captain for the midstream and energy services segments, led the group’s coverage of Asian energy companies and was extensively involved in the origination and execution of energy private equity investments on behalf</w:t>
      </w:r>
      <w:r w:rsidR="00185C05" w:rsidRPr="00811BA1">
        <w:t xml:space="preserve"> </w:t>
      </w:r>
      <w:r w:rsidRPr="00811BA1">
        <w:t xml:space="preserve">of the firm. Mr Lapeyre was responsible for managing Goldman Sachs’ leading franchise in master limited partnerships. He was also asked to lead the </w:t>
      </w:r>
      <w:r w:rsidRPr="00811BA1">
        <w:lastRenderedPageBreak/>
        <w:t>group’s agency and principal investment effort in energy/power technology. At Goldman Sachs Mr Lapeyre had relationship and deal execution responsibilities for a broad range of energy clients.</w:t>
      </w:r>
    </w:p>
    <w:p w14:paraId="0276A9B0" w14:textId="77777777" w:rsidR="00185C05" w:rsidRPr="00811BA1" w:rsidRDefault="00185C05" w:rsidP="000009D3">
      <w:pPr>
        <w:pStyle w:val="Bodytext"/>
        <w:jc w:val="both"/>
      </w:pPr>
    </w:p>
    <w:p w14:paraId="1D587C63" w14:textId="77777777" w:rsidR="009B7D5D" w:rsidRPr="00811BA1" w:rsidRDefault="009B7D5D" w:rsidP="000009D3">
      <w:pPr>
        <w:pStyle w:val="Bodytext"/>
        <w:jc w:val="both"/>
      </w:pPr>
      <w:r w:rsidRPr="00811BA1">
        <w:t>Mr Lapeyre serves on the boards of directors or equivalent bodies of a number of portfolio companies in which Other Riverstone Funds have investment interests. Mr Lapeyre is a U.S. resident.</w:t>
      </w:r>
    </w:p>
    <w:p w14:paraId="66A8A553" w14:textId="77777777" w:rsidR="00185C05" w:rsidRPr="00811BA1" w:rsidRDefault="00185C05" w:rsidP="000009D3">
      <w:pPr>
        <w:pStyle w:val="Bodytext"/>
        <w:jc w:val="both"/>
      </w:pPr>
    </w:p>
    <w:p w14:paraId="6EDB5D4E" w14:textId="77777777" w:rsidR="009B7D5D" w:rsidRPr="00811BA1" w:rsidRDefault="009B7D5D" w:rsidP="000009D3">
      <w:pPr>
        <w:pStyle w:val="Bodytext"/>
        <w:jc w:val="both"/>
      </w:pPr>
      <w:r w:rsidRPr="00811BA1">
        <w:rPr>
          <w:b/>
        </w:rPr>
        <w:t>Committee Membership:</w:t>
      </w:r>
      <w:r w:rsidRPr="00811BA1">
        <w:t xml:space="preserve"> None</w:t>
      </w:r>
    </w:p>
    <w:p w14:paraId="06B3E7E4" w14:textId="77777777" w:rsidR="003A7E74" w:rsidRDefault="003A7E74" w:rsidP="000009D3">
      <w:pPr>
        <w:pStyle w:val="Bodytext"/>
        <w:jc w:val="both"/>
        <w:rPr>
          <w:b/>
          <w:sz w:val="24"/>
        </w:rPr>
      </w:pPr>
    </w:p>
    <w:p w14:paraId="346D4F81" w14:textId="27909460" w:rsidR="009B7D5D" w:rsidRPr="00811BA1" w:rsidRDefault="009B7D5D" w:rsidP="000009D3">
      <w:pPr>
        <w:pStyle w:val="Bodytext"/>
        <w:jc w:val="both"/>
        <w:rPr>
          <w:i/>
        </w:rPr>
      </w:pPr>
      <w:r w:rsidRPr="00811BA1">
        <w:rPr>
          <w:b/>
          <w:sz w:val="24"/>
        </w:rPr>
        <w:t>David M. Leuschen</w:t>
      </w:r>
      <w:r w:rsidRPr="00811BA1">
        <w:t xml:space="preserve"> (</w:t>
      </w:r>
      <w:r w:rsidR="00B80746" w:rsidRPr="00811BA1">
        <w:t>6</w:t>
      </w:r>
      <w:r w:rsidR="0041667D">
        <w:t>8</w:t>
      </w:r>
      <w:r w:rsidRPr="00811BA1">
        <w:t xml:space="preserve">), </w:t>
      </w:r>
      <w:r w:rsidRPr="00811BA1">
        <w:rPr>
          <w:i/>
        </w:rPr>
        <w:t>Non-executive Director</w:t>
      </w:r>
    </w:p>
    <w:p w14:paraId="608FD902" w14:textId="77777777" w:rsidR="00185C05" w:rsidRPr="00811BA1" w:rsidRDefault="00185C05" w:rsidP="000009D3">
      <w:pPr>
        <w:pStyle w:val="Bodytext"/>
        <w:jc w:val="both"/>
      </w:pPr>
    </w:p>
    <w:p w14:paraId="09851711" w14:textId="77777777" w:rsidR="009B7D5D" w:rsidRPr="00811BA1" w:rsidRDefault="009B7D5D" w:rsidP="000009D3">
      <w:pPr>
        <w:pStyle w:val="Bodytext"/>
        <w:jc w:val="both"/>
      </w:pPr>
      <w:r w:rsidRPr="00811BA1">
        <w:rPr>
          <w:b/>
        </w:rPr>
        <w:t>Appointment:</w:t>
      </w:r>
      <w:r w:rsidRPr="00811BA1">
        <w:t xml:space="preserve"> Appointed to the Board in May 2013</w:t>
      </w:r>
    </w:p>
    <w:p w14:paraId="51D2ABE2" w14:textId="77777777" w:rsidR="00185C05" w:rsidRPr="00811BA1" w:rsidRDefault="00185C05" w:rsidP="000009D3">
      <w:pPr>
        <w:pStyle w:val="Bodytext"/>
        <w:jc w:val="both"/>
      </w:pPr>
    </w:p>
    <w:p w14:paraId="1A18EC99" w14:textId="100F3F7F" w:rsidR="009B7D5D" w:rsidRPr="00811BA1" w:rsidRDefault="009B7D5D" w:rsidP="000009D3">
      <w:pPr>
        <w:pStyle w:val="Bodytext"/>
        <w:jc w:val="both"/>
      </w:pPr>
      <w:r w:rsidRPr="00811BA1">
        <w:rPr>
          <w:b/>
        </w:rPr>
        <w:t>Experience:</w:t>
      </w:r>
      <w:r w:rsidRPr="00811BA1">
        <w:t xml:space="preserve"> Mr Leuschen is a Founder and Senior Managing Director of Riverstone. He is based in New York. Prior to founding Riverstone, Mr Leuschen was a Partner and Managing Director at Goldman Sachs and founder and head of the Goldman Sachs Global Energy and Power Group. Mr Leuschen joined Goldman Sachs in 1977, became head of the Global Energy and Power Group in 1985, became a Partner of that firm in 1986 and remained with Goldman Sachs until leaving to found Riverstone. Mr Leuschen has extensive </w:t>
      </w:r>
      <w:r w:rsidR="00D92641">
        <w:t>mergers and acquisitions</w:t>
      </w:r>
      <w:r w:rsidRPr="00811BA1">
        <w:t>, financing and investing experience in the energy and power industry.</w:t>
      </w:r>
    </w:p>
    <w:p w14:paraId="493967D9" w14:textId="77777777" w:rsidR="00185C05" w:rsidRPr="00811BA1" w:rsidRDefault="00185C05" w:rsidP="000009D3">
      <w:pPr>
        <w:pStyle w:val="Bodytext"/>
        <w:jc w:val="both"/>
      </w:pPr>
    </w:p>
    <w:p w14:paraId="3A51C780" w14:textId="5F85D72F" w:rsidR="009B7D5D" w:rsidRPr="00811BA1" w:rsidRDefault="009B7D5D" w:rsidP="000009D3">
      <w:pPr>
        <w:pStyle w:val="Bodytext"/>
        <w:jc w:val="both"/>
      </w:pPr>
      <w:r w:rsidRPr="00811BA1">
        <w:t xml:space="preserve">Mr Leuschen was responsible for building the Goldman Sachs energy and power investment banking practice into one of the leading franchises in the global energy and power industry. During this period, Mr Leuschen and his team participated in a large number of the major energy and power </w:t>
      </w:r>
      <w:r w:rsidR="00D92641">
        <w:t>mergers and acquisitions</w:t>
      </w:r>
      <w:r w:rsidR="00D92641" w:rsidRPr="00811BA1" w:rsidDel="00D92641">
        <w:t xml:space="preserve"> </w:t>
      </w:r>
      <w:r w:rsidRPr="00811BA1">
        <w:t>transactions worldwide. Mr Leuschen also was a founder of Goldman Sachs’ leading master limited partnership franchise. Mr Leuschen also served as Chairman of the Goldman Sachs Energy Investment Committee, where he was responsible for screening potential capital commitments by Goldman Sachs in the energy and power industry and was responsible for establishing and managing the firm’s relationships with senior executives from leading companies in all segments of the energy and power industry.</w:t>
      </w:r>
    </w:p>
    <w:p w14:paraId="6E5F40E7" w14:textId="77777777" w:rsidR="00185C05" w:rsidRPr="00811BA1" w:rsidRDefault="00185C05" w:rsidP="000009D3">
      <w:pPr>
        <w:pStyle w:val="Bodytext"/>
        <w:jc w:val="both"/>
      </w:pPr>
    </w:p>
    <w:p w14:paraId="5749E217" w14:textId="77777777" w:rsidR="009B7D5D" w:rsidRPr="00811BA1" w:rsidRDefault="009B7D5D" w:rsidP="000009D3">
      <w:pPr>
        <w:pStyle w:val="Bodytext"/>
        <w:jc w:val="both"/>
      </w:pPr>
      <w:r w:rsidRPr="00811BA1">
        <w:t>Mr Leuschen also serves on the boards of directors or equivalent bodies of a number</w:t>
      </w:r>
      <w:r w:rsidR="00185C05" w:rsidRPr="00811BA1">
        <w:t xml:space="preserve"> </w:t>
      </w:r>
      <w:r w:rsidRPr="00811BA1">
        <w:t>of portfolio companies in which Other Riverstone Funds have investment interests.</w:t>
      </w:r>
      <w:r w:rsidR="00185C05" w:rsidRPr="00811BA1">
        <w:t xml:space="preserve"> </w:t>
      </w:r>
      <w:r w:rsidRPr="00811BA1">
        <w:t>Mr Leuschen is a U.S. resident.</w:t>
      </w:r>
    </w:p>
    <w:p w14:paraId="48737614" w14:textId="77777777" w:rsidR="00185C05" w:rsidRPr="00811BA1" w:rsidRDefault="00185C05" w:rsidP="000009D3">
      <w:pPr>
        <w:pStyle w:val="Bodytext"/>
        <w:jc w:val="both"/>
      </w:pPr>
    </w:p>
    <w:p w14:paraId="1085C26C" w14:textId="77777777" w:rsidR="009B7D5D" w:rsidRDefault="009B7D5D" w:rsidP="000009D3">
      <w:pPr>
        <w:pStyle w:val="Bodytext"/>
        <w:jc w:val="both"/>
      </w:pPr>
      <w:r w:rsidRPr="00811BA1">
        <w:rPr>
          <w:b/>
        </w:rPr>
        <w:t>Committee Membership:</w:t>
      </w:r>
      <w:r w:rsidRPr="00811BA1">
        <w:t xml:space="preserve"> None</w:t>
      </w:r>
    </w:p>
    <w:p w14:paraId="54F39FC4" w14:textId="77777777" w:rsidR="00A76D40" w:rsidRPr="00811BA1" w:rsidRDefault="00A76D40" w:rsidP="000009D3">
      <w:pPr>
        <w:pStyle w:val="Bodytext"/>
        <w:jc w:val="both"/>
      </w:pPr>
    </w:p>
    <w:p w14:paraId="70D04CB0" w14:textId="7098E044" w:rsidR="00A76D40" w:rsidRPr="00811BA1" w:rsidRDefault="00A76D40" w:rsidP="000009D3">
      <w:pPr>
        <w:pStyle w:val="Bodytext"/>
        <w:jc w:val="both"/>
        <w:rPr>
          <w:i/>
        </w:rPr>
      </w:pPr>
      <w:r>
        <w:rPr>
          <w:b/>
          <w:sz w:val="24"/>
        </w:rPr>
        <w:t>Ken Ryan</w:t>
      </w:r>
      <w:r w:rsidRPr="00811BA1">
        <w:t xml:space="preserve"> (</w:t>
      </w:r>
      <w:r w:rsidR="0064337E">
        <w:t>4</w:t>
      </w:r>
      <w:r w:rsidR="0041667D">
        <w:t>7</w:t>
      </w:r>
      <w:r w:rsidRPr="00811BA1">
        <w:t xml:space="preserve">), </w:t>
      </w:r>
      <w:r w:rsidRPr="00811BA1">
        <w:rPr>
          <w:i/>
        </w:rPr>
        <w:t>Non-executive Director</w:t>
      </w:r>
    </w:p>
    <w:p w14:paraId="021AE06C" w14:textId="77777777" w:rsidR="00A76D40" w:rsidRPr="00811BA1" w:rsidRDefault="00A76D40" w:rsidP="000009D3">
      <w:pPr>
        <w:pStyle w:val="Bodytext"/>
        <w:jc w:val="both"/>
      </w:pPr>
    </w:p>
    <w:p w14:paraId="5C2032AD" w14:textId="77777777" w:rsidR="00A76D40" w:rsidRPr="00811BA1" w:rsidRDefault="00A76D40" w:rsidP="000009D3">
      <w:pPr>
        <w:pStyle w:val="Bodytext"/>
        <w:jc w:val="both"/>
      </w:pPr>
      <w:r w:rsidRPr="00811BA1">
        <w:rPr>
          <w:b/>
        </w:rPr>
        <w:t>Appointment:</w:t>
      </w:r>
      <w:r w:rsidRPr="00811BA1">
        <w:t xml:space="preserve"> Appointed to the Board in May 201</w:t>
      </w:r>
      <w:r>
        <w:t>6</w:t>
      </w:r>
    </w:p>
    <w:p w14:paraId="5A44ED77" w14:textId="77777777" w:rsidR="00A76D40" w:rsidRPr="00811BA1" w:rsidRDefault="00A76D40" w:rsidP="000009D3">
      <w:pPr>
        <w:pStyle w:val="Bodytext"/>
        <w:jc w:val="both"/>
      </w:pPr>
    </w:p>
    <w:p w14:paraId="0570C538" w14:textId="4EEB75E1" w:rsidR="000D50D5" w:rsidRDefault="00A76D40" w:rsidP="000009D3">
      <w:pPr>
        <w:jc w:val="both"/>
      </w:pPr>
      <w:r w:rsidRPr="00EE1D06">
        <w:rPr>
          <w:b/>
        </w:rPr>
        <w:t>Experience:</w:t>
      </w:r>
      <w:r w:rsidRPr="00811BA1">
        <w:t xml:space="preserve"> </w:t>
      </w:r>
      <w:r w:rsidR="003A7E74" w:rsidRPr="003A7E74">
        <w:t xml:space="preserve">Mr Ryan is a Partner of Riverstone and is responsible for corporate development. He is based in New York. Prior to joining Riverstone in 2011, he worked for Gleacher &amp; Company / Gleacher Partners in both London and New York, most recently as Managing Director and Co-head of Investment Banking. Prior to Gleacher, he worked for Goldman Sachs in the European Financial Institutions Group in London, the U.S. Financial Institutions Group in New York, and the European Advisory Group. He received a law degree from University of Dublin, Trinity College. </w:t>
      </w:r>
    </w:p>
    <w:p w14:paraId="1266F28E" w14:textId="77777777" w:rsidR="000D50D5" w:rsidRDefault="000D50D5" w:rsidP="000009D3">
      <w:pPr>
        <w:jc w:val="both"/>
      </w:pPr>
    </w:p>
    <w:p w14:paraId="103B6C13" w14:textId="42F4FDD5" w:rsidR="003A7E74" w:rsidRPr="003A7E74" w:rsidRDefault="000D50D5" w:rsidP="000009D3">
      <w:pPr>
        <w:jc w:val="both"/>
        <w:rPr>
          <w:rFonts w:ascii="Times New Roman" w:hAnsi="Times New Roman" w:cs="Times New Roman"/>
          <w:sz w:val="24"/>
        </w:rPr>
      </w:pPr>
      <w:r w:rsidRPr="00811BA1">
        <w:t xml:space="preserve">Mr </w:t>
      </w:r>
      <w:r>
        <w:t>Ryan</w:t>
      </w:r>
      <w:r w:rsidRPr="00811BA1">
        <w:t xml:space="preserve"> also serves on the boards of directors or equivalent bodies of a number of portfolio companies in which Other Riverstone Funds have investment interests.</w:t>
      </w:r>
      <w:r>
        <w:t xml:space="preserve"> </w:t>
      </w:r>
      <w:r w:rsidR="003A7E74" w:rsidRPr="003A7E74">
        <w:t>Mr Ryan is a U.S. resident.</w:t>
      </w:r>
    </w:p>
    <w:p w14:paraId="2156DE2D" w14:textId="77777777" w:rsidR="00A76D40" w:rsidRPr="00811BA1" w:rsidRDefault="00A76D40" w:rsidP="000009D3">
      <w:pPr>
        <w:pStyle w:val="Bodytext"/>
        <w:jc w:val="both"/>
        <w:rPr>
          <w:b/>
          <w:strike/>
        </w:rPr>
      </w:pPr>
    </w:p>
    <w:p w14:paraId="473EF2C1" w14:textId="2137487F" w:rsidR="00A76D40" w:rsidRPr="00811BA1" w:rsidRDefault="00A76D40" w:rsidP="000009D3">
      <w:pPr>
        <w:pStyle w:val="Bodytext"/>
        <w:jc w:val="both"/>
      </w:pPr>
      <w:r w:rsidRPr="00811BA1">
        <w:rPr>
          <w:b/>
        </w:rPr>
        <w:t xml:space="preserve">Committee Membership: </w:t>
      </w:r>
      <w:r w:rsidRPr="00811BA1">
        <w:t>None</w:t>
      </w:r>
    </w:p>
    <w:p w14:paraId="349B85EA" w14:textId="77777777" w:rsidR="009B7D5D" w:rsidRPr="00811BA1" w:rsidRDefault="009B7D5D" w:rsidP="000009D3">
      <w:pPr>
        <w:pStyle w:val="Bodytext"/>
        <w:jc w:val="both"/>
      </w:pPr>
    </w:p>
    <w:p w14:paraId="73086ED7" w14:textId="33E09627" w:rsidR="00A76D40" w:rsidRPr="00811BA1" w:rsidRDefault="00A76D40" w:rsidP="000009D3">
      <w:pPr>
        <w:pStyle w:val="Bodytext"/>
        <w:jc w:val="both"/>
        <w:rPr>
          <w:i/>
        </w:rPr>
      </w:pPr>
      <w:r w:rsidRPr="00EE08EA">
        <w:rPr>
          <w:b/>
          <w:sz w:val="24"/>
        </w:rPr>
        <w:t>Jeremy Thompson</w:t>
      </w:r>
      <w:r w:rsidRPr="00811BA1">
        <w:t xml:space="preserve"> (</w:t>
      </w:r>
      <w:r w:rsidR="00045222">
        <w:t>6</w:t>
      </w:r>
      <w:r w:rsidR="0041667D">
        <w:t>4</w:t>
      </w:r>
      <w:r w:rsidRPr="00811BA1">
        <w:t xml:space="preserve">), </w:t>
      </w:r>
      <w:r w:rsidRPr="00811BA1">
        <w:rPr>
          <w:i/>
        </w:rPr>
        <w:t>Non-executive Independent Director</w:t>
      </w:r>
    </w:p>
    <w:p w14:paraId="25911668" w14:textId="77777777" w:rsidR="00A76D40" w:rsidRPr="00811BA1" w:rsidRDefault="00A76D40" w:rsidP="000009D3">
      <w:pPr>
        <w:pStyle w:val="Bodytext"/>
        <w:jc w:val="both"/>
      </w:pPr>
    </w:p>
    <w:p w14:paraId="4A1567A0" w14:textId="77777777" w:rsidR="00A76D40" w:rsidRPr="00811BA1" w:rsidRDefault="00A76D40" w:rsidP="000009D3">
      <w:pPr>
        <w:pStyle w:val="Bodytext"/>
        <w:jc w:val="both"/>
      </w:pPr>
      <w:r w:rsidRPr="00811BA1">
        <w:rPr>
          <w:b/>
        </w:rPr>
        <w:t>Appointment:</w:t>
      </w:r>
      <w:r w:rsidRPr="00811BA1">
        <w:t xml:space="preserve"> Appointed to the Board in May 201</w:t>
      </w:r>
      <w:r>
        <w:t>6</w:t>
      </w:r>
    </w:p>
    <w:p w14:paraId="323548C8" w14:textId="77777777" w:rsidR="00A76D40" w:rsidRPr="00811BA1" w:rsidRDefault="00A76D40" w:rsidP="000009D3">
      <w:pPr>
        <w:pStyle w:val="Bodytext"/>
        <w:jc w:val="both"/>
      </w:pPr>
    </w:p>
    <w:p w14:paraId="6E9CB20A" w14:textId="54E37624" w:rsidR="003A7E74" w:rsidRPr="003A7E74" w:rsidRDefault="00A76D40" w:rsidP="000009D3">
      <w:pPr>
        <w:jc w:val="both"/>
        <w:rPr>
          <w:rFonts w:ascii="Times New Roman" w:hAnsi="Times New Roman" w:cs="Times New Roman"/>
          <w:sz w:val="24"/>
        </w:rPr>
      </w:pPr>
      <w:r w:rsidRPr="003A7E74">
        <w:rPr>
          <w:b/>
        </w:rPr>
        <w:t>Experience:</w:t>
      </w:r>
      <w:r w:rsidRPr="00811BA1">
        <w:t xml:space="preserve"> </w:t>
      </w:r>
      <w:r w:rsidR="003A7E74" w:rsidRPr="003A7E74">
        <w:t>Mr Thompson has sector experience in Finance, Telecoms, Engineering and Oil &amp; Gas. He acts as a</w:t>
      </w:r>
      <w:r w:rsidR="00045222">
        <w:t>n</w:t>
      </w:r>
      <w:r w:rsidR="003A7E74" w:rsidRPr="003A7E74">
        <w:t xml:space="preserve"> independent </w:t>
      </w:r>
      <w:r w:rsidR="000570BC">
        <w:t>n</w:t>
      </w:r>
      <w:r w:rsidR="003A7E74" w:rsidRPr="003A7E74">
        <w:t>on-executive director for both listed</w:t>
      </w:r>
      <w:r w:rsidR="007A5BED">
        <w:t>, including DP Aircraft 1 Limited,</w:t>
      </w:r>
      <w:r w:rsidR="003A7E74" w:rsidRPr="003A7E74">
        <w:t xml:space="preserve"> and PE funds</w:t>
      </w:r>
      <w:r w:rsidR="003A7E74" w:rsidRPr="00AF0F30">
        <w:t xml:space="preserve">. </w:t>
      </w:r>
      <w:r w:rsidR="00E23B2D">
        <w:t>Prior to that, he has worked in private equity and was CEO of four autonomous global businesses within Cable &amp; Wireless Plc (operating in both regulated and unregulated markets), and earlier held CEO roles within the Dowty Group. He currently serves as chairman of the States of Guernsey Renewable Energy Team and is a commissioner of the Alderney Gambling Control Commission. He is also an independent member of the Guernsey Tax Tribunal panel. He is a graduate of Brunel (</w:t>
      </w:r>
      <w:r w:rsidR="00D9780A" w:rsidRPr="00D9780A">
        <w:t>B.Sc),</w:t>
      </w:r>
      <w:r w:rsidR="00E23B2D">
        <w:t xml:space="preserve"> Cranfield (MBA) and Bournemouth (</w:t>
      </w:r>
      <w:r w:rsidR="00D9780A" w:rsidRPr="00D9780A">
        <w:t>M.Sc</w:t>
      </w:r>
      <w:r w:rsidR="00E23B2D">
        <w:t>) Universities and was an invited member to the UK’s senior defence course (Royal College of Defence Studies). He is a member of the IoD and holds the IoD’s Certificate and Diploma in Company Direction, is an associate of the Chartered Institute of Arbitration and a chartered Company Secretary.</w:t>
      </w:r>
      <w:r w:rsidR="00E23B2D">
        <w:rPr>
          <w:rFonts w:ascii="Calibri" w:hAnsi="Calibri"/>
        </w:rPr>
        <w:t> </w:t>
      </w:r>
      <w:r w:rsidR="003A7E74" w:rsidRPr="003A7E74">
        <w:t>Mr Thompson is a resident of Guernsey</w:t>
      </w:r>
      <w:r w:rsidR="00A67B3C">
        <w:t xml:space="preserve"> and has previously lived and worked in the UK, USA and Germany</w:t>
      </w:r>
      <w:r w:rsidR="003A7E74" w:rsidRPr="003A7E74">
        <w:t>.</w:t>
      </w:r>
    </w:p>
    <w:p w14:paraId="4C70877C" w14:textId="77777777" w:rsidR="00A76D40" w:rsidRPr="00811BA1" w:rsidRDefault="00A76D40" w:rsidP="000009D3">
      <w:pPr>
        <w:pStyle w:val="Bodytext"/>
        <w:jc w:val="both"/>
        <w:rPr>
          <w:b/>
          <w:strike/>
        </w:rPr>
      </w:pPr>
    </w:p>
    <w:p w14:paraId="140A78FD" w14:textId="77777777" w:rsidR="00A76D40" w:rsidRPr="00811BA1" w:rsidRDefault="00A76D40" w:rsidP="000009D3">
      <w:pPr>
        <w:pStyle w:val="Bodytext"/>
        <w:jc w:val="both"/>
      </w:pPr>
      <w:r w:rsidRPr="00811BA1">
        <w:rPr>
          <w:b/>
        </w:rPr>
        <w:t xml:space="preserve">Committee Membership: </w:t>
      </w:r>
      <w:r w:rsidRPr="00811BA1">
        <w:t>Audit Committee Member; Nomination Committee Member; Management Engagement Committee Member</w:t>
      </w:r>
    </w:p>
    <w:p w14:paraId="60E4E1E3" w14:textId="77777777" w:rsidR="00A76D40" w:rsidRDefault="00A76D40" w:rsidP="000009D3">
      <w:pPr>
        <w:pStyle w:val="Bodytext"/>
        <w:jc w:val="both"/>
        <w:rPr>
          <w:b/>
          <w:sz w:val="24"/>
        </w:rPr>
      </w:pPr>
    </w:p>
    <w:p w14:paraId="1E34C4C8" w14:textId="26893034" w:rsidR="00FB3445" w:rsidRPr="00811BA1" w:rsidRDefault="00FB3445" w:rsidP="000009D3">
      <w:pPr>
        <w:pStyle w:val="Bodytext"/>
        <w:jc w:val="both"/>
        <w:rPr>
          <w:i/>
        </w:rPr>
      </w:pPr>
      <w:r w:rsidRPr="00B57A29">
        <w:rPr>
          <w:b/>
          <w:sz w:val="24"/>
        </w:rPr>
        <w:t>Claire Whittet</w:t>
      </w:r>
      <w:r w:rsidRPr="00B57A29">
        <w:t xml:space="preserve"> (</w:t>
      </w:r>
      <w:r w:rsidR="00B80746" w:rsidRPr="00B57A29">
        <w:t>6</w:t>
      </w:r>
      <w:r w:rsidR="001200E8">
        <w:t>5</w:t>
      </w:r>
      <w:r w:rsidRPr="00811BA1">
        <w:t xml:space="preserve">), </w:t>
      </w:r>
      <w:r w:rsidRPr="00811BA1">
        <w:rPr>
          <w:i/>
        </w:rPr>
        <w:t xml:space="preserve">Non-executive </w:t>
      </w:r>
      <w:r w:rsidR="00B70E0D" w:rsidRPr="00811BA1">
        <w:rPr>
          <w:i/>
        </w:rPr>
        <w:t xml:space="preserve">Independent </w:t>
      </w:r>
      <w:r w:rsidRPr="00811BA1">
        <w:rPr>
          <w:i/>
        </w:rPr>
        <w:t>Director</w:t>
      </w:r>
    </w:p>
    <w:p w14:paraId="696DF6E9" w14:textId="77777777" w:rsidR="00FB3445" w:rsidRPr="00811BA1" w:rsidRDefault="00FB3445" w:rsidP="000009D3">
      <w:pPr>
        <w:pStyle w:val="Bodytext"/>
        <w:jc w:val="both"/>
      </w:pPr>
    </w:p>
    <w:p w14:paraId="3AA639B6" w14:textId="70925251" w:rsidR="00FB3445" w:rsidRPr="00811BA1" w:rsidRDefault="00FB3445" w:rsidP="000009D3">
      <w:pPr>
        <w:pStyle w:val="Bodytext"/>
        <w:jc w:val="both"/>
      </w:pPr>
      <w:r w:rsidRPr="00811BA1">
        <w:rPr>
          <w:b/>
        </w:rPr>
        <w:t>Appointment:</w:t>
      </w:r>
      <w:r w:rsidRPr="00811BA1">
        <w:t xml:space="preserve"> Appointed to the Board in May 2015</w:t>
      </w:r>
    </w:p>
    <w:p w14:paraId="1600D8A1" w14:textId="77777777" w:rsidR="00FB3445" w:rsidRPr="003A7E74" w:rsidRDefault="00FB3445" w:rsidP="000009D3">
      <w:pPr>
        <w:pStyle w:val="Bodytext"/>
        <w:jc w:val="both"/>
        <w:rPr>
          <w:b/>
        </w:rPr>
      </w:pPr>
    </w:p>
    <w:p w14:paraId="6E31A937" w14:textId="77777777" w:rsidR="003A7E74" w:rsidRPr="003A7E74" w:rsidRDefault="00FB3445" w:rsidP="000009D3">
      <w:pPr>
        <w:jc w:val="both"/>
        <w:rPr>
          <w:b/>
        </w:rPr>
      </w:pPr>
      <w:r w:rsidRPr="003A7E74">
        <w:rPr>
          <w:b/>
        </w:rPr>
        <w:t xml:space="preserve">Experience: </w:t>
      </w:r>
    </w:p>
    <w:p w14:paraId="04208241" w14:textId="06ADF593" w:rsidR="003A7E74" w:rsidRPr="003A7E74" w:rsidRDefault="003A7E74" w:rsidP="000009D3">
      <w:pPr>
        <w:jc w:val="both"/>
      </w:pPr>
      <w:r w:rsidRPr="00E43933">
        <w:t>Mrs Whittet has</w:t>
      </w:r>
      <w:r w:rsidR="004C6E6F">
        <w:t xml:space="preserve"> over</w:t>
      </w:r>
      <w:r w:rsidRPr="00E43933">
        <w:t xml:space="preserve"> </w:t>
      </w:r>
      <w:r w:rsidR="006475DD" w:rsidRPr="00E43933">
        <w:t>40</w:t>
      </w:r>
      <w:r w:rsidRPr="00E43933">
        <w:t xml:space="preserve"> years of experience in the financial services industry. After obtaining a MA (Hons) in Geography from the University of Edinburgh, she joined the Bank of Scotland for 19 years and undertook a wide variety of roles including running two city centre offices. She moved to Guernsey in 1996 and was Global Head of Private Client Credit for Bank of Bermuda before joining </w:t>
      </w:r>
      <w:r w:rsidR="006475DD" w:rsidRPr="00E43933">
        <w:t xml:space="preserve">the Board of </w:t>
      </w:r>
      <w:r w:rsidRPr="00E43933">
        <w:t xml:space="preserve">Rothschild </w:t>
      </w:r>
      <w:r w:rsidR="005F6E3D">
        <w:t xml:space="preserve">&amp; Co </w:t>
      </w:r>
      <w:r w:rsidRPr="00E43933">
        <w:t xml:space="preserve">Bank International Limited </w:t>
      </w:r>
      <w:r w:rsidR="006475DD" w:rsidRPr="00E43933">
        <w:t xml:space="preserve">in 2003, initially as Director of Lending and latterly as </w:t>
      </w:r>
      <w:r w:rsidRPr="00E43933">
        <w:t>Managing Director and Co-Head</w:t>
      </w:r>
      <w:r w:rsidR="006475DD" w:rsidRPr="00E43933">
        <w:t xml:space="preserve"> until May 2016 when she became a </w:t>
      </w:r>
      <w:r w:rsidR="000570BC" w:rsidRPr="00E43933">
        <w:t>non</w:t>
      </w:r>
      <w:r w:rsidR="006475DD" w:rsidRPr="00E43933">
        <w:t>-</w:t>
      </w:r>
      <w:r w:rsidR="000570BC" w:rsidRPr="00E43933">
        <w:t xml:space="preserve">executive </w:t>
      </w:r>
      <w:r w:rsidR="006475DD" w:rsidRPr="00E43933">
        <w:t>Director</w:t>
      </w:r>
      <w:r w:rsidRPr="00E43933">
        <w:t>. Mrs Whittet is an ACIB member of the Chartered Institute of Bankers in Scotland,</w:t>
      </w:r>
      <w:r w:rsidR="006475DD" w:rsidRPr="00E43933">
        <w:t xml:space="preserve"> a Chartered Banker,</w:t>
      </w:r>
      <w:r w:rsidRPr="00E43933">
        <w:t xml:space="preserve"> a member of the Chartered Insurance Institute and holds an IoD Diploma in Company Direction. She is a </w:t>
      </w:r>
      <w:r w:rsidR="000570BC" w:rsidRPr="00E43933">
        <w:t>non</w:t>
      </w:r>
      <w:r w:rsidRPr="00E43933">
        <w:t>-</w:t>
      </w:r>
      <w:r w:rsidR="000570BC" w:rsidRPr="00E43933">
        <w:t xml:space="preserve">executive </w:t>
      </w:r>
      <w:r w:rsidRPr="00E43933">
        <w:t xml:space="preserve">Director of </w:t>
      </w:r>
      <w:r w:rsidR="00C05F03" w:rsidRPr="00E43933">
        <w:t>five</w:t>
      </w:r>
      <w:r w:rsidR="00A67B3C" w:rsidRPr="00E43933">
        <w:t xml:space="preserve"> </w:t>
      </w:r>
      <w:r w:rsidRPr="00E43933">
        <w:t>other listed funds</w:t>
      </w:r>
      <w:r w:rsidR="00B57A29" w:rsidRPr="00E43933">
        <w:t>,</w:t>
      </w:r>
      <w:r w:rsidR="00CC5480" w:rsidRPr="00E43933">
        <w:t xml:space="preserve"> being</w:t>
      </w:r>
      <w:r w:rsidR="00B57A29" w:rsidRPr="00E43933">
        <w:t xml:space="preserve"> BH Macro Limited, Eurocastle Investment Limited, International Public Partnerships Limited, Third Point Offshore Investors Limited and TwentyFour Select Monthly Income Fund Limited</w:t>
      </w:r>
      <w:r w:rsidRPr="00E43933">
        <w:t>. Mrs Whittet is a Guernsey resident.</w:t>
      </w:r>
    </w:p>
    <w:p w14:paraId="6EE9E7EC" w14:textId="77777777" w:rsidR="00FB3445" w:rsidRPr="00811BA1" w:rsidRDefault="00FB3445" w:rsidP="000009D3">
      <w:pPr>
        <w:pStyle w:val="Bodytext"/>
        <w:jc w:val="both"/>
        <w:rPr>
          <w:b/>
          <w:strike/>
        </w:rPr>
      </w:pPr>
    </w:p>
    <w:p w14:paraId="712544D4" w14:textId="6A56149C" w:rsidR="009B7D5D" w:rsidRPr="00811BA1" w:rsidRDefault="00FB3445" w:rsidP="000009D3">
      <w:pPr>
        <w:pStyle w:val="Bodytext"/>
        <w:jc w:val="both"/>
      </w:pPr>
      <w:r w:rsidRPr="00811BA1">
        <w:rPr>
          <w:b/>
        </w:rPr>
        <w:t>Committee Membership:</w:t>
      </w:r>
      <w:r w:rsidR="00155A2D" w:rsidRPr="00811BA1">
        <w:rPr>
          <w:b/>
        </w:rPr>
        <w:t xml:space="preserve"> </w:t>
      </w:r>
      <w:r w:rsidR="00CE3BD4" w:rsidRPr="00811BA1">
        <w:t xml:space="preserve">Audit Committee Member; Nomination Committee Member; Management Engagement Committee </w:t>
      </w:r>
      <w:r w:rsidR="00037C2D">
        <w:t>Chairman</w:t>
      </w:r>
    </w:p>
    <w:p w14:paraId="0E0EACD1" w14:textId="34CF2E66" w:rsidR="00484AF4" w:rsidRPr="00484AF4" w:rsidRDefault="00484AF4" w:rsidP="00EB7E49">
      <w:pPr>
        <w:pStyle w:val="Bodytext"/>
        <w:rPr>
          <w:b/>
        </w:rPr>
      </w:pPr>
    </w:p>
    <w:p w14:paraId="3DCE76BF" w14:textId="5B431E56" w:rsidR="009B7D5D" w:rsidRPr="00811BA1" w:rsidRDefault="009B7D5D" w:rsidP="00484AF4">
      <w:pPr>
        <w:pStyle w:val="Heading1"/>
        <w:spacing w:before="0"/>
      </w:pPr>
      <w:r w:rsidRPr="00811BA1">
        <w:t>Report of the Directors</w:t>
      </w:r>
    </w:p>
    <w:p w14:paraId="34AE4F6F" w14:textId="77777777" w:rsidR="009B7D5D" w:rsidRPr="00811BA1" w:rsidRDefault="009B7D5D" w:rsidP="00EB7E49">
      <w:pPr>
        <w:pStyle w:val="Bodytext"/>
      </w:pPr>
    </w:p>
    <w:p w14:paraId="1E2A2B32" w14:textId="51EB8259" w:rsidR="009B7D5D" w:rsidRPr="00811BA1" w:rsidRDefault="009B7D5D" w:rsidP="000009D3">
      <w:pPr>
        <w:pStyle w:val="Bodytext"/>
        <w:jc w:val="both"/>
      </w:pPr>
      <w:r w:rsidRPr="00811BA1">
        <w:t>The Directors hereby submit the Annual Report and Audited Financial Statements for the Company for the year ended 31 December 201</w:t>
      </w:r>
      <w:r w:rsidR="005E1C93">
        <w:t>9</w:t>
      </w:r>
      <w:r w:rsidRPr="00811BA1">
        <w:t>. This Report of the Directors should be read together with the Corporate Governance Report</w:t>
      </w:r>
      <w:r w:rsidR="00D62E5A">
        <w:t>.</w:t>
      </w:r>
      <w:r w:rsidR="00037C2D">
        <w:t xml:space="preserve"> </w:t>
      </w:r>
    </w:p>
    <w:p w14:paraId="52C7D6C8" w14:textId="77777777" w:rsidR="008C4C81" w:rsidRPr="00811BA1" w:rsidRDefault="008C4C81" w:rsidP="000009D3">
      <w:pPr>
        <w:pStyle w:val="Bodytext"/>
        <w:jc w:val="both"/>
      </w:pPr>
    </w:p>
    <w:p w14:paraId="5787AAA5" w14:textId="77777777" w:rsidR="009B7D5D" w:rsidRPr="00811BA1" w:rsidRDefault="009B7D5D" w:rsidP="000009D3">
      <w:pPr>
        <w:pStyle w:val="Heading2"/>
        <w:jc w:val="both"/>
      </w:pPr>
      <w:r w:rsidRPr="00811BA1">
        <w:t>General Information</w:t>
      </w:r>
    </w:p>
    <w:p w14:paraId="0AAA5CAD" w14:textId="62899238" w:rsidR="009B7D5D" w:rsidRPr="00811BA1" w:rsidRDefault="009B7D5D" w:rsidP="000009D3">
      <w:pPr>
        <w:pStyle w:val="Bodytext"/>
        <w:jc w:val="both"/>
      </w:pPr>
      <w:r w:rsidRPr="00811BA1">
        <w:t>Riverstone Energy Limited is a company limited by shares, which was incorporated on 23 May 2013 in Guernsey with an unlimited life and registered with the Commission as a Registered Closed-ended Collective Investment Scheme pursuant to the POI L</w:t>
      </w:r>
      <w:r w:rsidR="008C4C81" w:rsidRPr="00811BA1">
        <w:t xml:space="preserve">aw. It has </w:t>
      </w:r>
      <w:r w:rsidRPr="00811BA1">
        <w:t>been listed on the London Stock Exchange since</w:t>
      </w:r>
      <w:r w:rsidR="008C4C81" w:rsidRPr="00811BA1">
        <w:t xml:space="preserve"> </w:t>
      </w:r>
      <w:r w:rsidRPr="00811BA1">
        <w:t>29 October 2013</w:t>
      </w:r>
      <w:r w:rsidR="00FA7E87" w:rsidRPr="00811BA1">
        <w:t xml:space="preserve">. </w:t>
      </w:r>
      <w:r w:rsidR="00D43624" w:rsidRPr="006A4CA2">
        <w:t xml:space="preserve">With effect from 29 April 2019, </w:t>
      </w:r>
      <w:r w:rsidR="00D43624">
        <w:t>t</w:t>
      </w:r>
      <w:r w:rsidRPr="00811BA1">
        <w:t xml:space="preserve">he registered office of the Company is </w:t>
      </w:r>
      <w:r w:rsidR="005E1C93" w:rsidRPr="005E1C93">
        <w:t>PO Box 286, Floor 2, Trafalgar Court, Les Banques, St Peter Port, Guernsey, GY1 4LY.</w:t>
      </w:r>
    </w:p>
    <w:p w14:paraId="44B21F6E" w14:textId="77777777" w:rsidR="008C4C81" w:rsidRPr="00811BA1" w:rsidRDefault="008C4C81" w:rsidP="000009D3">
      <w:pPr>
        <w:pStyle w:val="Bodytext"/>
        <w:jc w:val="both"/>
      </w:pPr>
    </w:p>
    <w:p w14:paraId="006C9CDA" w14:textId="77777777" w:rsidR="009B7D5D" w:rsidRPr="00811BA1" w:rsidRDefault="008C4C81" w:rsidP="000009D3">
      <w:pPr>
        <w:pStyle w:val="Heading2"/>
        <w:jc w:val="both"/>
      </w:pPr>
      <w:r w:rsidRPr="00811BA1">
        <w:t>Principal Activities</w:t>
      </w:r>
    </w:p>
    <w:p w14:paraId="61C9FB29" w14:textId="77777777" w:rsidR="009B7D5D" w:rsidRPr="00811BA1" w:rsidRDefault="009B7D5D" w:rsidP="000009D3">
      <w:pPr>
        <w:pStyle w:val="Bodytext"/>
        <w:jc w:val="both"/>
      </w:pPr>
      <w:r w:rsidRPr="00811BA1">
        <w:t>The principal activ</w:t>
      </w:r>
      <w:r w:rsidR="008C4C81" w:rsidRPr="00811BA1">
        <w:t xml:space="preserve">ity of the Company is to act as </w:t>
      </w:r>
      <w:r w:rsidRPr="00811BA1">
        <w:t>an investment entity through the Partnership and</w:t>
      </w:r>
      <w:r w:rsidR="008C4C81" w:rsidRPr="00811BA1">
        <w:t xml:space="preserve"> </w:t>
      </w:r>
      <w:r w:rsidRPr="00811BA1">
        <w:t>make privately negotiated equity investments in the energy sector.</w:t>
      </w:r>
    </w:p>
    <w:p w14:paraId="1CB534EE" w14:textId="77777777" w:rsidR="00401B00" w:rsidRPr="00811BA1" w:rsidRDefault="00401B00" w:rsidP="000009D3">
      <w:pPr>
        <w:pStyle w:val="Bodytext"/>
        <w:jc w:val="both"/>
      </w:pPr>
    </w:p>
    <w:p w14:paraId="6EBC5604" w14:textId="7C1C5857" w:rsidR="009B7D5D" w:rsidRPr="00811BA1" w:rsidRDefault="009B7D5D" w:rsidP="000009D3">
      <w:pPr>
        <w:pStyle w:val="Bodytext"/>
        <w:jc w:val="both"/>
      </w:pPr>
      <w:r w:rsidRPr="00811BA1">
        <w:t>The Company’s investment objective is to generate long-term capital growth by investing in the global energy sector, with a particular focus on opportunities</w:t>
      </w:r>
      <w:r w:rsidR="00401B00" w:rsidRPr="00811BA1">
        <w:t xml:space="preserve"> </w:t>
      </w:r>
      <w:r w:rsidRPr="00811BA1">
        <w:t>in the global exploration and production and midstream energy sub-sectors.</w:t>
      </w:r>
      <w:r w:rsidR="00B165B0">
        <w:t xml:space="preserve"> </w:t>
      </w:r>
      <w:r w:rsidR="00B165B0" w:rsidRPr="00811BA1">
        <w:t xml:space="preserve">The Company may also make investments in other energy sub-sectors </w:t>
      </w:r>
      <w:r w:rsidR="00B165B0">
        <w:t>(</w:t>
      </w:r>
      <w:r w:rsidR="00B165B0" w:rsidRPr="00811BA1">
        <w:t xml:space="preserve">including </w:t>
      </w:r>
      <w:r w:rsidR="00B165B0">
        <w:t xml:space="preserve">transportation </w:t>
      </w:r>
      <w:r w:rsidR="00B165B0" w:rsidRPr="00811BA1">
        <w:t>energy services and power and coal</w:t>
      </w:r>
      <w:r w:rsidR="00B165B0">
        <w:t>)</w:t>
      </w:r>
      <w:r w:rsidR="00B165B0" w:rsidRPr="00811BA1">
        <w:t>.</w:t>
      </w:r>
    </w:p>
    <w:p w14:paraId="4A3CC333" w14:textId="77777777" w:rsidR="00401B00" w:rsidRPr="00811BA1" w:rsidRDefault="00401B00" w:rsidP="000009D3">
      <w:pPr>
        <w:pStyle w:val="Bodytext"/>
        <w:jc w:val="both"/>
      </w:pPr>
    </w:p>
    <w:p w14:paraId="18195D29" w14:textId="77777777" w:rsidR="009B7D5D" w:rsidRPr="00811BA1" w:rsidRDefault="00401B00" w:rsidP="000009D3">
      <w:pPr>
        <w:pStyle w:val="Heading2"/>
        <w:jc w:val="both"/>
      </w:pPr>
      <w:r w:rsidRPr="00811BA1">
        <w:t>Business Review</w:t>
      </w:r>
    </w:p>
    <w:p w14:paraId="393700CB" w14:textId="11C61CD6" w:rsidR="00A706E5" w:rsidRPr="00811BA1" w:rsidRDefault="009B7D5D" w:rsidP="000009D3">
      <w:pPr>
        <w:pStyle w:val="Bodytext"/>
        <w:jc w:val="both"/>
      </w:pPr>
      <w:r w:rsidRPr="00811BA1">
        <w:t>A review of the Company’s business and its likely future development is provided in the Chairman’s Statement</w:t>
      </w:r>
      <w:r w:rsidR="00EA5136">
        <w:t xml:space="preserve"> </w:t>
      </w:r>
      <w:r w:rsidRPr="00811BA1">
        <w:t>and in the Investment Manager’s Report</w:t>
      </w:r>
      <w:r w:rsidR="00D62E5A">
        <w:t>.</w:t>
      </w:r>
    </w:p>
    <w:p w14:paraId="2017BB5F" w14:textId="21C382ED" w:rsidR="009B7D5D" w:rsidRPr="00811BA1" w:rsidRDefault="009B7D5D" w:rsidP="000009D3">
      <w:pPr>
        <w:pStyle w:val="Bodytext"/>
        <w:jc w:val="both"/>
      </w:pPr>
    </w:p>
    <w:p w14:paraId="34D7EB86" w14:textId="77777777" w:rsidR="009B7D5D" w:rsidRPr="00811BA1" w:rsidRDefault="00401B00" w:rsidP="000009D3">
      <w:pPr>
        <w:pStyle w:val="Heading2"/>
        <w:jc w:val="both"/>
      </w:pPr>
      <w:r w:rsidRPr="00811BA1">
        <w:t>Listing Requirements</w:t>
      </w:r>
    </w:p>
    <w:p w14:paraId="5A7350D0" w14:textId="77777777" w:rsidR="009B7D5D" w:rsidRPr="00811BA1" w:rsidRDefault="009B7D5D" w:rsidP="000009D3">
      <w:pPr>
        <w:pStyle w:val="Bodytext"/>
        <w:jc w:val="both"/>
      </w:pPr>
      <w:r w:rsidRPr="00811BA1">
        <w:t>Since being admitted on 29 October 2013 to the Official List of the U</w:t>
      </w:r>
      <w:r w:rsidR="00401B00" w:rsidRPr="00811BA1">
        <w:t xml:space="preserve">K Listing Authority, maintained </w:t>
      </w:r>
      <w:r w:rsidRPr="00811BA1">
        <w:t>by the FCA, the Company has complied with the applicable Listing Rules.</w:t>
      </w:r>
    </w:p>
    <w:p w14:paraId="14F0334D" w14:textId="77777777" w:rsidR="00401B00" w:rsidRPr="00811BA1" w:rsidRDefault="00401B00" w:rsidP="000009D3">
      <w:pPr>
        <w:pStyle w:val="Bodytext"/>
        <w:jc w:val="both"/>
      </w:pPr>
    </w:p>
    <w:p w14:paraId="5DECCE7D" w14:textId="77777777" w:rsidR="009B7D5D" w:rsidRPr="00811BA1" w:rsidRDefault="00401B00" w:rsidP="000009D3">
      <w:pPr>
        <w:pStyle w:val="Heading2"/>
        <w:jc w:val="both"/>
      </w:pPr>
      <w:r w:rsidRPr="00811BA1">
        <w:t>Results and Dividend</w:t>
      </w:r>
    </w:p>
    <w:p w14:paraId="60BA701E" w14:textId="5A1DECDF" w:rsidR="009B7D5D" w:rsidRPr="00811BA1" w:rsidRDefault="009B7D5D" w:rsidP="000009D3">
      <w:pPr>
        <w:pStyle w:val="Bodytext"/>
        <w:jc w:val="both"/>
      </w:pPr>
      <w:r w:rsidRPr="00811BA1">
        <w:t>The results of the Company for the year are shown in the audited Statement of Comprehensive Income</w:t>
      </w:r>
      <w:r w:rsidR="00D62E5A">
        <w:t>.</w:t>
      </w:r>
    </w:p>
    <w:p w14:paraId="6B6C1F83" w14:textId="77777777" w:rsidR="00401B00" w:rsidRPr="00811BA1" w:rsidRDefault="00401B00" w:rsidP="000009D3">
      <w:pPr>
        <w:pStyle w:val="Bodytext"/>
        <w:jc w:val="both"/>
      </w:pPr>
    </w:p>
    <w:p w14:paraId="2E01E505" w14:textId="07A811E4" w:rsidR="009B7D5D" w:rsidRPr="00811BA1" w:rsidRDefault="009B7D5D" w:rsidP="000009D3">
      <w:pPr>
        <w:pStyle w:val="Bodytext"/>
        <w:jc w:val="both"/>
      </w:pPr>
      <w:r w:rsidRPr="00811BA1">
        <w:t>The Net Asset Value of the Company as at</w:t>
      </w:r>
      <w:r w:rsidR="00E95420" w:rsidRPr="00811BA1">
        <w:t xml:space="preserve"> </w:t>
      </w:r>
      <w:r w:rsidRPr="00811BA1">
        <w:t>31 December 201</w:t>
      </w:r>
      <w:r w:rsidR="005E1C93">
        <w:t>9</w:t>
      </w:r>
      <w:r w:rsidRPr="00811BA1">
        <w:t xml:space="preserve"> was </w:t>
      </w:r>
      <w:r w:rsidR="00DB2A5B" w:rsidRPr="00811BA1">
        <w:t>$</w:t>
      </w:r>
      <w:r w:rsidR="00D2772F">
        <w:t>77</w:t>
      </w:r>
      <w:r w:rsidR="000906E1">
        <w:t>2</w:t>
      </w:r>
      <w:r w:rsidR="00DB2A5B">
        <w:t xml:space="preserve"> </w:t>
      </w:r>
      <w:r w:rsidRPr="00811BA1">
        <w:t>million</w:t>
      </w:r>
      <w:r w:rsidR="00A14077" w:rsidRPr="00811BA1">
        <w:t xml:space="preserve"> (31 December 201</w:t>
      </w:r>
      <w:r w:rsidR="005E1C93">
        <w:t>8</w:t>
      </w:r>
      <w:r w:rsidR="00A14077" w:rsidRPr="00811BA1">
        <w:t xml:space="preserve">: </w:t>
      </w:r>
      <w:r w:rsidRPr="00811BA1">
        <w:t>$</w:t>
      </w:r>
      <w:r w:rsidR="00406FB6">
        <w:t>1,</w:t>
      </w:r>
      <w:r w:rsidR="005E1C93">
        <w:t>431</w:t>
      </w:r>
      <w:r w:rsidR="00406FB6">
        <w:t xml:space="preserve"> </w:t>
      </w:r>
      <w:r w:rsidRPr="00811BA1">
        <w:t>million</w:t>
      </w:r>
      <w:r w:rsidR="00A14077" w:rsidRPr="00811BA1">
        <w:t>)</w:t>
      </w:r>
      <w:r w:rsidRPr="00811BA1">
        <w:t>.</w:t>
      </w:r>
    </w:p>
    <w:p w14:paraId="19BBB12F" w14:textId="77777777" w:rsidR="00E95420" w:rsidRPr="00811BA1" w:rsidRDefault="00E95420" w:rsidP="000009D3">
      <w:pPr>
        <w:pStyle w:val="Bodytext"/>
        <w:jc w:val="both"/>
      </w:pPr>
    </w:p>
    <w:p w14:paraId="50890CAC" w14:textId="344873C0" w:rsidR="009B7D5D" w:rsidRPr="00811BA1" w:rsidRDefault="009B7D5D" w:rsidP="000009D3">
      <w:pPr>
        <w:pStyle w:val="Bodytext"/>
        <w:jc w:val="both"/>
      </w:pPr>
      <w:r w:rsidRPr="00811BA1">
        <w:t>The Directors do not recommend the payment of a dividend in respect of the year ended 31 December 201</w:t>
      </w:r>
      <w:r w:rsidR="005E1C93">
        <w:t>9</w:t>
      </w:r>
      <w:r w:rsidRPr="00811BA1">
        <w:t xml:space="preserve"> </w:t>
      </w:r>
      <w:r w:rsidR="00BF1AFA">
        <w:t>(</w:t>
      </w:r>
      <w:r w:rsidRPr="00811BA1">
        <w:t>31 December 201</w:t>
      </w:r>
      <w:r w:rsidR="005E1C93">
        <w:t>8</w:t>
      </w:r>
      <w:r w:rsidR="00BF1AFA">
        <w:t>: $Nil)</w:t>
      </w:r>
      <w:r w:rsidRPr="00811BA1">
        <w:t>.</w:t>
      </w:r>
    </w:p>
    <w:p w14:paraId="34B80FF5" w14:textId="77777777" w:rsidR="00E95420" w:rsidRPr="00811BA1" w:rsidRDefault="00E95420" w:rsidP="000009D3">
      <w:pPr>
        <w:pStyle w:val="Bodytext"/>
        <w:jc w:val="both"/>
      </w:pPr>
    </w:p>
    <w:p w14:paraId="1448EBF2" w14:textId="77777777" w:rsidR="009B7D5D" w:rsidRPr="00811BA1" w:rsidRDefault="00E95420" w:rsidP="000009D3">
      <w:pPr>
        <w:pStyle w:val="Heading2"/>
        <w:jc w:val="both"/>
      </w:pPr>
      <w:r w:rsidRPr="00811BA1">
        <w:lastRenderedPageBreak/>
        <w:t>Share Capital</w:t>
      </w:r>
    </w:p>
    <w:p w14:paraId="4C905065" w14:textId="77777777" w:rsidR="009B7D5D" w:rsidRPr="00811BA1" w:rsidRDefault="009B7D5D" w:rsidP="000009D3">
      <w:pPr>
        <w:pStyle w:val="Bodytext"/>
        <w:jc w:val="both"/>
      </w:pPr>
      <w:r w:rsidRPr="00811BA1">
        <w:t>At incorporation on 23 May 2013, the Company issued one founder Ord</w:t>
      </w:r>
      <w:r w:rsidR="00E95420" w:rsidRPr="00811BA1">
        <w:t xml:space="preserve">inary Share of no par value. On </w:t>
      </w:r>
      <w:r w:rsidRPr="00811BA1">
        <w:t>29 October 2013, the Company issued 71,032,057 Ordinary Shares of no par value at £10 per Ordinary Share in an initial public offering raising a total of</w:t>
      </w:r>
      <w:r w:rsidR="00E95420" w:rsidRPr="00811BA1">
        <w:t xml:space="preserve"> </w:t>
      </w:r>
      <w:r w:rsidRPr="00811BA1">
        <w:t>$1,138 million.</w:t>
      </w:r>
    </w:p>
    <w:p w14:paraId="57691658" w14:textId="77777777" w:rsidR="00E95420" w:rsidRPr="00811BA1" w:rsidRDefault="00E95420" w:rsidP="000009D3">
      <w:pPr>
        <w:pStyle w:val="Bodytext"/>
        <w:jc w:val="both"/>
      </w:pPr>
    </w:p>
    <w:p w14:paraId="758B1E22" w14:textId="60241420" w:rsidR="009B7D5D" w:rsidRPr="00811BA1" w:rsidRDefault="009B7D5D" w:rsidP="000009D3">
      <w:pPr>
        <w:pStyle w:val="Bodytext"/>
        <w:jc w:val="both"/>
      </w:pPr>
      <w:r w:rsidRPr="00811BA1">
        <w:t xml:space="preserve">KFI, one of the Cornerstone Investors in the Company, paid for and acquired </w:t>
      </w:r>
      <w:r w:rsidR="009B5C0C" w:rsidRPr="00811BA1">
        <w:t xml:space="preserve">10 million </w:t>
      </w:r>
      <w:r w:rsidRPr="00811BA1">
        <w:t xml:space="preserve">Ordinary Shares in two equal tranches of £50 million. The first tranche was paid on Admission </w:t>
      </w:r>
      <w:r w:rsidR="009B5C0C" w:rsidRPr="00811BA1">
        <w:t>and t</w:t>
      </w:r>
      <w:r w:rsidRPr="00811BA1">
        <w:t>he second tranche</w:t>
      </w:r>
      <w:r w:rsidR="003946E0">
        <w:t xml:space="preserve"> of 5 million Ordinary Shares</w:t>
      </w:r>
      <w:r w:rsidRPr="00811BA1">
        <w:t xml:space="preserve"> was paid on 26 September 2014</w:t>
      </w:r>
      <w:r w:rsidR="00F5067D" w:rsidRPr="00811BA1">
        <w:t>.</w:t>
      </w:r>
      <w:r w:rsidRPr="00811BA1">
        <w:t xml:space="preserve"> </w:t>
      </w:r>
    </w:p>
    <w:p w14:paraId="750FFB54" w14:textId="77777777" w:rsidR="00E95420" w:rsidRPr="00811BA1" w:rsidRDefault="00E95420" w:rsidP="000009D3">
      <w:pPr>
        <w:pStyle w:val="Bodytext"/>
        <w:jc w:val="both"/>
      </w:pPr>
    </w:p>
    <w:p w14:paraId="67AB0351" w14:textId="31231B64" w:rsidR="007D7A5B" w:rsidRPr="00811BA1" w:rsidRDefault="00155A2D" w:rsidP="000009D3">
      <w:pPr>
        <w:jc w:val="both"/>
      </w:pPr>
      <w:r w:rsidRPr="00811BA1">
        <w:t xml:space="preserve">On </w:t>
      </w:r>
      <w:r w:rsidR="007D7A5B" w:rsidRPr="00811BA1">
        <w:t xml:space="preserve">11 </w:t>
      </w:r>
      <w:r w:rsidR="00F5067D" w:rsidRPr="00811BA1">
        <w:t>Decem</w:t>
      </w:r>
      <w:r w:rsidR="001A2957" w:rsidRPr="00811BA1">
        <w:t xml:space="preserve">ber 2015, the Company </w:t>
      </w:r>
      <w:r w:rsidR="007C7025" w:rsidRPr="00811BA1">
        <w:t>raised</w:t>
      </w:r>
      <w:r w:rsidR="007D7A5B" w:rsidRPr="00811BA1">
        <w:t xml:space="preserve"> £67.6 million ($102.3 million)</w:t>
      </w:r>
      <w:r w:rsidR="007D7A5B" w:rsidRPr="00811BA1">
        <w:rPr>
          <w:vertAlign w:val="superscript"/>
        </w:rPr>
        <w:t>(1)</w:t>
      </w:r>
      <w:r w:rsidR="007D7A5B" w:rsidRPr="00811BA1">
        <w:t xml:space="preserve"> through the issuance of 8,448,006 new Ordinary Shares at £8.00 per Ordinary Share.</w:t>
      </w:r>
    </w:p>
    <w:p w14:paraId="26AB22A7" w14:textId="77777777" w:rsidR="007D7A5B" w:rsidRPr="00811BA1" w:rsidRDefault="007D7A5B" w:rsidP="000009D3">
      <w:pPr>
        <w:jc w:val="both"/>
      </w:pPr>
    </w:p>
    <w:p w14:paraId="0CEF5888" w14:textId="495D1833" w:rsidR="00F137AA" w:rsidRPr="00E43933" w:rsidRDefault="00F137AA" w:rsidP="000009D3">
      <w:pPr>
        <w:pStyle w:val="Bodytext"/>
        <w:jc w:val="both"/>
      </w:pPr>
      <w:r w:rsidRPr="00E43933">
        <w:t xml:space="preserve">On 15 October 2018, the Company announced a Tender Offer for £55.0 million in value of the Company’s Ordinary Shares. The Company acquired 4,583,333 Ordinary Shares </w:t>
      </w:r>
      <w:r w:rsidR="00E43933" w:rsidRPr="00E43933">
        <w:t>which were cancelled on</w:t>
      </w:r>
      <w:r w:rsidRPr="00E43933">
        <w:t xml:space="preserve"> 23 November 2018.</w:t>
      </w:r>
    </w:p>
    <w:p w14:paraId="552400E4" w14:textId="77777777" w:rsidR="00F137AA" w:rsidRPr="00E43933" w:rsidRDefault="00F137AA" w:rsidP="000009D3">
      <w:pPr>
        <w:pStyle w:val="Bodytext"/>
        <w:jc w:val="both"/>
      </w:pPr>
    </w:p>
    <w:p w14:paraId="6232CE57" w14:textId="674155D0" w:rsidR="001A2957" w:rsidRDefault="00F137AA" w:rsidP="000009D3">
      <w:pPr>
        <w:pStyle w:val="Bodytext"/>
        <w:jc w:val="both"/>
      </w:pPr>
      <w:r w:rsidRPr="00E43933">
        <w:t>Following admission of the new Ordinary Shares, and the cancellation of Ordinary Shares from the Tender Offer, the share capital of the Company is 79,896,731 Ordinary Shares in aggregate.</w:t>
      </w:r>
    </w:p>
    <w:p w14:paraId="5085EB92" w14:textId="77777777" w:rsidR="00F137AA" w:rsidRPr="00811BA1" w:rsidRDefault="00F137AA" w:rsidP="000009D3">
      <w:pPr>
        <w:pStyle w:val="Bodytext"/>
        <w:jc w:val="both"/>
      </w:pPr>
    </w:p>
    <w:p w14:paraId="0129C4D3" w14:textId="77777777" w:rsidR="009B7D5D" w:rsidRPr="00811BA1" w:rsidRDefault="009B7D5D" w:rsidP="000009D3">
      <w:pPr>
        <w:pStyle w:val="Bodytext"/>
        <w:jc w:val="both"/>
      </w:pPr>
      <w:r w:rsidRPr="00811BA1">
        <w:t>The Company has one class of Ordinary Shares. The issued nominal value of the Ordinary Shares represents 100 per cent. of the total issued nominal value of all share capital. Under the Company’s Articles of Incorporation, on a show of hands, each Shareholder present in person or by proxy has the right to one vote at general meetings. On a poll, each Shareholder is entitled to one vote for every share held.</w:t>
      </w:r>
    </w:p>
    <w:p w14:paraId="3A707725" w14:textId="77777777" w:rsidR="00E95420" w:rsidRPr="00811BA1" w:rsidRDefault="00E95420" w:rsidP="000009D3">
      <w:pPr>
        <w:pStyle w:val="Bodytext"/>
        <w:jc w:val="both"/>
      </w:pPr>
    </w:p>
    <w:p w14:paraId="07978B88" w14:textId="5A8D6E3B" w:rsidR="009B7D5D" w:rsidRPr="00811BA1" w:rsidRDefault="009B7D5D" w:rsidP="000009D3">
      <w:pPr>
        <w:pStyle w:val="Bodytext"/>
        <w:jc w:val="both"/>
      </w:pPr>
      <w:r w:rsidRPr="00811BA1">
        <w:t xml:space="preserve">Shareholders are entitled to all dividends paid by the Company and, on a winding up, provided the Company has satisfied all of its liabilities, the Shareholders are entitled to all of the surplus assets of the Company. </w:t>
      </w:r>
      <w:r w:rsidR="00F649F0">
        <w:t>The Company has not declared or paid dividends from inception to 31 December 201</w:t>
      </w:r>
      <w:r w:rsidR="005E1C93">
        <w:t>9</w:t>
      </w:r>
      <w:r w:rsidR="00F649F0">
        <w:t>, and has no intention to do so.</w:t>
      </w:r>
    </w:p>
    <w:p w14:paraId="5BD08B1D" w14:textId="77777777" w:rsidR="00E95420" w:rsidRPr="00811BA1" w:rsidRDefault="00E95420" w:rsidP="000009D3">
      <w:pPr>
        <w:pStyle w:val="Bodytext"/>
        <w:jc w:val="both"/>
      </w:pPr>
    </w:p>
    <w:p w14:paraId="6A75C5E7" w14:textId="77777777" w:rsidR="009B7D5D" w:rsidRPr="00811BA1" w:rsidRDefault="009B7D5D" w:rsidP="000009D3">
      <w:pPr>
        <w:pStyle w:val="Bodytext"/>
        <w:jc w:val="both"/>
      </w:pPr>
      <w:r w:rsidRPr="00811BA1">
        <w:t>The Ordinary Shares have no right to fixed income.</w:t>
      </w:r>
    </w:p>
    <w:p w14:paraId="43361E1D" w14:textId="77777777" w:rsidR="009145B0" w:rsidRPr="00811BA1" w:rsidRDefault="009145B0" w:rsidP="000009D3">
      <w:pPr>
        <w:pStyle w:val="Bodytext"/>
        <w:jc w:val="both"/>
      </w:pPr>
    </w:p>
    <w:p w14:paraId="0E2E074B" w14:textId="6776B9DC" w:rsidR="009145B0" w:rsidRPr="00811BA1" w:rsidRDefault="007D7A5B" w:rsidP="000009D3">
      <w:pPr>
        <w:pStyle w:val="Bodytext"/>
        <w:jc w:val="both"/>
        <w:rPr>
          <w:sz w:val="16"/>
          <w:szCs w:val="16"/>
        </w:rPr>
      </w:pPr>
      <w:r w:rsidRPr="00811BA1">
        <w:rPr>
          <w:sz w:val="16"/>
          <w:szCs w:val="16"/>
          <w:vertAlign w:val="superscript"/>
        </w:rPr>
        <w:t>(1)</w:t>
      </w:r>
      <w:r w:rsidRPr="00811BA1">
        <w:rPr>
          <w:sz w:val="16"/>
          <w:szCs w:val="16"/>
        </w:rPr>
        <w:t xml:space="preserve"> Gross of share issuance costs of </w:t>
      </w:r>
      <w:r w:rsidRPr="001034A7">
        <w:rPr>
          <w:sz w:val="16"/>
          <w:szCs w:val="16"/>
        </w:rPr>
        <w:t>$3.</w:t>
      </w:r>
      <w:r w:rsidR="006E5B84" w:rsidRPr="001034A7">
        <w:rPr>
          <w:sz w:val="16"/>
          <w:szCs w:val="16"/>
        </w:rPr>
        <w:t>6</w:t>
      </w:r>
      <w:r w:rsidRPr="001034A7">
        <w:rPr>
          <w:sz w:val="16"/>
          <w:szCs w:val="16"/>
        </w:rPr>
        <w:t xml:space="preserve"> million</w:t>
      </w:r>
    </w:p>
    <w:p w14:paraId="13C28776" w14:textId="77777777" w:rsidR="00A92341" w:rsidRPr="00484AF4" w:rsidRDefault="00A92341" w:rsidP="00484AF4"/>
    <w:p w14:paraId="4C8AAD17" w14:textId="77777777" w:rsidR="00484AF4" w:rsidRPr="00484AF4" w:rsidRDefault="00484AF4" w:rsidP="00484AF4"/>
    <w:p w14:paraId="58EE412D" w14:textId="77777777" w:rsidR="009145B0" w:rsidRPr="00811BA1" w:rsidRDefault="009145B0" w:rsidP="00484AF4">
      <w:pPr>
        <w:pStyle w:val="Heading1"/>
        <w:spacing w:before="0"/>
      </w:pPr>
      <w:r w:rsidRPr="00811BA1">
        <w:t>Shareholdings of the Directors</w:t>
      </w:r>
    </w:p>
    <w:p w14:paraId="4747473F" w14:textId="77777777" w:rsidR="009145B0" w:rsidRPr="00811BA1" w:rsidRDefault="009145B0" w:rsidP="000009D3">
      <w:pPr>
        <w:pStyle w:val="Bodytext"/>
        <w:jc w:val="both"/>
      </w:pPr>
    </w:p>
    <w:p w14:paraId="148504F2" w14:textId="699E6076" w:rsidR="00990F85" w:rsidRPr="00811BA1" w:rsidRDefault="009145B0" w:rsidP="000009D3">
      <w:pPr>
        <w:pStyle w:val="Bodytext"/>
        <w:jc w:val="both"/>
      </w:pPr>
      <w:r w:rsidRPr="00811BA1">
        <w:t xml:space="preserve">The Directors </w:t>
      </w:r>
      <w:r w:rsidR="00874EE4" w:rsidRPr="00811BA1">
        <w:t>with</w:t>
      </w:r>
      <w:r w:rsidRPr="00811BA1">
        <w:t xml:space="preserve"> beneficial interests in the shares of the Company as at 31 December 20</w:t>
      </w:r>
      <w:r w:rsidR="00C009FD">
        <w:t>1</w:t>
      </w:r>
      <w:r w:rsidR="00FB1D79">
        <w:t>9</w:t>
      </w:r>
      <w:r w:rsidRPr="00811BA1">
        <w:t xml:space="preserve"> and 201</w:t>
      </w:r>
      <w:r w:rsidR="00FB1D79">
        <w:t>8</w:t>
      </w:r>
      <w:r w:rsidRPr="00811BA1">
        <w:t xml:space="preserve"> are detailed below:</w:t>
      </w:r>
    </w:p>
    <w:p w14:paraId="4E1B6F36" w14:textId="77777777" w:rsidR="009145B0" w:rsidRPr="00811BA1" w:rsidRDefault="009145B0" w:rsidP="00EB7E49">
      <w:pPr>
        <w:pStyle w:val="Bodytext"/>
      </w:pPr>
    </w:p>
    <w:tbl>
      <w:tblPr>
        <w:tblStyle w:val="TableGrid"/>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601"/>
        <w:gridCol w:w="1683"/>
        <w:gridCol w:w="1786"/>
        <w:gridCol w:w="1803"/>
        <w:gridCol w:w="1801"/>
      </w:tblGrid>
      <w:tr w:rsidR="00371A35" w:rsidRPr="00811BA1" w14:paraId="3F7E9665" w14:textId="77777777" w:rsidTr="002248AA">
        <w:trPr>
          <w:trHeight w:val="942"/>
        </w:trPr>
        <w:tc>
          <w:tcPr>
            <w:tcW w:w="1344" w:type="pct"/>
            <w:tcBorders>
              <w:bottom w:val="single" w:sz="4" w:space="0" w:color="000000" w:themeColor="text1"/>
            </w:tcBorders>
            <w:vAlign w:val="bottom"/>
          </w:tcPr>
          <w:p w14:paraId="0D864668" w14:textId="77777777" w:rsidR="00371A35" w:rsidRPr="001034A7" w:rsidRDefault="00371A35" w:rsidP="00EB7E49">
            <w:r w:rsidRPr="001034A7">
              <w:t>Director</w:t>
            </w:r>
          </w:p>
        </w:tc>
        <w:tc>
          <w:tcPr>
            <w:tcW w:w="870" w:type="pct"/>
            <w:tcBorders>
              <w:bottom w:val="single" w:sz="4" w:space="0" w:color="000000" w:themeColor="text1"/>
            </w:tcBorders>
            <w:vAlign w:val="bottom"/>
          </w:tcPr>
          <w:p w14:paraId="7347CACF" w14:textId="2128A26C" w:rsidR="00371A35" w:rsidRPr="001034A7" w:rsidRDefault="00371A35" w:rsidP="00EB7E49">
            <w:pPr>
              <w:jc w:val="right"/>
            </w:pPr>
            <w:r w:rsidRPr="001034A7">
              <w:t>Ordinary</w:t>
            </w:r>
          </w:p>
          <w:p w14:paraId="1DF604AF" w14:textId="3B642C47" w:rsidR="00371A35" w:rsidRPr="001034A7" w:rsidRDefault="00371A35" w:rsidP="00EB7E49">
            <w:pPr>
              <w:jc w:val="right"/>
            </w:pPr>
            <w:r w:rsidRPr="001034A7">
              <w:t>Shares held</w:t>
            </w:r>
          </w:p>
          <w:p w14:paraId="021E76C9" w14:textId="77777777" w:rsidR="00371A35" w:rsidRPr="001034A7" w:rsidRDefault="00371A35" w:rsidP="00EB7E49">
            <w:pPr>
              <w:jc w:val="right"/>
            </w:pPr>
            <w:r w:rsidRPr="001034A7">
              <w:t>31 December</w:t>
            </w:r>
          </w:p>
          <w:p w14:paraId="65BF9BE3" w14:textId="05F3294F" w:rsidR="00371A35" w:rsidRPr="001034A7" w:rsidRDefault="00371A35" w:rsidP="00EC6A8B">
            <w:pPr>
              <w:jc w:val="right"/>
            </w:pPr>
            <w:r w:rsidRPr="001034A7">
              <w:t>201</w:t>
            </w:r>
            <w:r w:rsidR="000D233F">
              <w:t>9</w:t>
            </w:r>
          </w:p>
        </w:tc>
        <w:tc>
          <w:tcPr>
            <w:tcW w:w="923" w:type="pct"/>
            <w:tcBorders>
              <w:bottom w:val="single" w:sz="4" w:space="0" w:color="000000" w:themeColor="text1"/>
            </w:tcBorders>
            <w:vAlign w:val="bottom"/>
          </w:tcPr>
          <w:p w14:paraId="02CC4D61" w14:textId="77777777" w:rsidR="00371A35" w:rsidRPr="001034A7" w:rsidRDefault="00371A35" w:rsidP="00EB7E49">
            <w:pPr>
              <w:jc w:val="right"/>
            </w:pPr>
            <w:r w:rsidRPr="001034A7">
              <w:t>Per cent.</w:t>
            </w:r>
          </w:p>
          <w:p w14:paraId="72C13AA8" w14:textId="77777777" w:rsidR="00371A35" w:rsidRPr="001034A7" w:rsidRDefault="00371A35" w:rsidP="00EB7E49">
            <w:pPr>
              <w:jc w:val="right"/>
            </w:pPr>
            <w:r w:rsidRPr="001034A7">
              <w:t>Holding at</w:t>
            </w:r>
          </w:p>
          <w:p w14:paraId="79F4369E" w14:textId="77777777" w:rsidR="00371A35" w:rsidRPr="001034A7" w:rsidRDefault="00371A35" w:rsidP="00EB7E49">
            <w:pPr>
              <w:jc w:val="right"/>
            </w:pPr>
            <w:r w:rsidRPr="001034A7">
              <w:t>31 December</w:t>
            </w:r>
          </w:p>
          <w:p w14:paraId="28E0386C" w14:textId="5C84807B" w:rsidR="00371A35" w:rsidRPr="001034A7" w:rsidRDefault="00371A35" w:rsidP="00E44A69">
            <w:pPr>
              <w:jc w:val="right"/>
            </w:pPr>
            <w:r w:rsidRPr="001034A7">
              <w:t>201</w:t>
            </w:r>
            <w:r w:rsidR="000D233F">
              <w:t>9</w:t>
            </w:r>
          </w:p>
        </w:tc>
        <w:tc>
          <w:tcPr>
            <w:tcW w:w="932" w:type="pct"/>
            <w:tcBorders>
              <w:bottom w:val="single" w:sz="4" w:space="0" w:color="000000" w:themeColor="text1"/>
            </w:tcBorders>
            <w:vAlign w:val="bottom"/>
          </w:tcPr>
          <w:p w14:paraId="07BD39BE" w14:textId="77777777" w:rsidR="00371A35" w:rsidRPr="001034A7" w:rsidRDefault="00371A35" w:rsidP="00EB7E49">
            <w:pPr>
              <w:jc w:val="right"/>
            </w:pPr>
            <w:r w:rsidRPr="001034A7">
              <w:t>Ordinary</w:t>
            </w:r>
          </w:p>
          <w:p w14:paraId="015CD6DD" w14:textId="77777777" w:rsidR="00371A35" w:rsidRPr="001034A7" w:rsidRDefault="00371A35" w:rsidP="00EB7E49">
            <w:pPr>
              <w:jc w:val="right"/>
            </w:pPr>
            <w:r w:rsidRPr="001034A7">
              <w:t>Shares held</w:t>
            </w:r>
          </w:p>
          <w:p w14:paraId="61AB8F89" w14:textId="77777777" w:rsidR="00371A35" w:rsidRPr="001034A7" w:rsidRDefault="00371A35" w:rsidP="00EB7E49">
            <w:pPr>
              <w:jc w:val="right"/>
            </w:pPr>
            <w:r w:rsidRPr="001034A7">
              <w:t>31 December</w:t>
            </w:r>
          </w:p>
          <w:p w14:paraId="7C4CFAE5" w14:textId="6241E525" w:rsidR="00371A35" w:rsidRPr="001034A7" w:rsidRDefault="00371A35" w:rsidP="00E44A69">
            <w:pPr>
              <w:jc w:val="right"/>
            </w:pPr>
            <w:r w:rsidRPr="001034A7">
              <w:t>201</w:t>
            </w:r>
            <w:r w:rsidR="005E1C93">
              <w:t>8</w:t>
            </w:r>
          </w:p>
        </w:tc>
        <w:tc>
          <w:tcPr>
            <w:tcW w:w="931" w:type="pct"/>
            <w:tcBorders>
              <w:bottom w:val="single" w:sz="4" w:space="0" w:color="000000" w:themeColor="text1"/>
            </w:tcBorders>
            <w:vAlign w:val="bottom"/>
          </w:tcPr>
          <w:p w14:paraId="755531C5" w14:textId="77777777" w:rsidR="00371A35" w:rsidRPr="001034A7" w:rsidRDefault="00371A35" w:rsidP="00EB7E49">
            <w:pPr>
              <w:jc w:val="right"/>
            </w:pPr>
            <w:r w:rsidRPr="001034A7">
              <w:t>Per cent.</w:t>
            </w:r>
          </w:p>
          <w:p w14:paraId="60633E03" w14:textId="77777777" w:rsidR="00371A35" w:rsidRPr="001034A7" w:rsidRDefault="00371A35" w:rsidP="00EB7E49">
            <w:pPr>
              <w:jc w:val="right"/>
            </w:pPr>
            <w:r w:rsidRPr="001034A7">
              <w:t>Holding at</w:t>
            </w:r>
          </w:p>
          <w:p w14:paraId="5A4EE50F" w14:textId="77777777" w:rsidR="00371A35" w:rsidRPr="001034A7" w:rsidRDefault="00371A35" w:rsidP="00EB7E49">
            <w:pPr>
              <w:jc w:val="right"/>
            </w:pPr>
            <w:r w:rsidRPr="001034A7">
              <w:t>31 December</w:t>
            </w:r>
          </w:p>
          <w:p w14:paraId="30421190" w14:textId="15009CF4" w:rsidR="00371A35" w:rsidRPr="001034A7" w:rsidRDefault="00371A35" w:rsidP="00E44A69">
            <w:pPr>
              <w:jc w:val="right"/>
            </w:pPr>
            <w:r w:rsidRPr="001034A7">
              <w:t>201</w:t>
            </w:r>
            <w:r w:rsidR="005E1C93">
              <w:t>8</w:t>
            </w:r>
          </w:p>
        </w:tc>
      </w:tr>
      <w:tr w:rsidR="00E44A69" w:rsidRPr="00811BA1" w14:paraId="16721531" w14:textId="77777777" w:rsidTr="00974F5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27"/>
        </w:trPr>
        <w:tc>
          <w:tcPr>
            <w:tcW w:w="1344" w:type="pct"/>
            <w:tcBorders>
              <w:top w:val="nil"/>
              <w:left w:val="nil"/>
              <w:bottom w:val="nil"/>
              <w:right w:val="nil"/>
            </w:tcBorders>
            <w:vAlign w:val="center"/>
          </w:tcPr>
          <w:p w14:paraId="4B99F6B9" w14:textId="77777777" w:rsidR="00E44A69" w:rsidRPr="006C599D" w:rsidRDefault="00E44A69" w:rsidP="00E44A69">
            <w:r w:rsidRPr="006C599D">
              <w:t>Richard Hayden</w:t>
            </w:r>
            <w:r w:rsidRPr="006C599D">
              <w:rPr>
                <w:vertAlign w:val="superscript"/>
              </w:rPr>
              <w:t>(1)</w:t>
            </w:r>
          </w:p>
        </w:tc>
        <w:tc>
          <w:tcPr>
            <w:tcW w:w="870" w:type="pct"/>
            <w:tcBorders>
              <w:top w:val="nil"/>
              <w:left w:val="nil"/>
              <w:bottom w:val="nil"/>
              <w:right w:val="nil"/>
            </w:tcBorders>
          </w:tcPr>
          <w:p w14:paraId="6C9B0619" w14:textId="2CEE4BFA" w:rsidR="00E44A69" w:rsidRPr="00D012F9" w:rsidRDefault="00243AF4" w:rsidP="00E44A69">
            <w:pPr>
              <w:jc w:val="right"/>
            </w:pPr>
            <w:r w:rsidRPr="00D012F9">
              <w:t>10,000</w:t>
            </w:r>
          </w:p>
        </w:tc>
        <w:tc>
          <w:tcPr>
            <w:tcW w:w="923" w:type="pct"/>
            <w:tcBorders>
              <w:top w:val="nil"/>
              <w:left w:val="nil"/>
              <w:bottom w:val="nil"/>
              <w:right w:val="nil"/>
            </w:tcBorders>
          </w:tcPr>
          <w:p w14:paraId="1245E6B2" w14:textId="468D7442" w:rsidR="00E44A69" w:rsidRPr="00D012F9" w:rsidRDefault="006A02C8" w:rsidP="00E44A69">
            <w:pPr>
              <w:jc w:val="right"/>
            </w:pPr>
            <w:r w:rsidRPr="00D012F9">
              <w:t>0.013</w:t>
            </w:r>
          </w:p>
        </w:tc>
        <w:tc>
          <w:tcPr>
            <w:tcW w:w="932" w:type="pct"/>
            <w:tcBorders>
              <w:top w:val="nil"/>
              <w:left w:val="nil"/>
              <w:bottom w:val="nil"/>
              <w:right w:val="nil"/>
            </w:tcBorders>
          </w:tcPr>
          <w:p w14:paraId="1EAFE6A6" w14:textId="20335067" w:rsidR="00E44A69" w:rsidRPr="006C599D" w:rsidRDefault="00E44A69" w:rsidP="00E44A69">
            <w:pPr>
              <w:jc w:val="right"/>
            </w:pPr>
            <w:r>
              <w:t>10,000</w:t>
            </w:r>
          </w:p>
        </w:tc>
        <w:tc>
          <w:tcPr>
            <w:tcW w:w="931" w:type="pct"/>
            <w:tcBorders>
              <w:top w:val="nil"/>
              <w:left w:val="nil"/>
              <w:bottom w:val="nil"/>
              <w:right w:val="nil"/>
            </w:tcBorders>
          </w:tcPr>
          <w:p w14:paraId="5D3039AE" w14:textId="17784D0E" w:rsidR="00E44A69" w:rsidRPr="006C599D" w:rsidRDefault="00E44A69" w:rsidP="00E44A69">
            <w:pPr>
              <w:jc w:val="right"/>
            </w:pPr>
            <w:r>
              <w:t>0.01</w:t>
            </w:r>
            <w:r w:rsidR="005E1C93">
              <w:t>3</w:t>
            </w:r>
          </w:p>
        </w:tc>
      </w:tr>
      <w:tr w:rsidR="00E44A69" w:rsidRPr="00811BA1" w14:paraId="4755DA43" w14:textId="77777777" w:rsidTr="00974F5B">
        <w:trPr>
          <w:trHeight w:val="227"/>
        </w:trPr>
        <w:tc>
          <w:tcPr>
            <w:tcW w:w="1344" w:type="pct"/>
            <w:vAlign w:val="center"/>
          </w:tcPr>
          <w:p w14:paraId="66BEF37A" w14:textId="194C3CF9" w:rsidR="00E44A69" w:rsidRPr="001034A7" w:rsidRDefault="00E44A69" w:rsidP="00E44A69">
            <w:r w:rsidRPr="001034A7">
              <w:t>Peter Barker</w:t>
            </w:r>
            <w:r w:rsidRPr="001034A7">
              <w:rPr>
                <w:vertAlign w:val="superscript"/>
              </w:rPr>
              <w:t>(1)(2)</w:t>
            </w:r>
          </w:p>
        </w:tc>
        <w:tc>
          <w:tcPr>
            <w:tcW w:w="870" w:type="pct"/>
            <w:vAlign w:val="center"/>
          </w:tcPr>
          <w:p w14:paraId="468F828F" w14:textId="043A3BC8" w:rsidR="00E44A69" w:rsidRPr="00D012F9" w:rsidRDefault="00243AF4" w:rsidP="00E44A69">
            <w:pPr>
              <w:jc w:val="right"/>
            </w:pPr>
            <w:r w:rsidRPr="00D012F9">
              <w:t>5,000</w:t>
            </w:r>
          </w:p>
        </w:tc>
        <w:tc>
          <w:tcPr>
            <w:tcW w:w="923" w:type="pct"/>
            <w:vAlign w:val="center"/>
          </w:tcPr>
          <w:p w14:paraId="0A908FBA" w14:textId="0353B91B" w:rsidR="00E44A69" w:rsidRPr="00D012F9" w:rsidRDefault="006A02C8" w:rsidP="00E44A69">
            <w:pPr>
              <w:jc w:val="right"/>
            </w:pPr>
            <w:r w:rsidRPr="00D012F9">
              <w:t>0.006</w:t>
            </w:r>
          </w:p>
        </w:tc>
        <w:tc>
          <w:tcPr>
            <w:tcW w:w="932" w:type="pct"/>
            <w:vAlign w:val="center"/>
          </w:tcPr>
          <w:p w14:paraId="07C98926" w14:textId="152F1651" w:rsidR="00E44A69" w:rsidRPr="001034A7" w:rsidRDefault="00E44A69" w:rsidP="00E44A69">
            <w:pPr>
              <w:jc w:val="right"/>
            </w:pPr>
            <w:r>
              <w:t>5,000</w:t>
            </w:r>
          </w:p>
        </w:tc>
        <w:tc>
          <w:tcPr>
            <w:tcW w:w="931" w:type="pct"/>
            <w:vAlign w:val="center"/>
          </w:tcPr>
          <w:p w14:paraId="599F2B41" w14:textId="73C4C15A" w:rsidR="00E44A69" w:rsidRPr="001034A7" w:rsidRDefault="00E44A69" w:rsidP="00E44A69">
            <w:pPr>
              <w:jc w:val="right"/>
            </w:pPr>
            <w:r>
              <w:t>0.006</w:t>
            </w:r>
          </w:p>
        </w:tc>
      </w:tr>
      <w:tr w:rsidR="00E44A69" w:rsidRPr="00811BA1" w14:paraId="78170C08" w14:textId="77777777" w:rsidTr="00974F5B">
        <w:trPr>
          <w:trHeight w:val="227"/>
        </w:trPr>
        <w:tc>
          <w:tcPr>
            <w:tcW w:w="1344" w:type="pct"/>
            <w:vAlign w:val="center"/>
          </w:tcPr>
          <w:p w14:paraId="2AE6C39D" w14:textId="6E826BE2" w:rsidR="00E44A69" w:rsidRPr="001034A7" w:rsidRDefault="00E44A69" w:rsidP="00E44A69">
            <w:r w:rsidRPr="001034A7">
              <w:t>Patrick Firth</w:t>
            </w:r>
            <w:r w:rsidR="0034554D" w:rsidRPr="0034554D">
              <w:rPr>
                <w:vertAlign w:val="superscript"/>
              </w:rPr>
              <w:t>(2)</w:t>
            </w:r>
            <w:r w:rsidRPr="001034A7">
              <w:rPr>
                <w:vertAlign w:val="superscript"/>
              </w:rPr>
              <w:t>(3)</w:t>
            </w:r>
          </w:p>
        </w:tc>
        <w:tc>
          <w:tcPr>
            <w:tcW w:w="870" w:type="pct"/>
            <w:vAlign w:val="center"/>
          </w:tcPr>
          <w:p w14:paraId="71EB28F6" w14:textId="5AD89E79" w:rsidR="00E44A69" w:rsidRPr="00D012F9" w:rsidRDefault="00243AF4" w:rsidP="00E44A69">
            <w:pPr>
              <w:jc w:val="right"/>
            </w:pPr>
            <w:r w:rsidRPr="00D012F9">
              <w:t>8,000</w:t>
            </w:r>
          </w:p>
        </w:tc>
        <w:tc>
          <w:tcPr>
            <w:tcW w:w="923" w:type="pct"/>
            <w:vAlign w:val="center"/>
          </w:tcPr>
          <w:p w14:paraId="658F57C8" w14:textId="49C2B446" w:rsidR="00E44A69" w:rsidRPr="00D012F9" w:rsidRDefault="006A02C8" w:rsidP="00E44A69">
            <w:pPr>
              <w:jc w:val="right"/>
            </w:pPr>
            <w:r w:rsidRPr="00D012F9">
              <w:t>0.010</w:t>
            </w:r>
          </w:p>
        </w:tc>
        <w:tc>
          <w:tcPr>
            <w:tcW w:w="932" w:type="pct"/>
            <w:vAlign w:val="center"/>
          </w:tcPr>
          <w:p w14:paraId="434F47FC" w14:textId="084608DB" w:rsidR="00E44A69" w:rsidRPr="001034A7" w:rsidRDefault="00E44A69" w:rsidP="00E44A69">
            <w:pPr>
              <w:jc w:val="right"/>
            </w:pPr>
            <w:r>
              <w:t>8,000</w:t>
            </w:r>
          </w:p>
        </w:tc>
        <w:tc>
          <w:tcPr>
            <w:tcW w:w="931" w:type="pct"/>
            <w:vAlign w:val="center"/>
          </w:tcPr>
          <w:p w14:paraId="538961A4" w14:textId="6844E5DC" w:rsidR="00E44A69" w:rsidRPr="001034A7" w:rsidRDefault="00E44A69" w:rsidP="00E44A69">
            <w:pPr>
              <w:jc w:val="right"/>
            </w:pPr>
            <w:r>
              <w:t>0.0</w:t>
            </w:r>
            <w:r w:rsidR="005E1C93">
              <w:t>10</w:t>
            </w:r>
          </w:p>
        </w:tc>
      </w:tr>
      <w:tr w:rsidR="00E44A69" w:rsidRPr="00811BA1" w14:paraId="7D2B9FDE" w14:textId="67892F51" w:rsidTr="00974F5B">
        <w:trPr>
          <w:trHeight w:val="227"/>
        </w:trPr>
        <w:tc>
          <w:tcPr>
            <w:tcW w:w="1344" w:type="pct"/>
            <w:vAlign w:val="center"/>
          </w:tcPr>
          <w:p w14:paraId="602B5ADA" w14:textId="4702F8B0" w:rsidR="00E44A69" w:rsidRPr="001034A7" w:rsidRDefault="00E44A69" w:rsidP="00E44A69">
            <w:r w:rsidRPr="001034A7">
              <w:t>Pierre Lapeyre</w:t>
            </w:r>
            <w:r w:rsidRPr="001034A7">
              <w:rPr>
                <w:vertAlign w:val="superscript"/>
              </w:rPr>
              <w:t>(4)</w:t>
            </w:r>
          </w:p>
        </w:tc>
        <w:tc>
          <w:tcPr>
            <w:tcW w:w="870" w:type="pct"/>
          </w:tcPr>
          <w:p w14:paraId="7A493CBA" w14:textId="77FAB6CB" w:rsidR="00E44A69" w:rsidRPr="0081360C" w:rsidRDefault="00243AF4" w:rsidP="00E44A69">
            <w:pPr>
              <w:jc w:val="right"/>
            </w:pPr>
            <w:r w:rsidRPr="0081360C">
              <w:t>50,000</w:t>
            </w:r>
          </w:p>
        </w:tc>
        <w:tc>
          <w:tcPr>
            <w:tcW w:w="923" w:type="pct"/>
            <w:vAlign w:val="center"/>
          </w:tcPr>
          <w:p w14:paraId="66AB9C1C" w14:textId="3035AA34" w:rsidR="00E44A69" w:rsidRPr="0081360C" w:rsidRDefault="006A02C8" w:rsidP="00E44A69">
            <w:pPr>
              <w:jc w:val="right"/>
            </w:pPr>
            <w:r w:rsidRPr="0081360C">
              <w:t>0.063</w:t>
            </w:r>
          </w:p>
        </w:tc>
        <w:tc>
          <w:tcPr>
            <w:tcW w:w="932" w:type="pct"/>
          </w:tcPr>
          <w:p w14:paraId="3E90C714" w14:textId="47DBF141" w:rsidR="00E44A69" w:rsidRPr="001034A7" w:rsidRDefault="00E44A69" w:rsidP="00E44A69">
            <w:pPr>
              <w:jc w:val="right"/>
            </w:pPr>
            <w:r>
              <w:t>50,000</w:t>
            </w:r>
          </w:p>
        </w:tc>
        <w:tc>
          <w:tcPr>
            <w:tcW w:w="931" w:type="pct"/>
            <w:vAlign w:val="center"/>
          </w:tcPr>
          <w:p w14:paraId="53321C03" w14:textId="506F8C1F" w:rsidR="00E44A69" w:rsidRPr="001034A7" w:rsidRDefault="00E44A69" w:rsidP="00E44A69">
            <w:pPr>
              <w:jc w:val="right"/>
            </w:pPr>
            <w:r>
              <w:t>0.0</w:t>
            </w:r>
            <w:r w:rsidR="005E1C93">
              <w:t>63</w:t>
            </w:r>
          </w:p>
        </w:tc>
      </w:tr>
      <w:tr w:rsidR="00225C31" w:rsidRPr="00811BA1" w14:paraId="50C5745F" w14:textId="77777777" w:rsidTr="002D2CEC">
        <w:trPr>
          <w:trHeight w:val="227"/>
        </w:trPr>
        <w:tc>
          <w:tcPr>
            <w:tcW w:w="1344" w:type="pct"/>
            <w:vAlign w:val="center"/>
          </w:tcPr>
          <w:p w14:paraId="0DA101A3" w14:textId="3CDCEA18" w:rsidR="00225C31" w:rsidRPr="001034A7" w:rsidRDefault="00225C31" w:rsidP="00225C31">
            <w:r w:rsidRPr="001034A7">
              <w:t>David Leuschen</w:t>
            </w:r>
            <w:r w:rsidRPr="001034A7">
              <w:rPr>
                <w:vertAlign w:val="superscript"/>
              </w:rPr>
              <w:t>(4)</w:t>
            </w:r>
          </w:p>
        </w:tc>
        <w:tc>
          <w:tcPr>
            <w:tcW w:w="870" w:type="pct"/>
          </w:tcPr>
          <w:p w14:paraId="74C87299" w14:textId="68438381" w:rsidR="00225C31" w:rsidRPr="0081360C" w:rsidRDefault="00243AF4" w:rsidP="00225C31">
            <w:pPr>
              <w:jc w:val="right"/>
            </w:pPr>
            <w:r w:rsidRPr="0081360C">
              <w:t>-</w:t>
            </w:r>
          </w:p>
        </w:tc>
        <w:tc>
          <w:tcPr>
            <w:tcW w:w="923" w:type="pct"/>
          </w:tcPr>
          <w:p w14:paraId="48E1541D" w14:textId="15CF5413" w:rsidR="00225C31" w:rsidRPr="0081360C" w:rsidRDefault="006A02C8" w:rsidP="00225C31">
            <w:pPr>
              <w:jc w:val="right"/>
            </w:pPr>
            <w:r w:rsidRPr="0081360C">
              <w:t>-</w:t>
            </w:r>
          </w:p>
        </w:tc>
        <w:tc>
          <w:tcPr>
            <w:tcW w:w="932" w:type="pct"/>
          </w:tcPr>
          <w:p w14:paraId="1E4B28E2" w14:textId="068E695A" w:rsidR="00225C31" w:rsidRPr="001034A7" w:rsidRDefault="00225C31" w:rsidP="00225C31">
            <w:pPr>
              <w:jc w:val="right"/>
            </w:pPr>
            <w:r w:rsidRPr="003A3D7B">
              <w:t>–</w:t>
            </w:r>
          </w:p>
        </w:tc>
        <w:tc>
          <w:tcPr>
            <w:tcW w:w="931" w:type="pct"/>
          </w:tcPr>
          <w:p w14:paraId="446C323B" w14:textId="79DAEA52" w:rsidR="00225C31" w:rsidRPr="001034A7" w:rsidRDefault="00225C31" w:rsidP="00225C31">
            <w:pPr>
              <w:jc w:val="right"/>
            </w:pPr>
            <w:r w:rsidRPr="003A3D7B">
              <w:t>–</w:t>
            </w:r>
          </w:p>
        </w:tc>
      </w:tr>
      <w:tr w:rsidR="00225C31" w:rsidRPr="00811BA1" w14:paraId="11F8FE1E" w14:textId="77777777" w:rsidTr="002D2CEC">
        <w:trPr>
          <w:trHeight w:val="227"/>
        </w:trPr>
        <w:tc>
          <w:tcPr>
            <w:tcW w:w="1344" w:type="pct"/>
            <w:vAlign w:val="center"/>
          </w:tcPr>
          <w:p w14:paraId="06BD38D7" w14:textId="095E7901" w:rsidR="00225C31" w:rsidRPr="001034A7" w:rsidRDefault="00225C31" w:rsidP="00225C31">
            <w:r w:rsidRPr="001034A7">
              <w:t>Ken Ryan</w:t>
            </w:r>
            <w:r w:rsidRPr="006C599D">
              <w:rPr>
                <w:vertAlign w:val="superscript"/>
              </w:rPr>
              <w:t>(4)</w:t>
            </w:r>
          </w:p>
        </w:tc>
        <w:tc>
          <w:tcPr>
            <w:tcW w:w="870" w:type="pct"/>
          </w:tcPr>
          <w:p w14:paraId="243A4C6D" w14:textId="0118CC26" w:rsidR="00225C31" w:rsidRPr="0081360C" w:rsidRDefault="00243AF4" w:rsidP="00225C31">
            <w:pPr>
              <w:jc w:val="right"/>
            </w:pPr>
            <w:r w:rsidRPr="0081360C">
              <w:t>-</w:t>
            </w:r>
          </w:p>
        </w:tc>
        <w:tc>
          <w:tcPr>
            <w:tcW w:w="923" w:type="pct"/>
          </w:tcPr>
          <w:p w14:paraId="6B92AD8A" w14:textId="0D663DE4" w:rsidR="00225C31" w:rsidRPr="0081360C" w:rsidRDefault="00587FB8" w:rsidP="00225C31">
            <w:pPr>
              <w:jc w:val="right"/>
            </w:pPr>
            <w:r w:rsidRPr="0081360C">
              <w:t>-</w:t>
            </w:r>
          </w:p>
        </w:tc>
        <w:tc>
          <w:tcPr>
            <w:tcW w:w="932" w:type="pct"/>
          </w:tcPr>
          <w:p w14:paraId="75186CF5" w14:textId="169F983B" w:rsidR="00225C31" w:rsidRPr="001034A7" w:rsidRDefault="00225C31" w:rsidP="00225C31">
            <w:pPr>
              <w:jc w:val="right"/>
            </w:pPr>
            <w:r w:rsidRPr="003A3D7B">
              <w:t>–</w:t>
            </w:r>
          </w:p>
        </w:tc>
        <w:tc>
          <w:tcPr>
            <w:tcW w:w="931" w:type="pct"/>
          </w:tcPr>
          <w:p w14:paraId="4518ED83" w14:textId="223EDF3E" w:rsidR="00225C31" w:rsidRPr="001034A7" w:rsidRDefault="00225C31" w:rsidP="00225C31">
            <w:pPr>
              <w:jc w:val="right"/>
            </w:pPr>
            <w:r w:rsidRPr="003A3D7B">
              <w:t>–</w:t>
            </w:r>
          </w:p>
        </w:tc>
      </w:tr>
      <w:tr w:rsidR="00225C31" w:rsidRPr="00811BA1" w14:paraId="65241839" w14:textId="77777777" w:rsidTr="00974F5B">
        <w:trPr>
          <w:trHeight w:val="227"/>
        </w:trPr>
        <w:tc>
          <w:tcPr>
            <w:tcW w:w="1344" w:type="pct"/>
            <w:vAlign w:val="center"/>
          </w:tcPr>
          <w:p w14:paraId="3C1E1CED" w14:textId="0D170CFD" w:rsidR="00225C31" w:rsidRPr="001034A7" w:rsidRDefault="00225C31" w:rsidP="00225C31">
            <w:r w:rsidRPr="001034A7">
              <w:t>Jeremy Thompson</w:t>
            </w:r>
            <w:r w:rsidRPr="006C599D">
              <w:rPr>
                <w:vertAlign w:val="superscript"/>
              </w:rPr>
              <w:t>(1)</w:t>
            </w:r>
          </w:p>
        </w:tc>
        <w:tc>
          <w:tcPr>
            <w:tcW w:w="870" w:type="pct"/>
          </w:tcPr>
          <w:p w14:paraId="6A487D6B" w14:textId="186624D2" w:rsidR="00225C31" w:rsidRPr="00D012F9" w:rsidRDefault="00243AF4" w:rsidP="00225C31">
            <w:pPr>
              <w:jc w:val="right"/>
            </w:pPr>
            <w:r w:rsidRPr="00D012F9">
              <w:t>3,751</w:t>
            </w:r>
          </w:p>
        </w:tc>
        <w:tc>
          <w:tcPr>
            <w:tcW w:w="923" w:type="pct"/>
            <w:vAlign w:val="center"/>
          </w:tcPr>
          <w:p w14:paraId="7A005573" w14:textId="40B98AFE" w:rsidR="00225C31" w:rsidRPr="00D012F9" w:rsidRDefault="00587FB8" w:rsidP="00225C31">
            <w:pPr>
              <w:jc w:val="right"/>
            </w:pPr>
            <w:r w:rsidRPr="00D012F9">
              <w:t>0.005</w:t>
            </w:r>
          </w:p>
        </w:tc>
        <w:tc>
          <w:tcPr>
            <w:tcW w:w="932" w:type="pct"/>
          </w:tcPr>
          <w:p w14:paraId="79DB05F9" w14:textId="670B7428" w:rsidR="00225C31" w:rsidRPr="001034A7" w:rsidRDefault="00225C31" w:rsidP="00225C31">
            <w:pPr>
              <w:jc w:val="right"/>
            </w:pPr>
            <w:r>
              <w:t>3,751</w:t>
            </w:r>
          </w:p>
        </w:tc>
        <w:tc>
          <w:tcPr>
            <w:tcW w:w="931" w:type="pct"/>
            <w:vAlign w:val="center"/>
          </w:tcPr>
          <w:p w14:paraId="6281228F" w14:textId="7C2DDFBA" w:rsidR="00225C31" w:rsidRPr="001034A7" w:rsidRDefault="00225C31" w:rsidP="00225C31">
            <w:pPr>
              <w:jc w:val="right"/>
            </w:pPr>
            <w:r>
              <w:t>0.00</w:t>
            </w:r>
            <w:r w:rsidR="005E1C93">
              <w:t>5</w:t>
            </w:r>
          </w:p>
        </w:tc>
      </w:tr>
      <w:tr w:rsidR="00225C31" w:rsidRPr="00811BA1" w14:paraId="61B93A4F" w14:textId="77777777" w:rsidTr="00974F5B">
        <w:trPr>
          <w:trHeight w:val="227"/>
        </w:trPr>
        <w:tc>
          <w:tcPr>
            <w:tcW w:w="1344" w:type="pct"/>
            <w:vAlign w:val="center"/>
          </w:tcPr>
          <w:p w14:paraId="528B504F" w14:textId="079B9461" w:rsidR="00225C31" w:rsidRPr="001034A7" w:rsidRDefault="00225C31" w:rsidP="00225C31">
            <w:r w:rsidRPr="001034A7">
              <w:t>Claire Whittet</w:t>
            </w:r>
            <w:r w:rsidRPr="001034A7">
              <w:rPr>
                <w:vertAlign w:val="superscript"/>
              </w:rPr>
              <w:t>(1)</w:t>
            </w:r>
            <w:r>
              <w:rPr>
                <w:vertAlign w:val="superscript"/>
              </w:rPr>
              <w:t>(5)</w:t>
            </w:r>
          </w:p>
        </w:tc>
        <w:tc>
          <w:tcPr>
            <w:tcW w:w="870" w:type="pct"/>
          </w:tcPr>
          <w:p w14:paraId="4594BA3F" w14:textId="4F80A3B2" w:rsidR="00225C31" w:rsidRPr="00D012F9" w:rsidRDefault="00243AF4" w:rsidP="00225C31">
            <w:pPr>
              <w:jc w:val="right"/>
            </w:pPr>
            <w:r w:rsidRPr="00D012F9">
              <w:t>2,250</w:t>
            </w:r>
          </w:p>
        </w:tc>
        <w:tc>
          <w:tcPr>
            <w:tcW w:w="923" w:type="pct"/>
            <w:vAlign w:val="center"/>
          </w:tcPr>
          <w:p w14:paraId="75B9CAAA" w14:textId="23E0A52F" w:rsidR="00225C31" w:rsidRPr="00D012F9" w:rsidRDefault="00587FB8" w:rsidP="00225C31">
            <w:pPr>
              <w:jc w:val="right"/>
            </w:pPr>
            <w:r w:rsidRPr="00D012F9">
              <w:t>0.003</w:t>
            </w:r>
          </w:p>
        </w:tc>
        <w:tc>
          <w:tcPr>
            <w:tcW w:w="932" w:type="pct"/>
          </w:tcPr>
          <w:p w14:paraId="1A3C4F3E" w14:textId="7D7775D2" w:rsidR="00225C31" w:rsidRPr="001034A7" w:rsidRDefault="00225C31" w:rsidP="00225C31">
            <w:pPr>
              <w:jc w:val="right"/>
            </w:pPr>
            <w:r>
              <w:t>2,250</w:t>
            </w:r>
          </w:p>
        </w:tc>
        <w:tc>
          <w:tcPr>
            <w:tcW w:w="931" w:type="pct"/>
            <w:vAlign w:val="center"/>
          </w:tcPr>
          <w:p w14:paraId="16B8BA85" w14:textId="145FBBCB" w:rsidR="00225C31" w:rsidRPr="001034A7" w:rsidRDefault="00225C31" w:rsidP="00225C31">
            <w:pPr>
              <w:jc w:val="right"/>
            </w:pPr>
            <w:r>
              <w:t>0.003</w:t>
            </w:r>
          </w:p>
        </w:tc>
      </w:tr>
    </w:tbl>
    <w:p w14:paraId="3C9FA6EE" w14:textId="77777777" w:rsidR="009145B0" w:rsidRPr="00811BA1" w:rsidRDefault="009145B0" w:rsidP="00EB7E49">
      <w:pPr>
        <w:pStyle w:val="Bodytext"/>
      </w:pPr>
    </w:p>
    <w:p w14:paraId="7D748575" w14:textId="799F0775" w:rsidR="009145B0" w:rsidRPr="00811BA1" w:rsidRDefault="009145B0" w:rsidP="009B52C9">
      <w:pPr>
        <w:pStyle w:val="Footnote"/>
        <w:jc w:val="both"/>
      </w:pPr>
      <w:r w:rsidRPr="00A67A51">
        <w:rPr>
          <w:vertAlign w:val="superscript"/>
        </w:rPr>
        <w:t>(</w:t>
      </w:r>
      <w:r w:rsidR="004F2ABC" w:rsidRPr="00A67A51">
        <w:rPr>
          <w:vertAlign w:val="superscript"/>
        </w:rPr>
        <w:t>1</w:t>
      </w:r>
      <w:r w:rsidRPr="00A67A51">
        <w:rPr>
          <w:vertAlign w:val="superscript"/>
        </w:rPr>
        <w:t>)</w:t>
      </w:r>
      <w:r w:rsidRPr="00A67A51">
        <w:rPr>
          <w:vertAlign w:val="superscript"/>
        </w:rPr>
        <w:tab/>
      </w:r>
      <w:r w:rsidRPr="00811BA1">
        <w:t>Non-executive Independent Director</w:t>
      </w:r>
    </w:p>
    <w:p w14:paraId="7A30C339" w14:textId="782AC0A3" w:rsidR="009145B0" w:rsidRPr="00811BA1" w:rsidRDefault="009145B0" w:rsidP="009B52C9">
      <w:pPr>
        <w:pStyle w:val="Footnote"/>
        <w:jc w:val="both"/>
      </w:pPr>
      <w:r w:rsidRPr="00A67A51">
        <w:rPr>
          <w:vertAlign w:val="superscript"/>
        </w:rPr>
        <w:t>(</w:t>
      </w:r>
      <w:r w:rsidR="004F2ABC" w:rsidRPr="00A67A51">
        <w:rPr>
          <w:vertAlign w:val="superscript"/>
        </w:rPr>
        <w:t>2</w:t>
      </w:r>
      <w:r w:rsidRPr="00A67A51">
        <w:rPr>
          <w:vertAlign w:val="superscript"/>
        </w:rPr>
        <w:t>)</w:t>
      </w:r>
      <w:r w:rsidRPr="00811BA1">
        <w:tab/>
        <w:t xml:space="preserve">Ordinary Shares held </w:t>
      </w:r>
      <w:r w:rsidR="00710844">
        <w:t>jointly with spouse</w:t>
      </w:r>
    </w:p>
    <w:p w14:paraId="3BBE6D4D" w14:textId="552366E0" w:rsidR="009145B0" w:rsidRDefault="009145B0" w:rsidP="009B52C9">
      <w:pPr>
        <w:pStyle w:val="Footnote"/>
        <w:jc w:val="both"/>
      </w:pPr>
      <w:r w:rsidRPr="00A67A51">
        <w:rPr>
          <w:vertAlign w:val="superscript"/>
        </w:rPr>
        <w:t>(</w:t>
      </w:r>
      <w:r w:rsidR="004F2ABC" w:rsidRPr="00A67A51">
        <w:rPr>
          <w:vertAlign w:val="superscript"/>
        </w:rPr>
        <w:t>3</w:t>
      </w:r>
      <w:r w:rsidRPr="00A67A51">
        <w:rPr>
          <w:vertAlign w:val="superscript"/>
        </w:rPr>
        <w:t>)</w:t>
      </w:r>
      <w:r w:rsidRPr="00A67A51">
        <w:rPr>
          <w:vertAlign w:val="superscript"/>
        </w:rPr>
        <w:tab/>
      </w:r>
      <w:r w:rsidRPr="00811BA1">
        <w:t>Senior Independent Director</w:t>
      </w:r>
    </w:p>
    <w:p w14:paraId="1A268CC6" w14:textId="78046BEB" w:rsidR="004F2ABC" w:rsidRDefault="004F2ABC" w:rsidP="009B52C9">
      <w:pPr>
        <w:pStyle w:val="Footnote"/>
        <w:jc w:val="both"/>
      </w:pPr>
      <w:r w:rsidRPr="00A67A51">
        <w:rPr>
          <w:vertAlign w:val="superscript"/>
        </w:rPr>
        <w:t>(4)</w:t>
      </w:r>
      <w:r w:rsidRPr="00811BA1">
        <w:tab/>
        <w:t>Mr Lapeyre</w:t>
      </w:r>
      <w:r w:rsidR="0064337E">
        <w:t>,</w:t>
      </w:r>
      <w:r w:rsidRPr="00811BA1">
        <w:t xml:space="preserve"> Mr Leuschen</w:t>
      </w:r>
      <w:r>
        <w:t xml:space="preserve"> </w:t>
      </w:r>
      <w:r w:rsidR="0064337E">
        <w:t>and Mr Ryan</w:t>
      </w:r>
      <w:r w:rsidR="006C599D">
        <w:t xml:space="preserve">, </w:t>
      </w:r>
      <w:r>
        <w:t>as well as other Riverstone senior management,</w:t>
      </w:r>
      <w:r w:rsidRPr="00811BA1">
        <w:t xml:space="preserve"> have a beneficial interest in REL Coinvestment, LP</w:t>
      </w:r>
      <w:r>
        <w:t>,</w:t>
      </w:r>
      <w:r w:rsidRPr="00811BA1">
        <w:t xml:space="preserve"> which as at the year</w:t>
      </w:r>
      <w:r w:rsidR="002F75DD">
        <w:t>-</w:t>
      </w:r>
      <w:r w:rsidRPr="00811BA1">
        <w:t xml:space="preserve">end held </w:t>
      </w:r>
      <w:r w:rsidR="00D012F9">
        <w:t>4,799,947</w:t>
      </w:r>
      <w:r w:rsidR="005E1C93">
        <w:t xml:space="preserve"> </w:t>
      </w:r>
      <w:r w:rsidRPr="00811BA1">
        <w:t>Ordinary Shares</w:t>
      </w:r>
      <w:r w:rsidR="00242A77">
        <w:t>,</w:t>
      </w:r>
      <w:r w:rsidR="009F16DE">
        <w:t xml:space="preserve"> and Riverstone Energy Limited Capital Partners LP, which as at the </w:t>
      </w:r>
      <w:r w:rsidR="00E463F1">
        <w:t>year-end</w:t>
      </w:r>
      <w:r w:rsidR="009F16DE">
        <w:t xml:space="preserve"> held </w:t>
      </w:r>
      <w:r w:rsidR="00D012F9">
        <w:t>1,</w:t>
      </w:r>
      <w:r w:rsidR="00926940">
        <w:t>822</w:t>
      </w:r>
      <w:r w:rsidR="00D012F9">
        <w:t>,</w:t>
      </w:r>
      <w:r w:rsidR="00926940">
        <w:t>421</w:t>
      </w:r>
      <w:r w:rsidR="00DC3E60">
        <w:t xml:space="preserve"> </w:t>
      </w:r>
      <w:r w:rsidR="009F16DE">
        <w:t>Ordinary Shares</w:t>
      </w:r>
    </w:p>
    <w:p w14:paraId="7698134B" w14:textId="1B2D1AB0" w:rsidR="006744D0" w:rsidRPr="006744D0" w:rsidRDefault="006744D0" w:rsidP="009B52C9">
      <w:pPr>
        <w:pStyle w:val="Footnote"/>
        <w:jc w:val="both"/>
      </w:pPr>
      <w:r>
        <w:rPr>
          <w:vertAlign w:val="superscript"/>
        </w:rPr>
        <w:t xml:space="preserve">(5) </w:t>
      </w:r>
      <w:r>
        <w:tab/>
        <w:t>Ordinary Sha</w:t>
      </w:r>
      <w:r w:rsidR="00710844">
        <w:t>res held indirectly with spouse</w:t>
      </w:r>
    </w:p>
    <w:p w14:paraId="0039E743" w14:textId="23EEF917" w:rsidR="00326B73" w:rsidRPr="00811BA1" w:rsidRDefault="00130D9C" w:rsidP="00EB7E49">
      <w:pPr>
        <w:pStyle w:val="Bodytext"/>
      </w:pPr>
      <w:r w:rsidRPr="00A67A51" w:rsidDel="00130D9C">
        <w:rPr>
          <w:vertAlign w:val="superscript"/>
        </w:rPr>
        <w:t xml:space="preserve"> </w:t>
      </w:r>
    </w:p>
    <w:p w14:paraId="3C3B3636" w14:textId="34E79DA5" w:rsidR="00371A35" w:rsidRDefault="00371A35" w:rsidP="000009D3">
      <w:pPr>
        <w:pStyle w:val="Bodytext"/>
        <w:jc w:val="both"/>
      </w:pPr>
      <w:r w:rsidRPr="00AC66F9">
        <w:t xml:space="preserve">In addition, the Company also provides the same information as at </w:t>
      </w:r>
      <w:r w:rsidR="00BD5447">
        <w:t>20</w:t>
      </w:r>
      <w:r w:rsidR="00B16C8A">
        <w:t xml:space="preserve"> </w:t>
      </w:r>
      <w:r w:rsidR="003A097B">
        <w:t>April</w:t>
      </w:r>
      <w:r w:rsidR="000D233F">
        <w:t xml:space="preserve"> </w:t>
      </w:r>
      <w:r w:rsidRPr="00AC66F9">
        <w:t>20</w:t>
      </w:r>
      <w:r w:rsidR="005E1C93">
        <w:t>20</w:t>
      </w:r>
      <w:r w:rsidRPr="00AC66F9">
        <w:t>, being the most current information available.</w:t>
      </w:r>
    </w:p>
    <w:p w14:paraId="469B8B43" w14:textId="77777777" w:rsidR="00371A35" w:rsidRDefault="00371A35" w:rsidP="00EB7E4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208"/>
        <w:gridCol w:w="3205"/>
      </w:tblGrid>
      <w:tr w:rsidR="00371A35" w14:paraId="7236B20E" w14:textId="77777777" w:rsidTr="00371A35">
        <w:tc>
          <w:tcPr>
            <w:tcW w:w="3282" w:type="dxa"/>
            <w:tcBorders>
              <w:bottom w:val="single" w:sz="4" w:space="0" w:color="auto"/>
            </w:tcBorders>
            <w:vAlign w:val="bottom"/>
          </w:tcPr>
          <w:p w14:paraId="0E00B60C" w14:textId="02977724" w:rsidR="00371A35" w:rsidRDefault="00371A35" w:rsidP="00EB7E49">
            <w:pPr>
              <w:pStyle w:val="Bodytext"/>
            </w:pPr>
            <w:r w:rsidRPr="001034A7">
              <w:t>Director</w:t>
            </w:r>
          </w:p>
        </w:tc>
        <w:tc>
          <w:tcPr>
            <w:tcW w:w="3283" w:type="dxa"/>
            <w:tcBorders>
              <w:bottom w:val="single" w:sz="4" w:space="0" w:color="auto"/>
            </w:tcBorders>
            <w:vAlign w:val="bottom"/>
          </w:tcPr>
          <w:p w14:paraId="2EBA8039" w14:textId="77777777" w:rsidR="00371A35" w:rsidRPr="005E4E68" w:rsidRDefault="00371A35" w:rsidP="00EB7E49">
            <w:pPr>
              <w:jc w:val="right"/>
            </w:pPr>
            <w:r w:rsidRPr="005E4E68">
              <w:t>Ordinary</w:t>
            </w:r>
          </w:p>
          <w:p w14:paraId="43D5D02A" w14:textId="77777777" w:rsidR="00371A35" w:rsidRPr="005E4E68" w:rsidRDefault="00371A35" w:rsidP="00EB7E49">
            <w:pPr>
              <w:jc w:val="right"/>
            </w:pPr>
            <w:r w:rsidRPr="005E4E68">
              <w:t>Shares held</w:t>
            </w:r>
          </w:p>
          <w:p w14:paraId="4C54A494" w14:textId="349795E3" w:rsidR="00371A35" w:rsidRPr="005E4E68" w:rsidRDefault="00BD5447" w:rsidP="000D233F">
            <w:pPr>
              <w:pStyle w:val="Bodytext"/>
              <w:jc w:val="right"/>
            </w:pPr>
            <w:r>
              <w:lastRenderedPageBreak/>
              <w:t>20</w:t>
            </w:r>
            <w:r w:rsidR="000D233F">
              <w:t xml:space="preserve"> </w:t>
            </w:r>
            <w:r w:rsidR="003A097B">
              <w:t xml:space="preserve">April </w:t>
            </w:r>
            <w:r w:rsidR="005E1C93" w:rsidRPr="005E4E68">
              <w:t>20</w:t>
            </w:r>
            <w:r w:rsidR="005E1C93">
              <w:t>20</w:t>
            </w:r>
          </w:p>
        </w:tc>
        <w:tc>
          <w:tcPr>
            <w:tcW w:w="3283" w:type="dxa"/>
            <w:tcBorders>
              <w:bottom w:val="single" w:sz="4" w:space="0" w:color="auto"/>
            </w:tcBorders>
            <w:vAlign w:val="bottom"/>
          </w:tcPr>
          <w:p w14:paraId="3236DB42" w14:textId="77777777" w:rsidR="00371A35" w:rsidRPr="005E4E68" w:rsidRDefault="00371A35" w:rsidP="00EB7E49">
            <w:pPr>
              <w:jc w:val="right"/>
            </w:pPr>
            <w:r w:rsidRPr="005E4E68">
              <w:lastRenderedPageBreak/>
              <w:t>Per cent.</w:t>
            </w:r>
          </w:p>
          <w:p w14:paraId="7D86447F" w14:textId="77777777" w:rsidR="00371A35" w:rsidRPr="005E4E68" w:rsidRDefault="00371A35" w:rsidP="00EB7E49">
            <w:pPr>
              <w:jc w:val="right"/>
            </w:pPr>
            <w:r w:rsidRPr="005E4E68">
              <w:t>Holding at</w:t>
            </w:r>
          </w:p>
          <w:p w14:paraId="663AA0C6" w14:textId="365E023A" w:rsidR="00371A35" w:rsidRPr="005E4E68" w:rsidRDefault="00BD5447" w:rsidP="000D233F">
            <w:pPr>
              <w:pStyle w:val="Bodytext"/>
              <w:jc w:val="right"/>
            </w:pPr>
            <w:r>
              <w:lastRenderedPageBreak/>
              <w:t>20</w:t>
            </w:r>
            <w:r w:rsidR="000D233F">
              <w:t xml:space="preserve"> </w:t>
            </w:r>
            <w:r w:rsidR="003A097B">
              <w:t xml:space="preserve">April </w:t>
            </w:r>
            <w:r w:rsidR="005E1C93" w:rsidRPr="005E4E68">
              <w:t>20</w:t>
            </w:r>
            <w:r w:rsidR="005E1C93">
              <w:t>20</w:t>
            </w:r>
          </w:p>
        </w:tc>
      </w:tr>
      <w:tr w:rsidR="005201B9" w14:paraId="4D457054" w14:textId="77777777" w:rsidTr="00FF1A17">
        <w:trPr>
          <w:trHeight w:val="227"/>
        </w:trPr>
        <w:tc>
          <w:tcPr>
            <w:tcW w:w="3282" w:type="dxa"/>
            <w:tcBorders>
              <w:top w:val="single" w:sz="4" w:space="0" w:color="auto"/>
            </w:tcBorders>
            <w:vAlign w:val="center"/>
          </w:tcPr>
          <w:p w14:paraId="58E10D8F" w14:textId="07C251C2" w:rsidR="005201B9" w:rsidRDefault="005201B9" w:rsidP="005201B9">
            <w:pPr>
              <w:pStyle w:val="Bodytext"/>
            </w:pPr>
            <w:r w:rsidRPr="006C599D">
              <w:lastRenderedPageBreak/>
              <w:t>Richard Hayden</w:t>
            </w:r>
            <w:r w:rsidRPr="006C599D">
              <w:rPr>
                <w:vertAlign w:val="superscript"/>
              </w:rPr>
              <w:t>(1)</w:t>
            </w:r>
          </w:p>
        </w:tc>
        <w:tc>
          <w:tcPr>
            <w:tcW w:w="3283" w:type="dxa"/>
            <w:tcBorders>
              <w:top w:val="single" w:sz="4" w:space="0" w:color="auto"/>
            </w:tcBorders>
          </w:tcPr>
          <w:p w14:paraId="4CD21205" w14:textId="2EED4FF7" w:rsidR="005201B9" w:rsidRPr="00A06B1A" w:rsidRDefault="00845CEB" w:rsidP="005201B9">
            <w:pPr>
              <w:pStyle w:val="Bodytext"/>
              <w:jc w:val="right"/>
            </w:pPr>
            <w:r>
              <w:t>10,000</w:t>
            </w:r>
          </w:p>
        </w:tc>
        <w:tc>
          <w:tcPr>
            <w:tcW w:w="3283" w:type="dxa"/>
            <w:tcBorders>
              <w:top w:val="single" w:sz="4" w:space="0" w:color="auto"/>
            </w:tcBorders>
          </w:tcPr>
          <w:p w14:paraId="320A3950" w14:textId="76E31A57" w:rsidR="005201B9" w:rsidRPr="00A06B1A" w:rsidRDefault="00845CEB" w:rsidP="005201B9">
            <w:pPr>
              <w:pStyle w:val="Bodytext"/>
              <w:jc w:val="right"/>
            </w:pPr>
            <w:r>
              <w:t>0.013</w:t>
            </w:r>
          </w:p>
        </w:tc>
      </w:tr>
      <w:tr w:rsidR="005201B9" w14:paraId="4292BF5E" w14:textId="77777777" w:rsidTr="00FF1A17">
        <w:trPr>
          <w:trHeight w:val="227"/>
        </w:trPr>
        <w:tc>
          <w:tcPr>
            <w:tcW w:w="3282" w:type="dxa"/>
            <w:vAlign w:val="center"/>
          </w:tcPr>
          <w:p w14:paraId="7BF31E2E" w14:textId="44C7435D" w:rsidR="005201B9" w:rsidRDefault="005201B9" w:rsidP="005201B9">
            <w:pPr>
              <w:pStyle w:val="Bodytext"/>
            </w:pPr>
            <w:r w:rsidRPr="001034A7">
              <w:t>Peter Barker</w:t>
            </w:r>
            <w:r w:rsidRPr="001034A7">
              <w:rPr>
                <w:vertAlign w:val="superscript"/>
              </w:rPr>
              <w:t>(1)(2)</w:t>
            </w:r>
          </w:p>
        </w:tc>
        <w:tc>
          <w:tcPr>
            <w:tcW w:w="3283" w:type="dxa"/>
            <w:vAlign w:val="center"/>
          </w:tcPr>
          <w:p w14:paraId="38D9B87B" w14:textId="5A11E309" w:rsidR="005201B9" w:rsidRPr="00A06B1A" w:rsidRDefault="00845CEB" w:rsidP="005201B9">
            <w:pPr>
              <w:pStyle w:val="Bodytext"/>
              <w:jc w:val="right"/>
            </w:pPr>
            <w:r>
              <w:t>5,000</w:t>
            </w:r>
          </w:p>
        </w:tc>
        <w:tc>
          <w:tcPr>
            <w:tcW w:w="3283" w:type="dxa"/>
            <w:vAlign w:val="center"/>
          </w:tcPr>
          <w:p w14:paraId="13872492" w14:textId="07C7656A" w:rsidR="005201B9" w:rsidRPr="00A06B1A" w:rsidRDefault="00845CEB" w:rsidP="005201B9">
            <w:pPr>
              <w:pStyle w:val="Bodytext"/>
              <w:jc w:val="right"/>
            </w:pPr>
            <w:r>
              <w:t>0.006</w:t>
            </w:r>
          </w:p>
        </w:tc>
      </w:tr>
      <w:tr w:rsidR="005201B9" w14:paraId="13FD9603" w14:textId="77777777" w:rsidTr="00FF1A17">
        <w:trPr>
          <w:trHeight w:val="227"/>
        </w:trPr>
        <w:tc>
          <w:tcPr>
            <w:tcW w:w="3282" w:type="dxa"/>
            <w:vAlign w:val="center"/>
          </w:tcPr>
          <w:p w14:paraId="12C45A2F" w14:textId="2537BE1D" w:rsidR="005201B9" w:rsidRDefault="005201B9" w:rsidP="005201B9">
            <w:pPr>
              <w:pStyle w:val="Bodytext"/>
            </w:pPr>
            <w:r w:rsidRPr="001034A7">
              <w:t>Patrick Firth</w:t>
            </w:r>
            <w:r w:rsidR="0034554D" w:rsidRPr="0034554D">
              <w:rPr>
                <w:vertAlign w:val="superscript"/>
              </w:rPr>
              <w:t>(2)</w:t>
            </w:r>
            <w:r w:rsidRPr="001034A7">
              <w:rPr>
                <w:vertAlign w:val="superscript"/>
              </w:rPr>
              <w:t>(3)</w:t>
            </w:r>
          </w:p>
        </w:tc>
        <w:tc>
          <w:tcPr>
            <w:tcW w:w="3283" w:type="dxa"/>
            <w:vAlign w:val="center"/>
          </w:tcPr>
          <w:p w14:paraId="11C4792B" w14:textId="40C9DA72" w:rsidR="005201B9" w:rsidRPr="00A06B1A" w:rsidRDefault="00845CEB" w:rsidP="005201B9">
            <w:pPr>
              <w:pStyle w:val="Bodytext"/>
              <w:jc w:val="right"/>
            </w:pPr>
            <w:r>
              <w:t>8,000</w:t>
            </w:r>
          </w:p>
        </w:tc>
        <w:tc>
          <w:tcPr>
            <w:tcW w:w="3283" w:type="dxa"/>
            <w:vAlign w:val="center"/>
          </w:tcPr>
          <w:p w14:paraId="39693406" w14:textId="24D0CF8F" w:rsidR="005201B9" w:rsidRPr="00A06B1A" w:rsidRDefault="00845CEB" w:rsidP="005201B9">
            <w:pPr>
              <w:pStyle w:val="Bodytext"/>
              <w:jc w:val="right"/>
            </w:pPr>
            <w:r>
              <w:t>0.010</w:t>
            </w:r>
          </w:p>
        </w:tc>
      </w:tr>
      <w:tr w:rsidR="005201B9" w14:paraId="2307FEC8" w14:textId="77777777" w:rsidTr="00FF1A17">
        <w:trPr>
          <w:trHeight w:val="227"/>
        </w:trPr>
        <w:tc>
          <w:tcPr>
            <w:tcW w:w="3282" w:type="dxa"/>
            <w:vAlign w:val="center"/>
          </w:tcPr>
          <w:p w14:paraId="02709DAD" w14:textId="089464CC" w:rsidR="005201B9" w:rsidRDefault="005201B9" w:rsidP="005201B9">
            <w:pPr>
              <w:pStyle w:val="Bodytext"/>
            </w:pPr>
            <w:r w:rsidRPr="001034A7">
              <w:t>Pierre Lapeyre</w:t>
            </w:r>
            <w:r w:rsidRPr="001034A7">
              <w:rPr>
                <w:vertAlign w:val="superscript"/>
              </w:rPr>
              <w:t>(4)</w:t>
            </w:r>
          </w:p>
        </w:tc>
        <w:tc>
          <w:tcPr>
            <w:tcW w:w="3283" w:type="dxa"/>
          </w:tcPr>
          <w:p w14:paraId="355DAC3F" w14:textId="2B3D6F95" w:rsidR="005201B9" w:rsidRPr="00A06B1A" w:rsidRDefault="00845CEB" w:rsidP="005201B9">
            <w:pPr>
              <w:pStyle w:val="Bodytext"/>
              <w:jc w:val="right"/>
            </w:pPr>
            <w:r>
              <w:t>50,000</w:t>
            </w:r>
          </w:p>
        </w:tc>
        <w:tc>
          <w:tcPr>
            <w:tcW w:w="3283" w:type="dxa"/>
            <w:vAlign w:val="center"/>
          </w:tcPr>
          <w:p w14:paraId="65A5C1C8" w14:textId="3B7C48EE" w:rsidR="005201B9" w:rsidRPr="00A06B1A" w:rsidRDefault="00845CEB" w:rsidP="005201B9">
            <w:pPr>
              <w:pStyle w:val="Bodytext"/>
              <w:jc w:val="right"/>
            </w:pPr>
            <w:r>
              <w:t>0.063</w:t>
            </w:r>
          </w:p>
        </w:tc>
      </w:tr>
      <w:tr w:rsidR="005201B9" w14:paraId="4AB68DA8" w14:textId="77777777" w:rsidTr="00FF1A17">
        <w:trPr>
          <w:trHeight w:val="227"/>
        </w:trPr>
        <w:tc>
          <w:tcPr>
            <w:tcW w:w="3282" w:type="dxa"/>
            <w:vAlign w:val="center"/>
          </w:tcPr>
          <w:p w14:paraId="04C6126E" w14:textId="3FEB9205" w:rsidR="005201B9" w:rsidRDefault="005201B9" w:rsidP="005201B9">
            <w:pPr>
              <w:pStyle w:val="Bodytext"/>
            </w:pPr>
            <w:r w:rsidRPr="001034A7">
              <w:t>David Leuschen</w:t>
            </w:r>
            <w:r w:rsidRPr="001034A7">
              <w:rPr>
                <w:vertAlign w:val="superscript"/>
              </w:rPr>
              <w:t>(4)</w:t>
            </w:r>
          </w:p>
        </w:tc>
        <w:tc>
          <w:tcPr>
            <w:tcW w:w="3283" w:type="dxa"/>
          </w:tcPr>
          <w:p w14:paraId="3DBDBC49" w14:textId="6EEE6F35" w:rsidR="005201B9" w:rsidRPr="00A06B1A" w:rsidRDefault="00845CEB" w:rsidP="005201B9">
            <w:pPr>
              <w:pStyle w:val="Bodytext"/>
              <w:jc w:val="right"/>
            </w:pPr>
            <w:r>
              <w:t>-</w:t>
            </w:r>
          </w:p>
        </w:tc>
        <w:tc>
          <w:tcPr>
            <w:tcW w:w="3283" w:type="dxa"/>
          </w:tcPr>
          <w:p w14:paraId="32ED0A72" w14:textId="2A06B272" w:rsidR="005201B9" w:rsidRPr="00A06B1A" w:rsidRDefault="00845CEB" w:rsidP="005201B9">
            <w:pPr>
              <w:pStyle w:val="Bodytext"/>
              <w:jc w:val="right"/>
            </w:pPr>
            <w:r>
              <w:t>-</w:t>
            </w:r>
          </w:p>
        </w:tc>
      </w:tr>
      <w:tr w:rsidR="005201B9" w14:paraId="3649AA0E" w14:textId="77777777" w:rsidTr="00FF1A17">
        <w:trPr>
          <w:trHeight w:val="227"/>
        </w:trPr>
        <w:tc>
          <w:tcPr>
            <w:tcW w:w="3282" w:type="dxa"/>
            <w:vAlign w:val="center"/>
          </w:tcPr>
          <w:p w14:paraId="5865427E" w14:textId="2EA26CF8" w:rsidR="005201B9" w:rsidRDefault="005201B9" w:rsidP="005201B9">
            <w:pPr>
              <w:pStyle w:val="Bodytext"/>
            </w:pPr>
            <w:r w:rsidRPr="001034A7">
              <w:t>Ken Ryan</w:t>
            </w:r>
            <w:r w:rsidRPr="006C599D">
              <w:rPr>
                <w:vertAlign w:val="superscript"/>
              </w:rPr>
              <w:t>(4)</w:t>
            </w:r>
          </w:p>
        </w:tc>
        <w:tc>
          <w:tcPr>
            <w:tcW w:w="3283" w:type="dxa"/>
          </w:tcPr>
          <w:p w14:paraId="3FB4BB28" w14:textId="4C2D3A6A" w:rsidR="005201B9" w:rsidRPr="00A06B1A" w:rsidRDefault="00845CEB" w:rsidP="005201B9">
            <w:pPr>
              <w:pStyle w:val="Bodytext"/>
              <w:jc w:val="right"/>
            </w:pPr>
            <w:r>
              <w:t>-</w:t>
            </w:r>
          </w:p>
        </w:tc>
        <w:tc>
          <w:tcPr>
            <w:tcW w:w="3283" w:type="dxa"/>
          </w:tcPr>
          <w:p w14:paraId="137CD024" w14:textId="5DF88D0A" w:rsidR="005201B9" w:rsidRPr="00A06B1A" w:rsidRDefault="00845CEB" w:rsidP="005201B9">
            <w:pPr>
              <w:pStyle w:val="Bodytext"/>
              <w:jc w:val="right"/>
            </w:pPr>
            <w:r>
              <w:t>-</w:t>
            </w:r>
          </w:p>
        </w:tc>
      </w:tr>
      <w:tr w:rsidR="005201B9" w14:paraId="4298E002" w14:textId="77777777" w:rsidTr="00FF1A17">
        <w:trPr>
          <w:trHeight w:val="227"/>
        </w:trPr>
        <w:tc>
          <w:tcPr>
            <w:tcW w:w="3282" w:type="dxa"/>
            <w:vAlign w:val="center"/>
          </w:tcPr>
          <w:p w14:paraId="430D9EAC" w14:textId="04B41F07" w:rsidR="005201B9" w:rsidRDefault="005201B9" w:rsidP="005201B9">
            <w:pPr>
              <w:pStyle w:val="Bodytext"/>
            </w:pPr>
            <w:r w:rsidRPr="001034A7">
              <w:t>Jeremy Thompson</w:t>
            </w:r>
            <w:r w:rsidRPr="006C599D">
              <w:rPr>
                <w:vertAlign w:val="superscript"/>
              </w:rPr>
              <w:t>(1)</w:t>
            </w:r>
          </w:p>
        </w:tc>
        <w:tc>
          <w:tcPr>
            <w:tcW w:w="3283" w:type="dxa"/>
          </w:tcPr>
          <w:p w14:paraId="7C8D002D" w14:textId="7F2A1339" w:rsidR="005201B9" w:rsidRPr="00A06B1A" w:rsidRDefault="00845CEB" w:rsidP="005201B9">
            <w:pPr>
              <w:pStyle w:val="Bodytext"/>
              <w:jc w:val="right"/>
            </w:pPr>
            <w:r>
              <w:t>3,751</w:t>
            </w:r>
          </w:p>
        </w:tc>
        <w:tc>
          <w:tcPr>
            <w:tcW w:w="3283" w:type="dxa"/>
            <w:vAlign w:val="center"/>
          </w:tcPr>
          <w:p w14:paraId="484CBA6E" w14:textId="7F1EF86D" w:rsidR="005201B9" w:rsidRPr="00A06B1A" w:rsidRDefault="00845CEB" w:rsidP="005201B9">
            <w:pPr>
              <w:pStyle w:val="Bodytext"/>
              <w:jc w:val="right"/>
            </w:pPr>
            <w:r>
              <w:t>0.005</w:t>
            </w:r>
          </w:p>
        </w:tc>
      </w:tr>
      <w:tr w:rsidR="005201B9" w14:paraId="6B38698E" w14:textId="77777777" w:rsidTr="00FF1A17">
        <w:trPr>
          <w:trHeight w:val="227"/>
        </w:trPr>
        <w:tc>
          <w:tcPr>
            <w:tcW w:w="3282" w:type="dxa"/>
            <w:tcBorders>
              <w:bottom w:val="single" w:sz="4" w:space="0" w:color="auto"/>
            </w:tcBorders>
            <w:vAlign w:val="center"/>
          </w:tcPr>
          <w:p w14:paraId="7DD68297" w14:textId="2D42B8F7" w:rsidR="005201B9" w:rsidRDefault="005201B9" w:rsidP="005201B9">
            <w:pPr>
              <w:pStyle w:val="Bodytext"/>
            </w:pPr>
            <w:r w:rsidRPr="001034A7">
              <w:t>Claire Whittet</w:t>
            </w:r>
            <w:r w:rsidRPr="001034A7">
              <w:rPr>
                <w:vertAlign w:val="superscript"/>
              </w:rPr>
              <w:t>(1)</w:t>
            </w:r>
            <w:r>
              <w:rPr>
                <w:vertAlign w:val="superscript"/>
              </w:rPr>
              <w:t>(5)</w:t>
            </w:r>
          </w:p>
        </w:tc>
        <w:tc>
          <w:tcPr>
            <w:tcW w:w="3283" w:type="dxa"/>
            <w:tcBorders>
              <w:bottom w:val="single" w:sz="4" w:space="0" w:color="auto"/>
            </w:tcBorders>
          </w:tcPr>
          <w:p w14:paraId="295CE134" w14:textId="7AA2A379" w:rsidR="005201B9" w:rsidRPr="00A06B1A" w:rsidRDefault="00845CEB" w:rsidP="005201B9">
            <w:pPr>
              <w:pStyle w:val="Bodytext"/>
              <w:jc w:val="right"/>
            </w:pPr>
            <w:r>
              <w:t>2,250</w:t>
            </w:r>
          </w:p>
        </w:tc>
        <w:tc>
          <w:tcPr>
            <w:tcW w:w="3283" w:type="dxa"/>
            <w:tcBorders>
              <w:bottom w:val="single" w:sz="4" w:space="0" w:color="auto"/>
            </w:tcBorders>
            <w:vAlign w:val="center"/>
          </w:tcPr>
          <w:p w14:paraId="6B385597" w14:textId="6791CDF9" w:rsidR="005201B9" w:rsidRPr="00A06B1A" w:rsidRDefault="00845CEB" w:rsidP="005201B9">
            <w:pPr>
              <w:pStyle w:val="Bodytext"/>
              <w:jc w:val="right"/>
            </w:pPr>
            <w:r>
              <w:t>0.003</w:t>
            </w:r>
          </w:p>
        </w:tc>
      </w:tr>
    </w:tbl>
    <w:p w14:paraId="583A546B" w14:textId="77777777" w:rsidR="00371A35" w:rsidRDefault="00371A35" w:rsidP="00EB7E49">
      <w:pPr>
        <w:pStyle w:val="Bodytext"/>
      </w:pPr>
    </w:p>
    <w:p w14:paraId="73C2B425" w14:textId="54BEE7B6" w:rsidR="00D958AF" w:rsidRPr="00811BA1" w:rsidRDefault="00D958AF" w:rsidP="009B52C9">
      <w:pPr>
        <w:pStyle w:val="Footnote"/>
        <w:jc w:val="both"/>
      </w:pPr>
      <w:r w:rsidRPr="00A67A51">
        <w:rPr>
          <w:vertAlign w:val="superscript"/>
        </w:rPr>
        <w:t>(1)</w:t>
      </w:r>
      <w:r>
        <w:t xml:space="preserve"> </w:t>
      </w:r>
      <w:r>
        <w:tab/>
      </w:r>
      <w:r w:rsidRPr="00811BA1">
        <w:t>Non-executive Independent Director</w:t>
      </w:r>
    </w:p>
    <w:p w14:paraId="0F85F3C5" w14:textId="2C6593F3" w:rsidR="00D958AF" w:rsidRPr="00811BA1" w:rsidRDefault="00D958AF" w:rsidP="009B52C9">
      <w:pPr>
        <w:pStyle w:val="Footnote"/>
        <w:jc w:val="both"/>
      </w:pPr>
      <w:r w:rsidRPr="00A67A51">
        <w:rPr>
          <w:vertAlign w:val="superscript"/>
        </w:rPr>
        <w:t>(2)</w:t>
      </w:r>
      <w:r w:rsidRPr="00811BA1">
        <w:tab/>
        <w:t xml:space="preserve">Ordinary </w:t>
      </w:r>
      <w:r w:rsidR="00710844">
        <w:t>Shares held jointly with spouse</w:t>
      </w:r>
    </w:p>
    <w:p w14:paraId="20E57781" w14:textId="77777777" w:rsidR="00D958AF" w:rsidRDefault="00D958AF" w:rsidP="009B52C9">
      <w:pPr>
        <w:pStyle w:val="Footnote"/>
        <w:jc w:val="both"/>
      </w:pPr>
      <w:r w:rsidRPr="00A67A51">
        <w:rPr>
          <w:vertAlign w:val="superscript"/>
        </w:rPr>
        <w:t>(3)</w:t>
      </w:r>
      <w:r w:rsidRPr="00811BA1">
        <w:tab/>
        <w:t>Senior Independent Director</w:t>
      </w:r>
    </w:p>
    <w:p w14:paraId="1E26466A" w14:textId="390AB8DA" w:rsidR="00D958AF" w:rsidRDefault="00D958AF" w:rsidP="009B52C9">
      <w:pPr>
        <w:pStyle w:val="Footnote"/>
        <w:jc w:val="both"/>
      </w:pPr>
      <w:r w:rsidRPr="00A67A51">
        <w:rPr>
          <w:vertAlign w:val="superscript"/>
        </w:rPr>
        <w:t>(4)</w:t>
      </w:r>
      <w:r w:rsidRPr="00811BA1">
        <w:tab/>
      </w:r>
      <w:r w:rsidR="00B26467" w:rsidRPr="00811BA1">
        <w:t>Mr Lapeyre</w:t>
      </w:r>
      <w:r w:rsidR="00B26467">
        <w:t>,</w:t>
      </w:r>
      <w:r w:rsidR="00B26467" w:rsidRPr="00811BA1">
        <w:t xml:space="preserve"> Mr Leuschen</w:t>
      </w:r>
      <w:r w:rsidR="00B26467">
        <w:t xml:space="preserve"> and Mr Ryan, as well as other Riverstone senior management,</w:t>
      </w:r>
      <w:r w:rsidR="00B26467" w:rsidRPr="00811BA1">
        <w:t xml:space="preserve"> have a beneficial interest in REL Coinvestment, LP</w:t>
      </w:r>
      <w:r w:rsidR="00B26467">
        <w:t>,</w:t>
      </w:r>
      <w:r w:rsidR="00B26467" w:rsidRPr="00811BA1">
        <w:t xml:space="preserve"> which as </w:t>
      </w:r>
      <w:r w:rsidR="00BD5447">
        <w:t>20</w:t>
      </w:r>
      <w:r w:rsidR="00B16C8A">
        <w:t xml:space="preserve"> </w:t>
      </w:r>
      <w:r w:rsidR="003A097B">
        <w:t>April</w:t>
      </w:r>
      <w:r w:rsidR="00B16C8A">
        <w:t xml:space="preserve"> </w:t>
      </w:r>
      <w:r w:rsidR="005E1C93">
        <w:t>2020</w:t>
      </w:r>
      <w:r w:rsidR="005E1C93" w:rsidRPr="00811BA1">
        <w:t xml:space="preserve"> </w:t>
      </w:r>
      <w:r w:rsidR="00B26467" w:rsidRPr="00A06B1A">
        <w:t xml:space="preserve">held </w:t>
      </w:r>
      <w:r w:rsidR="00B16C8A">
        <w:t>4,799,947</w:t>
      </w:r>
      <w:r w:rsidR="00F137AA" w:rsidRPr="00A06B1A">
        <w:t xml:space="preserve"> </w:t>
      </w:r>
      <w:r w:rsidR="00B26467" w:rsidRPr="00A06B1A">
        <w:t>Ordinary Shares and Riverstone Energy Limited Capital Partners LP, which as at</w:t>
      </w:r>
      <w:r w:rsidR="00C9151D" w:rsidRPr="00A06B1A">
        <w:t xml:space="preserve"> </w:t>
      </w:r>
      <w:r w:rsidR="00BD5447">
        <w:t>20</w:t>
      </w:r>
      <w:r w:rsidR="008D01CC" w:rsidRPr="00A06B1A">
        <w:t xml:space="preserve"> </w:t>
      </w:r>
      <w:r w:rsidR="003A097B">
        <w:t>April</w:t>
      </w:r>
      <w:r w:rsidR="000E5D51" w:rsidRPr="00A06B1A">
        <w:t xml:space="preserve"> </w:t>
      </w:r>
      <w:r w:rsidR="005E1C93" w:rsidRPr="00A06B1A">
        <w:t>20</w:t>
      </w:r>
      <w:r w:rsidR="005E1C93">
        <w:t>20</w:t>
      </w:r>
      <w:r w:rsidR="005E1C93" w:rsidRPr="00A06B1A">
        <w:t xml:space="preserve"> </w:t>
      </w:r>
      <w:r w:rsidR="00B26467" w:rsidRPr="00A06B1A">
        <w:t xml:space="preserve">held </w:t>
      </w:r>
      <w:r w:rsidR="00B16C8A">
        <w:t>1,822,421</w:t>
      </w:r>
      <w:r w:rsidR="007506DC" w:rsidRPr="00A06B1A">
        <w:t xml:space="preserve"> </w:t>
      </w:r>
      <w:r w:rsidR="00B26467" w:rsidRPr="00A06B1A">
        <w:t>Ordinary</w:t>
      </w:r>
      <w:r w:rsidR="00B26467">
        <w:t xml:space="preserve"> Shares</w:t>
      </w:r>
    </w:p>
    <w:p w14:paraId="514D00F8" w14:textId="4FE9AC17" w:rsidR="00974F5B" w:rsidRPr="006744D0" w:rsidRDefault="00974F5B" w:rsidP="009B52C9">
      <w:pPr>
        <w:pStyle w:val="Footnote"/>
        <w:jc w:val="both"/>
      </w:pPr>
      <w:r>
        <w:rPr>
          <w:vertAlign w:val="superscript"/>
        </w:rPr>
        <w:t xml:space="preserve">(5) </w:t>
      </w:r>
      <w:r>
        <w:tab/>
        <w:t>Ordinary Sha</w:t>
      </w:r>
      <w:r w:rsidR="00710844">
        <w:t>res held indirectly with spouse</w:t>
      </w:r>
    </w:p>
    <w:p w14:paraId="400435DD" w14:textId="77777777" w:rsidR="00705454" w:rsidRPr="00811BA1" w:rsidRDefault="00705454" w:rsidP="00EB7E49">
      <w:pPr>
        <w:pStyle w:val="Bodytext"/>
      </w:pPr>
    </w:p>
    <w:p w14:paraId="7C932D35" w14:textId="77777777" w:rsidR="009145B0" w:rsidRPr="00811BA1" w:rsidRDefault="009145B0" w:rsidP="000009D3">
      <w:pPr>
        <w:pStyle w:val="Heading2"/>
        <w:jc w:val="both"/>
      </w:pPr>
      <w:r w:rsidRPr="00811BA1">
        <w:t>Directors’ Authority to</w:t>
      </w:r>
      <w:r w:rsidR="00F231FD" w:rsidRPr="00811BA1">
        <w:t xml:space="preserve"> Buy Back Shares</w:t>
      </w:r>
    </w:p>
    <w:p w14:paraId="353A46DC" w14:textId="0AEDDCD9" w:rsidR="009145B0" w:rsidRPr="00811BA1" w:rsidRDefault="009145B0" w:rsidP="000009D3">
      <w:pPr>
        <w:pStyle w:val="Bodytext"/>
        <w:jc w:val="both"/>
      </w:pPr>
      <w:r w:rsidRPr="00811BA1">
        <w:t xml:space="preserve">At the AGM on </w:t>
      </w:r>
      <w:r w:rsidR="00780582">
        <w:t>2</w:t>
      </w:r>
      <w:r w:rsidR="001111B6">
        <w:t>1</w:t>
      </w:r>
      <w:r w:rsidRPr="00811BA1">
        <w:t xml:space="preserve"> May 201</w:t>
      </w:r>
      <w:r w:rsidR="005E501E">
        <w:t>9</w:t>
      </w:r>
      <w:r w:rsidRPr="00811BA1">
        <w:t xml:space="preserve"> in St Peter Port, Guernsey, the Company </w:t>
      </w:r>
      <w:r w:rsidR="00416D92" w:rsidRPr="00811BA1">
        <w:t>renewed the</w:t>
      </w:r>
      <w:r w:rsidR="006017A4" w:rsidRPr="00811BA1">
        <w:t xml:space="preserve"> </w:t>
      </w:r>
      <w:r w:rsidRPr="00811BA1">
        <w:t xml:space="preserve">authority to make market purchases of up to a maximum of </w:t>
      </w:r>
      <w:r w:rsidRPr="007506DC">
        <w:t>14.99</w:t>
      </w:r>
      <w:r w:rsidRPr="00811BA1">
        <w:t xml:space="preserve"> per cent. of the issued share capital of the Company. Any buy back of the Company’s Ordinary Shares will be made subject to Companies Law and within any guidelines established from time to time by the Board. The making and timing of any buy backs will be</w:t>
      </w:r>
      <w:r w:rsidR="00F231FD" w:rsidRPr="00811BA1">
        <w:t xml:space="preserve"> at the absolute discretion of </w:t>
      </w:r>
      <w:r w:rsidRPr="00811BA1">
        <w:t>the Board</w:t>
      </w:r>
      <w:r w:rsidR="004820E4">
        <w:t>,</w:t>
      </w:r>
      <w:r w:rsidR="004820E4" w:rsidRPr="004820E4">
        <w:t xml:space="preserve"> </w:t>
      </w:r>
      <w:r w:rsidR="004820E4">
        <w:t>with consent of the Investment Manager,</w:t>
      </w:r>
      <w:r w:rsidRPr="00811BA1">
        <w:t xml:space="preserve"> and not at the option of the Shareholders. Purchases of the Company’s Ordinary Shares will only be made through the market for cash at prices below the prevailing Net Asset Value of the Company’s Ordinary Shares (as last calculated) where the Directors believe such purchases will enhance </w:t>
      </w:r>
      <w:r w:rsidR="007C6866">
        <w:t>S</w:t>
      </w:r>
      <w:r w:rsidRPr="00811BA1">
        <w:t>hareholder value. Such purchases will also only be made in accordance with the Listing Rules</w:t>
      </w:r>
      <w:r w:rsidR="00152EF0">
        <w:t>.</w:t>
      </w:r>
    </w:p>
    <w:p w14:paraId="17BD4276" w14:textId="77777777" w:rsidR="00F231FD" w:rsidRPr="00811BA1" w:rsidRDefault="00F231FD" w:rsidP="000009D3">
      <w:pPr>
        <w:pStyle w:val="Bodytext"/>
        <w:jc w:val="both"/>
      </w:pPr>
    </w:p>
    <w:p w14:paraId="52AB68DB" w14:textId="356714F5" w:rsidR="009145B0" w:rsidRPr="00811BA1" w:rsidRDefault="009145B0" w:rsidP="000009D3">
      <w:pPr>
        <w:pStyle w:val="Bodytext"/>
        <w:jc w:val="both"/>
      </w:pPr>
      <w:r w:rsidRPr="00811BA1">
        <w:t xml:space="preserve">In accordance with the </w:t>
      </w:r>
      <w:r w:rsidRPr="00096DEF">
        <w:t>Company’s Articles of Incorporation and Companies Law, up to 10 per cent.</w:t>
      </w:r>
      <w:r w:rsidRPr="00811BA1">
        <w:t xml:space="preserve"> of the Company’s Ordinary Shares may be held as treasury shares. </w:t>
      </w:r>
    </w:p>
    <w:p w14:paraId="3B3D6FD4" w14:textId="77777777" w:rsidR="00420D55" w:rsidRPr="00811BA1" w:rsidRDefault="00420D55" w:rsidP="000009D3">
      <w:pPr>
        <w:pStyle w:val="Bodytext"/>
        <w:jc w:val="both"/>
      </w:pPr>
    </w:p>
    <w:p w14:paraId="4F2419B5" w14:textId="77777777" w:rsidR="009145B0" w:rsidRPr="00811BA1" w:rsidRDefault="009145B0" w:rsidP="000009D3">
      <w:pPr>
        <w:pStyle w:val="Heading2"/>
        <w:jc w:val="both"/>
      </w:pPr>
      <w:r w:rsidRPr="00811BA1">
        <w:t xml:space="preserve">Directors’ and </w:t>
      </w:r>
      <w:r w:rsidR="00F231FD" w:rsidRPr="00811BA1">
        <w:t>Officers’ Liability Insurance</w:t>
      </w:r>
    </w:p>
    <w:p w14:paraId="36FB1B2F" w14:textId="77777777" w:rsidR="009145B0" w:rsidRPr="00811BA1" w:rsidRDefault="009145B0" w:rsidP="000009D3">
      <w:pPr>
        <w:pStyle w:val="Bodytext"/>
        <w:jc w:val="both"/>
      </w:pPr>
      <w:r w:rsidRPr="00811BA1">
        <w:t>The Company maintains insurance in respect of directors’ and officers’ liab</w:t>
      </w:r>
      <w:r w:rsidR="00F231FD" w:rsidRPr="00811BA1">
        <w:t xml:space="preserve">ility in relation to their acts </w:t>
      </w:r>
      <w:r w:rsidRPr="00811BA1">
        <w:t>on behalf of the Company.</w:t>
      </w:r>
    </w:p>
    <w:p w14:paraId="5A4E992A" w14:textId="77777777" w:rsidR="00F231FD" w:rsidRPr="00811BA1" w:rsidRDefault="00F231FD" w:rsidP="000009D3">
      <w:pPr>
        <w:pStyle w:val="Bodytext"/>
        <w:jc w:val="both"/>
      </w:pPr>
    </w:p>
    <w:p w14:paraId="1456B7DA" w14:textId="77777777" w:rsidR="009145B0" w:rsidRPr="00811BA1" w:rsidRDefault="00F231FD" w:rsidP="000009D3">
      <w:pPr>
        <w:pStyle w:val="Heading2"/>
        <w:jc w:val="both"/>
      </w:pPr>
      <w:r w:rsidRPr="00811BA1">
        <w:t>Substantial Shareholdings</w:t>
      </w:r>
    </w:p>
    <w:p w14:paraId="5DD7E6A2" w14:textId="28E85C02" w:rsidR="00F231FD" w:rsidRPr="00811BA1" w:rsidRDefault="009145B0" w:rsidP="000009D3">
      <w:pPr>
        <w:pStyle w:val="Bodytext"/>
        <w:jc w:val="both"/>
      </w:pPr>
      <w:r w:rsidRPr="00811BA1">
        <w:t>As at 31 December 201</w:t>
      </w:r>
      <w:r w:rsidR="00FB1D79">
        <w:t>9</w:t>
      </w:r>
      <w:r w:rsidRPr="00811BA1">
        <w:t>, the Company had been notified, in accordance with Chapter 5 of the Disclosure</w:t>
      </w:r>
      <w:r w:rsidR="00184565">
        <w:t xml:space="preserve"> Guidance</w:t>
      </w:r>
      <w:r w:rsidRPr="00811BA1">
        <w:t xml:space="preserve"> and Transparency Rules, of the following substantial voting rights as Shareholders of the Company.</w:t>
      </w:r>
    </w:p>
    <w:p w14:paraId="3EB7B6C9" w14:textId="77777777" w:rsidR="009145B0" w:rsidRPr="00811BA1" w:rsidRDefault="009145B0" w:rsidP="00EB7E4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529"/>
        <w:gridCol w:w="1701"/>
        <w:gridCol w:w="1134"/>
        <w:gridCol w:w="1268"/>
      </w:tblGrid>
      <w:tr w:rsidR="00E121CD" w:rsidRPr="00AC66F9" w14:paraId="721C5DE4" w14:textId="77777777" w:rsidTr="00C33BF0">
        <w:trPr>
          <w:trHeight w:val="517"/>
        </w:trPr>
        <w:tc>
          <w:tcPr>
            <w:tcW w:w="5529" w:type="dxa"/>
            <w:tcBorders>
              <w:bottom w:val="single" w:sz="4" w:space="0" w:color="auto"/>
            </w:tcBorders>
            <w:vAlign w:val="bottom"/>
          </w:tcPr>
          <w:p w14:paraId="28EC0002" w14:textId="77777777" w:rsidR="00E121CD" w:rsidRPr="00AC66F9" w:rsidRDefault="00E121CD" w:rsidP="00EB7E49">
            <w:r w:rsidRPr="00AC66F9">
              <w:t>Shareholder</w:t>
            </w:r>
          </w:p>
        </w:tc>
        <w:tc>
          <w:tcPr>
            <w:tcW w:w="1701" w:type="dxa"/>
            <w:tcBorders>
              <w:bottom w:val="single" w:sz="4" w:space="0" w:color="auto"/>
            </w:tcBorders>
            <w:vAlign w:val="bottom"/>
          </w:tcPr>
          <w:p w14:paraId="00C90F0B" w14:textId="77777777" w:rsidR="00E121CD" w:rsidRPr="00AC66F9" w:rsidRDefault="00E121CD" w:rsidP="00EB7E49">
            <w:pPr>
              <w:jc w:val="right"/>
            </w:pPr>
            <w:r w:rsidRPr="00AC66F9">
              <w:t>Shareholding</w:t>
            </w:r>
          </w:p>
        </w:tc>
        <w:tc>
          <w:tcPr>
            <w:tcW w:w="1134" w:type="dxa"/>
            <w:tcBorders>
              <w:bottom w:val="single" w:sz="4" w:space="0" w:color="auto"/>
            </w:tcBorders>
            <w:vAlign w:val="bottom"/>
          </w:tcPr>
          <w:p w14:paraId="3C52C2F5" w14:textId="77777777" w:rsidR="00E121CD" w:rsidRPr="00AC66F9" w:rsidRDefault="00E121CD" w:rsidP="00EB7E49">
            <w:pPr>
              <w:jc w:val="right"/>
            </w:pPr>
            <w:r w:rsidRPr="00AC66F9">
              <w:t>Per cent.</w:t>
            </w:r>
          </w:p>
          <w:p w14:paraId="4E0E000E" w14:textId="77777777" w:rsidR="00E121CD" w:rsidRPr="00AC66F9" w:rsidRDefault="00E121CD" w:rsidP="00EB7E49">
            <w:pPr>
              <w:jc w:val="right"/>
            </w:pPr>
            <w:r w:rsidRPr="00AC66F9">
              <w:t>Holding</w:t>
            </w:r>
          </w:p>
        </w:tc>
        <w:tc>
          <w:tcPr>
            <w:tcW w:w="1268" w:type="dxa"/>
            <w:tcBorders>
              <w:bottom w:val="single" w:sz="4" w:space="0" w:color="auto"/>
            </w:tcBorders>
            <w:vAlign w:val="bottom"/>
          </w:tcPr>
          <w:p w14:paraId="0A24F03B" w14:textId="77777777" w:rsidR="00E121CD" w:rsidRPr="00AC66F9" w:rsidRDefault="00E121CD" w:rsidP="00EB7E49">
            <w:pPr>
              <w:jc w:val="right"/>
            </w:pPr>
            <w:r w:rsidRPr="00AC66F9">
              <w:t>Nature of</w:t>
            </w:r>
          </w:p>
          <w:p w14:paraId="4620C46D" w14:textId="77777777" w:rsidR="00E121CD" w:rsidRPr="00AC66F9" w:rsidRDefault="00E121CD" w:rsidP="00EB7E49">
            <w:pPr>
              <w:jc w:val="right"/>
            </w:pPr>
            <w:r w:rsidRPr="00AC66F9">
              <w:t>Holding</w:t>
            </w:r>
          </w:p>
        </w:tc>
      </w:tr>
      <w:tr w:rsidR="00F231FD" w:rsidRPr="00AC66F9" w14:paraId="733AECB0" w14:textId="77777777" w:rsidTr="00016E2D">
        <w:trPr>
          <w:trHeight w:val="227"/>
        </w:trPr>
        <w:tc>
          <w:tcPr>
            <w:tcW w:w="5529" w:type="dxa"/>
            <w:tcBorders>
              <w:top w:val="single" w:sz="4" w:space="0" w:color="auto"/>
            </w:tcBorders>
            <w:vAlign w:val="center"/>
          </w:tcPr>
          <w:p w14:paraId="454ADAEE" w14:textId="77777777" w:rsidR="00F231FD" w:rsidRPr="00AC66F9" w:rsidRDefault="00F231FD" w:rsidP="00EB7E49">
            <w:r w:rsidRPr="00AC66F9">
              <w:t>AKRC Investments LLC</w:t>
            </w:r>
            <w:r w:rsidRPr="00AC66F9">
              <w:rPr>
                <w:vertAlign w:val="superscript"/>
              </w:rPr>
              <w:t>(1)</w:t>
            </w:r>
          </w:p>
        </w:tc>
        <w:tc>
          <w:tcPr>
            <w:tcW w:w="1701" w:type="dxa"/>
            <w:tcBorders>
              <w:top w:val="single" w:sz="4" w:space="0" w:color="auto"/>
            </w:tcBorders>
            <w:vAlign w:val="center"/>
          </w:tcPr>
          <w:p w14:paraId="63BDB3E7" w14:textId="2439C00A" w:rsidR="00F231FD" w:rsidRPr="00AC66F9" w:rsidRDefault="00016E2D" w:rsidP="00A965DC">
            <w:pPr>
              <w:jc w:val="right"/>
            </w:pPr>
            <w:r>
              <w:t>20,198,917</w:t>
            </w:r>
          </w:p>
        </w:tc>
        <w:tc>
          <w:tcPr>
            <w:tcW w:w="1134" w:type="dxa"/>
            <w:tcBorders>
              <w:top w:val="single" w:sz="4" w:space="0" w:color="auto"/>
            </w:tcBorders>
            <w:vAlign w:val="center"/>
          </w:tcPr>
          <w:p w14:paraId="7FAB7DC8" w14:textId="3C7405CE" w:rsidR="00F231FD" w:rsidRPr="00AC66F9" w:rsidRDefault="00016E2D" w:rsidP="00EB7E49">
            <w:pPr>
              <w:jc w:val="right"/>
            </w:pPr>
            <w:r>
              <w:t>25.28</w:t>
            </w:r>
          </w:p>
        </w:tc>
        <w:tc>
          <w:tcPr>
            <w:tcW w:w="1268" w:type="dxa"/>
            <w:tcBorders>
              <w:top w:val="single" w:sz="4" w:space="0" w:color="auto"/>
            </w:tcBorders>
            <w:vAlign w:val="center"/>
          </w:tcPr>
          <w:p w14:paraId="71054BD4" w14:textId="10586175" w:rsidR="00F231FD" w:rsidRPr="00AC66F9" w:rsidRDefault="00016E2D" w:rsidP="00EB7E49">
            <w:pPr>
              <w:jc w:val="right"/>
            </w:pPr>
            <w:r>
              <w:t>Indirect</w:t>
            </w:r>
          </w:p>
        </w:tc>
      </w:tr>
      <w:tr w:rsidR="00016E2D" w:rsidRPr="00AC66F9" w14:paraId="00188471" w14:textId="77777777" w:rsidTr="002248AA">
        <w:trPr>
          <w:trHeight w:val="227"/>
        </w:trPr>
        <w:tc>
          <w:tcPr>
            <w:tcW w:w="5529" w:type="dxa"/>
          </w:tcPr>
          <w:p w14:paraId="69E103BC" w14:textId="222CB643" w:rsidR="00016E2D" w:rsidRPr="00AC66F9" w:rsidRDefault="00016E2D" w:rsidP="00016E2D">
            <w:r>
              <w:t>Quilter Investors</w:t>
            </w:r>
          </w:p>
        </w:tc>
        <w:tc>
          <w:tcPr>
            <w:tcW w:w="1701" w:type="dxa"/>
          </w:tcPr>
          <w:p w14:paraId="78593A6E" w14:textId="6A047595" w:rsidR="00016E2D" w:rsidRDefault="00016E2D" w:rsidP="00016E2D">
            <w:pPr>
              <w:jc w:val="right"/>
            </w:pPr>
            <w:r>
              <w:t>13,523,734</w:t>
            </w:r>
          </w:p>
        </w:tc>
        <w:tc>
          <w:tcPr>
            <w:tcW w:w="1134" w:type="dxa"/>
          </w:tcPr>
          <w:p w14:paraId="122386D3" w14:textId="28A609A8" w:rsidR="00016E2D" w:rsidRPr="00AC66F9" w:rsidRDefault="00016E2D" w:rsidP="00016E2D">
            <w:pPr>
              <w:jc w:val="right"/>
            </w:pPr>
            <w:r>
              <w:t>16.93</w:t>
            </w:r>
          </w:p>
        </w:tc>
        <w:tc>
          <w:tcPr>
            <w:tcW w:w="1268" w:type="dxa"/>
          </w:tcPr>
          <w:p w14:paraId="77F7FFAD" w14:textId="17266BCA" w:rsidR="00016E2D" w:rsidRPr="00AC66F9" w:rsidRDefault="00016E2D" w:rsidP="00016E2D">
            <w:pPr>
              <w:jc w:val="right"/>
            </w:pPr>
            <w:r>
              <w:t>Indirect</w:t>
            </w:r>
          </w:p>
        </w:tc>
      </w:tr>
      <w:tr w:rsidR="00016E2D" w:rsidRPr="00AC66F9" w14:paraId="34A713CC" w14:textId="77777777" w:rsidTr="002248AA">
        <w:trPr>
          <w:trHeight w:val="227"/>
        </w:trPr>
        <w:tc>
          <w:tcPr>
            <w:tcW w:w="5529" w:type="dxa"/>
            <w:vAlign w:val="center"/>
          </w:tcPr>
          <w:p w14:paraId="369712B3" w14:textId="2858EBB4" w:rsidR="00016E2D" w:rsidRPr="00AC66F9" w:rsidRDefault="00016E2D" w:rsidP="00016E2D">
            <w:r w:rsidRPr="00AC66F9">
              <w:t>Kendall Family Investments LLC</w:t>
            </w:r>
            <w:r w:rsidRPr="00AC66F9">
              <w:rPr>
                <w:vertAlign w:val="superscript"/>
              </w:rPr>
              <w:t>(1)</w:t>
            </w:r>
          </w:p>
        </w:tc>
        <w:tc>
          <w:tcPr>
            <w:tcW w:w="1701" w:type="dxa"/>
            <w:vAlign w:val="center"/>
          </w:tcPr>
          <w:p w14:paraId="5CB5331E" w14:textId="565173F1" w:rsidR="00016E2D" w:rsidRPr="00AC66F9" w:rsidRDefault="00016E2D" w:rsidP="00016E2D">
            <w:pPr>
              <w:jc w:val="right"/>
            </w:pPr>
            <w:r>
              <w:t>8,430,490</w:t>
            </w:r>
          </w:p>
        </w:tc>
        <w:tc>
          <w:tcPr>
            <w:tcW w:w="1134" w:type="dxa"/>
            <w:vAlign w:val="center"/>
          </w:tcPr>
          <w:p w14:paraId="2E76FACA" w14:textId="420C1033" w:rsidR="00016E2D" w:rsidRPr="00AC66F9" w:rsidRDefault="00016E2D" w:rsidP="00016E2D">
            <w:pPr>
              <w:jc w:val="right"/>
            </w:pPr>
            <w:r>
              <w:t>10.55</w:t>
            </w:r>
          </w:p>
        </w:tc>
        <w:tc>
          <w:tcPr>
            <w:tcW w:w="1268" w:type="dxa"/>
            <w:vAlign w:val="center"/>
          </w:tcPr>
          <w:p w14:paraId="257FD8A6" w14:textId="39C2AC5C" w:rsidR="00016E2D" w:rsidRPr="00AC66F9" w:rsidRDefault="00016E2D" w:rsidP="00016E2D">
            <w:pPr>
              <w:jc w:val="right"/>
            </w:pPr>
            <w:r>
              <w:t>Direct</w:t>
            </w:r>
          </w:p>
        </w:tc>
      </w:tr>
      <w:tr w:rsidR="00016E2D" w:rsidRPr="00AC66F9" w14:paraId="20F3368F" w14:textId="77777777" w:rsidTr="002248AA">
        <w:trPr>
          <w:trHeight w:val="227"/>
        </w:trPr>
        <w:tc>
          <w:tcPr>
            <w:tcW w:w="5529" w:type="dxa"/>
            <w:tcBorders>
              <w:top w:val="nil"/>
              <w:left w:val="nil"/>
              <w:right w:val="nil"/>
            </w:tcBorders>
          </w:tcPr>
          <w:p w14:paraId="1673291A" w14:textId="55686D0F" w:rsidR="00016E2D" w:rsidRPr="006C599D" w:rsidRDefault="00016E2D" w:rsidP="00016E2D">
            <w:r>
              <w:t>Riverstone Directors of REL and Related Holdings</w:t>
            </w:r>
          </w:p>
        </w:tc>
        <w:tc>
          <w:tcPr>
            <w:tcW w:w="1701" w:type="dxa"/>
            <w:tcBorders>
              <w:top w:val="nil"/>
              <w:left w:val="nil"/>
              <w:right w:val="nil"/>
            </w:tcBorders>
          </w:tcPr>
          <w:p w14:paraId="5AFC978C" w14:textId="0475CC6A" w:rsidR="00016E2D" w:rsidRPr="006C599D" w:rsidDel="00874EE4" w:rsidRDefault="00016E2D" w:rsidP="00016E2D">
            <w:pPr>
              <w:jc w:val="right"/>
            </w:pPr>
            <w:r>
              <w:t>6,672,368</w:t>
            </w:r>
          </w:p>
        </w:tc>
        <w:tc>
          <w:tcPr>
            <w:tcW w:w="1134" w:type="dxa"/>
            <w:tcBorders>
              <w:top w:val="nil"/>
              <w:left w:val="nil"/>
              <w:right w:val="nil"/>
            </w:tcBorders>
          </w:tcPr>
          <w:p w14:paraId="274EAC2E" w14:textId="359B3431" w:rsidR="00016E2D" w:rsidRPr="006C599D" w:rsidDel="00874EE4" w:rsidRDefault="00016E2D" w:rsidP="00016E2D">
            <w:pPr>
              <w:jc w:val="right"/>
            </w:pPr>
            <w:r>
              <w:t>8.35</w:t>
            </w:r>
          </w:p>
        </w:tc>
        <w:tc>
          <w:tcPr>
            <w:tcW w:w="1268" w:type="dxa"/>
            <w:tcBorders>
              <w:top w:val="nil"/>
              <w:left w:val="nil"/>
              <w:right w:val="nil"/>
            </w:tcBorders>
          </w:tcPr>
          <w:p w14:paraId="10301DC8" w14:textId="48F85ACA" w:rsidR="00016E2D" w:rsidRPr="006C599D" w:rsidRDefault="00016E2D" w:rsidP="00016E2D">
            <w:pPr>
              <w:jc w:val="right"/>
            </w:pPr>
            <w:r>
              <w:t>Direct</w:t>
            </w:r>
          </w:p>
        </w:tc>
      </w:tr>
      <w:tr w:rsidR="00016E2D" w:rsidRPr="00AC66F9" w14:paraId="3600C88C" w14:textId="77777777" w:rsidTr="00C33BF0">
        <w:trPr>
          <w:trHeight w:val="227"/>
        </w:trPr>
        <w:tc>
          <w:tcPr>
            <w:tcW w:w="5529" w:type="dxa"/>
            <w:tcBorders>
              <w:left w:val="nil"/>
              <w:bottom w:val="single" w:sz="4" w:space="0" w:color="auto"/>
              <w:right w:val="nil"/>
            </w:tcBorders>
          </w:tcPr>
          <w:p w14:paraId="618226F2" w14:textId="035ECCBB" w:rsidR="00016E2D" w:rsidRDefault="00016E2D" w:rsidP="00016E2D">
            <w:r>
              <w:t>Asset Value Investors</w:t>
            </w:r>
          </w:p>
        </w:tc>
        <w:tc>
          <w:tcPr>
            <w:tcW w:w="1701" w:type="dxa"/>
            <w:tcBorders>
              <w:left w:val="nil"/>
              <w:bottom w:val="single" w:sz="4" w:space="0" w:color="auto"/>
              <w:right w:val="nil"/>
            </w:tcBorders>
          </w:tcPr>
          <w:p w14:paraId="591CFB56" w14:textId="5BBBA284" w:rsidR="00016E2D" w:rsidRDefault="00016E2D" w:rsidP="00016E2D">
            <w:pPr>
              <w:jc w:val="right"/>
            </w:pPr>
            <w:r>
              <w:t>4,045,135</w:t>
            </w:r>
          </w:p>
        </w:tc>
        <w:tc>
          <w:tcPr>
            <w:tcW w:w="1134" w:type="dxa"/>
            <w:tcBorders>
              <w:left w:val="nil"/>
              <w:bottom w:val="single" w:sz="4" w:space="0" w:color="auto"/>
              <w:right w:val="nil"/>
            </w:tcBorders>
          </w:tcPr>
          <w:p w14:paraId="47E301E3" w14:textId="186F3A09" w:rsidR="00016E2D" w:rsidRDefault="00016E2D" w:rsidP="00016E2D">
            <w:pPr>
              <w:jc w:val="right"/>
            </w:pPr>
            <w:r>
              <w:t>5.06</w:t>
            </w:r>
          </w:p>
        </w:tc>
        <w:tc>
          <w:tcPr>
            <w:tcW w:w="1268" w:type="dxa"/>
            <w:tcBorders>
              <w:left w:val="nil"/>
              <w:bottom w:val="single" w:sz="4" w:space="0" w:color="auto"/>
              <w:right w:val="nil"/>
            </w:tcBorders>
          </w:tcPr>
          <w:p w14:paraId="6ACC2DAA" w14:textId="42651B48" w:rsidR="00016E2D" w:rsidRDefault="00016E2D" w:rsidP="00016E2D">
            <w:pPr>
              <w:jc w:val="right"/>
            </w:pPr>
            <w:r>
              <w:t>Indirect</w:t>
            </w:r>
          </w:p>
        </w:tc>
      </w:tr>
    </w:tbl>
    <w:p w14:paraId="484087E2" w14:textId="77777777" w:rsidR="009145B0" w:rsidRPr="00AC66F9" w:rsidRDefault="009145B0" w:rsidP="00EB7E49">
      <w:pPr>
        <w:pStyle w:val="Bodytext"/>
      </w:pPr>
    </w:p>
    <w:p w14:paraId="6EA9CEDA" w14:textId="062B4574" w:rsidR="009145B0" w:rsidRPr="00AC66F9" w:rsidRDefault="009145B0" w:rsidP="00505218">
      <w:pPr>
        <w:pStyle w:val="Footnote"/>
      </w:pPr>
      <w:r w:rsidRPr="00A67A51">
        <w:rPr>
          <w:vertAlign w:val="superscript"/>
        </w:rPr>
        <w:t>(1)</w:t>
      </w:r>
      <w:r w:rsidRPr="00A67A51">
        <w:rPr>
          <w:vertAlign w:val="superscript"/>
        </w:rPr>
        <w:tab/>
      </w:r>
      <w:r w:rsidRPr="00AC66F9">
        <w:t>Held by a Cornerstone Investor</w:t>
      </w:r>
    </w:p>
    <w:p w14:paraId="32954DCA" w14:textId="77777777" w:rsidR="009145B0" w:rsidRPr="00AC66F9" w:rsidRDefault="009145B0" w:rsidP="00EB7E49">
      <w:pPr>
        <w:pStyle w:val="Bodytext"/>
      </w:pPr>
    </w:p>
    <w:p w14:paraId="24D6026B" w14:textId="6B626007" w:rsidR="009145B0" w:rsidRPr="00AC66F9" w:rsidRDefault="009145B0" w:rsidP="000009D3">
      <w:pPr>
        <w:pStyle w:val="Bodytext"/>
        <w:jc w:val="both"/>
      </w:pPr>
      <w:r w:rsidRPr="00AC66F9">
        <w:t xml:space="preserve">In addition, the Company also provides the same information as </w:t>
      </w:r>
      <w:r w:rsidRPr="0082414B">
        <w:t xml:space="preserve">at </w:t>
      </w:r>
      <w:r w:rsidR="00BD5447">
        <w:t>20</w:t>
      </w:r>
      <w:r w:rsidR="005F5DC4">
        <w:t xml:space="preserve"> </w:t>
      </w:r>
      <w:r w:rsidR="003A097B">
        <w:t>April</w:t>
      </w:r>
      <w:r w:rsidR="005E4E68" w:rsidRPr="00AC66F9">
        <w:t xml:space="preserve"> </w:t>
      </w:r>
      <w:r w:rsidRPr="00AC66F9">
        <w:t>20</w:t>
      </w:r>
      <w:r w:rsidR="00016E2D">
        <w:t>20</w:t>
      </w:r>
      <w:r w:rsidRPr="00AC66F9">
        <w:t>, being the most current information available.</w:t>
      </w:r>
    </w:p>
    <w:p w14:paraId="41279A03" w14:textId="77777777" w:rsidR="00F43B29" w:rsidRPr="00AC66F9" w:rsidRDefault="00F43B29" w:rsidP="00EB7E49">
      <w:pPr>
        <w:pStyle w:val="Bodytext"/>
      </w:pPr>
    </w:p>
    <w:tbl>
      <w:tblPr>
        <w:tblStyle w:val="TableGrid"/>
        <w:tblW w:w="9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528"/>
        <w:gridCol w:w="1701"/>
        <w:gridCol w:w="1134"/>
        <w:gridCol w:w="1270"/>
      </w:tblGrid>
      <w:tr w:rsidR="00C40902" w:rsidRPr="00AC66F9" w14:paraId="5E57E11A" w14:textId="77777777" w:rsidTr="00C33BF0">
        <w:trPr>
          <w:trHeight w:val="453"/>
        </w:trPr>
        <w:tc>
          <w:tcPr>
            <w:tcW w:w="5528" w:type="dxa"/>
            <w:tcBorders>
              <w:bottom w:val="single" w:sz="4" w:space="0" w:color="auto"/>
            </w:tcBorders>
            <w:vAlign w:val="bottom"/>
          </w:tcPr>
          <w:p w14:paraId="274C4872" w14:textId="77777777" w:rsidR="00C40902" w:rsidRPr="00A06B1A" w:rsidRDefault="00C40902" w:rsidP="00EB7E49">
            <w:pPr>
              <w:pStyle w:val="Bodytext"/>
            </w:pPr>
            <w:r w:rsidRPr="00A06B1A">
              <w:t>Shareholder</w:t>
            </w:r>
          </w:p>
        </w:tc>
        <w:tc>
          <w:tcPr>
            <w:tcW w:w="1701" w:type="dxa"/>
            <w:tcBorders>
              <w:bottom w:val="single" w:sz="4" w:space="0" w:color="auto"/>
            </w:tcBorders>
            <w:vAlign w:val="bottom"/>
          </w:tcPr>
          <w:p w14:paraId="348411B6" w14:textId="77777777" w:rsidR="00C40902" w:rsidRPr="00A06B1A" w:rsidRDefault="00C40902" w:rsidP="00EB7E49">
            <w:pPr>
              <w:pStyle w:val="Bodytext"/>
              <w:jc w:val="right"/>
            </w:pPr>
            <w:r w:rsidRPr="00A06B1A">
              <w:t>Shareholding</w:t>
            </w:r>
          </w:p>
        </w:tc>
        <w:tc>
          <w:tcPr>
            <w:tcW w:w="1134" w:type="dxa"/>
            <w:tcBorders>
              <w:bottom w:val="single" w:sz="4" w:space="0" w:color="auto"/>
            </w:tcBorders>
            <w:vAlign w:val="bottom"/>
          </w:tcPr>
          <w:p w14:paraId="49A833DB" w14:textId="77777777" w:rsidR="00C40902" w:rsidRPr="00A06B1A" w:rsidRDefault="00C40902" w:rsidP="00EB7E49">
            <w:pPr>
              <w:pStyle w:val="Bodytext"/>
              <w:jc w:val="right"/>
            </w:pPr>
            <w:r w:rsidRPr="00A06B1A">
              <w:t>Per cent.</w:t>
            </w:r>
          </w:p>
          <w:p w14:paraId="54DA3000" w14:textId="77777777" w:rsidR="00C40902" w:rsidRPr="00A06B1A" w:rsidRDefault="00C40902" w:rsidP="00EB7E49">
            <w:pPr>
              <w:pStyle w:val="Bodytext"/>
              <w:jc w:val="right"/>
            </w:pPr>
            <w:r w:rsidRPr="00A06B1A">
              <w:t>Holding</w:t>
            </w:r>
          </w:p>
        </w:tc>
        <w:tc>
          <w:tcPr>
            <w:tcW w:w="1270" w:type="dxa"/>
            <w:tcBorders>
              <w:bottom w:val="single" w:sz="4" w:space="0" w:color="auto"/>
            </w:tcBorders>
            <w:vAlign w:val="bottom"/>
          </w:tcPr>
          <w:p w14:paraId="517048DD" w14:textId="77777777" w:rsidR="00C40902" w:rsidRPr="00A06B1A" w:rsidRDefault="00C40902" w:rsidP="00EB7E49">
            <w:pPr>
              <w:pStyle w:val="Bodytext"/>
              <w:jc w:val="right"/>
            </w:pPr>
            <w:r w:rsidRPr="00A06B1A">
              <w:t>Nature of</w:t>
            </w:r>
          </w:p>
          <w:p w14:paraId="5BA83075" w14:textId="77777777" w:rsidR="00C40902" w:rsidRPr="00A06B1A" w:rsidRDefault="00C40902" w:rsidP="00EB7E49">
            <w:pPr>
              <w:pStyle w:val="Bodytext"/>
              <w:jc w:val="right"/>
            </w:pPr>
            <w:r w:rsidRPr="00A06B1A">
              <w:t>Holding</w:t>
            </w:r>
          </w:p>
        </w:tc>
      </w:tr>
      <w:tr w:rsidR="005F5DC4" w:rsidRPr="00AC66F9" w14:paraId="1630A0D4" w14:textId="77777777" w:rsidTr="00C33BF0">
        <w:trPr>
          <w:trHeight w:val="227"/>
        </w:trPr>
        <w:tc>
          <w:tcPr>
            <w:tcW w:w="5528" w:type="dxa"/>
            <w:tcBorders>
              <w:top w:val="single" w:sz="4" w:space="0" w:color="auto"/>
            </w:tcBorders>
            <w:vAlign w:val="center"/>
          </w:tcPr>
          <w:p w14:paraId="6C639229" w14:textId="7D888672" w:rsidR="005F5DC4" w:rsidRPr="00A06B1A" w:rsidRDefault="005F5DC4" w:rsidP="005F5DC4">
            <w:pPr>
              <w:pStyle w:val="Bodytext"/>
            </w:pPr>
            <w:r w:rsidRPr="00A06B1A">
              <w:t>AKRC Investments LLC</w:t>
            </w:r>
            <w:r w:rsidRPr="00A06B1A">
              <w:rPr>
                <w:vertAlign w:val="superscript"/>
              </w:rPr>
              <w:t>(1)</w:t>
            </w:r>
          </w:p>
        </w:tc>
        <w:tc>
          <w:tcPr>
            <w:tcW w:w="1701" w:type="dxa"/>
            <w:tcBorders>
              <w:top w:val="single" w:sz="4" w:space="0" w:color="auto"/>
            </w:tcBorders>
            <w:vAlign w:val="center"/>
          </w:tcPr>
          <w:p w14:paraId="42EB286E" w14:textId="3AFC95E6" w:rsidR="005F5DC4" w:rsidRPr="00A06B1A" w:rsidRDefault="005F5DC4" w:rsidP="005F5DC4">
            <w:pPr>
              <w:pStyle w:val="Bodytext"/>
              <w:jc w:val="right"/>
            </w:pPr>
            <w:r>
              <w:t>20,198,917</w:t>
            </w:r>
          </w:p>
        </w:tc>
        <w:tc>
          <w:tcPr>
            <w:tcW w:w="1134" w:type="dxa"/>
            <w:tcBorders>
              <w:top w:val="single" w:sz="4" w:space="0" w:color="auto"/>
            </w:tcBorders>
            <w:vAlign w:val="center"/>
          </w:tcPr>
          <w:p w14:paraId="527ACF6A" w14:textId="070F5FE4" w:rsidR="005F5DC4" w:rsidRPr="00A06B1A" w:rsidRDefault="005F5DC4" w:rsidP="005F5DC4">
            <w:pPr>
              <w:pStyle w:val="Bodytext"/>
              <w:jc w:val="right"/>
            </w:pPr>
            <w:r>
              <w:t>25.28</w:t>
            </w:r>
          </w:p>
        </w:tc>
        <w:tc>
          <w:tcPr>
            <w:tcW w:w="1270" w:type="dxa"/>
            <w:tcBorders>
              <w:top w:val="single" w:sz="4" w:space="0" w:color="auto"/>
            </w:tcBorders>
            <w:vAlign w:val="center"/>
          </w:tcPr>
          <w:p w14:paraId="4C73EBFA" w14:textId="73DE5E4E" w:rsidR="005F5DC4" w:rsidRPr="00A06B1A" w:rsidRDefault="005F5DC4" w:rsidP="005F5DC4">
            <w:pPr>
              <w:pStyle w:val="Bodytext"/>
              <w:jc w:val="right"/>
            </w:pPr>
            <w:r>
              <w:t>Indirect</w:t>
            </w:r>
          </w:p>
        </w:tc>
      </w:tr>
      <w:tr w:rsidR="005F5DC4" w:rsidRPr="00AC66F9" w14:paraId="7834F10F" w14:textId="77777777" w:rsidTr="005F5DC4">
        <w:trPr>
          <w:trHeight w:val="227"/>
        </w:trPr>
        <w:tc>
          <w:tcPr>
            <w:tcW w:w="5528" w:type="dxa"/>
            <w:vAlign w:val="center"/>
          </w:tcPr>
          <w:p w14:paraId="629691AC" w14:textId="28758ED5" w:rsidR="005F5DC4" w:rsidRPr="00A06B1A" w:rsidRDefault="005F5DC4" w:rsidP="005F5DC4">
            <w:pPr>
              <w:pStyle w:val="Bodytext"/>
            </w:pPr>
            <w:r w:rsidRPr="00A06B1A">
              <w:t xml:space="preserve">Quilter Investors </w:t>
            </w:r>
          </w:p>
        </w:tc>
        <w:tc>
          <w:tcPr>
            <w:tcW w:w="1701" w:type="dxa"/>
          </w:tcPr>
          <w:p w14:paraId="455F5737" w14:textId="34D4C42F" w:rsidR="005F5DC4" w:rsidRPr="00A06B1A" w:rsidRDefault="005F5DC4" w:rsidP="005F5DC4">
            <w:pPr>
              <w:pStyle w:val="Bodytext"/>
              <w:jc w:val="right"/>
            </w:pPr>
            <w:r>
              <w:t>13,523,734</w:t>
            </w:r>
          </w:p>
        </w:tc>
        <w:tc>
          <w:tcPr>
            <w:tcW w:w="1134" w:type="dxa"/>
          </w:tcPr>
          <w:p w14:paraId="75A1A9C0" w14:textId="6176FDA3" w:rsidR="005F5DC4" w:rsidRPr="00A06B1A" w:rsidRDefault="005F5DC4" w:rsidP="005F5DC4">
            <w:pPr>
              <w:pStyle w:val="Bodytext"/>
              <w:jc w:val="right"/>
            </w:pPr>
            <w:r>
              <w:t>16.93</w:t>
            </w:r>
          </w:p>
        </w:tc>
        <w:tc>
          <w:tcPr>
            <w:tcW w:w="1270" w:type="dxa"/>
          </w:tcPr>
          <w:p w14:paraId="55FA239C" w14:textId="2CED49C1" w:rsidR="005F5DC4" w:rsidRPr="00A06B1A" w:rsidRDefault="005F5DC4" w:rsidP="005F5DC4">
            <w:pPr>
              <w:pStyle w:val="Bodytext"/>
              <w:jc w:val="right"/>
            </w:pPr>
            <w:r>
              <w:t>Indirect</w:t>
            </w:r>
          </w:p>
        </w:tc>
      </w:tr>
      <w:tr w:rsidR="005F5DC4" w:rsidRPr="00AC66F9" w14:paraId="3F627300" w14:textId="77777777" w:rsidTr="005F5DC4">
        <w:trPr>
          <w:trHeight w:val="227"/>
        </w:trPr>
        <w:tc>
          <w:tcPr>
            <w:tcW w:w="5528" w:type="dxa"/>
          </w:tcPr>
          <w:p w14:paraId="700CC251" w14:textId="6B034BF5" w:rsidR="005F5DC4" w:rsidRPr="00A06B1A" w:rsidRDefault="005F5DC4" w:rsidP="005F5DC4">
            <w:pPr>
              <w:pStyle w:val="Bodytext"/>
            </w:pPr>
            <w:r w:rsidRPr="00A06B1A">
              <w:t>Kendall Family Investments LLC</w:t>
            </w:r>
            <w:r w:rsidRPr="00A06B1A">
              <w:rPr>
                <w:vertAlign w:val="superscript"/>
              </w:rPr>
              <w:t>(1)</w:t>
            </w:r>
          </w:p>
        </w:tc>
        <w:tc>
          <w:tcPr>
            <w:tcW w:w="1701" w:type="dxa"/>
            <w:vAlign w:val="center"/>
          </w:tcPr>
          <w:p w14:paraId="34878C65" w14:textId="26334E67" w:rsidR="005F5DC4" w:rsidRPr="00A06B1A" w:rsidRDefault="005F5DC4" w:rsidP="005F5DC4">
            <w:pPr>
              <w:pStyle w:val="Bodytext"/>
              <w:jc w:val="right"/>
            </w:pPr>
            <w:r>
              <w:t>8,430,490</w:t>
            </w:r>
          </w:p>
        </w:tc>
        <w:tc>
          <w:tcPr>
            <w:tcW w:w="1134" w:type="dxa"/>
            <w:vAlign w:val="center"/>
          </w:tcPr>
          <w:p w14:paraId="4F21D8FB" w14:textId="19537E5E" w:rsidR="005F5DC4" w:rsidRPr="00A06B1A" w:rsidRDefault="005F5DC4" w:rsidP="005F5DC4">
            <w:pPr>
              <w:pStyle w:val="Bodytext"/>
              <w:jc w:val="right"/>
            </w:pPr>
            <w:r>
              <w:t>10.55</w:t>
            </w:r>
          </w:p>
        </w:tc>
        <w:tc>
          <w:tcPr>
            <w:tcW w:w="1270" w:type="dxa"/>
            <w:vAlign w:val="center"/>
          </w:tcPr>
          <w:p w14:paraId="608DEA4D" w14:textId="3323916C" w:rsidR="005F5DC4" w:rsidRPr="00A06B1A" w:rsidRDefault="005F5DC4" w:rsidP="005F5DC4">
            <w:pPr>
              <w:pStyle w:val="Bodytext"/>
              <w:jc w:val="right"/>
            </w:pPr>
            <w:r>
              <w:t>Direct</w:t>
            </w:r>
          </w:p>
        </w:tc>
      </w:tr>
      <w:tr w:rsidR="005F5DC4" w:rsidRPr="00AC66F9" w14:paraId="6BFF4D90" w14:textId="77777777" w:rsidTr="00C33BF0">
        <w:trPr>
          <w:trHeight w:val="227"/>
        </w:trPr>
        <w:tc>
          <w:tcPr>
            <w:tcW w:w="5528" w:type="dxa"/>
            <w:tcBorders>
              <w:top w:val="nil"/>
              <w:left w:val="nil"/>
              <w:bottom w:val="nil"/>
              <w:right w:val="nil"/>
            </w:tcBorders>
          </w:tcPr>
          <w:p w14:paraId="76EEE551" w14:textId="36331292" w:rsidR="005F5DC4" w:rsidRPr="00A06B1A" w:rsidRDefault="005F5DC4" w:rsidP="005F5DC4">
            <w:pPr>
              <w:pStyle w:val="Bodytext"/>
            </w:pPr>
            <w:r w:rsidRPr="00A06B1A">
              <w:t>Riverstone Directors of REL and Related Holdings</w:t>
            </w:r>
          </w:p>
        </w:tc>
        <w:tc>
          <w:tcPr>
            <w:tcW w:w="1701" w:type="dxa"/>
            <w:tcBorders>
              <w:top w:val="nil"/>
              <w:left w:val="nil"/>
              <w:bottom w:val="nil"/>
              <w:right w:val="nil"/>
            </w:tcBorders>
          </w:tcPr>
          <w:p w14:paraId="45E04FC2" w14:textId="768EBBB1" w:rsidR="005F5DC4" w:rsidRPr="00A06B1A" w:rsidRDefault="005F5DC4" w:rsidP="005F5DC4">
            <w:pPr>
              <w:pStyle w:val="Bodytext"/>
              <w:jc w:val="right"/>
            </w:pPr>
            <w:r>
              <w:t>6,672,368</w:t>
            </w:r>
          </w:p>
        </w:tc>
        <w:tc>
          <w:tcPr>
            <w:tcW w:w="1134" w:type="dxa"/>
            <w:tcBorders>
              <w:top w:val="nil"/>
              <w:left w:val="nil"/>
              <w:bottom w:val="nil"/>
              <w:right w:val="nil"/>
            </w:tcBorders>
          </w:tcPr>
          <w:p w14:paraId="49609E91" w14:textId="5CC35EE0" w:rsidR="005F5DC4" w:rsidRPr="00A06B1A" w:rsidRDefault="005F5DC4" w:rsidP="005F5DC4">
            <w:pPr>
              <w:pStyle w:val="Bodytext"/>
              <w:jc w:val="right"/>
            </w:pPr>
            <w:r>
              <w:t>8.35</w:t>
            </w:r>
          </w:p>
        </w:tc>
        <w:tc>
          <w:tcPr>
            <w:tcW w:w="1270" w:type="dxa"/>
            <w:tcBorders>
              <w:top w:val="nil"/>
              <w:left w:val="nil"/>
              <w:bottom w:val="nil"/>
              <w:right w:val="nil"/>
            </w:tcBorders>
          </w:tcPr>
          <w:p w14:paraId="1AAFF965" w14:textId="4E1B8EAA" w:rsidR="005F5DC4" w:rsidRPr="00A06B1A" w:rsidRDefault="005F5DC4" w:rsidP="005F5DC4">
            <w:pPr>
              <w:pStyle w:val="Bodytext"/>
              <w:jc w:val="right"/>
            </w:pPr>
            <w:r>
              <w:t>Direct</w:t>
            </w:r>
          </w:p>
        </w:tc>
      </w:tr>
      <w:tr w:rsidR="005F5DC4" w:rsidRPr="00AC66F9" w14:paraId="434D21BD" w14:textId="77777777" w:rsidTr="00C33BF0">
        <w:trPr>
          <w:trHeight w:val="227"/>
        </w:trPr>
        <w:tc>
          <w:tcPr>
            <w:tcW w:w="5528" w:type="dxa"/>
            <w:tcBorders>
              <w:top w:val="nil"/>
              <w:left w:val="nil"/>
              <w:bottom w:val="single" w:sz="4" w:space="0" w:color="auto"/>
              <w:right w:val="nil"/>
            </w:tcBorders>
          </w:tcPr>
          <w:p w14:paraId="07AA2D46" w14:textId="6EAEA06C" w:rsidR="005F5DC4" w:rsidRPr="00A06B1A" w:rsidRDefault="005F5DC4" w:rsidP="005F5DC4">
            <w:pPr>
              <w:pStyle w:val="Bodytext"/>
            </w:pPr>
            <w:r w:rsidRPr="00A06B1A">
              <w:t>Asset Value Investors</w:t>
            </w:r>
          </w:p>
        </w:tc>
        <w:tc>
          <w:tcPr>
            <w:tcW w:w="1701" w:type="dxa"/>
            <w:tcBorders>
              <w:top w:val="nil"/>
              <w:left w:val="nil"/>
              <w:bottom w:val="single" w:sz="4" w:space="0" w:color="auto"/>
              <w:right w:val="nil"/>
            </w:tcBorders>
          </w:tcPr>
          <w:p w14:paraId="269779DF" w14:textId="123D010D" w:rsidR="005F5DC4" w:rsidRPr="00A06B1A" w:rsidRDefault="005F5DC4" w:rsidP="005F5DC4">
            <w:pPr>
              <w:pStyle w:val="Bodytext"/>
              <w:jc w:val="right"/>
            </w:pPr>
            <w:r>
              <w:t>4,045,135</w:t>
            </w:r>
          </w:p>
        </w:tc>
        <w:tc>
          <w:tcPr>
            <w:tcW w:w="1134" w:type="dxa"/>
            <w:tcBorders>
              <w:top w:val="nil"/>
              <w:left w:val="nil"/>
              <w:bottom w:val="single" w:sz="4" w:space="0" w:color="auto"/>
              <w:right w:val="nil"/>
            </w:tcBorders>
          </w:tcPr>
          <w:p w14:paraId="1C2B36A2" w14:textId="495E1BC6" w:rsidR="005F5DC4" w:rsidRPr="00A06B1A" w:rsidRDefault="005F5DC4" w:rsidP="005F5DC4">
            <w:pPr>
              <w:pStyle w:val="Bodytext"/>
              <w:jc w:val="right"/>
            </w:pPr>
            <w:r>
              <w:t>5.06</w:t>
            </w:r>
          </w:p>
        </w:tc>
        <w:tc>
          <w:tcPr>
            <w:tcW w:w="1270" w:type="dxa"/>
            <w:tcBorders>
              <w:top w:val="nil"/>
              <w:left w:val="nil"/>
              <w:bottom w:val="single" w:sz="4" w:space="0" w:color="auto"/>
              <w:right w:val="nil"/>
            </w:tcBorders>
          </w:tcPr>
          <w:p w14:paraId="40DB976E" w14:textId="3A5C62C8" w:rsidR="005F5DC4" w:rsidRPr="00A06B1A" w:rsidRDefault="005F5DC4" w:rsidP="005F5DC4">
            <w:pPr>
              <w:pStyle w:val="Bodytext"/>
              <w:jc w:val="right"/>
            </w:pPr>
            <w:r>
              <w:t>Indirect</w:t>
            </w:r>
          </w:p>
        </w:tc>
      </w:tr>
    </w:tbl>
    <w:p w14:paraId="4C481433" w14:textId="77777777" w:rsidR="009145B0" w:rsidRPr="00811BA1" w:rsidRDefault="009145B0" w:rsidP="00EB7E49">
      <w:pPr>
        <w:pStyle w:val="Bodytext"/>
      </w:pPr>
    </w:p>
    <w:p w14:paraId="043BD327" w14:textId="133DC412" w:rsidR="009145B0" w:rsidRPr="00811BA1" w:rsidRDefault="009145B0" w:rsidP="00505218">
      <w:pPr>
        <w:pStyle w:val="Footnote"/>
      </w:pPr>
      <w:r w:rsidRPr="00A67A51">
        <w:rPr>
          <w:vertAlign w:val="superscript"/>
        </w:rPr>
        <w:t>(1)</w:t>
      </w:r>
      <w:r w:rsidRPr="00811BA1">
        <w:tab/>
        <w:t>Held by a Cornerstone Investor</w:t>
      </w:r>
    </w:p>
    <w:p w14:paraId="1EFE3630" w14:textId="77777777" w:rsidR="009145B0" w:rsidRPr="00811BA1" w:rsidRDefault="009145B0" w:rsidP="00EB7E49">
      <w:pPr>
        <w:pStyle w:val="Bodytext"/>
      </w:pPr>
    </w:p>
    <w:p w14:paraId="1971A4DC" w14:textId="77777777" w:rsidR="009145B0" w:rsidRPr="00811BA1" w:rsidRDefault="009145B0" w:rsidP="000009D3">
      <w:pPr>
        <w:pStyle w:val="Bodytext"/>
        <w:jc w:val="both"/>
      </w:pPr>
      <w:r w:rsidRPr="00811BA1">
        <w:lastRenderedPageBreak/>
        <w:t>The Directors confirm that there are no securities in issue that carry special rights with regards to the control of the Company.</w:t>
      </w:r>
    </w:p>
    <w:p w14:paraId="38938606" w14:textId="77777777" w:rsidR="009145B0" w:rsidRPr="00811BA1" w:rsidRDefault="009145B0" w:rsidP="00EB7E49">
      <w:pPr>
        <w:pStyle w:val="Bodytext"/>
      </w:pPr>
    </w:p>
    <w:p w14:paraId="0E896FF8" w14:textId="77777777" w:rsidR="009145B0" w:rsidRPr="00811BA1" w:rsidRDefault="0065415E" w:rsidP="000009D3">
      <w:pPr>
        <w:pStyle w:val="Heading2"/>
        <w:jc w:val="both"/>
      </w:pPr>
      <w:r w:rsidRPr="00811BA1">
        <w:t>Independent External Auditor</w:t>
      </w:r>
    </w:p>
    <w:p w14:paraId="49994420" w14:textId="0822F0B2" w:rsidR="009145B0" w:rsidRPr="00811BA1" w:rsidRDefault="009145B0" w:rsidP="000009D3">
      <w:pPr>
        <w:pStyle w:val="Bodytext"/>
        <w:jc w:val="both"/>
      </w:pPr>
      <w:r w:rsidRPr="00811BA1">
        <w:t>Ernst &amp; Young LLP has been the Company’s external auditor since incorporation. The Audit Committee reviews the appointment of the external auditor, its effectiveness and its relationship with the Company, which includes monitoring the use of the external auditor for non-audit services and the balance of audit and non-audit fees paid. Following a review of the independence and effectiveness of the external auditor, a resolution will be proposed at the 20</w:t>
      </w:r>
      <w:r w:rsidR="00FB1D79">
        <w:t>20</w:t>
      </w:r>
      <w:r w:rsidRPr="00811BA1">
        <w:t xml:space="preserve"> Annual General Meeting to reappoint Ernst &amp; Young LLP. Each Director believes that there is no relevant information of which the external auditor is unaware. Each ha</w:t>
      </w:r>
      <w:r w:rsidR="00791412">
        <w:t>s</w:t>
      </w:r>
      <w:r w:rsidRPr="00811BA1">
        <w:t xml:space="preserve"> taken all steps necessary, as a Director, to be aware of any relevant audit information and to establish that Ernst &amp; Young LLP is made aware of any pertinent information. This confirmation is given and should be interpreted in accordance with the provisions of Section 249 of the Companies Law. Further information on the work of the external auditor is set out in t</w:t>
      </w:r>
      <w:r w:rsidR="00037C2D">
        <w:t>he Report of the Audit Committee</w:t>
      </w:r>
      <w:r w:rsidR="00D62E5A">
        <w:t>.</w:t>
      </w:r>
      <w:r w:rsidR="00037C2D">
        <w:t xml:space="preserve"> </w:t>
      </w:r>
    </w:p>
    <w:p w14:paraId="17D760F6" w14:textId="77777777" w:rsidR="003724DE" w:rsidRPr="00811BA1" w:rsidRDefault="003724DE" w:rsidP="000009D3">
      <w:pPr>
        <w:pStyle w:val="Bodytext"/>
        <w:jc w:val="both"/>
      </w:pPr>
    </w:p>
    <w:p w14:paraId="3CAF6EF8" w14:textId="77777777" w:rsidR="009145B0" w:rsidRPr="00811BA1" w:rsidRDefault="009145B0" w:rsidP="000009D3">
      <w:pPr>
        <w:pStyle w:val="Heading2"/>
        <w:jc w:val="both"/>
      </w:pPr>
      <w:r w:rsidRPr="00811BA1">
        <w:t>Articles of Incorporat</w:t>
      </w:r>
      <w:r w:rsidR="003724DE" w:rsidRPr="00811BA1">
        <w:t>ion</w:t>
      </w:r>
    </w:p>
    <w:p w14:paraId="31410360" w14:textId="61C81D8A" w:rsidR="009145B0" w:rsidRPr="00811BA1" w:rsidRDefault="009145B0" w:rsidP="000009D3">
      <w:pPr>
        <w:pStyle w:val="Bodytext"/>
        <w:jc w:val="both"/>
      </w:pPr>
      <w:r w:rsidRPr="00811BA1">
        <w:t>The Company’s Articles of Incorporation may only be amended by special resolution of the Shareholders.</w:t>
      </w:r>
      <w:r w:rsidR="00240068">
        <w:t xml:space="preserve"> </w:t>
      </w:r>
      <w:r w:rsidR="00240068" w:rsidRPr="00571510">
        <w:t>At the AGM on 22 May 20</w:t>
      </w:r>
      <w:r w:rsidR="00571510" w:rsidRPr="00571510">
        <w:t>18</w:t>
      </w:r>
      <w:r w:rsidR="004820E4">
        <w:t>,</w:t>
      </w:r>
      <w:r w:rsidR="00571510" w:rsidRPr="00571510">
        <w:t xml:space="preserve"> the Company adopted Amended and</w:t>
      </w:r>
      <w:r w:rsidR="00240068" w:rsidRPr="00571510">
        <w:t xml:space="preserve"> Restated Articles.</w:t>
      </w:r>
      <w:r w:rsidR="00240068">
        <w:t xml:space="preserve"> </w:t>
      </w:r>
    </w:p>
    <w:p w14:paraId="5B798450" w14:textId="77777777" w:rsidR="009145B0" w:rsidRPr="00811BA1" w:rsidRDefault="009145B0" w:rsidP="000009D3">
      <w:pPr>
        <w:pStyle w:val="Bodytext"/>
        <w:jc w:val="both"/>
      </w:pPr>
    </w:p>
    <w:p w14:paraId="048EA8A5" w14:textId="581CB7FD" w:rsidR="003F3CC3" w:rsidRPr="00811BA1" w:rsidRDefault="003724DE" w:rsidP="000009D3">
      <w:pPr>
        <w:pStyle w:val="Heading2"/>
        <w:ind w:left="0" w:firstLine="0"/>
        <w:jc w:val="both"/>
        <w:rPr>
          <w:szCs w:val="28"/>
        </w:rPr>
      </w:pPr>
      <w:r w:rsidRPr="00811BA1">
        <w:rPr>
          <w:szCs w:val="28"/>
        </w:rPr>
        <w:t>AIFMD</w:t>
      </w:r>
    </w:p>
    <w:p w14:paraId="5525F89D" w14:textId="7F39F968" w:rsidR="00FD4C73" w:rsidRDefault="00E80941" w:rsidP="000009D3">
      <w:pPr>
        <w:jc w:val="both"/>
      </w:pPr>
      <w:r w:rsidRPr="00E80941">
        <w:t xml:space="preserve">REL is regarded as an externally managed non-EEA AIF under the AIFM Directive. RIL is the Investment Manager of the Company as its non-EEA AIFM. The AIFMD outlines the required information which has to be made available to investors in an AIF and directs that material changes to this information be disclosed in the Annual Report of the AIF. All information required to be disclosed under the AIFMD is either disclosed in this Annual Report or is detailed in the Appendix entitled AIFMD Disclosures on page 178 </w:t>
      </w:r>
      <w:r w:rsidRPr="00497A59">
        <w:t xml:space="preserve">in </w:t>
      </w:r>
      <w:r w:rsidRPr="0041667D">
        <w:t>REL’s latest Prospectus which</w:t>
      </w:r>
      <w:r w:rsidRPr="00E80941">
        <w:t xml:space="preserve"> can be obtained through the Company’s website </w:t>
      </w:r>
      <w:r w:rsidR="009E7154" w:rsidRPr="00CF64AD">
        <w:t>www.RiverstoneREL.com</w:t>
      </w:r>
      <w:r w:rsidR="009E7154">
        <w:t>.</w:t>
      </w:r>
      <w:r w:rsidR="001E098D">
        <w:t xml:space="preserve"> </w:t>
      </w:r>
      <w:r w:rsidR="00FD4C73">
        <w:t>The AIFM has no remuneration within the current or prior year that falls within the scope of Article 22 of the Directive.</w:t>
      </w:r>
    </w:p>
    <w:p w14:paraId="4F4631F1" w14:textId="2CBF7714" w:rsidR="00E80941" w:rsidRPr="00E80941" w:rsidRDefault="00E80941" w:rsidP="000009D3">
      <w:pPr>
        <w:jc w:val="both"/>
      </w:pPr>
      <w:r w:rsidRPr="00E80941">
        <w:t> </w:t>
      </w:r>
    </w:p>
    <w:p w14:paraId="52F6BFE5" w14:textId="283841ED" w:rsidR="00E80941" w:rsidRDefault="00E80941" w:rsidP="000009D3">
      <w:pPr>
        <w:jc w:val="both"/>
      </w:pPr>
      <w:r w:rsidRPr="00E80941">
        <w:t xml:space="preserve">RIL provides AIFMD compliant management services to REL. The AIFM acting on behalf of the AIF, </w:t>
      </w:r>
      <w:r w:rsidR="005819E9">
        <w:t>ha</w:t>
      </w:r>
      <w:r w:rsidRPr="00E80941">
        <w:t>s appoint</w:t>
      </w:r>
      <w:r w:rsidR="005819E9">
        <w:t>ed</w:t>
      </w:r>
      <w:r w:rsidRPr="00E80941">
        <w:t xml:space="preserve"> </w:t>
      </w:r>
      <w:r w:rsidR="0041345C" w:rsidRPr="007506DC">
        <w:t>Estera</w:t>
      </w:r>
      <w:r w:rsidRPr="007506DC">
        <w:t xml:space="preserve"> Depositary Company (UK) Limited</w:t>
      </w:r>
      <w:r w:rsidRPr="00E80941">
        <w:t xml:space="preserve"> to provide depositary services to the AIF. The appointment of the Depositary is intended to adhere to, and meet the conditions placed on the Depositary and the AIFM under Article 21 and other related articles of the AIFMD. The Depositary shall only provide depositary services to the AIF should it admit one or more German and/or Danish investors following marketing activity towards them. At that time, the Depositary shall observe and comply with the Danish and German regulations applying to the provision of depositary services to a non-EEA AIF marketed in Denmark or Germany, as the case may be, by a non-EEA AIFM.</w:t>
      </w:r>
    </w:p>
    <w:p w14:paraId="6401DEEF" w14:textId="77777777" w:rsidR="00FC173E" w:rsidRDefault="00FC173E" w:rsidP="000009D3">
      <w:pPr>
        <w:jc w:val="both"/>
      </w:pPr>
    </w:p>
    <w:p w14:paraId="4206FAFC" w14:textId="6AF17EF7" w:rsidR="00FC173E" w:rsidRPr="007A152E" w:rsidRDefault="00FC173E" w:rsidP="000009D3">
      <w:pPr>
        <w:pStyle w:val="Heading2"/>
        <w:ind w:left="0" w:firstLine="0"/>
        <w:jc w:val="both"/>
        <w:rPr>
          <w:szCs w:val="28"/>
        </w:rPr>
      </w:pPr>
      <w:r w:rsidRPr="007A152E">
        <w:rPr>
          <w:szCs w:val="28"/>
        </w:rPr>
        <w:t>UCITS Eligibility</w:t>
      </w:r>
    </w:p>
    <w:p w14:paraId="4935F073" w14:textId="4A411537" w:rsidR="007A152E" w:rsidRDefault="006938EB" w:rsidP="000009D3">
      <w:pPr>
        <w:jc w:val="both"/>
        <w:rPr>
          <w:bCs/>
        </w:rPr>
      </w:pPr>
      <w:r>
        <w:rPr>
          <w:bCs/>
        </w:rPr>
        <w:t>The Investment Manager</w:t>
      </w:r>
      <w:r w:rsidR="00FC173E" w:rsidRPr="00FC173E">
        <w:rPr>
          <w:bCs/>
        </w:rPr>
        <w:t xml:space="preserve"> is a relying adviser of Riverstone Investment Group LLC. Riverstone Investment Group LLC is registered as an investment adviser with the </w:t>
      </w:r>
      <w:r w:rsidR="00FC173E">
        <w:rPr>
          <w:bCs/>
        </w:rPr>
        <w:t>SEC</w:t>
      </w:r>
      <w:r w:rsidR="00FC173E" w:rsidRPr="00FC173E">
        <w:rPr>
          <w:bCs/>
        </w:rPr>
        <w:t xml:space="preserve"> under the U</w:t>
      </w:r>
      <w:r w:rsidR="0087238A">
        <w:rPr>
          <w:bCs/>
        </w:rPr>
        <w:t>.</w:t>
      </w:r>
      <w:r w:rsidR="00FC173E" w:rsidRPr="00FC173E">
        <w:rPr>
          <w:bCs/>
        </w:rPr>
        <w:t>S</w:t>
      </w:r>
      <w:r w:rsidR="0087238A">
        <w:rPr>
          <w:bCs/>
        </w:rPr>
        <w:t>.</w:t>
      </w:r>
      <w:r w:rsidR="00FC173E" w:rsidRPr="00FC173E">
        <w:rPr>
          <w:bCs/>
        </w:rPr>
        <w:t xml:space="preserve"> Investment Advisers Act. As such, </w:t>
      </w:r>
      <w:r w:rsidR="00791412">
        <w:rPr>
          <w:bCs/>
        </w:rPr>
        <w:t>t</w:t>
      </w:r>
      <w:r>
        <w:rPr>
          <w:bCs/>
        </w:rPr>
        <w:t>he Investment Manager</w:t>
      </w:r>
      <w:r w:rsidR="00FC173E" w:rsidRPr="00FC173E">
        <w:rPr>
          <w:bCs/>
        </w:rPr>
        <w:t xml:space="preserve"> is subject to Riverstone Investment Group LLC’s supervision and control, the advisory activities of </w:t>
      </w:r>
      <w:r w:rsidR="00791412">
        <w:rPr>
          <w:bCs/>
        </w:rPr>
        <w:t>t</w:t>
      </w:r>
      <w:r>
        <w:rPr>
          <w:bCs/>
        </w:rPr>
        <w:t>he Investment Manager</w:t>
      </w:r>
      <w:r w:rsidR="00FC173E" w:rsidRPr="00FC173E">
        <w:rPr>
          <w:bCs/>
        </w:rPr>
        <w:t xml:space="preserve"> are subject to the </w:t>
      </w:r>
      <w:r w:rsidR="009C0973">
        <w:rPr>
          <w:bCs/>
        </w:rPr>
        <w:t>U</w:t>
      </w:r>
      <w:r w:rsidR="0087238A">
        <w:rPr>
          <w:bCs/>
        </w:rPr>
        <w:t>.</w:t>
      </w:r>
      <w:r w:rsidR="009C0973">
        <w:rPr>
          <w:bCs/>
        </w:rPr>
        <w:t>S</w:t>
      </w:r>
      <w:r w:rsidR="0087238A">
        <w:rPr>
          <w:bCs/>
        </w:rPr>
        <w:t>.</w:t>
      </w:r>
      <w:r w:rsidR="009C0973">
        <w:rPr>
          <w:bCs/>
        </w:rPr>
        <w:t xml:space="preserve"> </w:t>
      </w:r>
      <w:r w:rsidR="00FC173E">
        <w:rPr>
          <w:bCs/>
        </w:rPr>
        <w:t xml:space="preserve">Investment </w:t>
      </w:r>
      <w:r w:rsidR="00FC173E" w:rsidRPr="00FC173E">
        <w:rPr>
          <w:bCs/>
        </w:rPr>
        <w:t xml:space="preserve">Advisers Act and the rules thereunder and </w:t>
      </w:r>
      <w:r w:rsidR="00791412">
        <w:rPr>
          <w:bCs/>
        </w:rPr>
        <w:t>t</w:t>
      </w:r>
      <w:r>
        <w:rPr>
          <w:bCs/>
        </w:rPr>
        <w:t>he Investment Manager</w:t>
      </w:r>
      <w:r w:rsidR="00FC173E" w:rsidRPr="00FC173E">
        <w:rPr>
          <w:bCs/>
        </w:rPr>
        <w:t xml:space="preserve"> is subject to examination by the </w:t>
      </w:r>
      <w:r w:rsidR="00FC173E">
        <w:rPr>
          <w:bCs/>
        </w:rPr>
        <w:t>SEC.</w:t>
      </w:r>
      <w:r w:rsidR="00FC173E" w:rsidRPr="00FC173E">
        <w:rPr>
          <w:bCs/>
        </w:rPr>
        <w:t xml:space="preserve"> Accordingly the Company has been advised that its Ordinary Shares should be "transferable securities" and, therefore, should be eligible for investment by authorised fu</w:t>
      </w:r>
      <w:r w:rsidR="00FC173E">
        <w:rPr>
          <w:bCs/>
        </w:rPr>
        <w:t>nds in accordance with</w:t>
      </w:r>
      <w:r w:rsidR="007A152E">
        <w:rPr>
          <w:bCs/>
        </w:rPr>
        <w:t xml:space="preserve"> the </w:t>
      </w:r>
      <w:r w:rsidR="00FC173E">
        <w:rPr>
          <w:bCs/>
        </w:rPr>
        <w:t>UCITS</w:t>
      </w:r>
      <w:r w:rsidR="00FC173E" w:rsidRPr="00FC173E">
        <w:rPr>
          <w:bCs/>
        </w:rPr>
        <w:t xml:space="preserve"> </w:t>
      </w:r>
      <w:r w:rsidR="007A152E">
        <w:rPr>
          <w:bCs/>
        </w:rPr>
        <w:t xml:space="preserve">Directive </w:t>
      </w:r>
      <w:r w:rsidR="00FC173E" w:rsidRPr="00FC173E">
        <w:rPr>
          <w:bCs/>
        </w:rPr>
        <w:t>or NURS on the basis that:</w:t>
      </w:r>
    </w:p>
    <w:p w14:paraId="47A5C7FF" w14:textId="77777777" w:rsidR="007A152E" w:rsidRDefault="007A152E" w:rsidP="000009D3">
      <w:pPr>
        <w:jc w:val="both"/>
        <w:rPr>
          <w:bCs/>
        </w:rPr>
      </w:pPr>
    </w:p>
    <w:p w14:paraId="5717009F" w14:textId="2E54122D" w:rsidR="007A152E" w:rsidRPr="007A152E" w:rsidRDefault="00FC173E" w:rsidP="000009D3">
      <w:pPr>
        <w:pStyle w:val="Bodytext"/>
        <w:numPr>
          <w:ilvl w:val="0"/>
          <w:numId w:val="3"/>
        </w:numPr>
        <w:spacing w:after="80"/>
        <w:ind w:left="340" w:hanging="340"/>
        <w:jc w:val="both"/>
      </w:pPr>
      <w:r w:rsidRPr="007A152E">
        <w:t xml:space="preserve">the Company is a closed end investment company; </w:t>
      </w:r>
    </w:p>
    <w:p w14:paraId="4DB90E4B" w14:textId="36D81696" w:rsidR="007A152E" w:rsidRPr="007A152E" w:rsidRDefault="00FC173E" w:rsidP="000009D3">
      <w:pPr>
        <w:pStyle w:val="Bodytext"/>
        <w:numPr>
          <w:ilvl w:val="0"/>
          <w:numId w:val="3"/>
        </w:numPr>
        <w:spacing w:after="80"/>
        <w:ind w:left="340" w:hanging="340"/>
        <w:jc w:val="both"/>
      </w:pPr>
      <w:r w:rsidRPr="007A152E">
        <w:t xml:space="preserve">the Ordinary Shares are admitted to trading on the Main Market of the London Stock Exchange; and </w:t>
      </w:r>
    </w:p>
    <w:p w14:paraId="20439AFE" w14:textId="1AE7581A" w:rsidR="007A152E" w:rsidRPr="007A152E" w:rsidRDefault="00FC173E" w:rsidP="000009D3">
      <w:pPr>
        <w:pStyle w:val="Bodytext"/>
        <w:numPr>
          <w:ilvl w:val="0"/>
          <w:numId w:val="3"/>
        </w:numPr>
        <w:spacing w:after="80"/>
        <w:ind w:left="340" w:hanging="340"/>
        <w:jc w:val="both"/>
      </w:pPr>
      <w:r w:rsidRPr="007A152E">
        <w:t xml:space="preserve">the Ordinary Shares have equal voting rights. </w:t>
      </w:r>
    </w:p>
    <w:p w14:paraId="2952586C" w14:textId="77777777" w:rsidR="007A152E" w:rsidRDefault="007A152E" w:rsidP="00EB7E49">
      <w:pPr>
        <w:rPr>
          <w:bCs/>
        </w:rPr>
      </w:pPr>
    </w:p>
    <w:p w14:paraId="36D26F3C" w14:textId="6234E9C9" w:rsidR="00FC173E" w:rsidRPr="00FC173E" w:rsidRDefault="00FC173E" w:rsidP="000009D3">
      <w:pPr>
        <w:jc w:val="both"/>
      </w:pPr>
      <w:r w:rsidRPr="00FC173E">
        <w:rPr>
          <w:bCs/>
        </w:rPr>
        <w:t>However, the manager of the relevant UCITS or NURS should satisfy itself that the Ordinary Shares are eligible for investment by the relevant UCITS or NURS</w:t>
      </w:r>
      <w:r w:rsidR="007A152E">
        <w:rPr>
          <w:bCs/>
        </w:rPr>
        <w:t xml:space="preserve">. </w:t>
      </w:r>
    </w:p>
    <w:p w14:paraId="67FB3BE0" w14:textId="77777777" w:rsidR="0056343F" w:rsidRPr="00811BA1" w:rsidRDefault="0056343F" w:rsidP="000009D3">
      <w:pPr>
        <w:jc w:val="both"/>
      </w:pPr>
    </w:p>
    <w:p w14:paraId="7ACE1B4D" w14:textId="77777777" w:rsidR="00CC0FC1" w:rsidRPr="00001B21" w:rsidRDefault="00CC0FC1" w:rsidP="000009D3">
      <w:pPr>
        <w:pStyle w:val="Heading2"/>
        <w:jc w:val="both"/>
      </w:pPr>
      <w:r w:rsidRPr="00001B21">
        <w:t>AEOI Rules</w:t>
      </w:r>
    </w:p>
    <w:p w14:paraId="16A3222B" w14:textId="245DE636" w:rsidR="00B80746" w:rsidRDefault="009F48EB" w:rsidP="000009D3">
      <w:pPr>
        <w:pStyle w:val="Bodytext"/>
        <w:jc w:val="both"/>
      </w:pPr>
      <w:r w:rsidRPr="00001B21">
        <w:t xml:space="preserve">Under AEOI Rules the Company continues to comply with both FATCA </w:t>
      </w:r>
      <w:r w:rsidR="007826CA" w:rsidRPr="00001B21">
        <w:t>and</w:t>
      </w:r>
      <w:r w:rsidRPr="00001B21">
        <w:t xml:space="preserve"> CRS requirements to the extent relevant to the Company.</w:t>
      </w:r>
    </w:p>
    <w:p w14:paraId="34EA18FA" w14:textId="77777777" w:rsidR="008B0216" w:rsidRPr="00811BA1" w:rsidRDefault="008B0216" w:rsidP="000009D3">
      <w:pPr>
        <w:pStyle w:val="Bodytext"/>
        <w:jc w:val="both"/>
      </w:pPr>
    </w:p>
    <w:p w14:paraId="4B1C398B" w14:textId="6A031BA1" w:rsidR="009145B0" w:rsidRPr="00811BA1" w:rsidRDefault="009145B0" w:rsidP="000009D3">
      <w:pPr>
        <w:pStyle w:val="Heading2"/>
        <w:ind w:left="0" w:firstLine="0"/>
        <w:jc w:val="both"/>
      </w:pPr>
      <w:r w:rsidRPr="00811BA1">
        <w:t>General Par</w:t>
      </w:r>
      <w:r w:rsidR="003724DE" w:rsidRPr="00811BA1">
        <w:t>tner’s Performance Allocation</w:t>
      </w:r>
      <w:r w:rsidR="00C250FF">
        <w:t xml:space="preserve"> and Management Fees</w:t>
      </w:r>
    </w:p>
    <w:p w14:paraId="3801E8E0" w14:textId="137AE7AB" w:rsidR="00DD7AE7" w:rsidRDefault="0052604A" w:rsidP="000009D3">
      <w:pPr>
        <w:pStyle w:val="Bodytext"/>
        <w:jc w:val="both"/>
      </w:pPr>
      <w:r>
        <w:t>T</w:t>
      </w:r>
      <w:r w:rsidR="00DD7AE7">
        <w:t>he General Partner’s Performance Allocation is equal to 20</w:t>
      </w:r>
      <w:r w:rsidR="006C5D7A">
        <w:t xml:space="preserve"> per cent.</w:t>
      </w:r>
      <w:r w:rsidR="00DD7AE7">
        <w:t xml:space="preserve"> of </w:t>
      </w:r>
      <w:r w:rsidR="00C250FF">
        <w:t xml:space="preserve">all </w:t>
      </w:r>
      <w:r w:rsidR="008C091D">
        <w:t xml:space="preserve">applicable </w:t>
      </w:r>
      <w:r w:rsidR="00DD7AE7">
        <w:t>realised</w:t>
      </w:r>
      <w:r w:rsidR="00C250FF">
        <w:t xml:space="preserve"> pre-tax</w:t>
      </w:r>
      <w:r w:rsidR="00DD7AE7">
        <w:t xml:space="preserve"> profits</w:t>
      </w:r>
      <w:r w:rsidR="008C091D">
        <w:t>,</w:t>
      </w:r>
      <w:r w:rsidR="008C091D" w:rsidRPr="008C091D">
        <w:rPr>
          <w:sz w:val="16"/>
          <w:szCs w:val="16"/>
          <w:lang w:val="en-US"/>
        </w:rPr>
        <w:t xml:space="preserve"> </w:t>
      </w:r>
      <w:r w:rsidR="008C091D" w:rsidRPr="008C091D">
        <w:t>in accordance with the revised terms announced on 3 January 2020, but effective 30 June 2019</w:t>
      </w:r>
      <w:r w:rsidR="00E319C6">
        <w:t xml:space="preserve"> </w:t>
      </w:r>
      <w:r w:rsidR="008C091D">
        <w:t>(see Note 10 for further detail)</w:t>
      </w:r>
      <w:r w:rsidR="00DD7AE7">
        <w:t xml:space="preserve">. </w:t>
      </w:r>
      <w:r w:rsidR="00DE476F">
        <w:t>In particular, taxes on realised g</w:t>
      </w:r>
      <w:r w:rsidR="00632634">
        <w:t>ains from ECI investments</w:t>
      </w:r>
      <w:r w:rsidR="00C250FF">
        <w:t>, as shown in the Investment Manager’s Report</w:t>
      </w:r>
      <w:r w:rsidR="00202F6C">
        <w:t>,</w:t>
      </w:r>
      <w:r w:rsidR="00632634">
        <w:t xml:space="preserve"> </w:t>
      </w:r>
      <w:r w:rsidR="004820E4">
        <w:t xml:space="preserve">in excess of existing net operating losses, </w:t>
      </w:r>
      <w:r w:rsidR="00632634">
        <w:t>can be substantial</w:t>
      </w:r>
      <w:r w:rsidR="006D3E0A">
        <w:t xml:space="preserve"> at rates up to</w:t>
      </w:r>
      <w:r w:rsidR="008860BC">
        <w:t xml:space="preserve"> 27.5</w:t>
      </w:r>
      <w:r w:rsidR="00C250FF">
        <w:t xml:space="preserve"> per cent.</w:t>
      </w:r>
      <w:r w:rsidR="00632634">
        <w:t xml:space="preserve"> </w:t>
      </w:r>
      <w:r w:rsidR="00632634">
        <w:lastRenderedPageBreak/>
        <w:t>The Company is not an umbrella collective investment undertak</w:t>
      </w:r>
      <w:r w:rsidR="00DE476F">
        <w:t>ing and therefore has no gross l</w:t>
      </w:r>
      <w:r w:rsidR="00632634">
        <w:t>iability.</w:t>
      </w:r>
      <w:r w:rsidR="00C14D88" w:rsidRPr="00C14D88">
        <w:t xml:space="preserve"> </w:t>
      </w:r>
      <w:r w:rsidR="00DD5CB5" w:rsidRPr="00DD5CB5">
        <w:t>In the normal course o</w:t>
      </w:r>
      <w:r w:rsidR="0057715C">
        <w:t>f business, REL may form wholly-</w:t>
      </w:r>
      <w:r w:rsidR="00DD5CB5" w:rsidRPr="00DD5CB5">
        <w:t>owned subsidiaries, to be treated as C Corporations for U.S. tax purposes. The C Corporations serve to protect REL’s public investors from incurring U.S. ECI. The C Corporations file U.S. corporate tax returns with the U.S. IRS and pay U.S. corporate taxes on its taxable income.</w:t>
      </w:r>
    </w:p>
    <w:p w14:paraId="5A05465B" w14:textId="77777777" w:rsidR="00DD7AE7" w:rsidRDefault="00DD7AE7" w:rsidP="000009D3">
      <w:pPr>
        <w:pStyle w:val="Bodytext"/>
        <w:jc w:val="both"/>
      </w:pPr>
    </w:p>
    <w:p w14:paraId="14D86270" w14:textId="4597807B" w:rsidR="009145B0" w:rsidRPr="00811BA1" w:rsidRDefault="009145B0" w:rsidP="000009D3">
      <w:pPr>
        <w:pStyle w:val="Bodytext"/>
        <w:jc w:val="both"/>
      </w:pPr>
      <w:r w:rsidRPr="00811BA1">
        <w:t>The General Partner’s Performance Allocation is calculated under the</w:t>
      </w:r>
      <w:r w:rsidR="008C091D">
        <w:t xml:space="preserve"> aforementioned revised</w:t>
      </w:r>
      <w:r w:rsidRPr="00811BA1">
        <w:t xml:space="preserve"> terms of the Partnership Agreement</w:t>
      </w:r>
      <w:r w:rsidR="008C091D" w:rsidRPr="008C091D">
        <w:t xml:space="preserve"> announced on 3 January 2020, but effective 30 June 2019</w:t>
      </w:r>
      <w:r w:rsidR="008C091D">
        <w:t>,</w:t>
      </w:r>
      <w:r w:rsidRPr="00811BA1">
        <w:t xml:space="preserve"> and as describ</w:t>
      </w:r>
      <w:r w:rsidR="003724DE" w:rsidRPr="00811BA1">
        <w:t>ed in the Prospectus</w:t>
      </w:r>
      <w:r w:rsidR="003314D5">
        <w:t>es</w:t>
      </w:r>
      <w:r w:rsidRPr="00811BA1">
        <w:t>.</w:t>
      </w:r>
    </w:p>
    <w:p w14:paraId="4C452D77" w14:textId="77777777" w:rsidR="003724DE" w:rsidRPr="00811BA1" w:rsidRDefault="003724DE" w:rsidP="000009D3">
      <w:pPr>
        <w:pStyle w:val="Bodytext"/>
        <w:jc w:val="both"/>
      </w:pPr>
    </w:p>
    <w:p w14:paraId="6E380990" w14:textId="38E19353" w:rsidR="00C250FF" w:rsidRDefault="009145B0" w:rsidP="000009D3">
      <w:pPr>
        <w:pStyle w:val="Bodytext"/>
        <w:jc w:val="both"/>
      </w:pPr>
      <w:r w:rsidRPr="00811BA1">
        <w:t xml:space="preserve">The </w:t>
      </w:r>
      <w:r w:rsidR="00152EF0">
        <w:t xml:space="preserve">accrued </w:t>
      </w:r>
      <w:r w:rsidRPr="00811BA1">
        <w:t xml:space="preserve">Performance Allocation </w:t>
      </w:r>
      <w:r w:rsidR="0052604A">
        <w:t>is</w:t>
      </w:r>
      <w:r w:rsidRPr="00811BA1">
        <w:t xml:space="preserve"> calculated on a quarterly basis, which </w:t>
      </w:r>
      <w:r w:rsidR="0052604A">
        <w:t>is</w:t>
      </w:r>
      <w:r w:rsidRPr="00811BA1">
        <w:t xml:space="preserve"> taken into account when calculating the fair value of the Company’s investment in the Partnership, as described in </w:t>
      </w:r>
      <w:r w:rsidRPr="00DA65D1">
        <w:t xml:space="preserve">Note </w:t>
      </w:r>
      <w:r w:rsidR="00DA65D1" w:rsidRPr="00DA65D1">
        <w:t>10</w:t>
      </w:r>
      <w:r w:rsidRPr="00DA65D1">
        <w:t>.</w:t>
      </w:r>
      <w:r w:rsidR="00637472" w:rsidRPr="00DA65D1">
        <w:t xml:space="preserve"> </w:t>
      </w:r>
      <w:r w:rsidR="00C250FF" w:rsidRPr="00DA65D1">
        <w:t xml:space="preserve">The fair value of the Company’s investment in the Partnership is after the calculation of Management </w:t>
      </w:r>
      <w:r w:rsidR="00F6773D" w:rsidRPr="00DA65D1">
        <w:t>F</w:t>
      </w:r>
      <w:r w:rsidR="00C250FF" w:rsidRPr="00DA65D1">
        <w:t xml:space="preserve">ees, as described in Note </w:t>
      </w:r>
      <w:r w:rsidR="00DA65D1" w:rsidRPr="00DA65D1">
        <w:t>10</w:t>
      </w:r>
      <w:r w:rsidR="00C250FF" w:rsidRPr="00DA65D1">
        <w:t>.</w:t>
      </w:r>
      <w:r w:rsidR="00C250FF">
        <w:t xml:space="preserve"> </w:t>
      </w:r>
    </w:p>
    <w:p w14:paraId="27A7DF60" w14:textId="77777777" w:rsidR="00C250FF" w:rsidRDefault="00C250FF" w:rsidP="000009D3">
      <w:pPr>
        <w:pStyle w:val="Bodytext"/>
        <w:jc w:val="both"/>
      </w:pPr>
    </w:p>
    <w:p w14:paraId="6E312317" w14:textId="4A01765D" w:rsidR="00C250FF" w:rsidRPr="00811BA1" w:rsidRDefault="00C250FF" w:rsidP="000009D3">
      <w:pPr>
        <w:pStyle w:val="Bodytext"/>
        <w:jc w:val="both"/>
      </w:pPr>
      <w:r>
        <w:t xml:space="preserve">The financial effect of the General Partner’s </w:t>
      </w:r>
      <w:r w:rsidR="00637472">
        <w:t xml:space="preserve">Performance Allocation, Management </w:t>
      </w:r>
      <w:r w:rsidR="00F6773D">
        <w:t>F</w:t>
      </w:r>
      <w:r w:rsidR="00637472">
        <w:t xml:space="preserve">ees and any taxes on ECI investments is shown in Note </w:t>
      </w:r>
      <w:r w:rsidR="00D0221A">
        <w:t>6</w:t>
      </w:r>
      <w:r w:rsidR="00637472">
        <w:t xml:space="preserve">. </w:t>
      </w:r>
      <w:r w:rsidR="004102B3">
        <w:t>The Investment Management Agreement continues into perpetuity post the seventh year anniversary.</w:t>
      </w:r>
    </w:p>
    <w:p w14:paraId="0C5099DA" w14:textId="77777777" w:rsidR="003724DE" w:rsidRPr="00811BA1" w:rsidRDefault="003724DE" w:rsidP="000009D3">
      <w:pPr>
        <w:pStyle w:val="Bodytext"/>
        <w:jc w:val="both"/>
      </w:pPr>
    </w:p>
    <w:p w14:paraId="1CED2B36" w14:textId="6FA3FF20" w:rsidR="009D7BBC" w:rsidRPr="009D7BBC" w:rsidRDefault="009D7BBC" w:rsidP="000009D3">
      <w:pPr>
        <w:pStyle w:val="Bodytext"/>
        <w:jc w:val="both"/>
        <w:rPr>
          <w:b/>
          <w:sz w:val="28"/>
        </w:rPr>
      </w:pPr>
      <w:r w:rsidRPr="009D7BBC">
        <w:rPr>
          <w:b/>
          <w:sz w:val="28"/>
        </w:rPr>
        <w:t>Going Concern</w:t>
      </w:r>
    </w:p>
    <w:p w14:paraId="34742700" w14:textId="268D94E2" w:rsidR="009D7BBC" w:rsidRPr="00811BA1" w:rsidRDefault="009D7BBC" w:rsidP="000009D3">
      <w:pPr>
        <w:pStyle w:val="Bodytext"/>
        <w:jc w:val="both"/>
      </w:pPr>
      <w:r w:rsidRPr="00811BA1">
        <w:t xml:space="preserve">The Company’s </w:t>
      </w:r>
      <w:r>
        <w:t>F</w:t>
      </w:r>
      <w:r w:rsidRPr="00811BA1">
        <w:t xml:space="preserve">inancial </w:t>
      </w:r>
      <w:r>
        <w:t>S</w:t>
      </w:r>
      <w:r w:rsidRPr="00811BA1">
        <w:t xml:space="preserve">tatements are prepared in accordance </w:t>
      </w:r>
      <w:r w:rsidR="00152EF0">
        <w:t>with Guernsey law and IFRS</w:t>
      </w:r>
      <w:r w:rsidRPr="00811BA1">
        <w:t xml:space="preserve"> and presented on a going concern basis. As further disclosed in the Corporate Governance Report, the Company is a member of the AIC and complies with the AIC Code</w:t>
      </w:r>
      <w:r>
        <w:t xml:space="preserve">. </w:t>
      </w:r>
      <w:r w:rsidR="0028468D">
        <w:t>I</w:t>
      </w:r>
      <w:r w:rsidR="0028468D" w:rsidRPr="0028468D">
        <w:t>n the context of the uncertain outcome of the D</w:t>
      </w:r>
      <w:r w:rsidR="0028468D">
        <w:t>iscontinuation Resolution</w:t>
      </w:r>
      <w:r w:rsidR="00893B6A">
        <w:t xml:space="preserve"> </w:t>
      </w:r>
      <w:r w:rsidR="00BF4E59">
        <w:t>V</w:t>
      </w:r>
      <w:r w:rsidR="00893B6A">
        <w:t>ote</w:t>
      </w:r>
      <w:r w:rsidR="0028468D">
        <w:t xml:space="preserve"> in </w:t>
      </w:r>
      <w:r w:rsidR="00893B6A">
        <w:t>Q4</w:t>
      </w:r>
      <w:r w:rsidR="0028468D">
        <w:t xml:space="preserve"> 2020,</w:t>
      </w:r>
      <w:r w:rsidR="0028468D" w:rsidRPr="0028468D">
        <w:t xml:space="preserve"> </w:t>
      </w:r>
      <w:r w:rsidR="00B40DF1">
        <w:t xml:space="preserve">and </w:t>
      </w:r>
      <w:r w:rsidR="0028468D">
        <w:t xml:space="preserve">the recent </w:t>
      </w:r>
      <w:r w:rsidR="0028468D" w:rsidRPr="0028468D">
        <w:t xml:space="preserve">oil </w:t>
      </w:r>
      <w:r w:rsidR="0028468D">
        <w:t>and</w:t>
      </w:r>
      <w:r w:rsidR="0028468D" w:rsidRPr="0028468D">
        <w:t xml:space="preserve"> gas market decline and C</w:t>
      </w:r>
      <w:r w:rsidR="0028468D">
        <w:t>OVID</w:t>
      </w:r>
      <w:r w:rsidR="0028468D" w:rsidRPr="0028468D">
        <w:t>-19</w:t>
      </w:r>
      <w:r w:rsidR="0028468D">
        <w:t>,</w:t>
      </w:r>
      <w:r w:rsidR="00B40DF1">
        <w:t xml:space="preserve"> there is a material uncertainty which casts significant doubt over the ability of the Company to continue as a Going Concern.</w:t>
      </w:r>
      <w:r w:rsidR="0028468D">
        <w:t xml:space="preserve"> </w:t>
      </w:r>
      <w:r w:rsidR="00B40DF1">
        <w:t xml:space="preserve">However, </w:t>
      </w:r>
      <w:r w:rsidR="0028468D">
        <w:t>t</w:t>
      </w:r>
      <w:r>
        <w:t>he</w:t>
      </w:r>
      <w:r w:rsidR="00B40DF1" w:rsidRPr="00B40DF1">
        <w:t xml:space="preserve"> </w:t>
      </w:r>
      <w:r w:rsidR="00B40DF1">
        <w:t>Financial Statements have been prepared on a going concern basis for the reasons set out below and as the</w:t>
      </w:r>
      <w:r w:rsidRPr="00811BA1">
        <w:t xml:space="preserve"> Directors</w:t>
      </w:r>
      <w:r w:rsidR="00AF037E">
        <w:t>, with recommendation from the Audit Committee (see Report of the Audit Committee for further detail),</w:t>
      </w:r>
      <w:r w:rsidRPr="00811BA1">
        <w:t xml:space="preserve"> have </w:t>
      </w:r>
      <w:r w:rsidR="00B40DF1" w:rsidRPr="00811BA1">
        <w:t>a reasonable expectation that the Company ha</w:t>
      </w:r>
      <w:r w:rsidR="00B40DF1">
        <w:t>s</w:t>
      </w:r>
      <w:r w:rsidR="00B40DF1" w:rsidRPr="00811BA1">
        <w:t xml:space="preserve"> adequate resources to continue in operational existence for the foreseeable future</w:t>
      </w:r>
      <w:r w:rsidR="00C64F1C">
        <w:t>.</w:t>
      </w:r>
      <w:r w:rsidR="008D7174">
        <w:t xml:space="preserve"> In</w:t>
      </w:r>
      <w:r w:rsidR="00B40DF1">
        <w:t xml:space="preserve"> reaching this conclusion</w:t>
      </w:r>
      <w:r w:rsidR="008D7174">
        <w:t xml:space="preserve">, the </w:t>
      </w:r>
      <w:r w:rsidR="007D5EEA">
        <w:t>Directors</w:t>
      </w:r>
      <w:r w:rsidR="008D7174">
        <w:t xml:space="preserve"> </w:t>
      </w:r>
      <w:r w:rsidRPr="00811BA1">
        <w:t>ha</w:t>
      </w:r>
      <w:r w:rsidR="007D5EEA">
        <w:t>ve</w:t>
      </w:r>
      <w:r w:rsidR="00B40DF1" w:rsidRPr="00B40DF1">
        <w:t xml:space="preserve"> </w:t>
      </w:r>
      <w:r w:rsidR="00B40DF1" w:rsidRPr="00811BA1">
        <w:t>considered the risks that could impact the Company’s liquidity over the next 12 months</w:t>
      </w:r>
      <w:r w:rsidR="00B40DF1">
        <w:t xml:space="preserve"> from the date of approval of the Financial Statements, as well as</w:t>
      </w:r>
      <w:r w:rsidR="008D7174">
        <w:t xml:space="preserve"> taken into account the following </w:t>
      </w:r>
      <w:r w:rsidR="00F601A7">
        <w:t>five</w:t>
      </w:r>
      <w:r w:rsidR="008D7174">
        <w:t xml:space="preserve"> key considerations, which are discussed further below.</w:t>
      </w:r>
    </w:p>
    <w:p w14:paraId="14A46744" w14:textId="5D654898" w:rsidR="006C599D" w:rsidRDefault="008D7174" w:rsidP="000009D3">
      <w:pPr>
        <w:pStyle w:val="Bodytext"/>
        <w:numPr>
          <w:ilvl w:val="0"/>
          <w:numId w:val="31"/>
        </w:numPr>
        <w:jc w:val="both"/>
      </w:pPr>
      <w:r>
        <w:t>Available liquid resources versus expected liabilities of the Company over the next twelve months</w:t>
      </w:r>
    </w:p>
    <w:p w14:paraId="119EE9BB" w14:textId="3E531F95" w:rsidR="008D7174" w:rsidRDefault="008D7174" w:rsidP="000009D3">
      <w:pPr>
        <w:pStyle w:val="Bodytext"/>
        <w:numPr>
          <w:ilvl w:val="0"/>
          <w:numId w:val="31"/>
        </w:numPr>
        <w:jc w:val="both"/>
      </w:pPr>
      <w:r>
        <w:t xml:space="preserve">Available liquid resources versus </w:t>
      </w:r>
      <w:r w:rsidR="00BF4E59">
        <w:t xml:space="preserve">potential </w:t>
      </w:r>
      <w:r>
        <w:t>unfunded commitments of the Partnership</w:t>
      </w:r>
    </w:p>
    <w:p w14:paraId="0411F3B3" w14:textId="6FA946EC" w:rsidR="008D7174" w:rsidRDefault="008D7174" w:rsidP="000009D3">
      <w:pPr>
        <w:pStyle w:val="Bodytext"/>
        <w:numPr>
          <w:ilvl w:val="0"/>
          <w:numId w:val="31"/>
        </w:numPr>
        <w:jc w:val="both"/>
      </w:pPr>
      <w:r>
        <w:t>Discontinuation Resolution</w:t>
      </w:r>
    </w:p>
    <w:p w14:paraId="1F8D7C63" w14:textId="406F5856" w:rsidR="008D7174" w:rsidRDefault="008D7174" w:rsidP="000009D3">
      <w:pPr>
        <w:pStyle w:val="Bodytext"/>
        <w:numPr>
          <w:ilvl w:val="0"/>
          <w:numId w:val="31"/>
        </w:numPr>
        <w:jc w:val="both"/>
      </w:pPr>
      <w:r>
        <w:t>Discount to NAV of the Company</w:t>
      </w:r>
    </w:p>
    <w:p w14:paraId="0A9CAD4B" w14:textId="6CF203A8" w:rsidR="00CE568B" w:rsidRDefault="00CE568B" w:rsidP="000009D3">
      <w:pPr>
        <w:pStyle w:val="Bodytext"/>
        <w:numPr>
          <w:ilvl w:val="0"/>
          <w:numId w:val="31"/>
        </w:numPr>
        <w:jc w:val="both"/>
      </w:pPr>
      <w:r>
        <w:t>COVID-19</w:t>
      </w:r>
    </w:p>
    <w:p w14:paraId="1B8C3D9F" w14:textId="77777777" w:rsidR="008D7174" w:rsidRDefault="008D7174" w:rsidP="000009D3">
      <w:pPr>
        <w:pStyle w:val="Bodytext"/>
        <w:jc w:val="both"/>
      </w:pPr>
    </w:p>
    <w:p w14:paraId="32844F9B" w14:textId="65CF5D81" w:rsidR="007D5EEA" w:rsidRDefault="00A11CF8" w:rsidP="000009D3">
      <w:pPr>
        <w:autoSpaceDE w:val="0"/>
        <w:autoSpaceDN w:val="0"/>
        <w:adjustRightInd w:val="0"/>
        <w:spacing w:after="120"/>
        <w:jc w:val="both"/>
      </w:pPr>
      <w:r>
        <w:rPr>
          <w:i/>
          <w:iCs/>
          <w:u w:val="single"/>
        </w:rPr>
        <w:t xml:space="preserve">1. </w:t>
      </w:r>
      <w:r w:rsidR="007D5EEA" w:rsidRPr="00A11CF8">
        <w:rPr>
          <w:i/>
          <w:iCs/>
          <w:u w:val="single"/>
        </w:rPr>
        <w:t>Available liquid resources versus expected liabilities of the Company over the next twelve months</w:t>
      </w:r>
    </w:p>
    <w:p w14:paraId="67F3D173" w14:textId="2C943D86" w:rsidR="000521FE" w:rsidRPr="005E501E" w:rsidRDefault="007D5EEA" w:rsidP="000009D3">
      <w:pPr>
        <w:autoSpaceDE w:val="0"/>
        <w:autoSpaceDN w:val="0"/>
        <w:adjustRightInd w:val="0"/>
        <w:jc w:val="both"/>
      </w:pPr>
      <w:r w:rsidRPr="00811BA1">
        <w:t xml:space="preserve">The </w:t>
      </w:r>
      <w:r>
        <w:t>Directors</w:t>
      </w:r>
      <w:r w:rsidRPr="00811BA1">
        <w:t xml:space="preserve"> ha</w:t>
      </w:r>
      <w:r>
        <w:t>ve</w:t>
      </w:r>
      <w:r w:rsidRPr="00811BA1">
        <w:t xml:space="preserve"> a reasonable expectation that the Company has adequate resources to continue in </w:t>
      </w:r>
      <w:r w:rsidRPr="00BD7DC4">
        <w:t>operational existence for the next twelve months, as explained below.</w:t>
      </w:r>
      <w:r>
        <w:t xml:space="preserve"> </w:t>
      </w:r>
      <w:r w:rsidR="006C599D" w:rsidRPr="001460DE">
        <w:t xml:space="preserve">The Company retained $11.5 million of cash in the IPO and Placing and Open Offer, and </w:t>
      </w:r>
      <w:r w:rsidR="006B6DD5">
        <w:t xml:space="preserve">has </w:t>
      </w:r>
      <w:r w:rsidR="006C599D" w:rsidRPr="001460DE">
        <w:t>received</w:t>
      </w:r>
      <w:r w:rsidR="00974F5B" w:rsidRPr="001460DE">
        <w:t xml:space="preserve"> </w:t>
      </w:r>
      <w:r w:rsidR="008D7174">
        <w:t xml:space="preserve">five </w:t>
      </w:r>
      <w:r w:rsidR="006C599D" w:rsidRPr="001460DE">
        <w:t>distribution</w:t>
      </w:r>
      <w:r w:rsidR="00974F5B" w:rsidRPr="001460DE">
        <w:t xml:space="preserve">s </w:t>
      </w:r>
      <w:r w:rsidR="00682C6B">
        <w:t xml:space="preserve">in </w:t>
      </w:r>
      <w:r w:rsidR="00682C6B" w:rsidRPr="005E501E">
        <w:t>aggregate of $</w:t>
      </w:r>
      <w:r w:rsidR="004B709E">
        <w:t>14.3</w:t>
      </w:r>
      <w:r w:rsidR="00682C6B" w:rsidRPr="005E501E">
        <w:t xml:space="preserve"> million from the Partnership </w:t>
      </w:r>
      <w:r w:rsidR="006B6DD5" w:rsidRPr="005E501E">
        <w:t xml:space="preserve">cumulatively </w:t>
      </w:r>
      <w:r w:rsidR="00682C6B" w:rsidRPr="005E501E">
        <w:t xml:space="preserve">through </w:t>
      </w:r>
      <w:r w:rsidR="0076392F">
        <w:t>31 December</w:t>
      </w:r>
      <w:r w:rsidR="00682C6B" w:rsidRPr="005E501E">
        <w:t xml:space="preserve"> 201</w:t>
      </w:r>
      <w:r w:rsidR="00FF7D3E" w:rsidRPr="005E501E">
        <w:t>9</w:t>
      </w:r>
      <w:r w:rsidR="006C599D" w:rsidRPr="005E501E">
        <w:t>, of which $</w:t>
      </w:r>
      <w:r w:rsidR="004B709E">
        <w:t>0.2</w:t>
      </w:r>
      <w:r w:rsidR="001460DE" w:rsidRPr="005E501E">
        <w:t xml:space="preserve"> </w:t>
      </w:r>
      <w:r w:rsidR="006C599D" w:rsidRPr="005E501E">
        <w:t>million remains at 31 December 201</w:t>
      </w:r>
      <w:r w:rsidR="00FF7D3E" w:rsidRPr="005E501E">
        <w:t>9</w:t>
      </w:r>
      <w:r w:rsidR="006C599D" w:rsidRPr="005E501E">
        <w:t xml:space="preserve"> (31 December 201</w:t>
      </w:r>
      <w:r w:rsidR="00FF7D3E" w:rsidRPr="005E501E">
        <w:t>8</w:t>
      </w:r>
      <w:r w:rsidR="006C599D" w:rsidRPr="005E501E">
        <w:t>: $</w:t>
      </w:r>
      <w:r w:rsidR="00FF7D3E" w:rsidRPr="005E501E">
        <w:t>2.1</w:t>
      </w:r>
      <w:r w:rsidR="006C599D" w:rsidRPr="005E501E">
        <w:t xml:space="preserve"> million). </w:t>
      </w:r>
      <w:r w:rsidR="009A3CE2" w:rsidRPr="005E501E">
        <w:t>This cash balance is</w:t>
      </w:r>
      <w:r w:rsidR="004B709E">
        <w:t xml:space="preserve"> not</w:t>
      </w:r>
      <w:r w:rsidR="009A3CE2" w:rsidRPr="005E501E">
        <w:t xml:space="preserve"> sufficient to cover the Company’s existing liabilities at 31 December 201</w:t>
      </w:r>
      <w:r w:rsidR="00FF7D3E" w:rsidRPr="005E501E">
        <w:t>9</w:t>
      </w:r>
      <w:r w:rsidR="009A3CE2" w:rsidRPr="005E501E">
        <w:t xml:space="preserve"> of </w:t>
      </w:r>
      <w:r w:rsidR="004B709E" w:rsidRPr="005E501E">
        <w:t>$</w:t>
      </w:r>
      <w:r w:rsidR="007314FC">
        <w:t>1</w:t>
      </w:r>
      <w:r w:rsidR="004B709E">
        <w:t>.7</w:t>
      </w:r>
      <w:r w:rsidR="004B709E" w:rsidRPr="005E501E">
        <w:t xml:space="preserve"> </w:t>
      </w:r>
      <w:r w:rsidR="009A3CE2" w:rsidRPr="005E501E">
        <w:t>million</w:t>
      </w:r>
      <w:r w:rsidR="00C331F4" w:rsidRPr="005E501E">
        <w:t xml:space="preserve">, </w:t>
      </w:r>
      <w:r w:rsidR="004B709E">
        <w:t>so</w:t>
      </w:r>
      <w:r w:rsidR="004B709E" w:rsidRPr="005E501E">
        <w:t xml:space="preserve"> </w:t>
      </w:r>
      <w:r w:rsidR="00C331F4" w:rsidRPr="005E501E">
        <w:t xml:space="preserve">the Company will require a distribution of </w:t>
      </w:r>
      <w:r w:rsidR="00DB2A5B" w:rsidRPr="005E501E">
        <w:t>$</w:t>
      </w:r>
      <w:r w:rsidR="00E57675">
        <w:t>5</w:t>
      </w:r>
      <w:r w:rsidR="004B709E">
        <w:t>.5</w:t>
      </w:r>
      <w:r w:rsidR="00DB2A5B" w:rsidRPr="005E501E">
        <w:t xml:space="preserve"> </w:t>
      </w:r>
      <w:r w:rsidR="00C331F4" w:rsidRPr="005E501E">
        <w:t>million</w:t>
      </w:r>
      <w:r w:rsidR="004B709E">
        <w:t xml:space="preserve"> </w:t>
      </w:r>
      <w:r w:rsidR="00C331F4" w:rsidRPr="005E501E">
        <w:t>to cover</w:t>
      </w:r>
      <w:r w:rsidR="004B709E">
        <w:t xml:space="preserve"> these liabilities at 31 December 2019 and</w:t>
      </w:r>
      <w:r w:rsidR="00C331F4" w:rsidRPr="005E501E">
        <w:t xml:space="preserve"> its </w:t>
      </w:r>
      <w:r w:rsidR="009A3CE2" w:rsidRPr="005E501E">
        <w:t>forecast</w:t>
      </w:r>
      <w:r w:rsidR="0093481A" w:rsidRPr="005E501E">
        <w:t>ed</w:t>
      </w:r>
      <w:r w:rsidR="009A3CE2" w:rsidRPr="005E501E">
        <w:t xml:space="preserve"> annual expenses for 20</w:t>
      </w:r>
      <w:r w:rsidR="00FF7D3E" w:rsidRPr="005E501E">
        <w:t>20</w:t>
      </w:r>
      <w:r w:rsidR="009A3CE2" w:rsidRPr="005E501E">
        <w:t xml:space="preserve"> of approximately </w:t>
      </w:r>
      <w:r w:rsidR="00DB2A5B" w:rsidRPr="005E501E">
        <w:t>$</w:t>
      </w:r>
      <w:r w:rsidR="004B709E">
        <w:t>4.0</w:t>
      </w:r>
      <w:r w:rsidR="00DB2A5B" w:rsidRPr="005E501E">
        <w:t xml:space="preserve"> </w:t>
      </w:r>
      <w:r w:rsidR="009A3CE2" w:rsidRPr="005E501E">
        <w:t xml:space="preserve">million. </w:t>
      </w:r>
      <w:bookmarkStart w:id="14" w:name="_Hlk36926051"/>
      <w:r w:rsidR="00B860F4">
        <w:t>As in prior years</w:t>
      </w:r>
      <w:r w:rsidR="00B40DF1">
        <w:t>,</w:t>
      </w:r>
      <w:r w:rsidR="00B860F4">
        <w:t xml:space="preserve"> i</w:t>
      </w:r>
      <w:r w:rsidR="0023639C" w:rsidRPr="005E501E">
        <w:t xml:space="preserve">n accordance with the Partnership Agreement, </w:t>
      </w:r>
      <w:r w:rsidR="002923F3">
        <w:t>i</w:t>
      </w:r>
      <w:r w:rsidR="006C599D" w:rsidRPr="005E501E">
        <w:t>f the Company requir</w:t>
      </w:r>
      <w:r w:rsidR="002923F3">
        <w:t>es</w:t>
      </w:r>
      <w:r w:rsidR="006C599D" w:rsidRPr="005E501E">
        <w:t xml:space="preserve"> additional funds</w:t>
      </w:r>
      <w:r w:rsidR="0023639C" w:rsidRPr="005E501E">
        <w:t xml:space="preserve"> for working capital</w:t>
      </w:r>
      <w:r w:rsidR="006C599D" w:rsidRPr="005E501E">
        <w:t xml:space="preserve">, it is </w:t>
      </w:r>
      <w:r w:rsidR="0023639C" w:rsidRPr="005E501E">
        <w:t xml:space="preserve">entitled </w:t>
      </w:r>
      <w:r w:rsidR="006C599D" w:rsidRPr="005E501E">
        <w:t>to receive another distribution from the Partnership.</w:t>
      </w:r>
      <w:bookmarkEnd w:id="14"/>
      <w:r w:rsidR="00DC70E7">
        <w:t xml:space="preserve"> In order to do so, the Company would submit a distribution request approved by the Board to the Partnership, which would then be required to arrange for the payment of the requested amount. Since REL’s inception, the Company has requested and received five distributions from the Partnership for working capital needs. As detailed further in section 2 below, as of the date of this report, the Partnership has available liquid resources in excess of potential unfunded commitments</w:t>
      </w:r>
      <w:r w:rsidR="005656E3" w:rsidRPr="005656E3">
        <w:t xml:space="preserve"> </w:t>
      </w:r>
      <w:r w:rsidR="005656E3">
        <w:t>of $212 million at year end and currently $135 million</w:t>
      </w:r>
      <w:r w:rsidR="00DC70E7">
        <w:t>, which enable</w:t>
      </w:r>
      <w:r w:rsidR="001B0FA5">
        <w:t>s</w:t>
      </w:r>
      <w:r w:rsidR="00DC70E7">
        <w:t xml:space="preserve"> the Partnership to satisfy the aforementioned $5.5 million distribution </w:t>
      </w:r>
      <w:r w:rsidR="005656E3">
        <w:t xml:space="preserve">requirement </w:t>
      </w:r>
      <w:r w:rsidR="00DC70E7">
        <w:t>from the Company.</w:t>
      </w:r>
      <w:r w:rsidR="005656E3">
        <w:t xml:space="preserve"> In Q1 2020, the Company requested and</w:t>
      </w:r>
      <w:r w:rsidR="005656E3" w:rsidRPr="002E4628">
        <w:t xml:space="preserve"> </w:t>
      </w:r>
      <w:r w:rsidR="005656E3">
        <w:t>received a distribution of $5.0 million from the Partnership for working capital.</w:t>
      </w:r>
    </w:p>
    <w:p w14:paraId="7F222892" w14:textId="77777777" w:rsidR="000521FE" w:rsidRPr="005E501E" w:rsidRDefault="000521FE" w:rsidP="000009D3">
      <w:pPr>
        <w:autoSpaceDE w:val="0"/>
        <w:autoSpaceDN w:val="0"/>
        <w:adjustRightInd w:val="0"/>
        <w:jc w:val="both"/>
      </w:pPr>
    </w:p>
    <w:p w14:paraId="21C1DD52" w14:textId="4A06A6D6" w:rsidR="00641E1E" w:rsidRDefault="00DC3D5C" w:rsidP="000009D3">
      <w:pPr>
        <w:autoSpaceDE w:val="0"/>
        <w:autoSpaceDN w:val="0"/>
        <w:adjustRightInd w:val="0"/>
        <w:spacing w:after="120"/>
        <w:jc w:val="both"/>
      </w:pPr>
      <w:r>
        <w:rPr>
          <w:i/>
          <w:iCs/>
          <w:u w:val="single"/>
        </w:rPr>
        <w:t xml:space="preserve">2. </w:t>
      </w:r>
      <w:r w:rsidR="00641E1E" w:rsidRPr="00871FFB">
        <w:rPr>
          <w:i/>
          <w:iCs/>
          <w:u w:val="single"/>
        </w:rPr>
        <w:t>Available liquid resources versus</w:t>
      </w:r>
      <w:r w:rsidR="00267236">
        <w:rPr>
          <w:i/>
          <w:iCs/>
          <w:u w:val="single"/>
        </w:rPr>
        <w:t xml:space="preserve"> potential</w:t>
      </w:r>
      <w:r w:rsidR="00641E1E" w:rsidRPr="00871FFB">
        <w:rPr>
          <w:i/>
          <w:iCs/>
          <w:u w:val="single"/>
        </w:rPr>
        <w:t xml:space="preserve"> unfunded commitments of the Partnership</w:t>
      </w:r>
    </w:p>
    <w:p w14:paraId="04CCB572" w14:textId="32402AA7" w:rsidR="00267236" w:rsidRDefault="006C599D" w:rsidP="000009D3">
      <w:pPr>
        <w:autoSpaceDE w:val="0"/>
        <w:autoSpaceDN w:val="0"/>
        <w:adjustRightInd w:val="0"/>
        <w:jc w:val="both"/>
        <w:rPr>
          <w:rFonts w:ascii="DINCLSLight" w:hAnsi="DINCLSLight" w:cs="DINCLSLight"/>
          <w:color w:val="272626"/>
          <w:sz w:val="18"/>
          <w:szCs w:val="18"/>
        </w:rPr>
      </w:pPr>
      <w:bookmarkStart w:id="15" w:name="_Hlk36926109"/>
      <w:r w:rsidRPr="005E501E">
        <w:t>As at 31 December 201</w:t>
      </w:r>
      <w:r w:rsidR="00FF7D3E" w:rsidRPr="005E501E">
        <w:t>9</w:t>
      </w:r>
      <w:r w:rsidRPr="005E501E">
        <w:t>, the Partnership</w:t>
      </w:r>
      <w:bookmarkStart w:id="16" w:name="_Hlk36926284"/>
      <w:r w:rsidR="008F05A5" w:rsidRPr="005E501E">
        <w:t>, including</w:t>
      </w:r>
      <w:r w:rsidR="0057715C" w:rsidRPr="005E501E">
        <w:t xml:space="preserve"> its wholly-</w:t>
      </w:r>
      <w:r w:rsidR="008F05A5" w:rsidRPr="005E501E">
        <w:t xml:space="preserve">owned subsidiaries, </w:t>
      </w:r>
      <w:r w:rsidR="00373738">
        <w:t xml:space="preserve">REL Cayman Holdings, LP, </w:t>
      </w:r>
      <w:r w:rsidR="008F05A5" w:rsidRPr="005E501E">
        <w:t>REL US Corp and REL US Centennial Holdings, LLC,</w:t>
      </w:r>
      <w:bookmarkEnd w:id="16"/>
      <w:r w:rsidR="008F05A5" w:rsidRPr="005E501E">
        <w:t xml:space="preserve"> </w:t>
      </w:r>
      <w:r w:rsidRPr="005E501E">
        <w:t xml:space="preserve">had </w:t>
      </w:r>
      <w:r w:rsidR="004B709E" w:rsidRPr="005E501E">
        <w:t>$</w:t>
      </w:r>
      <w:r w:rsidR="004B709E">
        <w:t>182</w:t>
      </w:r>
      <w:r w:rsidR="004B709E" w:rsidRPr="005E501E">
        <w:t xml:space="preserve"> </w:t>
      </w:r>
      <w:r w:rsidRPr="005E501E">
        <w:t>million of uninvested funds held as cash and money market fixed deposits (31 December 201</w:t>
      </w:r>
      <w:r w:rsidR="00FF7D3E" w:rsidRPr="005E501E">
        <w:t>8</w:t>
      </w:r>
      <w:r w:rsidRPr="005E501E">
        <w:t>: $</w:t>
      </w:r>
      <w:r w:rsidR="00406FB6" w:rsidRPr="005E501E">
        <w:t>1</w:t>
      </w:r>
      <w:r w:rsidR="00FF7D3E" w:rsidRPr="005E501E">
        <w:t>35</w:t>
      </w:r>
      <w:r w:rsidRPr="005E501E">
        <w:t xml:space="preserve"> million), and has no material going concern risk.</w:t>
      </w:r>
      <w:r w:rsidR="00C948BC" w:rsidRPr="005E501E">
        <w:rPr>
          <w:rFonts w:ascii="DINCLSLight" w:hAnsi="DINCLSLight" w:cs="DINCLSLight"/>
          <w:color w:val="272626"/>
          <w:sz w:val="18"/>
          <w:szCs w:val="18"/>
        </w:rPr>
        <w:t xml:space="preserve"> </w:t>
      </w:r>
      <w:bookmarkEnd w:id="15"/>
      <w:r w:rsidR="00DC70E7" w:rsidRPr="00253487">
        <w:t>Th</w:t>
      </w:r>
      <w:r w:rsidR="00DC70E7">
        <w:t>is</w:t>
      </w:r>
      <w:r w:rsidR="00DC70E7" w:rsidRPr="00253487">
        <w:t xml:space="preserve"> </w:t>
      </w:r>
      <w:r w:rsidR="00DC70E7">
        <w:t>amount is</w:t>
      </w:r>
      <w:r w:rsidR="00DC70E7" w:rsidRPr="00253487">
        <w:t xml:space="preserve"> comprised of $163 million held at the Partnership and $19 million held at REL US Corp. Based on current and cumulative earnings and profit, the distribution of</w:t>
      </w:r>
      <w:r w:rsidR="00F573BD">
        <w:t xml:space="preserve"> the</w:t>
      </w:r>
      <w:r w:rsidR="00DC70E7" w:rsidRPr="00253487">
        <w:t xml:space="preserve"> </w:t>
      </w:r>
      <w:r w:rsidR="00F573BD">
        <w:t xml:space="preserve">$19 million </w:t>
      </w:r>
      <w:r w:rsidR="00DC70E7" w:rsidRPr="00253487">
        <w:t>cash from REL US Corp to the Partnership for the year ended 31 December 2019 is subject to the U.S. federal tax rate of 30 per cent., or $5.7 million as of 31 December 2019.</w:t>
      </w:r>
      <w:r w:rsidR="00DC70E7">
        <w:t xml:space="preserve"> </w:t>
      </w:r>
      <w:bookmarkStart w:id="17" w:name="_Hlk37671727"/>
      <w:r w:rsidR="00DC70E7" w:rsidRPr="004A19B6">
        <w:t xml:space="preserve">In Q1 2020, </w:t>
      </w:r>
      <w:r w:rsidR="00DC70E7">
        <w:t xml:space="preserve">the Company, through the Partnership, received </w:t>
      </w:r>
      <w:r w:rsidR="00DC70E7" w:rsidRPr="004A19B6">
        <w:t>$23 million</w:t>
      </w:r>
      <w:r w:rsidR="00DC70E7">
        <w:t xml:space="preserve"> </w:t>
      </w:r>
      <w:r w:rsidR="00DC70E7">
        <w:lastRenderedPageBreak/>
        <w:t>of proceeds</w:t>
      </w:r>
      <w:r w:rsidR="00DC70E7" w:rsidRPr="004A19B6">
        <w:t xml:space="preserve"> upon closing of the</w:t>
      </w:r>
      <w:r w:rsidR="00DC70E7">
        <w:t xml:space="preserve"> Aleph</w:t>
      </w:r>
      <w:r w:rsidR="00A11CF8">
        <w:t xml:space="preserve"> Midstream</w:t>
      </w:r>
      <w:r w:rsidR="00DC70E7">
        <w:t xml:space="preserve"> investment</w:t>
      </w:r>
      <w:r w:rsidR="00DC70E7" w:rsidRPr="004A19B6">
        <w:t xml:space="preserve"> winddown</w:t>
      </w:r>
      <w:r w:rsidR="00DC70E7">
        <w:t>, as well as proceeds of $8 million from the partial realisation of Ridgebury H3 LLC and $7 million from the sale of Castex Energy 2014 LLC</w:t>
      </w:r>
      <w:r w:rsidR="00DC70E7" w:rsidRPr="004A19B6">
        <w:t>, which</w:t>
      </w:r>
      <w:r w:rsidR="00DC70E7">
        <w:t>, in aggregate,</w:t>
      </w:r>
      <w:r w:rsidR="00DC70E7" w:rsidRPr="004A19B6">
        <w:t xml:space="preserve"> brought the</w:t>
      </w:r>
      <w:r w:rsidR="001F5046">
        <w:t xml:space="preserve"> Partnership’s</w:t>
      </w:r>
      <w:r w:rsidR="00DC70E7" w:rsidRPr="004A19B6">
        <w:t xml:space="preserve"> uninvested cash balance to $2</w:t>
      </w:r>
      <w:r w:rsidR="00DC70E7">
        <w:t>07</w:t>
      </w:r>
      <w:r w:rsidR="00DC70E7" w:rsidRPr="004A19B6">
        <w:t xml:space="preserve"> million</w:t>
      </w:r>
      <w:r w:rsidR="00DC70E7">
        <w:t xml:space="preserve"> after funding $7 million to Onyx Power, distributing $5 million of the aforementioned request to the Company and paying </w:t>
      </w:r>
      <w:r w:rsidR="00407D9F">
        <w:t>$1.2 million</w:t>
      </w:r>
      <w:r w:rsidR="00DC70E7">
        <w:t xml:space="preserve"> of the 31 December 2019 </w:t>
      </w:r>
      <w:r w:rsidR="00407D9F">
        <w:t>M</w:t>
      </w:r>
      <w:r w:rsidR="00DC70E7">
        <w:t xml:space="preserve">anagement </w:t>
      </w:r>
      <w:r w:rsidR="00407D9F">
        <w:t>F</w:t>
      </w:r>
      <w:r w:rsidR="00DC70E7">
        <w:t>ee</w:t>
      </w:r>
      <w:r w:rsidR="00407D9F">
        <w:t xml:space="preserve"> of $2.4 million</w:t>
      </w:r>
      <w:r w:rsidR="00620175" w:rsidRPr="004A19B6">
        <w:t xml:space="preserve">. </w:t>
      </w:r>
      <w:bookmarkEnd w:id="17"/>
      <w:r w:rsidR="00267236">
        <w:t xml:space="preserve">In January 2020, the Company announced that its Management Engagement Committee and the Investment Manager had agreed amendments to the terms on which the Company is required to pay a performance allocation. </w:t>
      </w:r>
      <w:r w:rsidR="00267236" w:rsidRPr="00B72208">
        <w:rPr>
          <w:rFonts w:eastAsia="Calibri"/>
          <w:lang w:val="en-US"/>
        </w:rPr>
        <w:t>In accordance with the</w:t>
      </w:r>
      <w:r w:rsidR="00267236">
        <w:rPr>
          <w:rFonts w:eastAsia="Calibri"/>
          <w:lang w:val="en-US"/>
        </w:rPr>
        <w:t xml:space="preserve"> </w:t>
      </w:r>
      <w:r w:rsidR="00267236" w:rsidRPr="00B72208">
        <w:rPr>
          <w:rFonts w:eastAsia="Calibri"/>
          <w:lang w:val="en-US"/>
        </w:rPr>
        <w:t xml:space="preserve">revised terms, REL did not meet the </w:t>
      </w:r>
      <w:r w:rsidR="00267236">
        <w:rPr>
          <w:rFonts w:eastAsia="Calibri"/>
          <w:lang w:val="en-US"/>
        </w:rPr>
        <w:t>portfolio level c</w:t>
      </w:r>
      <w:r w:rsidR="00267236" w:rsidRPr="00B72208">
        <w:rPr>
          <w:rFonts w:eastAsia="Calibri"/>
          <w:lang w:val="en-US"/>
        </w:rPr>
        <w:t xml:space="preserve">ost </w:t>
      </w:r>
      <w:r w:rsidR="00267236">
        <w:rPr>
          <w:rFonts w:eastAsia="Calibri"/>
          <w:lang w:val="en-US"/>
        </w:rPr>
        <w:t>b</w:t>
      </w:r>
      <w:r w:rsidR="00267236" w:rsidRPr="00B72208">
        <w:rPr>
          <w:rFonts w:eastAsia="Calibri"/>
          <w:lang w:val="en-US"/>
        </w:rPr>
        <w:t>enchmark at 31 Dec</w:t>
      </w:r>
      <w:r w:rsidR="00267236">
        <w:rPr>
          <w:rFonts w:eastAsia="Calibri"/>
          <w:lang w:val="en-US"/>
        </w:rPr>
        <w:t>ember</w:t>
      </w:r>
      <w:r w:rsidR="00267236" w:rsidRPr="00B72208">
        <w:rPr>
          <w:rFonts w:eastAsia="Calibri"/>
          <w:lang w:val="en-US"/>
        </w:rPr>
        <w:t xml:space="preserve"> 2019; therefore, any unreali</w:t>
      </w:r>
      <w:r w:rsidR="00267236">
        <w:rPr>
          <w:rFonts w:eastAsia="Calibri"/>
          <w:lang w:val="en-US"/>
        </w:rPr>
        <w:t>s</w:t>
      </w:r>
      <w:r w:rsidR="00267236" w:rsidRPr="00B72208">
        <w:rPr>
          <w:rFonts w:eastAsia="Calibri"/>
          <w:lang w:val="en-US"/>
        </w:rPr>
        <w:t>ed performance allocation has been deferred. If the</w:t>
      </w:r>
      <w:r w:rsidR="00267236">
        <w:rPr>
          <w:rFonts w:eastAsia="Calibri"/>
          <w:lang w:val="en-US"/>
        </w:rPr>
        <w:t>se</w:t>
      </w:r>
      <w:r w:rsidR="00267236" w:rsidRPr="00B72208">
        <w:rPr>
          <w:rFonts w:eastAsia="Calibri"/>
          <w:lang w:val="en-US"/>
        </w:rPr>
        <w:t xml:space="preserve"> changes had not been accepted, then the </w:t>
      </w:r>
      <w:r w:rsidR="00267236">
        <w:rPr>
          <w:rFonts w:eastAsia="Calibri"/>
          <w:lang w:val="en-US"/>
        </w:rPr>
        <w:t>accrued</w:t>
      </w:r>
      <w:r w:rsidR="00267236" w:rsidRPr="00B72208">
        <w:rPr>
          <w:rFonts w:eastAsia="Calibri"/>
          <w:lang w:val="en-US"/>
        </w:rPr>
        <w:t xml:space="preserve"> GP Performance Allocation would have been $8.5 million as of 31 Dec</w:t>
      </w:r>
      <w:r w:rsidR="00267236">
        <w:rPr>
          <w:rFonts w:eastAsia="Calibri"/>
          <w:lang w:val="en-US"/>
        </w:rPr>
        <w:t>ember</w:t>
      </w:r>
      <w:r w:rsidR="00267236" w:rsidRPr="00B72208">
        <w:rPr>
          <w:rFonts w:eastAsia="Calibri"/>
          <w:lang w:val="en-US"/>
        </w:rPr>
        <w:t xml:space="preserve"> 2019.</w:t>
      </w:r>
    </w:p>
    <w:p w14:paraId="52B839BD" w14:textId="77777777" w:rsidR="00267236" w:rsidRDefault="00267236" w:rsidP="000009D3">
      <w:pPr>
        <w:autoSpaceDE w:val="0"/>
        <w:autoSpaceDN w:val="0"/>
        <w:adjustRightInd w:val="0"/>
        <w:jc w:val="both"/>
        <w:rPr>
          <w:rFonts w:ascii="DINCLSLight" w:hAnsi="DINCLSLight" w:cs="DINCLSLight"/>
          <w:color w:val="272626"/>
          <w:sz w:val="18"/>
          <w:szCs w:val="18"/>
        </w:rPr>
      </w:pPr>
    </w:p>
    <w:p w14:paraId="47E0D55E" w14:textId="4800D128" w:rsidR="00620175" w:rsidRDefault="00C948BC" w:rsidP="000009D3">
      <w:pPr>
        <w:autoSpaceDE w:val="0"/>
        <w:autoSpaceDN w:val="0"/>
        <w:adjustRightInd w:val="0"/>
        <w:jc w:val="both"/>
      </w:pPr>
      <w:r w:rsidRPr="005E501E">
        <w:t>Although the Company’s</w:t>
      </w:r>
      <w:r w:rsidR="00D17C06">
        <w:t xml:space="preserve"> </w:t>
      </w:r>
      <w:r w:rsidR="00BF4E59">
        <w:t xml:space="preserve">potential </w:t>
      </w:r>
      <w:r w:rsidR="00D17C06">
        <w:t>unfunded</w:t>
      </w:r>
      <w:r w:rsidRPr="005E501E">
        <w:t xml:space="preserve"> commitments</w:t>
      </w:r>
      <w:r w:rsidR="00D17C06">
        <w:t xml:space="preserve"> of $212 million as at 31 December 2019 (31 December 2018: $156 million)</w:t>
      </w:r>
      <w:r w:rsidRPr="005E501E">
        <w:t>, through the Partnership, exceed</w:t>
      </w:r>
      <w:r w:rsidR="00620175">
        <w:t>ed</w:t>
      </w:r>
      <w:r w:rsidRPr="005E501E">
        <w:t xml:space="preserve"> its available liquid resources</w:t>
      </w:r>
      <w:r w:rsidR="00620175" w:rsidRPr="00620175">
        <w:t xml:space="preserve"> </w:t>
      </w:r>
      <w:r w:rsidR="00620175">
        <w:t>as at 31 December 2019</w:t>
      </w:r>
      <w:r w:rsidRPr="005E501E">
        <w:t xml:space="preserve">, </w:t>
      </w:r>
      <w:r w:rsidR="00620175" w:rsidRPr="004A19B6">
        <w:t>the</w:t>
      </w:r>
      <w:r w:rsidR="00620175">
        <w:t xml:space="preserve"> withdrawal of the</w:t>
      </w:r>
      <w:r w:rsidR="00620175" w:rsidRPr="004A19B6">
        <w:t xml:space="preserve"> commitment to Aleph Midstream </w:t>
      </w:r>
      <w:r w:rsidR="00620175">
        <w:t>in Q1 2020</w:t>
      </w:r>
      <w:r w:rsidR="00620175" w:rsidRPr="004A19B6">
        <w:t xml:space="preserve"> brought the </w:t>
      </w:r>
      <w:r w:rsidR="00620175">
        <w:t>potential</w:t>
      </w:r>
      <w:r w:rsidR="00620175" w:rsidRPr="004A19B6">
        <w:t xml:space="preserve"> unfunded commitments</w:t>
      </w:r>
      <w:r w:rsidR="00620175">
        <w:t xml:space="preserve"> down</w:t>
      </w:r>
      <w:r w:rsidR="00620175" w:rsidRPr="004A19B6">
        <w:t xml:space="preserve"> to $135 million</w:t>
      </w:r>
      <w:r w:rsidR="00620175">
        <w:t>.</w:t>
      </w:r>
      <w:r w:rsidR="00620175" w:rsidRPr="005E501E">
        <w:t xml:space="preserve"> </w:t>
      </w:r>
      <w:r w:rsidR="00620175">
        <w:t>Therefore, as of the date of this report, the Company, through the Partnership, has available liquid resources in excess of potential unfunded commitments, which enable</w:t>
      </w:r>
      <w:r w:rsidR="001B0FA5">
        <w:t>s</w:t>
      </w:r>
      <w:r w:rsidR="00620175">
        <w:t xml:space="preserve"> the Partnership to satisfy the aforementioned $5.5 million distribution </w:t>
      </w:r>
      <w:r w:rsidR="003E158F">
        <w:t xml:space="preserve">requirement </w:t>
      </w:r>
      <w:r w:rsidR="00620175">
        <w:t xml:space="preserve">from the Company. </w:t>
      </w:r>
      <w:r w:rsidR="005656E3">
        <w:t>In Q1 2020, the Company requested and</w:t>
      </w:r>
      <w:r w:rsidR="005656E3" w:rsidRPr="002E4628">
        <w:t xml:space="preserve"> </w:t>
      </w:r>
      <w:r w:rsidR="005656E3">
        <w:t xml:space="preserve">received a distribution of $5.0 million from the Partnership for working capital. </w:t>
      </w:r>
      <w:r w:rsidR="00620175">
        <w:t xml:space="preserve">Further, </w:t>
      </w:r>
      <w:r w:rsidRPr="005E501E">
        <w:t xml:space="preserve">it is not expected that all commitments will be drawn due to a variety of factors, such as </w:t>
      </w:r>
      <w:r w:rsidR="00DC70E7">
        <w:t xml:space="preserve">the ability for the commitment to be reduced and/or cancelled by </w:t>
      </w:r>
      <w:r w:rsidR="00DC70E7" w:rsidRPr="00AA3ED9">
        <w:t>the Investment Manager</w:t>
      </w:r>
      <w:r w:rsidR="00DC70E7">
        <w:t xml:space="preserve"> with consideration from the Board, </w:t>
      </w:r>
      <w:r w:rsidR="00620175">
        <w:t>the present market conditions do not warrant presently further capital expenditure as the returns would not be incrementally positive,</w:t>
      </w:r>
      <w:r w:rsidR="00620175" w:rsidRPr="005010B5">
        <w:t xml:space="preserve"> </w:t>
      </w:r>
      <w:r w:rsidR="00501AD3" w:rsidRPr="005E501E">
        <w:t xml:space="preserve">a </w:t>
      </w:r>
      <w:r w:rsidRPr="005E501E">
        <w:t xml:space="preserve">portfolio company being sold earlier than anticipated or </w:t>
      </w:r>
      <w:r w:rsidR="00501AD3" w:rsidRPr="005E501E">
        <w:t xml:space="preserve">a </w:t>
      </w:r>
      <w:r w:rsidRPr="005E501E">
        <w:t>targeted investment opportunity changing or disappearing.</w:t>
      </w:r>
    </w:p>
    <w:p w14:paraId="48DC6700" w14:textId="77777777" w:rsidR="00620175" w:rsidRDefault="00620175" w:rsidP="000009D3">
      <w:pPr>
        <w:autoSpaceDE w:val="0"/>
        <w:autoSpaceDN w:val="0"/>
        <w:adjustRightInd w:val="0"/>
        <w:jc w:val="both"/>
      </w:pPr>
    </w:p>
    <w:p w14:paraId="67090A0B" w14:textId="741EA63E" w:rsidR="009D7BBC" w:rsidRDefault="00D17C06" w:rsidP="000009D3">
      <w:pPr>
        <w:autoSpaceDE w:val="0"/>
        <w:autoSpaceDN w:val="0"/>
        <w:adjustRightInd w:val="0"/>
        <w:jc w:val="both"/>
      </w:pPr>
      <w:r>
        <w:t>As at 31 December 2019, the Company, through the Partnership, has realised eight investments for $559 million of gross proceeds on invested capital of $387 million, respectively in aggregate, resulting in an average Gross MOIC of approximately 1.44x. The initial commitments to these eight investments were in excess of $664 million, so approximately 58 per cent. had been funded before realisation.</w:t>
      </w:r>
      <w:r w:rsidRPr="005010B5">
        <w:t xml:space="preserve"> </w:t>
      </w:r>
      <w:r w:rsidR="00C948BC" w:rsidRPr="005E501E">
        <w:t>In addition, the board of each underlying portfolio company, more often than not</w:t>
      </w:r>
      <w:r w:rsidR="006F2AF8">
        <w:t xml:space="preserve"> are</w:t>
      </w:r>
      <w:r w:rsidR="00C948BC" w:rsidRPr="005E501E">
        <w:t xml:space="preserve"> controlled by Riverstone, </w:t>
      </w:r>
      <w:r>
        <w:t xml:space="preserve">which </w:t>
      </w:r>
      <w:r w:rsidR="00C948BC" w:rsidRPr="005E501E">
        <w:t>has discretion over whether or not that capital is ultimately invested. Moreover, REL’s arrangements with Riverstone allow</w:t>
      </w:r>
      <w:r>
        <w:t xml:space="preserve"> the Company’s</w:t>
      </w:r>
      <w:r w:rsidR="00C948BC" w:rsidRPr="005E501E">
        <w:t xml:space="preserve"> </w:t>
      </w:r>
      <w:r w:rsidR="00BF4E59">
        <w:t xml:space="preserve">potential </w:t>
      </w:r>
      <w:r w:rsidR="006B6DD5" w:rsidRPr="005E501E">
        <w:t xml:space="preserve">unfunded </w:t>
      </w:r>
      <w:r w:rsidR="00C948BC" w:rsidRPr="005E501E">
        <w:t>commitments</w:t>
      </w:r>
      <w:r w:rsidR="006B6DD5" w:rsidRPr="005E501E">
        <w:t xml:space="preserve"> </w:t>
      </w:r>
      <w:r w:rsidR="00C948BC" w:rsidRPr="00081323">
        <w:t xml:space="preserve">to be </w:t>
      </w:r>
      <w:r w:rsidR="004B709E">
        <w:t>reduced and/or cancelled</w:t>
      </w:r>
      <w:r w:rsidR="004B709E" w:rsidRPr="00081323">
        <w:t xml:space="preserve"> </w:t>
      </w:r>
      <w:r w:rsidR="00C948BC" w:rsidRPr="00081323">
        <w:t>by the Investment Manager with consideration from the Board</w:t>
      </w:r>
      <w:r w:rsidR="0028468D">
        <w:t xml:space="preserve">, although this has yet </w:t>
      </w:r>
      <w:r w:rsidR="002E2642">
        <w:t xml:space="preserve">to </w:t>
      </w:r>
      <w:r w:rsidR="0028468D">
        <w:t>happen</w:t>
      </w:r>
      <w:r w:rsidR="00C948BC" w:rsidRPr="00081323">
        <w:t>.</w:t>
      </w:r>
    </w:p>
    <w:p w14:paraId="1A039B35" w14:textId="1765F1B6" w:rsidR="004B709E" w:rsidRDefault="004B709E" w:rsidP="000009D3">
      <w:pPr>
        <w:autoSpaceDE w:val="0"/>
        <w:autoSpaceDN w:val="0"/>
        <w:adjustRightInd w:val="0"/>
        <w:jc w:val="both"/>
      </w:pPr>
    </w:p>
    <w:p w14:paraId="7CBC7508" w14:textId="53A12C9F" w:rsidR="00B925BF" w:rsidRDefault="00DC3D5C" w:rsidP="000009D3">
      <w:pPr>
        <w:spacing w:after="120"/>
        <w:jc w:val="both"/>
      </w:pPr>
      <w:r>
        <w:rPr>
          <w:i/>
          <w:iCs/>
          <w:u w:val="single"/>
        </w:rPr>
        <w:t xml:space="preserve">3. </w:t>
      </w:r>
      <w:r w:rsidR="00B925BF" w:rsidRPr="00871FFB">
        <w:rPr>
          <w:i/>
          <w:iCs/>
          <w:u w:val="single"/>
        </w:rPr>
        <w:t>Discontinuation Resolution</w:t>
      </w:r>
    </w:p>
    <w:p w14:paraId="57E9CEA6" w14:textId="24F4FFD9" w:rsidR="004B709E" w:rsidRDefault="00FF0927" w:rsidP="000009D3">
      <w:pPr>
        <w:spacing w:after="210" w:line="264" w:lineRule="auto"/>
        <w:jc w:val="both"/>
      </w:pPr>
      <w:r>
        <w:t>T</w:t>
      </w:r>
      <w:r w:rsidR="004B709E">
        <w:t xml:space="preserve">he Company's </w:t>
      </w:r>
      <w:r w:rsidR="001111B6">
        <w:t>A</w:t>
      </w:r>
      <w:r w:rsidR="004B709E">
        <w:t xml:space="preserve">rticles of </w:t>
      </w:r>
      <w:r w:rsidR="001111B6">
        <w:t>I</w:t>
      </w:r>
      <w:r w:rsidR="004B709E">
        <w:t>ncorporation provide that if, on 29 October 2020 (the seventh anniversary of the Company's London listing), both of the following are true:</w:t>
      </w:r>
    </w:p>
    <w:p w14:paraId="3FA9A0C7" w14:textId="77777777" w:rsidR="004B709E" w:rsidRDefault="004B709E" w:rsidP="000009D3">
      <w:pPr>
        <w:numPr>
          <w:ilvl w:val="0"/>
          <w:numId w:val="22"/>
        </w:numPr>
        <w:spacing w:after="210" w:line="264" w:lineRule="auto"/>
        <w:ind w:left="360"/>
        <w:jc w:val="both"/>
        <w:rPr>
          <w:rFonts w:eastAsia="Cambria"/>
        </w:rPr>
      </w:pPr>
      <w:r>
        <w:t>the trading price for the Company's ordinary shares has not at any time exceeded £14.70 (initially £15.00, subject to adjustments for dividends, stock splits or consolidations and below NAV equity issuances); and</w:t>
      </w:r>
    </w:p>
    <w:p w14:paraId="6989D067" w14:textId="77777777" w:rsidR="004B709E" w:rsidRDefault="004B709E" w:rsidP="000009D3">
      <w:pPr>
        <w:numPr>
          <w:ilvl w:val="0"/>
          <w:numId w:val="22"/>
        </w:numPr>
        <w:spacing w:after="210" w:line="264" w:lineRule="auto"/>
        <w:ind w:left="360"/>
        <w:jc w:val="both"/>
        <w:rPr>
          <w:rFonts w:eastAsia="Cambria"/>
        </w:rPr>
      </w:pPr>
      <w:r>
        <w:t>a gross IRR of 8 per cent. has not been achieved on the Company's capital, calculated by reference to the prevailing valuation or sale proceeds achieved on each of the Company's investments from the date of the initial investment or commitment of capital to that investment and prior to the deduction of fees or taxes,</w:t>
      </w:r>
      <w:r>
        <w:rPr>
          <w:rFonts w:eastAsia="Cambria"/>
        </w:rPr>
        <w:t xml:space="preserve"> </w:t>
      </w:r>
    </w:p>
    <w:p w14:paraId="670CDEA6" w14:textId="2F312BD7" w:rsidR="004B709E" w:rsidRDefault="004B709E" w:rsidP="000009D3">
      <w:pPr>
        <w:widowControl w:val="0"/>
        <w:jc w:val="both"/>
      </w:pPr>
      <w:r>
        <w:t>then a special resolution must be proposed to the Company's Shareholders to discontinue the Company ("Discontinuation Resolution").  Both tests must be triggered for the requirement to propose a Discontinuation Resolution to apply.  If a Discontinuation Resolution is proposed to Shareholders and passed</w:t>
      </w:r>
      <w:r w:rsidR="00AC031C">
        <w:t xml:space="preserve"> (which requires 75 per cent. approval of those shareholders that vote their shares)</w:t>
      </w:r>
      <w:r>
        <w:t xml:space="preserve">, the Company will be liquidated. </w:t>
      </w:r>
      <w:r w:rsidR="00253764">
        <w:t xml:space="preserve">With an all time high trading price of £13.70 and </w:t>
      </w:r>
      <w:r w:rsidR="00B925BF">
        <w:t>G</w:t>
      </w:r>
      <w:r w:rsidR="00253764">
        <w:t>ross IRR of approximately -</w:t>
      </w:r>
      <w:r w:rsidR="00986B39">
        <w:t>6</w:t>
      </w:r>
      <w:r w:rsidR="00253764">
        <w:t xml:space="preserve"> per cent. as at 31 December 2019, both tests have not yet been met, so</w:t>
      </w:r>
      <w:r>
        <w:t xml:space="preserve"> </w:t>
      </w:r>
      <w:r w:rsidR="00253764">
        <w:t>t</w:t>
      </w:r>
      <w:r>
        <w:t xml:space="preserve">he </w:t>
      </w:r>
      <w:r w:rsidR="00253764">
        <w:t>Board</w:t>
      </w:r>
      <w:r>
        <w:t xml:space="preserve"> has assumed for the purposes of this going concern and viability statement that the Discontinuation Resolution is likely to be required to be proposed to Shareholders. </w:t>
      </w:r>
    </w:p>
    <w:p w14:paraId="01104608" w14:textId="685B5235" w:rsidR="00C81A2A" w:rsidRDefault="00C81A2A" w:rsidP="000009D3">
      <w:pPr>
        <w:autoSpaceDE w:val="0"/>
        <w:autoSpaceDN w:val="0"/>
        <w:adjustRightInd w:val="0"/>
        <w:jc w:val="both"/>
      </w:pPr>
    </w:p>
    <w:p w14:paraId="35639DFC" w14:textId="065E1399" w:rsidR="00E72D25" w:rsidRDefault="00E72D25" w:rsidP="000009D3">
      <w:pPr>
        <w:widowControl w:val="0"/>
        <w:jc w:val="both"/>
      </w:pPr>
      <w:r>
        <w:t xml:space="preserve">The Investment Manager and Cornerstone Investors have 8.35 per cent. and 40.4 per cent., respectively, of the votes and can block approval. Given the Investment Manager has indicated that it will not vote for the resolution, in March 2020, the Investment Manager contacted </w:t>
      </w:r>
      <w:r w:rsidR="00BF4E59">
        <w:t xml:space="preserve">one of </w:t>
      </w:r>
      <w:r>
        <w:t>the Cornerstone Investor</w:t>
      </w:r>
      <w:r w:rsidR="00BF4E59">
        <w:t>s</w:t>
      </w:r>
      <w:r w:rsidR="005546CA">
        <w:t xml:space="preserve"> regarding its voting intentions in respect of the</w:t>
      </w:r>
      <w:r>
        <w:t xml:space="preserve"> Discontinuation Resolution</w:t>
      </w:r>
      <w:r w:rsidR="00F601A7">
        <w:t>,</w:t>
      </w:r>
      <w:r w:rsidR="005546CA">
        <w:t xml:space="preserve"> but did not receive a firm indication.</w:t>
      </w:r>
      <w:r w:rsidR="00DB2271">
        <w:t xml:space="preserve"> No Cornerstone Investor has </w:t>
      </w:r>
      <w:r w:rsidR="002923F3">
        <w:t xml:space="preserve">yet </w:t>
      </w:r>
      <w:r w:rsidR="00DB2271">
        <w:t xml:space="preserve">expressed how </w:t>
      </w:r>
      <w:r w:rsidR="002923F3">
        <w:t>it would intend to</w:t>
      </w:r>
      <w:r w:rsidR="00DB2271">
        <w:t xml:space="preserve"> vote</w:t>
      </w:r>
      <w:r w:rsidR="002923F3">
        <w:t xml:space="preserve"> on the Discontinuation</w:t>
      </w:r>
      <w:r w:rsidR="00327293">
        <w:t xml:space="preserve"> Resolution</w:t>
      </w:r>
      <w:r w:rsidR="002923F3">
        <w:t xml:space="preserve"> Vote</w:t>
      </w:r>
      <w:r w:rsidR="00DB2271">
        <w:t>.</w:t>
      </w:r>
    </w:p>
    <w:p w14:paraId="0F6F2177" w14:textId="77777777" w:rsidR="00E72D25" w:rsidRDefault="00E72D25" w:rsidP="000009D3">
      <w:pPr>
        <w:autoSpaceDE w:val="0"/>
        <w:autoSpaceDN w:val="0"/>
        <w:adjustRightInd w:val="0"/>
        <w:jc w:val="both"/>
      </w:pPr>
    </w:p>
    <w:p w14:paraId="59161278" w14:textId="043513ED" w:rsidR="00373738" w:rsidRDefault="00E72D25" w:rsidP="000009D3">
      <w:pPr>
        <w:autoSpaceDE w:val="0"/>
        <w:autoSpaceDN w:val="0"/>
        <w:adjustRightInd w:val="0"/>
        <w:jc w:val="both"/>
      </w:pPr>
      <w:bookmarkStart w:id="18" w:name="_Hlk37768122"/>
      <w:r>
        <w:t>However, t</w:t>
      </w:r>
      <w:r w:rsidR="00C81A2A" w:rsidRPr="00C81A2A">
        <w:t>he</w:t>
      </w:r>
      <w:r w:rsidR="00FF0927">
        <w:t xml:space="preserve"> understanding of the</w:t>
      </w:r>
      <w:r w:rsidR="00C81A2A" w:rsidRPr="00C81A2A">
        <w:t xml:space="preserve"> Investment Manager </w:t>
      </w:r>
      <w:r>
        <w:t xml:space="preserve">is </w:t>
      </w:r>
      <w:r w:rsidR="00C81A2A" w:rsidRPr="00C81A2A">
        <w:t xml:space="preserve">for a </w:t>
      </w:r>
      <w:r w:rsidR="00373738">
        <w:t>non-Cornerstone Investor</w:t>
      </w:r>
      <w:r w:rsidR="00C81A2A" w:rsidRPr="00C81A2A">
        <w:t xml:space="preserve"> shareholder</w:t>
      </w:r>
      <w:r w:rsidR="00373738">
        <w:t xml:space="preserve"> of REL</w:t>
      </w:r>
      <w:r w:rsidR="00C81A2A" w:rsidRPr="00C81A2A">
        <w:t xml:space="preserve"> to vote against the Discontinuation Resolution because</w:t>
      </w:r>
      <w:r w:rsidR="00D70BE5" w:rsidRPr="00D70BE5">
        <w:t xml:space="preserve"> </w:t>
      </w:r>
      <w:r w:rsidR="00D70BE5">
        <w:t xml:space="preserve">of the opportunity to continue to develop the </w:t>
      </w:r>
      <w:r w:rsidR="00D70BE5">
        <w:rPr>
          <w:rFonts w:eastAsia="Calibri"/>
          <w:lang w:val="en-US"/>
        </w:rPr>
        <w:t>modified investment program</w:t>
      </w:r>
      <w:r w:rsidR="00407D9F">
        <w:rPr>
          <w:rFonts w:eastAsia="Calibri"/>
          <w:lang w:val="en-US"/>
        </w:rPr>
        <w:t>me</w:t>
      </w:r>
      <w:r w:rsidR="00D70BE5">
        <w:rPr>
          <w:rFonts w:eastAsia="Calibri"/>
          <w:lang w:val="en-US"/>
        </w:rPr>
        <w:t xml:space="preserve"> started </w:t>
      </w:r>
      <w:r w:rsidR="00F43CA1">
        <w:rPr>
          <w:rFonts w:eastAsia="Calibri"/>
          <w:lang w:val="en-US"/>
        </w:rPr>
        <w:t xml:space="preserve">in </w:t>
      </w:r>
      <w:r w:rsidR="00D70BE5">
        <w:rPr>
          <w:rFonts w:eastAsia="Calibri"/>
          <w:lang w:val="en-US"/>
        </w:rPr>
        <w:t>2019, which could avail opportunistic transactions during the current market conditions</w:t>
      </w:r>
      <w:r w:rsidR="00D70BE5">
        <w:t>. Additionally,</w:t>
      </w:r>
      <w:r w:rsidR="00C81A2A" w:rsidRPr="00C81A2A">
        <w:t xml:space="preserve"> if </w:t>
      </w:r>
      <w:r w:rsidR="00D70BE5">
        <w:t>the Discontinuation Resolution</w:t>
      </w:r>
      <w:r w:rsidR="00C81A2A" w:rsidRPr="00C81A2A">
        <w:t xml:space="preserve"> were to pass, then the following adverse consequences for REL would occur:</w:t>
      </w:r>
    </w:p>
    <w:bookmarkEnd w:id="18"/>
    <w:p w14:paraId="6A0B55DC" w14:textId="77777777" w:rsidR="00A05ABA" w:rsidRDefault="00A05ABA" w:rsidP="000009D3">
      <w:pPr>
        <w:autoSpaceDE w:val="0"/>
        <w:autoSpaceDN w:val="0"/>
        <w:adjustRightInd w:val="0"/>
        <w:jc w:val="both"/>
      </w:pPr>
    </w:p>
    <w:p w14:paraId="6414B570" w14:textId="19B6551D" w:rsidR="00411058" w:rsidRDefault="00A05ABA" w:rsidP="000009D3">
      <w:pPr>
        <w:autoSpaceDE w:val="0"/>
        <w:autoSpaceDN w:val="0"/>
        <w:adjustRightInd w:val="0"/>
        <w:jc w:val="both"/>
      </w:pPr>
      <w:r>
        <w:t>3.</w:t>
      </w:r>
      <w:r w:rsidR="00C81A2A" w:rsidRPr="00C81A2A">
        <w:t xml:space="preserve">1) </w:t>
      </w:r>
      <w:r w:rsidR="00EB56B3">
        <w:t>T</w:t>
      </w:r>
      <w:r w:rsidR="00C81A2A" w:rsidRPr="00C81A2A">
        <w:t>he Investment Manager</w:t>
      </w:r>
      <w:r w:rsidR="00937739">
        <w:t xml:space="preserve"> and Cornerstone Investors</w:t>
      </w:r>
      <w:r w:rsidR="00C81A2A" w:rsidRPr="00C81A2A">
        <w:t xml:space="preserve"> would</w:t>
      </w:r>
      <w:r w:rsidR="00937739">
        <w:t xml:space="preserve"> share (8</w:t>
      </w:r>
      <w:r w:rsidR="00460C19">
        <w:t>3</w:t>
      </w:r>
      <w:r w:rsidR="00373738">
        <w:t xml:space="preserve"> per cent.</w:t>
      </w:r>
      <w:r w:rsidR="00411058">
        <w:t xml:space="preserve"> </w:t>
      </w:r>
      <w:r w:rsidR="00937739">
        <w:t>/</w:t>
      </w:r>
      <w:r w:rsidR="00411058">
        <w:t xml:space="preserve"> </w:t>
      </w:r>
      <w:r w:rsidR="00460C19">
        <w:t>17</w:t>
      </w:r>
      <w:r w:rsidR="00373738">
        <w:t xml:space="preserve"> per cent.</w:t>
      </w:r>
      <w:r w:rsidR="00937739">
        <w:t>)</w:t>
      </w:r>
      <w:r w:rsidR="00C81A2A" w:rsidRPr="00C81A2A">
        <w:t xml:space="preserve">  a lump sum payment of 20x the previous quarter’s </w:t>
      </w:r>
      <w:r w:rsidR="00407D9F">
        <w:t>M</w:t>
      </w:r>
      <w:r w:rsidR="00C81A2A" w:rsidRPr="00C81A2A">
        <w:t xml:space="preserve">anagement </w:t>
      </w:r>
      <w:r w:rsidR="00407D9F">
        <w:t>F</w:t>
      </w:r>
      <w:r w:rsidR="00C81A2A" w:rsidRPr="00C81A2A">
        <w:t>ee</w:t>
      </w:r>
      <w:r w:rsidR="00411058">
        <w:t>. Based on the NAV at 31 December 2019, this would total approximately $57.9 million. Although the NAV at 30 September 2020 is likely to be lower given current global conditions, the amount due will still be a significant percentage of the NAV</w:t>
      </w:r>
      <w:r w:rsidR="00C81A2A" w:rsidRPr="00AC031C">
        <w:t>;</w:t>
      </w:r>
    </w:p>
    <w:p w14:paraId="047169C3" w14:textId="3D640D6F" w:rsidR="00A05ABA" w:rsidRDefault="00A05ABA" w:rsidP="000009D3">
      <w:pPr>
        <w:autoSpaceDE w:val="0"/>
        <w:autoSpaceDN w:val="0"/>
        <w:adjustRightInd w:val="0"/>
        <w:jc w:val="both"/>
      </w:pPr>
    </w:p>
    <w:p w14:paraId="7E9D687C" w14:textId="7E27113F" w:rsidR="00373738" w:rsidRDefault="00A05ABA" w:rsidP="000009D3">
      <w:pPr>
        <w:autoSpaceDE w:val="0"/>
        <w:autoSpaceDN w:val="0"/>
        <w:adjustRightInd w:val="0"/>
        <w:jc w:val="both"/>
      </w:pPr>
      <w:r>
        <w:t>3.</w:t>
      </w:r>
      <w:r w:rsidR="001B2829">
        <w:t>2</w:t>
      </w:r>
      <w:r w:rsidR="00C81A2A" w:rsidRPr="00AC031C">
        <w:t xml:space="preserve">) </w:t>
      </w:r>
      <w:r w:rsidR="00EB56B3">
        <w:t>T</w:t>
      </w:r>
      <w:r w:rsidR="00C81A2A" w:rsidRPr="00AC031C">
        <w:t xml:space="preserve">he Company’s investments held through the Partnership </w:t>
      </w:r>
      <w:r w:rsidR="00937739">
        <w:t>c</w:t>
      </w:r>
      <w:r w:rsidR="00C81A2A" w:rsidRPr="00AC031C">
        <w:t>ould be</w:t>
      </w:r>
      <w:r w:rsidR="00C81A2A" w:rsidRPr="00C81A2A">
        <w:t xml:space="preserve"> made available for</w:t>
      </w:r>
      <w:r w:rsidR="00937739">
        <w:t xml:space="preserve"> secondary</w:t>
      </w:r>
      <w:r w:rsidR="00C81A2A" w:rsidRPr="00C81A2A">
        <w:t xml:space="preserve"> sale, likely at a large discount to current fair market value, which is representative of REL’s minority ownership</w:t>
      </w:r>
      <w:r w:rsidR="00482B7C">
        <w:t xml:space="preserve">. Alternatively, the investments </w:t>
      </w:r>
      <w:r w:rsidR="008F487F">
        <w:t xml:space="preserve">could be held and participate in the future </w:t>
      </w:r>
      <w:r w:rsidR="00EB56B3">
        <w:t>sales</w:t>
      </w:r>
      <w:r w:rsidR="008F487F">
        <w:t xml:space="preserve"> by</w:t>
      </w:r>
      <w:r w:rsidR="00EB56B3">
        <w:t xml:space="preserve"> the Private</w:t>
      </w:r>
      <w:r w:rsidR="008F487F">
        <w:t xml:space="preserve"> Riverstone Funds</w:t>
      </w:r>
      <w:r w:rsidR="00EB56B3">
        <w:t>, which could lessen any cash discount</w:t>
      </w:r>
      <w:r w:rsidR="00C81A2A" w:rsidRPr="00C81A2A">
        <w:t>; and</w:t>
      </w:r>
    </w:p>
    <w:p w14:paraId="4305A9EA" w14:textId="77777777" w:rsidR="00A05ABA" w:rsidRDefault="00A05ABA" w:rsidP="000009D3">
      <w:pPr>
        <w:autoSpaceDE w:val="0"/>
        <w:autoSpaceDN w:val="0"/>
        <w:adjustRightInd w:val="0"/>
        <w:jc w:val="both"/>
      </w:pPr>
    </w:p>
    <w:p w14:paraId="126DA907" w14:textId="3BCD8FB4" w:rsidR="00C81A2A" w:rsidRDefault="00A05ABA" w:rsidP="000009D3">
      <w:pPr>
        <w:autoSpaceDE w:val="0"/>
        <w:autoSpaceDN w:val="0"/>
        <w:adjustRightInd w:val="0"/>
        <w:jc w:val="both"/>
      </w:pPr>
      <w:bookmarkStart w:id="19" w:name="_Hlk37768231"/>
      <w:r>
        <w:t>3.</w:t>
      </w:r>
      <w:r w:rsidR="001B2829">
        <w:t>3</w:t>
      </w:r>
      <w:r w:rsidR="00C81A2A" w:rsidRPr="00C81A2A">
        <w:t xml:space="preserve">) </w:t>
      </w:r>
      <w:r w:rsidR="00EB56B3">
        <w:t>T</w:t>
      </w:r>
      <w:r w:rsidR="00C81A2A" w:rsidRPr="00C81A2A">
        <w:t xml:space="preserve">he lock-up of </w:t>
      </w:r>
      <w:r w:rsidR="008F487F">
        <w:t xml:space="preserve">listed </w:t>
      </w:r>
      <w:r w:rsidR="00C81A2A" w:rsidRPr="00C81A2A">
        <w:t xml:space="preserve">shares impeding </w:t>
      </w:r>
      <w:r w:rsidR="00BC71AE">
        <w:t>S</w:t>
      </w:r>
      <w:r w:rsidR="00C81A2A" w:rsidRPr="00C81A2A">
        <w:t>hareholders’ liquidity.</w:t>
      </w:r>
    </w:p>
    <w:bookmarkEnd w:id="19"/>
    <w:p w14:paraId="131566CA" w14:textId="2E77D480" w:rsidR="00331F8C" w:rsidRDefault="00331F8C" w:rsidP="000009D3">
      <w:pPr>
        <w:autoSpaceDE w:val="0"/>
        <w:autoSpaceDN w:val="0"/>
        <w:adjustRightInd w:val="0"/>
        <w:jc w:val="both"/>
      </w:pPr>
    </w:p>
    <w:p w14:paraId="5E88936B" w14:textId="74507E87" w:rsidR="003677FC" w:rsidRDefault="00DC3D5C" w:rsidP="000009D3">
      <w:pPr>
        <w:widowControl w:val="0"/>
        <w:spacing w:after="120"/>
        <w:jc w:val="both"/>
      </w:pPr>
      <w:r>
        <w:rPr>
          <w:i/>
          <w:iCs/>
          <w:u w:val="single"/>
        </w:rPr>
        <w:t xml:space="preserve">4. </w:t>
      </w:r>
      <w:r w:rsidR="003677FC" w:rsidRPr="00DC3D5C">
        <w:rPr>
          <w:i/>
          <w:iCs/>
          <w:u w:val="single"/>
        </w:rPr>
        <w:t>Discount to NAV of the Company</w:t>
      </w:r>
    </w:p>
    <w:p w14:paraId="58AAA0DB" w14:textId="0A55B28C" w:rsidR="00D3278F" w:rsidRPr="003677FC" w:rsidRDefault="003677FC" w:rsidP="000009D3">
      <w:pPr>
        <w:widowControl w:val="0"/>
        <w:jc w:val="both"/>
      </w:pPr>
      <w:r w:rsidRPr="003677FC">
        <w:t>Since its inception, t</w:t>
      </w:r>
      <w:r w:rsidR="00331F8C" w:rsidRPr="003677FC">
        <w:t xml:space="preserve">he Company’s </w:t>
      </w:r>
      <w:r w:rsidR="00D3278F" w:rsidRPr="003677FC">
        <w:t>trading discount to NAV percentage has remained consistent with a population of comparable publicly</w:t>
      </w:r>
      <w:r w:rsidR="00D3278F" w:rsidRPr="003677FC">
        <w:rPr>
          <w:rFonts w:ascii="Cambria Math" w:hAnsi="Cambria Math" w:cs="Cambria Math"/>
        </w:rPr>
        <w:t>‐</w:t>
      </w:r>
      <w:r w:rsidR="00D3278F" w:rsidRPr="003677FC">
        <w:t xml:space="preserve">traded PE funds as their life to date average trading discount percentages are 17.7 per cent. and 20.1 per cent., respectively. However, from December 2015 to January 2016 and November 2018 to December 2018, as well as </w:t>
      </w:r>
      <w:r w:rsidR="005656E3">
        <w:t xml:space="preserve">from </w:t>
      </w:r>
      <w:r w:rsidR="00D3278F" w:rsidRPr="003677FC">
        <w:t>December 2019</w:t>
      </w:r>
      <w:r w:rsidR="005656E3">
        <w:t xml:space="preserve"> to the present</w:t>
      </w:r>
      <w:r w:rsidR="00D3278F" w:rsidRPr="003677FC">
        <w:t>, declines in the price of oil adversely impacted the market sentiment for oil companies, which resulted in the Company’s trading discount percentage increasing at a faster rate than the population of comparable publicly-traded PE funds, as it is solely invested in the global energy</w:t>
      </w:r>
      <w:r>
        <w:t xml:space="preserve"> industry across all</w:t>
      </w:r>
      <w:r w:rsidR="00D3278F" w:rsidRPr="003677FC">
        <w:t xml:space="preserve"> sector</w:t>
      </w:r>
      <w:r>
        <w:t>s</w:t>
      </w:r>
      <w:r w:rsidR="00D3278F" w:rsidRPr="003677FC">
        <w:t>. The Company’s trading discount to NAV percentage at 31 December 2019 spiked to 43.</w:t>
      </w:r>
      <w:r w:rsidR="00EB56B3">
        <w:t>8</w:t>
      </w:r>
      <w:r w:rsidR="00D3278F" w:rsidRPr="003677FC">
        <w:t xml:space="preserve"> per cent.</w:t>
      </w:r>
      <w:r w:rsidR="001C2A75" w:rsidRPr="001C2A75">
        <w:t xml:space="preserve"> (or 57.4 per cent. on a cash-adjusted basis)</w:t>
      </w:r>
      <w:r w:rsidR="00D3278F" w:rsidRPr="003677FC">
        <w:t xml:space="preserve"> because the Company’s price per share decline of 60 per cent. outpaced the decrease in the Company’s NAV per share of over 45 per cent. for the year ended 31 December 2019. From year-end through the date of this </w:t>
      </w:r>
      <w:r w:rsidR="00385CED">
        <w:t>report</w:t>
      </w:r>
      <w:r w:rsidR="00D3278F" w:rsidRPr="003677FC">
        <w:t>, the Company’s trading discount has continued to increase due to the further decline in the Company’s share price</w:t>
      </w:r>
      <w:r w:rsidR="00AC031C">
        <w:t xml:space="preserve"> and </w:t>
      </w:r>
      <w:r w:rsidR="005656E3">
        <w:t>was</w:t>
      </w:r>
      <w:r w:rsidR="00AC031C">
        <w:t xml:space="preserve"> 81.1 per cent</w:t>
      </w:r>
      <w:r>
        <w:t>.</w:t>
      </w:r>
      <w:r w:rsidR="00F579AC">
        <w:t xml:space="preserve"> as of 31 March 2020</w:t>
      </w:r>
      <w:r w:rsidR="001C2A75">
        <w:t xml:space="preserve"> </w:t>
      </w:r>
      <w:r w:rsidR="001C2A75" w:rsidRPr="001C2A75">
        <w:t xml:space="preserve">(or </w:t>
      </w:r>
      <w:r w:rsidR="001C2A75">
        <w:t>106.2</w:t>
      </w:r>
      <w:r w:rsidR="001C2A75" w:rsidRPr="001C2A75">
        <w:t xml:space="preserve"> per cent. on a cash-adjusted basis)</w:t>
      </w:r>
      <w:r w:rsidR="00F579AC">
        <w:t>.</w:t>
      </w:r>
      <w:r w:rsidR="00D3278F" w:rsidRPr="003677FC">
        <w:t xml:space="preserve"> </w:t>
      </w:r>
    </w:p>
    <w:p w14:paraId="24E9C9E7" w14:textId="77777777" w:rsidR="00D3278F" w:rsidRPr="003677FC" w:rsidRDefault="00D3278F" w:rsidP="000009D3">
      <w:pPr>
        <w:widowControl w:val="0"/>
        <w:jc w:val="both"/>
      </w:pPr>
    </w:p>
    <w:p w14:paraId="6F68E845" w14:textId="474D7177" w:rsidR="00331F8C" w:rsidRDefault="00D3278F" w:rsidP="000009D3">
      <w:pPr>
        <w:widowControl w:val="0"/>
        <w:jc w:val="both"/>
      </w:pPr>
      <w:r w:rsidRPr="003677FC">
        <w:t xml:space="preserve">The Board, with consultation of the Investment Manager, regularly monitors the Company’s trading discount percentage and, when possible, executes corporate actions aimed at managing it, such as the Tender Offer share repurchase in November 2018, which attributed to a 1.5 per cent. increase in the Company’s NAV, and partially offset the increase of the trading discount percentage. </w:t>
      </w:r>
      <w:r w:rsidR="00986B39" w:rsidRPr="00986B39">
        <w:t xml:space="preserve">The Board continues to discuss various corporate actions, but nothing has been determined as at the date of this report. </w:t>
      </w:r>
      <w:r w:rsidRPr="003677FC">
        <w:t>If the aforementioned Discontinuation Resolution receives the required 75 per cent. of votes cast</w:t>
      </w:r>
      <w:r w:rsidR="00626576">
        <w:t xml:space="preserve"> in favour</w:t>
      </w:r>
      <w:r w:rsidRPr="003677FC">
        <w:t xml:space="preserve">, any potential decrease in the trading discount percentage will be significantly reduced by the lump sum </w:t>
      </w:r>
      <w:r w:rsidR="00407D9F">
        <w:t>M</w:t>
      </w:r>
      <w:r w:rsidRPr="003677FC">
        <w:t xml:space="preserve">anagement </w:t>
      </w:r>
      <w:r w:rsidR="00407D9F">
        <w:t>F</w:t>
      </w:r>
      <w:r w:rsidRPr="003677FC">
        <w:t>ee</w:t>
      </w:r>
      <w:r w:rsidR="00986B39" w:rsidRPr="00986B39">
        <w:rPr>
          <w:rFonts w:ascii="Calibri" w:hAnsi="Calibri" w:cs="Calibri"/>
        </w:rPr>
        <w:t xml:space="preserve"> </w:t>
      </w:r>
      <w:r w:rsidR="00986B39" w:rsidRPr="00986B39">
        <w:t>payment</w:t>
      </w:r>
      <w:r w:rsidRPr="003677FC">
        <w:t xml:space="preserve"> owed to the Investment Manager</w:t>
      </w:r>
      <w:r w:rsidR="00986B39">
        <w:t>, as well as</w:t>
      </w:r>
      <w:r w:rsidRPr="003677FC">
        <w:t xml:space="preserve"> the inherent discount to the current fair value of the Company’s investments.</w:t>
      </w:r>
    </w:p>
    <w:p w14:paraId="4E057C8A" w14:textId="77777777" w:rsidR="00F579AC" w:rsidRDefault="00F579AC" w:rsidP="000009D3">
      <w:pPr>
        <w:jc w:val="both"/>
        <w:rPr>
          <w:rFonts w:eastAsia="Cambria"/>
          <w:i/>
          <w:iCs/>
          <w:u w:val="single"/>
        </w:rPr>
      </w:pPr>
    </w:p>
    <w:p w14:paraId="67FB4363" w14:textId="59207F26" w:rsidR="00DC70E7" w:rsidRPr="00CB6181" w:rsidRDefault="00CE568B" w:rsidP="000009D3">
      <w:pPr>
        <w:jc w:val="both"/>
        <w:rPr>
          <w:rFonts w:eastAsia="Cambria"/>
          <w:i/>
          <w:iCs/>
          <w:u w:val="single"/>
        </w:rPr>
      </w:pPr>
      <w:r>
        <w:rPr>
          <w:rFonts w:eastAsia="Cambria"/>
          <w:i/>
          <w:iCs/>
          <w:u w:val="single"/>
        </w:rPr>
        <w:t xml:space="preserve">5. </w:t>
      </w:r>
      <w:r w:rsidR="00DC70E7" w:rsidRPr="00CB6181">
        <w:rPr>
          <w:rFonts w:eastAsia="Cambria"/>
          <w:i/>
          <w:iCs/>
          <w:u w:val="single"/>
        </w:rPr>
        <w:t>COVID-19</w:t>
      </w:r>
    </w:p>
    <w:p w14:paraId="2D551C3C" w14:textId="77777777" w:rsidR="00DC70E7" w:rsidRDefault="00DC70E7" w:rsidP="000009D3">
      <w:pPr>
        <w:jc w:val="both"/>
        <w:rPr>
          <w:rFonts w:eastAsia="Cambria"/>
        </w:rPr>
      </w:pPr>
      <w:r w:rsidRPr="006F5FE4">
        <w:rPr>
          <w:rFonts w:eastAsia="Cambria"/>
        </w:rPr>
        <w:t xml:space="preserve">The Board and Investment Manager have been in continuous dialogue regarding the impact of COVID-19 and appropriate disclosures within the Company’s </w:t>
      </w:r>
      <w:r>
        <w:rPr>
          <w:rFonts w:eastAsia="Cambria"/>
        </w:rPr>
        <w:t xml:space="preserve">2019 Annual Report and </w:t>
      </w:r>
      <w:r w:rsidRPr="006F5FE4">
        <w:rPr>
          <w:rFonts w:eastAsia="Cambria"/>
        </w:rPr>
        <w:t>Financial Statements</w:t>
      </w:r>
      <w:r>
        <w:rPr>
          <w:rFonts w:eastAsia="Cambria"/>
        </w:rPr>
        <w:t>,</w:t>
      </w:r>
      <w:r w:rsidRPr="006F5FE4">
        <w:rPr>
          <w:rFonts w:eastAsia="Cambria"/>
        </w:rPr>
        <w:t xml:space="preserve"> given that it's an evolving situation.</w:t>
      </w:r>
      <w:r>
        <w:rPr>
          <w:rFonts w:eastAsia="Cambria"/>
        </w:rPr>
        <w:t xml:space="preserve"> </w:t>
      </w:r>
      <w:r w:rsidRPr="006F5FE4">
        <w:rPr>
          <w:rFonts w:eastAsia="Cambria"/>
        </w:rPr>
        <w:t>The Company’s Management Engagement Committee requested and received updates from REL’s key service providers, including the Investment Manager, regarding the</w:t>
      </w:r>
      <w:r>
        <w:rPr>
          <w:rFonts w:eastAsia="Cambria"/>
        </w:rPr>
        <w:t>ir response to COVID-19, including an update on their</w:t>
      </w:r>
      <w:r w:rsidRPr="006F5FE4">
        <w:rPr>
          <w:rFonts w:eastAsia="Cambria"/>
        </w:rPr>
        <w:t xml:space="preserve"> respective business continuity plans.</w:t>
      </w:r>
    </w:p>
    <w:p w14:paraId="3528F986" w14:textId="77777777" w:rsidR="00DC70E7" w:rsidRDefault="00DC70E7" w:rsidP="000009D3">
      <w:pPr>
        <w:jc w:val="both"/>
        <w:rPr>
          <w:rFonts w:eastAsia="Cambria"/>
        </w:rPr>
      </w:pPr>
    </w:p>
    <w:p w14:paraId="5B0B9FB8" w14:textId="7FF94758" w:rsidR="00DC70E7" w:rsidRDefault="00DC70E7" w:rsidP="000009D3">
      <w:pPr>
        <w:autoSpaceDE w:val="0"/>
        <w:autoSpaceDN w:val="0"/>
        <w:adjustRightInd w:val="0"/>
        <w:jc w:val="both"/>
      </w:pPr>
      <w:r w:rsidRPr="006F5FE4">
        <w:rPr>
          <w:rFonts w:eastAsia="Cambria"/>
        </w:rPr>
        <w:t>The Investment Manager activat</w:t>
      </w:r>
      <w:r>
        <w:rPr>
          <w:rFonts w:eastAsia="Cambria"/>
        </w:rPr>
        <w:t>ed</w:t>
      </w:r>
      <w:r w:rsidRPr="006F5FE4">
        <w:rPr>
          <w:rFonts w:eastAsia="Cambria"/>
        </w:rPr>
        <w:t xml:space="preserve"> its business continuity plan</w:t>
      </w:r>
      <w:r>
        <w:rPr>
          <w:rFonts w:eastAsia="Cambria"/>
        </w:rPr>
        <w:t xml:space="preserve"> and its </w:t>
      </w:r>
      <w:r>
        <w:t>regular working pattern has changed to remote working, though all staff are continuing to assume their day-to-day responsibilities remotely.</w:t>
      </w:r>
      <w:r>
        <w:rPr>
          <w:rFonts w:eastAsia="Cambria"/>
        </w:rPr>
        <w:t xml:space="preserve"> There</w:t>
      </w:r>
      <w:r w:rsidRPr="006F5FE4">
        <w:rPr>
          <w:rFonts w:eastAsia="Cambria"/>
        </w:rPr>
        <w:t xml:space="preserve"> has been regular communication with its employees</w:t>
      </w:r>
      <w:r>
        <w:rPr>
          <w:rFonts w:eastAsia="Cambria"/>
        </w:rPr>
        <w:t xml:space="preserve">, as well as its investors. </w:t>
      </w:r>
      <w:r>
        <w:t xml:space="preserve">In addition, the Investment Manager’s partners are hosting weekly calls on potential investment opportunities in this new environment (caused by COVID and OPEC+ news), so that Riverstone can best position the portfolio for the future. </w:t>
      </w:r>
      <w:r>
        <w:rPr>
          <w:rFonts w:eastAsia="Cambria"/>
        </w:rPr>
        <w:t>The Investment Manager has contacted its</w:t>
      </w:r>
      <w:r w:rsidRPr="006F5FE4">
        <w:rPr>
          <w:rFonts w:eastAsia="Cambria"/>
        </w:rPr>
        <w:t xml:space="preserve"> portfolio companies </w:t>
      </w:r>
      <w:r>
        <w:t>to make sure that they have the appropriate plans and resources in place to prioritize the health and safety of their employees, as well as to assess supply chain disruptions and ensure the normal operations of our businesses</w:t>
      </w:r>
      <w:r w:rsidRPr="006F5FE4">
        <w:rPr>
          <w:rFonts w:eastAsia="Cambria"/>
        </w:rPr>
        <w:t>.</w:t>
      </w:r>
    </w:p>
    <w:p w14:paraId="13C556EC" w14:textId="77777777" w:rsidR="006C599D" w:rsidRPr="00811BA1" w:rsidRDefault="006C599D" w:rsidP="000009D3">
      <w:pPr>
        <w:pStyle w:val="Bodytext"/>
        <w:jc w:val="both"/>
      </w:pPr>
    </w:p>
    <w:p w14:paraId="519F8451" w14:textId="20955F8C" w:rsidR="009D7BBC" w:rsidRDefault="00331F8C" w:rsidP="000009D3">
      <w:pPr>
        <w:pStyle w:val="Bodytext"/>
        <w:jc w:val="both"/>
      </w:pPr>
      <w:r>
        <w:t>Based on</w:t>
      </w:r>
      <w:r w:rsidR="009D7BBC" w:rsidRPr="00811BA1">
        <w:t xml:space="preserve"> the</w:t>
      </w:r>
      <w:r>
        <w:t xml:space="preserve"> reasons outlined</w:t>
      </w:r>
      <w:r w:rsidR="009D7BBC" w:rsidRPr="00811BA1">
        <w:t xml:space="preserve"> above,</w:t>
      </w:r>
      <w:r w:rsidR="00385CED">
        <w:t xml:space="preserve"> on balance,</w:t>
      </w:r>
      <w:r w:rsidR="009D7BBC" w:rsidRPr="00811BA1">
        <w:t xml:space="preserve"> the Directors are satisfied</w:t>
      </w:r>
      <w:r>
        <w:t>, as of today’s date,</w:t>
      </w:r>
      <w:r w:rsidR="009D7BBC" w:rsidRPr="00811BA1">
        <w:t xml:space="preserve"> that it is appropriate to </w:t>
      </w:r>
      <w:r w:rsidR="009D7BBC">
        <w:t>a</w:t>
      </w:r>
      <w:r w:rsidR="001A1DFA">
        <w:t>dopt</w:t>
      </w:r>
      <w:r w:rsidR="009D7BBC" w:rsidRPr="00811BA1">
        <w:t xml:space="preserve"> the going concern basis in preparing the </w:t>
      </w:r>
      <w:r w:rsidR="009D7BBC">
        <w:t>F</w:t>
      </w:r>
      <w:r w:rsidR="009D7BBC" w:rsidRPr="00811BA1">
        <w:t xml:space="preserve">inancial </w:t>
      </w:r>
      <w:r w:rsidR="009D7BBC">
        <w:t>S</w:t>
      </w:r>
      <w:r w:rsidR="009D7BBC" w:rsidRPr="00811BA1">
        <w:t>tatements.</w:t>
      </w:r>
      <w:r w:rsidR="001F7295" w:rsidRPr="001F7295">
        <w:t xml:space="preserve"> </w:t>
      </w:r>
      <w:r w:rsidR="001F7295">
        <w:t xml:space="preserve">As of the date of this report, the Partnership has available liquid resources of $207 million, </w:t>
      </w:r>
      <w:r w:rsidR="00B40498">
        <w:t xml:space="preserve">which are </w:t>
      </w:r>
      <w:r w:rsidR="001F7295">
        <w:t>in excess of potential unfunded commitments</w:t>
      </w:r>
      <w:r w:rsidR="001F7295" w:rsidRPr="005656E3">
        <w:t xml:space="preserve"> </w:t>
      </w:r>
      <w:r w:rsidR="001F7295">
        <w:t>of $</w:t>
      </w:r>
      <w:r w:rsidR="00B40498">
        <w:t>135</w:t>
      </w:r>
      <w:r w:rsidR="001F7295">
        <w:t xml:space="preserve"> million</w:t>
      </w:r>
      <w:r w:rsidR="001B1331">
        <w:t>,</w:t>
      </w:r>
      <w:r w:rsidR="009233DF">
        <w:t xml:space="preserve"> </w:t>
      </w:r>
      <w:r w:rsidR="001B1331">
        <w:t>as well as</w:t>
      </w:r>
      <w:r w:rsidR="009233DF">
        <w:t xml:space="preserve"> the liabilities at 31 December 2019 and</w:t>
      </w:r>
      <w:r w:rsidR="009233DF" w:rsidRPr="005E501E">
        <w:t xml:space="preserve"> forecasted annual expenses for </w:t>
      </w:r>
      <w:r w:rsidR="00F74A0D">
        <w:t>the foreseeable future</w:t>
      </w:r>
      <w:r w:rsidR="009233DF" w:rsidRPr="005E501E">
        <w:t>.</w:t>
      </w:r>
      <w:r w:rsidR="002E2642">
        <w:t xml:space="preserve"> However, </w:t>
      </w:r>
      <w:r w:rsidR="002E2642">
        <w:rPr>
          <w:rFonts w:eastAsia="Times New Roman"/>
        </w:rPr>
        <w:t xml:space="preserve">as the direction of the EGM vote is not known at this time, </w:t>
      </w:r>
      <w:r w:rsidR="00C109C2">
        <w:rPr>
          <w:rFonts w:eastAsia="Times New Roman"/>
        </w:rPr>
        <w:t xml:space="preserve">and the recent oil and gas market decline and COVID-19, </w:t>
      </w:r>
      <w:r w:rsidR="002E2642">
        <w:rPr>
          <w:rFonts w:eastAsia="Times New Roman"/>
        </w:rPr>
        <w:t>there is a material uncertainty</w:t>
      </w:r>
      <w:r w:rsidR="00D70BE5" w:rsidRPr="00D70BE5">
        <w:rPr>
          <w:rFonts w:eastAsia="Times New Roman"/>
        </w:rPr>
        <w:t xml:space="preserve"> </w:t>
      </w:r>
      <w:r w:rsidR="00D70BE5" w:rsidRPr="002A3EDA">
        <w:rPr>
          <w:rFonts w:eastAsia="Times New Roman"/>
        </w:rPr>
        <w:t>which casts significant doubt over the ability of the Company to continue as a Going Concern</w:t>
      </w:r>
      <w:r w:rsidR="002E2642">
        <w:rPr>
          <w:rFonts w:eastAsia="Times New Roman"/>
        </w:rPr>
        <w:t>.</w:t>
      </w:r>
    </w:p>
    <w:p w14:paraId="4062E6AC" w14:textId="77777777" w:rsidR="0099773D" w:rsidRPr="00811BA1" w:rsidRDefault="0099773D" w:rsidP="00EB7E49">
      <w:pPr>
        <w:pStyle w:val="Bodytext"/>
      </w:pPr>
    </w:p>
    <w:p w14:paraId="429BC262" w14:textId="6B6601A9" w:rsidR="009145B0" w:rsidRPr="00811BA1" w:rsidRDefault="00CD5413" w:rsidP="00EB7E49">
      <w:pPr>
        <w:pStyle w:val="Heading2"/>
      </w:pPr>
      <w:r w:rsidRPr="00811BA1">
        <w:t>Viability S</w:t>
      </w:r>
      <w:r w:rsidR="00F86AE7" w:rsidRPr="00811BA1">
        <w:t>tatement</w:t>
      </w:r>
    </w:p>
    <w:p w14:paraId="751BC542" w14:textId="6222880E" w:rsidR="00635377" w:rsidRPr="001B573B" w:rsidRDefault="002923F3" w:rsidP="000009D3">
      <w:pPr>
        <w:pStyle w:val="Pa38"/>
        <w:jc w:val="both"/>
        <w:rPr>
          <w:rFonts w:ascii="Arial" w:eastAsia="Cambria" w:hAnsi="Arial"/>
          <w:sz w:val="20"/>
        </w:rPr>
      </w:pPr>
      <w:r w:rsidRPr="001B573B">
        <w:rPr>
          <w:rFonts w:ascii="Arial" w:eastAsia="Cambria" w:hAnsi="Arial"/>
          <w:sz w:val="20"/>
        </w:rPr>
        <w:t>T</w:t>
      </w:r>
      <w:r w:rsidR="00635377" w:rsidRPr="001B573B">
        <w:rPr>
          <w:rFonts w:ascii="Arial" w:eastAsia="Cambria" w:hAnsi="Arial"/>
          <w:sz w:val="20"/>
        </w:rPr>
        <w:t>he Directors have assessed the prospects of the Company over a longer period than required by the going concern provision. The Board chose to conduct a review for a period of three years</w:t>
      </w:r>
      <w:r w:rsidR="005D0CF0" w:rsidRPr="001B573B">
        <w:rPr>
          <w:rFonts w:ascii="Arial" w:eastAsia="Cambria" w:hAnsi="Arial"/>
          <w:sz w:val="20"/>
        </w:rPr>
        <w:t xml:space="preserve"> from </w:t>
      </w:r>
      <w:r w:rsidR="001B0FA5" w:rsidRPr="001B573B">
        <w:rPr>
          <w:rFonts w:ascii="Arial" w:eastAsia="Cambria" w:hAnsi="Arial"/>
          <w:sz w:val="20"/>
        </w:rPr>
        <w:t>1 April 2020</w:t>
      </w:r>
      <w:r w:rsidR="00635377" w:rsidRPr="001B573B">
        <w:rPr>
          <w:rFonts w:ascii="Arial" w:eastAsia="Cambria" w:hAnsi="Arial"/>
          <w:sz w:val="20"/>
        </w:rPr>
        <w:t xml:space="preserve"> to 31 </w:t>
      </w:r>
      <w:r w:rsidR="005D0CF0" w:rsidRPr="001B573B">
        <w:rPr>
          <w:rFonts w:ascii="Arial" w:eastAsia="Cambria" w:hAnsi="Arial"/>
          <w:sz w:val="20"/>
        </w:rPr>
        <w:lastRenderedPageBreak/>
        <w:t>March</w:t>
      </w:r>
      <w:r w:rsidR="00635377" w:rsidRPr="001B573B">
        <w:rPr>
          <w:rFonts w:ascii="Arial" w:eastAsia="Cambria" w:hAnsi="Arial"/>
          <w:sz w:val="20"/>
        </w:rPr>
        <w:t xml:space="preserve"> 20</w:t>
      </w:r>
      <w:r w:rsidR="00130D9C" w:rsidRPr="001B573B">
        <w:rPr>
          <w:rFonts w:ascii="Arial" w:eastAsia="Cambria" w:hAnsi="Arial"/>
          <w:sz w:val="20"/>
        </w:rPr>
        <w:t>2</w:t>
      </w:r>
      <w:r w:rsidR="005D0CF0" w:rsidRPr="001B573B">
        <w:rPr>
          <w:rFonts w:ascii="Arial" w:eastAsia="Cambria" w:hAnsi="Arial"/>
          <w:sz w:val="20"/>
        </w:rPr>
        <w:t>3</w:t>
      </w:r>
      <w:r w:rsidR="00635377" w:rsidRPr="001B573B">
        <w:rPr>
          <w:rFonts w:ascii="Arial" w:eastAsia="Cambria" w:hAnsi="Arial"/>
          <w:sz w:val="20"/>
        </w:rPr>
        <w:t xml:space="preserve"> as it was determined to be an appropriate timeframe</w:t>
      </w:r>
      <w:r w:rsidR="00255BB9" w:rsidRPr="001B573B">
        <w:rPr>
          <w:rFonts w:ascii="Arial" w:eastAsia="Cambria" w:hAnsi="Arial"/>
          <w:sz w:val="20"/>
        </w:rPr>
        <w:t xml:space="preserve"> based on the historical investment cycle of the Company’s investments</w:t>
      </w:r>
      <w:r w:rsidR="00682C6B" w:rsidRPr="001B573B">
        <w:rPr>
          <w:rFonts w:ascii="Arial" w:eastAsia="Cambria" w:hAnsi="Arial"/>
          <w:sz w:val="20"/>
        </w:rPr>
        <w:t>,</w:t>
      </w:r>
      <w:r w:rsidR="00255BB9" w:rsidRPr="001B573B">
        <w:rPr>
          <w:rFonts w:ascii="Arial" w:eastAsia="Cambria" w:hAnsi="Arial"/>
          <w:sz w:val="20"/>
        </w:rPr>
        <w:t xml:space="preserve"> through the Partnership</w:t>
      </w:r>
      <w:r w:rsidR="00682C6B" w:rsidRPr="001B573B">
        <w:rPr>
          <w:rFonts w:ascii="Arial" w:eastAsia="Cambria" w:hAnsi="Arial"/>
          <w:sz w:val="20"/>
        </w:rPr>
        <w:t>,</w:t>
      </w:r>
      <w:r w:rsidR="00255BB9" w:rsidRPr="001B573B">
        <w:rPr>
          <w:rFonts w:ascii="Arial" w:eastAsia="Cambria" w:hAnsi="Arial"/>
          <w:sz w:val="20"/>
        </w:rPr>
        <w:t xml:space="preserve"> and its financial planning processes</w:t>
      </w:r>
      <w:r w:rsidR="002E0A95" w:rsidRPr="001B573B">
        <w:rPr>
          <w:rFonts w:ascii="Arial" w:eastAsia="Cambria" w:hAnsi="Arial"/>
          <w:sz w:val="20"/>
        </w:rPr>
        <w:t xml:space="preserve">. On a rolling basis, </w:t>
      </w:r>
      <w:r w:rsidR="00635377" w:rsidRPr="001B573B">
        <w:rPr>
          <w:rFonts w:ascii="Arial" w:eastAsia="Cambria" w:hAnsi="Arial"/>
          <w:sz w:val="20"/>
        </w:rPr>
        <w:t>the Directors</w:t>
      </w:r>
      <w:r w:rsidR="002E0A95" w:rsidRPr="001B573B">
        <w:rPr>
          <w:rFonts w:ascii="Arial" w:eastAsia="Cambria" w:hAnsi="Arial"/>
          <w:sz w:val="20"/>
        </w:rPr>
        <w:t xml:space="preserve"> evaluate </w:t>
      </w:r>
      <w:r w:rsidR="00635377" w:rsidRPr="001B573B">
        <w:rPr>
          <w:rFonts w:ascii="Arial" w:eastAsia="Cambria" w:hAnsi="Arial"/>
          <w:sz w:val="20"/>
        </w:rPr>
        <w:t>the outcome of the investments and the Company’s financial position as a whole.</w:t>
      </w:r>
      <w:r w:rsidR="00F649F0" w:rsidRPr="001B573B">
        <w:rPr>
          <w:rFonts w:ascii="Arial" w:eastAsia="Cambria" w:hAnsi="Arial"/>
          <w:sz w:val="20"/>
        </w:rPr>
        <w:t xml:space="preserve"> While an unprecedented and long-term decline in global oil and gas consumption would threaten the Company’s performance, it would not necessarily threaten its viability.</w:t>
      </w:r>
    </w:p>
    <w:p w14:paraId="456B752E" w14:textId="77777777" w:rsidR="00635377" w:rsidRPr="001B573B" w:rsidRDefault="00635377" w:rsidP="000009D3">
      <w:pPr>
        <w:jc w:val="both"/>
        <w:rPr>
          <w:rFonts w:eastAsia="Cambria"/>
        </w:rPr>
      </w:pPr>
    </w:p>
    <w:p w14:paraId="6DE659D5" w14:textId="3822565F" w:rsidR="00CA3047" w:rsidRPr="001B573B" w:rsidRDefault="00635377" w:rsidP="000009D3">
      <w:pPr>
        <w:pStyle w:val="Pa38"/>
        <w:jc w:val="both"/>
        <w:rPr>
          <w:rFonts w:ascii="Arial" w:eastAsia="Cambria" w:hAnsi="Arial"/>
          <w:sz w:val="20"/>
        </w:rPr>
      </w:pPr>
      <w:r w:rsidRPr="001B573B">
        <w:rPr>
          <w:rFonts w:ascii="Arial" w:eastAsia="Cambria" w:hAnsi="Arial"/>
          <w:sz w:val="20"/>
        </w:rPr>
        <w:t>In support of this statement, the Directors have taken into account all of the principal risks and their mitigation as identified in the Principal Risk and Uncertainties section of the Corporate Governance Report, the nature of the Company's business; including the cash reserves and money market deposits at the Partnership, the potential of its portfolio of investments to generate future income and capital proceeds, and the ability of the Directors to minimise the level of cash outflows, if necessary. The most relevant potential impact</w:t>
      </w:r>
      <w:r w:rsidR="002E0A95" w:rsidRPr="001B573B">
        <w:rPr>
          <w:rFonts w:ascii="Arial" w:eastAsia="Cambria" w:hAnsi="Arial"/>
          <w:sz w:val="20"/>
        </w:rPr>
        <w:t>s</w:t>
      </w:r>
      <w:r w:rsidRPr="001B573B">
        <w:rPr>
          <w:rFonts w:ascii="Arial" w:eastAsia="Cambria" w:hAnsi="Arial"/>
          <w:sz w:val="20"/>
        </w:rPr>
        <w:t xml:space="preserve"> of the identified Principal Risks and Uncertainties on viability w</w:t>
      </w:r>
      <w:r w:rsidR="002E0A95" w:rsidRPr="001B573B">
        <w:rPr>
          <w:rFonts w:ascii="Arial" w:eastAsia="Cambria" w:hAnsi="Arial"/>
          <w:sz w:val="20"/>
        </w:rPr>
        <w:t>ere</w:t>
      </w:r>
      <w:r w:rsidRPr="001B573B">
        <w:rPr>
          <w:rFonts w:ascii="Arial" w:eastAsia="Cambria" w:hAnsi="Arial"/>
          <w:sz w:val="20"/>
        </w:rPr>
        <w:t xml:space="preserve"> determined to be:</w:t>
      </w:r>
    </w:p>
    <w:p w14:paraId="000B63DE" w14:textId="77777777" w:rsidR="00635377" w:rsidRPr="00635377" w:rsidRDefault="00635377" w:rsidP="000009D3">
      <w:pPr>
        <w:jc w:val="both"/>
      </w:pPr>
    </w:p>
    <w:p w14:paraId="1B5231A9" w14:textId="3FFEDD8E" w:rsidR="003F6E2A" w:rsidRDefault="003F6E2A" w:rsidP="000009D3">
      <w:pPr>
        <w:pStyle w:val="Bodytext"/>
        <w:numPr>
          <w:ilvl w:val="0"/>
          <w:numId w:val="3"/>
        </w:numPr>
        <w:spacing w:after="80"/>
        <w:ind w:left="340" w:hanging="340"/>
        <w:jc w:val="both"/>
      </w:pPr>
      <w:r>
        <w:t>An investment’s</w:t>
      </w:r>
      <w:r w:rsidR="0071762C">
        <w:t xml:space="preserve"> capital</w:t>
      </w:r>
      <w:r>
        <w:t xml:space="preserve"> requirements may </w:t>
      </w:r>
      <w:r w:rsidR="0071762C">
        <w:t xml:space="preserve">exceed </w:t>
      </w:r>
      <w:r>
        <w:t>the Company</w:t>
      </w:r>
      <w:r w:rsidR="0071762C">
        <w:t>’s ability</w:t>
      </w:r>
      <w:r>
        <w:t xml:space="preserve"> to </w:t>
      </w:r>
      <w:r w:rsidR="0071762C">
        <w:t>provide</w:t>
      </w:r>
      <w:r>
        <w:t xml:space="preserve"> capital</w:t>
      </w:r>
      <w:r w:rsidR="002E0A95">
        <w:t>;</w:t>
      </w:r>
    </w:p>
    <w:p w14:paraId="430F2493" w14:textId="2F8661E2" w:rsidR="003F6E2A" w:rsidRDefault="003F6E2A" w:rsidP="000009D3">
      <w:pPr>
        <w:pStyle w:val="Bodytext"/>
        <w:numPr>
          <w:ilvl w:val="0"/>
          <w:numId w:val="3"/>
        </w:numPr>
        <w:spacing w:after="80"/>
        <w:ind w:left="346" w:hanging="346"/>
        <w:jc w:val="both"/>
      </w:pPr>
      <w:r w:rsidRPr="00811BA1">
        <w:t xml:space="preserve">The Company may not have sufficient </w:t>
      </w:r>
      <w:r w:rsidR="002F6F92">
        <w:t>capital available</w:t>
      </w:r>
      <w:r w:rsidRPr="00811BA1">
        <w:t xml:space="preserve"> to participate in all investment opportunities presented</w:t>
      </w:r>
      <w:r w:rsidR="005D0CF0">
        <w:t>;</w:t>
      </w:r>
      <w:r w:rsidR="001C45E7">
        <w:t xml:space="preserve"> and</w:t>
      </w:r>
    </w:p>
    <w:p w14:paraId="4F9C50F8" w14:textId="49591CCC" w:rsidR="005D0CF0" w:rsidRPr="00923F40" w:rsidRDefault="005D0CF0" w:rsidP="000009D3">
      <w:pPr>
        <w:numPr>
          <w:ilvl w:val="0"/>
          <w:numId w:val="3"/>
        </w:numPr>
        <w:spacing w:after="80"/>
        <w:ind w:left="346" w:hanging="346"/>
        <w:jc w:val="both"/>
        <w:rPr>
          <w:rFonts w:eastAsia="Cambria"/>
        </w:rPr>
      </w:pPr>
      <w:r>
        <w:t>The Company’s anticipated Discontinuation Resolution in Q4 20</w:t>
      </w:r>
      <w:r w:rsidR="00A46F74">
        <w:t>20</w:t>
      </w:r>
      <w:r>
        <w:t xml:space="preserve"> does receive the required 75 per cent. </w:t>
      </w:r>
      <w:r w:rsidR="006C7217">
        <w:t xml:space="preserve">of </w:t>
      </w:r>
      <w:r>
        <w:t>votes</w:t>
      </w:r>
      <w:r w:rsidR="006C7217">
        <w:t xml:space="preserve"> cast</w:t>
      </w:r>
      <w:r>
        <w:t xml:space="preserve"> in favour</w:t>
      </w:r>
      <w:r w:rsidR="001C45E7">
        <w:t>.</w:t>
      </w:r>
    </w:p>
    <w:p w14:paraId="043AB190" w14:textId="4531E23E" w:rsidR="00D36E0B" w:rsidRDefault="00D36E0B" w:rsidP="000009D3">
      <w:pPr>
        <w:pStyle w:val="Bodytext"/>
        <w:spacing w:after="80"/>
        <w:jc w:val="both"/>
      </w:pPr>
    </w:p>
    <w:p w14:paraId="38FB9891" w14:textId="3F1ADFAC" w:rsidR="00F2329C" w:rsidRPr="001B573B" w:rsidRDefault="0071762C" w:rsidP="001B573B">
      <w:pPr>
        <w:pStyle w:val="Pa38"/>
        <w:jc w:val="both"/>
        <w:rPr>
          <w:rFonts w:ascii="Arial" w:eastAsia="Cambria" w:hAnsi="Arial"/>
          <w:sz w:val="20"/>
        </w:rPr>
      </w:pPr>
      <w:r w:rsidRPr="001B573B">
        <w:rPr>
          <w:rFonts w:ascii="Arial" w:eastAsia="Cambria" w:hAnsi="Arial"/>
          <w:sz w:val="20"/>
        </w:rPr>
        <w:t>Each quarter</w:t>
      </w:r>
      <w:r w:rsidR="00C002EF" w:rsidRPr="001B573B">
        <w:rPr>
          <w:rFonts w:ascii="Arial" w:eastAsia="Cambria" w:hAnsi="Arial"/>
          <w:sz w:val="20"/>
        </w:rPr>
        <w:t xml:space="preserve">, </w:t>
      </w:r>
      <w:r w:rsidR="00682C6B" w:rsidRPr="001B573B">
        <w:rPr>
          <w:rFonts w:ascii="Arial" w:eastAsia="Cambria" w:hAnsi="Arial"/>
          <w:sz w:val="20"/>
        </w:rPr>
        <w:t xml:space="preserve">the </w:t>
      </w:r>
      <w:r w:rsidR="00F2329C" w:rsidRPr="001B573B">
        <w:rPr>
          <w:rFonts w:ascii="Arial" w:eastAsia="Cambria" w:hAnsi="Arial"/>
          <w:sz w:val="20"/>
        </w:rPr>
        <w:t>Directors</w:t>
      </w:r>
      <w:r w:rsidR="00C002EF" w:rsidRPr="001B573B">
        <w:rPr>
          <w:rFonts w:ascii="Arial" w:eastAsia="Cambria" w:hAnsi="Arial"/>
          <w:sz w:val="20"/>
        </w:rPr>
        <w:t xml:space="preserve"> review</w:t>
      </w:r>
      <w:r w:rsidR="003F6E2A" w:rsidRPr="001B573B">
        <w:rPr>
          <w:rFonts w:ascii="Arial" w:eastAsia="Cambria" w:hAnsi="Arial"/>
          <w:sz w:val="20"/>
        </w:rPr>
        <w:t xml:space="preserve"> threats to the Company’s viability </w:t>
      </w:r>
      <w:r w:rsidR="00994BB8" w:rsidRPr="001B573B">
        <w:rPr>
          <w:rFonts w:ascii="Arial" w:eastAsia="Cambria" w:hAnsi="Arial"/>
          <w:sz w:val="20"/>
        </w:rPr>
        <w:t xml:space="preserve">utilising </w:t>
      </w:r>
      <w:r w:rsidR="00C002EF" w:rsidRPr="001B573B">
        <w:rPr>
          <w:rFonts w:ascii="Arial" w:eastAsia="Cambria" w:hAnsi="Arial"/>
          <w:sz w:val="20"/>
        </w:rPr>
        <w:t xml:space="preserve">the risk matrix </w:t>
      </w:r>
      <w:r w:rsidRPr="001B573B">
        <w:rPr>
          <w:rFonts w:ascii="Arial" w:eastAsia="Cambria" w:hAnsi="Arial"/>
          <w:sz w:val="20"/>
        </w:rPr>
        <w:t>and update as</w:t>
      </w:r>
      <w:r w:rsidR="00C002EF" w:rsidRPr="001B573B">
        <w:rPr>
          <w:rFonts w:ascii="Arial" w:eastAsia="Cambria" w:hAnsi="Arial"/>
          <w:sz w:val="20"/>
        </w:rPr>
        <w:t xml:space="preserve"> required due to</w:t>
      </w:r>
      <w:r w:rsidR="004F4EC4" w:rsidRPr="001B573B">
        <w:rPr>
          <w:rFonts w:ascii="Arial" w:eastAsia="Cambria" w:hAnsi="Arial"/>
          <w:sz w:val="20"/>
        </w:rPr>
        <w:t xml:space="preserve"> recent</w:t>
      </w:r>
      <w:r w:rsidR="00C002EF" w:rsidRPr="001B573B">
        <w:rPr>
          <w:rFonts w:ascii="Arial" w:eastAsia="Cambria" w:hAnsi="Arial"/>
          <w:sz w:val="20"/>
        </w:rPr>
        <w:t xml:space="preserve"> development</w:t>
      </w:r>
      <w:r w:rsidR="004F4EC4" w:rsidRPr="001B573B">
        <w:rPr>
          <w:rFonts w:ascii="Arial" w:eastAsia="Cambria" w:hAnsi="Arial"/>
          <w:sz w:val="20"/>
        </w:rPr>
        <w:t>s and/or</w:t>
      </w:r>
      <w:r w:rsidRPr="001B573B">
        <w:rPr>
          <w:rFonts w:ascii="Arial" w:eastAsia="Cambria" w:hAnsi="Arial"/>
          <w:sz w:val="20"/>
        </w:rPr>
        <w:t xml:space="preserve"> changes in</w:t>
      </w:r>
      <w:r w:rsidR="004F4EC4" w:rsidRPr="001B573B">
        <w:rPr>
          <w:rFonts w:ascii="Arial" w:eastAsia="Cambria" w:hAnsi="Arial"/>
          <w:sz w:val="20"/>
        </w:rPr>
        <w:t xml:space="preserve"> the global market.</w:t>
      </w:r>
      <w:r w:rsidR="00910BA2" w:rsidRPr="001B573B">
        <w:rPr>
          <w:rFonts w:ascii="Arial" w:eastAsia="Cambria" w:hAnsi="Arial"/>
          <w:sz w:val="20"/>
        </w:rPr>
        <w:t xml:space="preserve"> </w:t>
      </w:r>
      <w:r w:rsidR="003F6E2A" w:rsidRPr="001B573B">
        <w:rPr>
          <w:rFonts w:ascii="Arial" w:eastAsia="Cambria" w:hAnsi="Arial"/>
          <w:sz w:val="20"/>
        </w:rPr>
        <w:t xml:space="preserve">The Board relies on periodic reports provided by the Investment Manager and Administrator regarding risks </w:t>
      </w:r>
      <w:r w:rsidRPr="001B573B">
        <w:rPr>
          <w:rFonts w:ascii="Arial" w:eastAsia="Cambria" w:hAnsi="Arial"/>
          <w:sz w:val="20"/>
        </w:rPr>
        <w:t xml:space="preserve">faced by </w:t>
      </w:r>
      <w:r w:rsidR="003F6E2A" w:rsidRPr="001B573B">
        <w:rPr>
          <w:rFonts w:ascii="Arial" w:eastAsia="Cambria" w:hAnsi="Arial"/>
          <w:sz w:val="20"/>
        </w:rPr>
        <w:t xml:space="preserve">the Company. When required, experts </w:t>
      </w:r>
      <w:r w:rsidRPr="001B573B">
        <w:rPr>
          <w:rFonts w:ascii="Arial" w:eastAsia="Cambria" w:hAnsi="Arial"/>
          <w:sz w:val="20"/>
        </w:rPr>
        <w:t xml:space="preserve">are </w:t>
      </w:r>
      <w:r w:rsidR="00994BB8" w:rsidRPr="001B573B">
        <w:rPr>
          <w:rFonts w:ascii="Arial" w:eastAsia="Cambria" w:hAnsi="Arial"/>
          <w:sz w:val="20"/>
        </w:rPr>
        <w:t xml:space="preserve">utilised </w:t>
      </w:r>
      <w:r w:rsidR="003F6E2A" w:rsidRPr="001B573B">
        <w:rPr>
          <w:rFonts w:ascii="Arial" w:eastAsia="Cambria" w:hAnsi="Arial"/>
          <w:sz w:val="20"/>
        </w:rPr>
        <w:t>to gather</w:t>
      </w:r>
      <w:r w:rsidRPr="001B573B">
        <w:rPr>
          <w:rFonts w:ascii="Arial" w:eastAsia="Cambria" w:hAnsi="Arial"/>
          <w:sz w:val="20"/>
        </w:rPr>
        <w:t xml:space="preserve"> relevant and necessary</w:t>
      </w:r>
      <w:r w:rsidR="003F6E2A" w:rsidRPr="001B573B">
        <w:rPr>
          <w:rFonts w:ascii="Arial" w:eastAsia="Cambria" w:hAnsi="Arial"/>
          <w:sz w:val="20"/>
        </w:rPr>
        <w:t xml:space="preserve"> information, </w:t>
      </w:r>
      <w:r w:rsidRPr="001B573B">
        <w:rPr>
          <w:rFonts w:ascii="Arial" w:eastAsia="Cambria" w:hAnsi="Arial"/>
          <w:sz w:val="20"/>
        </w:rPr>
        <w:t xml:space="preserve">regarding </w:t>
      </w:r>
      <w:r w:rsidR="003F6E2A" w:rsidRPr="001B573B">
        <w:rPr>
          <w:rFonts w:ascii="Arial" w:eastAsia="Cambria" w:hAnsi="Arial"/>
          <w:sz w:val="20"/>
        </w:rPr>
        <w:t xml:space="preserve">tax, legal, and </w:t>
      </w:r>
      <w:r w:rsidRPr="001B573B">
        <w:rPr>
          <w:rFonts w:ascii="Arial" w:eastAsia="Cambria" w:hAnsi="Arial"/>
          <w:sz w:val="20"/>
        </w:rPr>
        <w:t>other factors</w:t>
      </w:r>
      <w:r w:rsidR="003F6E2A" w:rsidRPr="001B573B">
        <w:rPr>
          <w:rFonts w:ascii="Arial" w:eastAsia="Cambria" w:hAnsi="Arial"/>
          <w:sz w:val="20"/>
        </w:rPr>
        <w:t>.</w:t>
      </w:r>
    </w:p>
    <w:p w14:paraId="63F03C7E" w14:textId="77777777" w:rsidR="00561E7A" w:rsidRPr="001B573B" w:rsidRDefault="00561E7A" w:rsidP="001B573B">
      <w:pPr>
        <w:pStyle w:val="Pa38"/>
        <w:jc w:val="both"/>
        <w:rPr>
          <w:rFonts w:ascii="Arial" w:eastAsia="Cambria" w:hAnsi="Arial"/>
          <w:sz w:val="20"/>
        </w:rPr>
      </w:pPr>
    </w:p>
    <w:p w14:paraId="4D4A9EC4" w14:textId="3D1CEC1E" w:rsidR="009A02CC" w:rsidRPr="001B573B" w:rsidRDefault="00F2329C" w:rsidP="001B573B">
      <w:pPr>
        <w:pStyle w:val="Pa38"/>
        <w:jc w:val="both"/>
        <w:rPr>
          <w:rFonts w:ascii="Arial" w:eastAsia="Cambria" w:hAnsi="Arial"/>
          <w:sz w:val="20"/>
        </w:rPr>
      </w:pPr>
      <w:r w:rsidRPr="001B573B">
        <w:rPr>
          <w:rFonts w:ascii="Arial" w:eastAsia="Cambria" w:hAnsi="Arial"/>
          <w:sz w:val="20"/>
        </w:rPr>
        <w:t>The Investment Manager consider</w:t>
      </w:r>
      <w:r w:rsidR="00561E7A" w:rsidRPr="001B573B">
        <w:rPr>
          <w:rFonts w:ascii="Arial" w:eastAsia="Cambria" w:hAnsi="Arial"/>
          <w:sz w:val="20"/>
        </w:rPr>
        <w:t>s</w:t>
      </w:r>
      <w:r w:rsidRPr="001B573B">
        <w:rPr>
          <w:rFonts w:ascii="Arial" w:eastAsia="Cambria" w:hAnsi="Arial"/>
          <w:sz w:val="20"/>
        </w:rPr>
        <w:t xml:space="preserve"> the future cash </w:t>
      </w:r>
      <w:r w:rsidR="00561E7A" w:rsidRPr="001B573B">
        <w:rPr>
          <w:rFonts w:ascii="Arial" w:eastAsia="Cambria" w:hAnsi="Arial"/>
          <w:sz w:val="20"/>
        </w:rPr>
        <w:t xml:space="preserve">requirements </w:t>
      </w:r>
      <w:r w:rsidRPr="001B573B">
        <w:rPr>
          <w:rFonts w:ascii="Arial" w:eastAsia="Cambria" w:hAnsi="Arial"/>
          <w:sz w:val="20"/>
        </w:rPr>
        <w:t>of the Company before funding portfolio compan</w:t>
      </w:r>
      <w:r w:rsidR="00561E7A" w:rsidRPr="001B573B">
        <w:rPr>
          <w:rFonts w:ascii="Arial" w:eastAsia="Cambria" w:hAnsi="Arial"/>
          <w:sz w:val="20"/>
        </w:rPr>
        <w:t>ies</w:t>
      </w:r>
      <w:r w:rsidRPr="001B573B">
        <w:rPr>
          <w:rFonts w:ascii="Arial" w:eastAsia="Cambria" w:hAnsi="Arial"/>
          <w:sz w:val="20"/>
        </w:rPr>
        <w:t xml:space="preserve">. Furthermore, the Board receives regular updates from the Investment Manager on the Company’s cash position, which allows </w:t>
      </w:r>
      <w:r w:rsidR="00561E7A" w:rsidRPr="001B573B">
        <w:rPr>
          <w:rFonts w:ascii="Arial" w:eastAsia="Cambria" w:hAnsi="Arial"/>
          <w:sz w:val="20"/>
        </w:rPr>
        <w:t>the Board</w:t>
      </w:r>
      <w:r w:rsidRPr="001B573B">
        <w:rPr>
          <w:rFonts w:ascii="Arial" w:eastAsia="Cambria" w:hAnsi="Arial"/>
          <w:sz w:val="20"/>
        </w:rPr>
        <w:t xml:space="preserve"> to maintain their fiduciary responsibility to the </w:t>
      </w:r>
      <w:r w:rsidR="00840631" w:rsidRPr="001B573B">
        <w:rPr>
          <w:rFonts w:ascii="Arial" w:eastAsia="Cambria" w:hAnsi="Arial"/>
          <w:sz w:val="20"/>
        </w:rPr>
        <w:t>S</w:t>
      </w:r>
      <w:r w:rsidR="00546CC0" w:rsidRPr="001B573B">
        <w:rPr>
          <w:rFonts w:ascii="Arial" w:eastAsia="Cambria" w:hAnsi="Arial"/>
          <w:sz w:val="20"/>
        </w:rPr>
        <w:t xml:space="preserve">hareholders </w:t>
      </w:r>
      <w:r w:rsidRPr="001B573B">
        <w:rPr>
          <w:rFonts w:ascii="Arial" w:eastAsia="Cambria" w:hAnsi="Arial"/>
          <w:sz w:val="20"/>
        </w:rPr>
        <w:t>and</w:t>
      </w:r>
      <w:r w:rsidR="00561E7A" w:rsidRPr="001B573B">
        <w:rPr>
          <w:rFonts w:ascii="Arial" w:eastAsia="Cambria" w:hAnsi="Arial"/>
          <w:sz w:val="20"/>
        </w:rPr>
        <w:t>, if required,</w:t>
      </w:r>
      <w:r w:rsidRPr="001B573B">
        <w:rPr>
          <w:rFonts w:ascii="Arial" w:eastAsia="Cambria" w:hAnsi="Arial"/>
          <w:sz w:val="20"/>
        </w:rPr>
        <w:t xml:space="preserve"> limit</w:t>
      </w:r>
      <w:r w:rsidR="00561E7A" w:rsidRPr="001B573B">
        <w:rPr>
          <w:rFonts w:ascii="Arial" w:eastAsia="Cambria" w:hAnsi="Arial"/>
          <w:sz w:val="20"/>
        </w:rPr>
        <w:t xml:space="preserve"> funding for</w:t>
      </w:r>
      <w:r w:rsidRPr="001B573B">
        <w:rPr>
          <w:rFonts w:ascii="Arial" w:eastAsia="Cambria" w:hAnsi="Arial"/>
          <w:sz w:val="20"/>
        </w:rPr>
        <w:t xml:space="preserve"> existing commitments.</w:t>
      </w:r>
      <w:r w:rsidR="00070A67" w:rsidRPr="001B573B">
        <w:rPr>
          <w:rFonts w:ascii="Arial" w:eastAsia="Cambria" w:hAnsi="Arial"/>
          <w:sz w:val="20"/>
        </w:rPr>
        <w:t xml:space="preserve"> </w:t>
      </w:r>
    </w:p>
    <w:p w14:paraId="65E09D20" w14:textId="37BB5F73" w:rsidR="009A02CC" w:rsidRPr="001B573B" w:rsidRDefault="009A02CC" w:rsidP="001B573B">
      <w:pPr>
        <w:pStyle w:val="Pa38"/>
        <w:jc w:val="both"/>
        <w:rPr>
          <w:rFonts w:ascii="Arial" w:eastAsia="Cambria" w:hAnsi="Arial"/>
          <w:sz w:val="20"/>
        </w:rPr>
      </w:pPr>
    </w:p>
    <w:p w14:paraId="494CF619" w14:textId="071A56DD" w:rsidR="00C8363C" w:rsidRPr="001B573B" w:rsidRDefault="00561E7A" w:rsidP="001B573B">
      <w:pPr>
        <w:pStyle w:val="Pa38"/>
        <w:jc w:val="both"/>
        <w:rPr>
          <w:rFonts w:ascii="Arial" w:eastAsia="Cambria" w:hAnsi="Arial"/>
          <w:sz w:val="20"/>
        </w:rPr>
      </w:pPr>
      <w:r w:rsidRPr="001B573B">
        <w:rPr>
          <w:rFonts w:ascii="Arial" w:eastAsia="Cambria" w:hAnsi="Arial"/>
          <w:sz w:val="20"/>
        </w:rPr>
        <w:t>The Board considered</w:t>
      </w:r>
      <w:r w:rsidR="00070A67" w:rsidRPr="001B573B">
        <w:rPr>
          <w:rFonts w:ascii="Arial" w:eastAsia="Cambria" w:hAnsi="Arial"/>
          <w:sz w:val="20"/>
        </w:rPr>
        <w:t xml:space="preserve"> the Company’s viability over the three year period, </w:t>
      </w:r>
      <w:r w:rsidRPr="001B573B">
        <w:rPr>
          <w:rFonts w:ascii="Arial" w:eastAsia="Cambria" w:hAnsi="Arial"/>
          <w:sz w:val="20"/>
        </w:rPr>
        <w:t>based on</w:t>
      </w:r>
      <w:r w:rsidR="00070A67" w:rsidRPr="001B573B">
        <w:rPr>
          <w:rFonts w:ascii="Arial" w:eastAsia="Cambria" w:hAnsi="Arial"/>
          <w:sz w:val="20"/>
        </w:rPr>
        <w:t xml:space="preserve"> a </w:t>
      </w:r>
      <w:r w:rsidR="002E0A95" w:rsidRPr="001B573B">
        <w:rPr>
          <w:rFonts w:ascii="Arial" w:eastAsia="Cambria" w:hAnsi="Arial"/>
          <w:sz w:val="20"/>
        </w:rPr>
        <w:t>working capital m</w:t>
      </w:r>
      <w:r w:rsidR="00C8363C" w:rsidRPr="001B573B">
        <w:rPr>
          <w:rFonts w:ascii="Arial" w:eastAsia="Cambria" w:hAnsi="Arial"/>
          <w:sz w:val="20"/>
        </w:rPr>
        <w:t>odel prepared by the Investment Manager.</w:t>
      </w:r>
      <w:r w:rsidR="00070A67" w:rsidRPr="001B573B">
        <w:rPr>
          <w:rFonts w:ascii="Arial" w:eastAsia="Cambria" w:hAnsi="Arial"/>
          <w:sz w:val="20"/>
        </w:rPr>
        <w:t xml:space="preserve"> </w:t>
      </w:r>
      <w:r w:rsidR="00C8363C" w:rsidRPr="001B573B">
        <w:rPr>
          <w:rFonts w:ascii="Arial" w:eastAsia="Cambria" w:hAnsi="Arial"/>
          <w:sz w:val="20"/>
        </w:rPr>
        <w:t xml:space="preserve">The </w:t>
      </w:r>
      <w:r w:rsidR="002E0A95" w:rsidRPr="001B573B">
        <w:rPr>
          <w:rFonts w:ascii="Arial" w:eastAsia="Cambria" w:hAnsi="Arial"/>
          <w:sz w:val="20"/>
        </w:rPr>
        <w:t>working capital</w:t>
      </w:r>
      <w:r w:rsidR="00C8363C" w:rsidRPr="001B573B">
        <w:rPr>
          <w:rFonts w:ascii="Arial" w:eastAsia="Cambria" w:hAnsi="Arial"/>
          <w:sz w:val="20"/>
        </w:rPr>
        <w:t xml:space="preserve"> </w:t>
      </w:r>
      <w:r w:rsidR="002E0A95" w:rsidRPr="001B573B">
        <w:rPr>
          <w:rFonts w:ascii="Arial" w:eastAsia="Cambria" w:hAnsi="Arial"/>
          <w:sz w:val="20"/>
        </w:rPr>
        <w:t xml:space="preserve">model </w:t>
      </w:r>
      <w:r w:rsidR="00C8363C" w:rsidRPr="001B573B">
        <w:rPr>
          <w:rFonts w:ascii="Arial" w:eastAsia="Cambria" w:hAnsi="Arial"/>
          <w:sz w:val="20"/>
        </w:rPr>
        <w:t xml:space="preserve">forecasts </w:t>
      </w:r>
      <w:r w:rsidR="007C6D61" w:rsidRPr="001B573B">
        <w:rPr>
          <w:rFonts w:ascii="Arial" w:eastAsia="Cambria" w:hAnsi="Arial"/>
          <w:sz w:val="20"/>
        </w:rPr>
        <w:t xml:space="preserve">key </w:t>
      </w:r>
      <w:r w:rsidR="001B2A92" w:rsidRPr="001B573B">
        <w:rPr>
          <w:rFonts w:ascii="Arial" w:eastAsia="Cambria" w:hAnsi="Arial"/>
          <w:sz w:val="20"/>
        </w:rPr>
        <w:t xml:space="preserve">cash flow drivers </w:t>
      </w:r>
      <w:r w:rsidR="007C6D61" w:rsidRPr="001B573B">
        <w:rPr>
          <w:rFonts w:ascii="Arial" w:eastAsia="Cambria" w:hAnsi="Arial"/>
          <w:sz w:val="20"/>
        </w:rPr>
        <w:t xml:space="preserve">such as capital deployment rate, </w:t>
      </w:r>
      <w:r w:rsidR="00C8363C" w:rsidRPr="001B573B">
        <w:rPr>
          <w:rFonts w:ascii="Arial" w:eastAsia="Cambria" w:hAnsi="Arial"/>
          <w:sz w:val="20"/>
        </w:rPr>
        <w:t>investment returns</w:t>
      </w:r>
      <w:r w:rsidR="007C6D61" w:rsidRPr="001B573B">
        <w:rPr>
          <w:rFonts w:ascii="Arial" w:eastAsia="Cambria" w:hAnsi="Arial"/>
          <w:sz w:val="20"/>
        </w:rPr>
        <w:t xml:space="preserve">, </w:t>
      </w:r>
      <w:r w:rsidR="009E15F8" w:rsidRPr="001B573B">
        <w:rPr>
          <w:rFonts w:ascii="Arial" w:eastAsia="Cambria" w:hAnsi="Arial"/>
          <w:sz w:val="20"/>
        </w:rPr>
        <w:t>M</w:t>
      </w:r>
      <w:r w:rsidR="007C6D61" w:rsidRPr="001B573B">
        <w:rPr>
          <w:rFonts w:ascii="Arial" w:eastAsia="Cambria" w:hAnsi="Arial"/>
          <w:sz w:val="20"/>
        </w:rPr>
        <w:t xml:space="preserve">anagement </w:t>
      </w:r>
      <w:r w:rsidR="009E15F8" w:rsidRPr="001B573B">
        <w:rPr>
          <w:rFonts w:ascii="Arial" w:eastAsia="Cambria" w:hAnsi="Arial"/>
          <w:sz w:val="20"/>
        </w:rPr>
        <w:t>F</w:t>
      </w:r>
      <w:r w:rsidR="007C6D61" w:rsidRPr="001B573B">
        <w:rPr>
          <w:rFonts w:ascii="Arial" w:eastAsia="Cambria" w:hAnsi="Arial"/>
          <w:sz w:val="20"/>
        </w:rPr>
        <w:t xml:space="preserve">ees and operating expenses. </w:t>
      </w:r>
      <w:r w:rsidR="00C8363C" w:rsidRPr="001B573B">
        <w:rPr>
          <w:rFonts w:ascii="Arial" w:eastAsia="Cambria" w:hAnsi="Arial"/>
          <w:sz w:val="20"/>
        </w:rPr>
        <w:t xml:space="preserve">In connection with the preparation of the </w:t>
      </w:r>
      <w:r w:rsidR="002E0A95" w:rsidRPr="001B573B">
        <w:rPr>
          <w:rFonts w:ascii="Arial" w:eastAsia="Cambria" w:hAnsi="Arial"/>
          <w:sz w:val="20"/>
        </w:rPr>
        <w:t>working capital</w:t>
      </w:r>
      <w:r w:rsidR="00C8363C" w:rsidRPr="001B573B">
        <w:rPr>
          <w:rFonts w:ascii="Arial" w:eastAsia="Cambria" w:hAnsi="Arial"/>
          <w:sz w:val="20"/>
        </w:rPr>
        <w:t xml:space="preserve"> </w:t>
      </w:r>
      <w:r w:rsidR="002E0A95" w:rsidRPr="001B573B">
        <w:rPr>
          <w:rFonts w:ascii="Arial" w:eastAsia="Cambria" w:hAnsi="Arial"/>
          <w:sz w:val="20"/>
        </w:rPr>
        <w:t>model</w:t>
      </w:r>
      <w:r w:rsidR="007C6D61" w:rsidRPr="001B573B">
        <w:rPr>
          <w:rFonts w:ascii="Arial" w:eastAsia="Cambria" w:hAnsi="Arial"/>
          <w:sz w:val="20"/>
        </w:rPr>
        <w:t xml:space="preserve">, </w:t>
      </w:r>
      <w:r w:rsidR="00682C6B" w:rsidRPr="001B573B">
        <w:rPr>
          <w:rFonts w:ascii="Arial" w:eastAsia="Cambria" w:hAnsi="Arial"/>
          <w:sz w:val="20"/>
        </w:rPr>
        <w:t>capital raises, realisations, and</w:t>
      </w:r>
      <w:r w:rsidR="00D36E0B" w:rsidRPr="001B573B">
        <w:rPr>
          <w:rFonts w:ascii="Arial" w:eastAsia="Cambria" w:hAnsi="Arial"/>
          <w:sz w:val="20"/>
        </w:rPr>
        <w:t>,</w:t>
      </w:r>
      <w:r w:rsidR="00682C6B" w:rsidRPr="001B573B">
        <w:rPr>
          <w:rFonts w:ascii="Arial" w:eastAsia="Cambria" w:hAnsi="Arial"/>
          <w:sz w:val="20"/>
        </w:rPr>
        <w:t xml:space="preserve"> </w:t>
      </w:r>
      <w:r w:rsidR="003F6E2A" w:rsidRPr="001B573B">
        <w:rPr>
          <w:rFonts w:ascii="Arial" w:eastAsia="Cambria" w:hAnsi="Arial"/>
          <w:sz w:val="20"/>
        </w:rPr>
        <w:t>dividend payments</w:t>
      </w:r>
      <w:r w:rsidR="002C6313" w:rsidRPr="001B573B">
        <w:rPr>
          <w:rFonts w:ascii="Arial" w:eastAsia="Cambria" w:hAnsi="Arial"/>
          <w:sz w:val="20"/>
        </w:rPr>
        <w:t xml:space="preserve"> and/or share repurchases</w:t>
      </w:r>
      <w:r w:rsidR="007C6D61" w:rsidRPr="001B573B">
        <w:rPr>
          <w:rFonts w:ascii="Arial" w:eastAsia="Cambria" w:hAnsi="Arial"/>
          <w:sz w:val="20"/>
        </w:rPr>
        <w:t xml:space="preserve"> were assumed to</w:t>
      </w:r>
      <w:r w:rsidR="00C8363C" w:rsidRPr="001B573B">
        <w:rPr>
          <w:rFonts w:ascii="Arial" w:eastAsia="Cambria" w:hAnsi="Arial"/>
          <w:sz w:val="20"/>
        </w:rPr>
        <w:t xml:space="preserve"> not</w:t>
      </w:r>
      <w:r w:rsidR="007C6D61" w:rsidRPr="001B573B">
        <w:rPr>
          <w:rFonts w:ascii="Arial" w:eastAsia="Cambria" w:hAnsi="Arial"/>
          <w:sz w:val="20"/>
        </w:rPr>
        <w:t xml:space="preserve"> occur during the three year period</w:t>
      </w:r>
      <w:r w:rsidR="003F6E2A" w:rsidRPr="001B573B">
        <w:rPr>
          <w:rFonts w:ascii="Arial" w:eastAsia="Cambria" w:hAnsi="Arial"/>
          <w:sz w:val="20"/>
        </w:rPr>
        <w:t xml:space="preserve">, </w:t>
      </w:r>
      <w:r w:rsidR="00C8363C" w:rsidRPr="001B573B">
        <w:rPr>
          <w:rFonts w:ascii="Arial" w:eastAsia="Cambria" w:hAnsi="Arial"/>
          <w:sz w:val="20"/>
        </w:rPr>
        <w:t>unless</w:t>
      </w:r>
      <w:r w:rsidR="003F6E2A" w:rsidRPr="001B573B">
        <w:rPr>
          <w:rFonts w:ascii="Arial" w:eastAsia="Cambria" w:hAnsi="Arial"/>
          <w:sz w:val="20"/>
        </w:rPr>
        <w:t xml:space="preserve"> already predetermined</w:t>
      </w:r>
      <w:r w:rsidR="007C6D61" w:rsidRPr="001B573B">
        <w:rPr>
          <w:rFonts w:ascii="Arial" w:eastAsia="Cambria" w:hAnsi="Arial"/>
          <w:sz w:val="20"/>
        </w:rPr>
        <w:t>.</w:t>
      </w:r>
      <w:r w:rsidR="002C6313" w:rsidRPr="001B573B">
        <w:rPr>
          <w:rFonts w:ascii="Arial" w:eastAsia="Cambria" w:hAnsi="Arial"/>
          <w:sz w:val="20"/>
        </w:rPr>
        <w:t xml:space="preserve"> In addition, the Board reviews credit market availability, but no such financing has been assumed. </w:t>
      </w:r>
    </w:p>
    <w:p w14:paraId="4ECA194E" w14:textId="77777777" w:rsidR="00C8363C" w:rsidRPr="001B573B" w:rsidRDefault="00C8363C" w:rsidP="001B573B">
      <w:pPr>
        <w:pStyle w:val="Pa38"/>
        <w:jc w:val="both"/>
        <w:rPr>
          <w:rFonts w:ascii="Arial" w:eastAsia="Cambria" w:hAnsi="Arial"/>
          <w:sz w:val="20"/>
        </w:rPr>
      </w:pPr>
    </w:p>
    <w:p w14:paraId="1504F257" w14:textId="2793CD0A" w:rsidR="00CD5413" w:rsidRPr="001B573B" w:rsidRDefault="00C8363C" w:rsidP="001B573B">
      <w:pPr>
        <w:pStyle w:val="Pa38"/>
        <w:jc w:val="both"/>
        <w:rPr>
          <w:rFonts w:ascii="Arial" w:eastAsia="Cambria" w:hAnsi="Arial"/>
          <w:sz w:val="20"/>
        </w:rPr>
      </w:pPr>
      <w:bookmarkStart w:id="20" w:name="_Hlk36929050"/>
      <w:r w:rsidRPr="001B573B">
        <w:rPr>
          <w:rFonts w:ascii="Arial" w:eastAsia="Cambria" w:hAnsi="Arial"/>
          <w:sz w:val="20"/>
        </w:rPr>
        <w:t>If</w:t>
      </w:r>
      <w:r w:rsidR="001B0FA5" w:rsidRPr="001B573B">
        <w:rPr>
          <w:rFonts w:ascii="Arial" w:eastAsia="Cambria" w:hAnsi="Arial"/>
          <w:sz w:val="20"/>
        </w:rPr>
        <w:t xml:space="preserve"> all</w:t>
      </w:r>
      <w:r w:rsidR="009A02CC" w:rsidRPr="001B573B">
        <w:rPr>
          <w:rFonts w:ascii="Arial" w:eastAsia="Cambria" w:hAnsi="Arial"/>
          <w:sz w:val="20"/>
        </w:rPr>
        <w:t xml:space="preserve"> factors apart from capital deployment rate remain constant, </w:t>
      </w:r>
      <w:r w:rsidRPr="001B573B">
        <w:rPr>
          <w:rFonts w:ascii="Arial" w:eastAsia="Cambria" w:hAnsi="Arial"/>
          <w:sz w:val="20"/>
        </w:rPr>
        <w:t>accelerating</w:t>
      </w:r>
      <w:r w:rsidR="009A02CC" w:rsidRPr="001B573B">
        <w:rPr>
          <w:rFonts w:ascii="Arial" w:eastAsia="Cambria" w:hAnsi="Arial"/>
          <w:sz w:val="20"/>
        </w:rPr>
        <w:t xml:space="preserve"> the capital deployment rate</w:t>
      </w:r>
      <w:r w:rsidR="008C47A8" w:rsidRPr="001B573B">
        <w:rPr>
          <w:rFonts w:ascii="Arial" w:eastAsia="Cambria" w:hAnsi="Arial"/>
          <w:sz w:val="20"/>
        </w:rPr>
        <w:t xml:space="preserve"> </w:t>
      </w:r>
      <w:r w:rsidR="001B0FA5" w:rsidRPr="001B573B">
        <w:rPr>
          <w:rFonts w:ascii="Arial" w:eastAsia="Cambria" w:hAnsi="Arial"/>
          <w:sz w:val="20"/>
        </w:rPr>
        <w:t>(</w:t>
      </w:r>
      <w:r w:rsidR="008C47A8" w:rsidRPr="001B573B">
        <w:rPr>
          <w:rFonts w:ascii="Arial" w:eastAsia="Cambria" w:hAnsi="Arial"/>
          <w:sz w:val="20"/>
        </w:rPr>
        <w:t>which is the most critical aspect of the Company’s operations</w:t>
      </w:r>
      <w:r w:rsidR="001B0FA5" w:rsidRPr="001B573B">
        <w:rPr>
          <w:rFonts w:ascii="Arial" w:eastAsia="Cambria" w:hAnsi="Arial"/>
          <w:sz w:val="20"/>
        </w:rPr>
        <w:t>)</w:t>
      </w:r>
      <w:r w:rsidRPr="001B573B">
        <w:rPr>
          <w:rFonts w:ascii="Arial" w:eastAsia="Cambria" w:hAnsi="Arial"/>
          <w:sz w:val="20"/>
        </w:rPr>
        <w:t xml:space="preserve"> by </w:t>
      </w:r>
      <w:r w:rsidR="00D70BE5" w:rsidRPr="001B573B">
        <w:rPr>
          <w:rFonts w:ascii="Arial" w:eastAsia="Cambria" w:hAnsi="Arial"/>
          <w:sz w:val="20"/>
        </w:rPr>
        <w:t xml:space="preserve">approximately 75 </w:t>
      </w:r>
      <w:r w:rsidRPr="001B573B">
        <w:rPr>
          <w:rFonts w:ascii="Arial" w:eastAsia="Cambria" w:hAnsi="Arial"/>
          <w:sz w:val="20"/>
        </w:rPr>
        <w:t>per cent.,</w:t>
      </w:r>
      <w:r w:rsidR="009A02CC" w:rsidRPr="001B573B">
        <w:rPr>
          <w:rFonts w:ascii="Arial" w:eastAsia="Cambria" w:hAnsi="Arial"/>
          <w:sz w:val="20"/>
        </w:rPr>
        <w:t xml:space="preserve"> from </w:t>
      </w:r>
      <w:r w:rsidR="003F6E2A" w:rsidRPr="001B573B">
        <w:rPr>
          <w:rFonts w:ascii="Arial" w:eastAsia="Cambria" w:hAnsi="Arial"/>
          <w:sz w:val="20"/>
        </w:rPr>
        <w:t xml:space="preserve">36 </w:t>
      </w:r>
      <w:r w:rsidR="009A02CC" w:rsidRPr="001B573B">
        <w:rPr>
          <w:rFonts w:ascii="Arial" w:eastAsia="Cambria" w:hAnsi="Arial"/>
          <w:sz w:val="20"/>
        </w:rPr>
        <w:t xml:space="preserve">months to </w:t>
      </w:r>
      <w:r w:rsidR="00D70BE5" w:rsidRPr="001B573B">
        <w:rPr>
          <w:rFonts w:ascii="Arial" w:eastAsia="Cambria" w:hAnsi="Arial"/>
          <w:sz w:val="20"/>
        </w:rPr>
        <w:t>9</w:t>
      </w:r>
      <w:r w:rsidR="003F6E2A" w:rsidRPr="001B573B">
        <w:rPr>
          <w:rFonts w:ascii="Arial" w:eastAsia="Cambria" w:hAnsi="Arial"/>
          <w:sz w:val="20"/>
        </w:rPr>
        <w:t xml:space="preserve"> </w:t>
      </w:r>
      <w:r w:rsidR="009A02CC" w:rsidRPr="001B573B">
        <w:rPr>
          <w:rFonts w:ascii="Arial" w:eastAsia="Cambria" w:hAnsi="Arial"/>
          <w:sz w:val="20"/>
        </w:rPr>
        <w:t>months</w:t>
      </w:r>
      <w:r w:rsidR="00D70BE5" w:rsidRPr="001B573B">
        <w:rPr>
          <w:rFonts w:ascii="Arial" w:eastAsia="Cambria" w:hAnsi="Arial"/>
          <w:sz w:val="20"/>
        </w:rPr>
        <w:t>, in a worst case scenario</w:t>
      </w:r>
      <w:r w:rsidRPr="001B573B">
        <w:rPr>
          <w:rFonts w:ascii="Arial" w:eastAsia="Cambria" w:hAnsi="Arial"/>
          <w:sz w:val="20"/>
        </w:rPr>
        <w:t>,</w:t>
      </w:r>
      <w:r w:rsidR="009A02CC" w:rsidRPr="001B573B">
        <w:rPr>
          <w:rFonts w:ascii="Arial" w:eastAsia="Cambria" w:hAnsi="Arial"/>
          <w:sz w:val="20"/>
        </w:rPr>
        <w:t xml:space="preserve"> </w:t>
      </w:r>
      <w:r w:rsidR="003F6E2A" w:rsidRPr="001B573B">
        <w:rPr>
          <w:rFonts w:ascii="Arial" w:eastAsia="Cambria" w:hAnsi="Arial"/>
          <w:sz w:val="20"/>
        </w:rPr>
        <w:t>w</w:t>
      </w:r>
      <w:r w:rsidR="009A02CC" w:rsidRPr="001B573B">
        <w:rPr>
          <w:rFonts w:ascii="Arial" w:eastAsia="Cambria" w:hAnsi="Arial"/>
          <w:sz w:val="20"/>
        </w:rPr>
        <w:t xml:space="preserve">ould result in </w:t>
      </w:r>
      <w:r w:rsidR="003F6E2A" w:rsidRPr="001B573B">
        <w:rPr>
          <w:rFonts w:ascii="Arial" w:eastAsia="Cambria" w:hAnsi="Arial"/>
          <w:sz w:val="20"/>
        </w:rPr>
        <w:t>the Company being</w:t>
      </w:r>
      <w:r w:rsidR="00C63E96" w:rsidRPr="001B573B">
        <w:rPr>
          <w:rFonts w:ascii="Arial" w:eastAsia="Cambria" w:hAnsi="Arial"/>
          <w:sz w:val="20"/>
        </w:rPr>
        <w:t xml:space="preserve"> able</w:t>
      </w:r>
      <w:r w:rsidR="003F6E2A" w:rsidRPr="001B573B">
        <w:rPr>
          <w:rFonts w:ascii="Arial" w:eastAsia="Cambria" w:hAnsi="Arial"/>
          <w:sz w:val="20"/>
        </w:rPr>
        <w:t xml:space="preserve"> </w:t>
      </w:r>
      <w:r w:rsidR="001B2A92" w:rsidRPr="001B573B">
        <w:rPr>
          <w:rFonts w:ascii="Arial" w:eastAsia="Cambria" w:hAnsi="Arial"/>
          <w:sz w:val="20"/>
        </w:rPr>
        <w:t xml:space="preserve">to </w:t>
      </w:r>
      <w:r w:rsidR="00C63E96" w:rsidRPr="001B573B">
        <w:rPr>
          <w:rFonts w:ascii="Arial" w:eastAsia="Cambria" w:hAnsi="Arial"/>
          <w:sz w:val="20"/>
        </w:rPr>
        <w:t xml:space="preserve">preserve its ability to </w:t>
      </w:r>
      <w:r w:rsidR="001B2A92" w:rsidRPr="001B573B">
        <w:rPr>
          <w:rFonts w:ascii="Arial" w:eastAsia="Cambria" w:hAnsi="Arial"/>
          <w:sz w:val="20"/>
        </w:rPr>
        <w:t>maintain sufficient working capital for the three year period</w:t>
      </w:r>
      <w:r w:rsidR="00EE08EA" w:rsidRPr="001B573B">
        <w:rPr>
          <w:rFonts w:ascii="Arial" w:eastAsia="Cambria" w:hAnsi="Arial"/>
          <w:sz w:val="20"/>
        </w:rPr>
        <w:t>.</w:t>
      </w:r>
    </w:p>
    <w:bookmarkEnd w:id="20"/>
    <w:p w14:paraId="7F001463" w14:textId="74CCF7B7" w:rsidR="00CD5413" w:rsidRPr="001B573B" w:rsidRDefault="00CD5413" w:rsidP="001B573B">
      <w:pPr>
        <w:pStyle w:val="Pa38"/>
        <w:jc w:val="both"/>
        <w:rPr>
          <w:rFonts w:ascii="Arial" w:eastAsia="Cambria" w:hAnsi="Arial"/>
          <w:sz w:val="20"/>
        </w:rPr>
      </w:pPr>
    </w:p>
    <w:p w14:paraId="76481672" w14:textId="658CF524" w:rsidR="00D70BE5" w:rsidRPr="001B573B" w:rsidRDefault="00D70BE5" w:rsidP="001B573B">
      <w:pPr>
        <w:pStyle w:val="Pa38"/>
        <w:jc w:val="both"/>
        <w:rPr>
          <w:rFonts w:ascii="Arial" w:eastAsia="Cambria" w:hAnsi="Arial"/>
          <w:sz w:val="20"/>
        </w:rPr>
      </w:pPr>
      <w:r w:rsidRPr="001B573B">
        <w:rPr>
          <w:rFonts w:ascii="Arial" w:eastAsia="Cambria" w:hAnsi="Arial"/>
          <w:sz w:val="20"/>
        </w:rPr>
        <w:t>As the Board has assumed for the purposes of this viability statement that the Discontinuation Resolution is likely to be required to be proposed to Shareholders and the direction of the EGM vote is not known at this time, there is a material uncertainty. If the Discontinuation Resolution is proposed to Shareholders and passed (which requires 75 per cent. approval of those Shareholders that vote their shares), the Company will be liquidated.</w:t>
      </w:r>
    </w:p>
    <w:p w14:paraId="6D18A55E" w14:textId="77777777" w:rsidR="00D70BE5" w:rsidRPr="001B573B" w:rsidRDefault="00D70BE5" w:rsidP="001B573B">
      <w:pPr>
        <w:pStyle w:val="Pa38"/>
        <w:jc w:val="both"/>
        <w:rPr>
          <w:rFonts w:ascii="Arial" w:eastAsia="Cambria" w:hAnsi="Arial"/>
          <w:sz w:val="20"/>
        </w:rPr>
      </w:pPr>
    </w:p>
    <w:p w14:paraId="2B166C29" w14:textId="484B825F" w:rsidR="007D7A5B" w:rsidRPr="001B573B" w:rsidRDefault="00591EFF" w:rsidP="001B573B">
      <w:pPr>
        <w:pStyle w:val="Pa38"/>
        <w:jc w:val="both"/>
        <w:rPr>
          <w:rFonts w:ascii="Arial" w:eastAsia="Cambria" w:hAnsi="Arial"/>
          <w:sz w:val="20"/>
        </w:rPr>
      </w:pPr>
      <w:r w:rsidRPr="001B573B">
        <w:rPr>
          <w:rFonts w:ascii="Arial" w:eastAsia="Cambria" w:hAnsi="Arial"/>
          <w:sz w:val="20"/>
        </w:rPr>
        <w:t xml:space="preserve">Since the commodity price downturn began over five years ago in late 2014, REL has endured an especially difficult market environment for energy. Recently, these have included a trifecta of challenges: excess supply, demand destruction due to coronavirus and </w:t>
      </w:r>
      <w:r w:rsidR="001A15A1" w:rsidRPr="001B573B">
        <w:rPr>
          <w:rFonts w:ascii="Arial" w:eastAsia="Cambria" w:hAnsi="Arial"/>
          <w:sz w:val="20"/>
        </w:rPr>
        <w:t xml:space="preserve">only </w:t>
      </w:r>
      <w:r w:rsidRPr="001B573B">
        <w:rPr>
          <w:rFonts w:ascii="Arial" w:eastAsia="Cambria" w:hAnsi="Arial"/>
          <w:sz w:val="20"/>
        </w:rPr>
        <w:t xml:space="preserve">episodic access to capital markets. In 2019, REL and its management teams focussed on driving efficiencies and managing liquidity to maintain financial flexibility. However, despite the portfolio’s operational performance in 2019, the Company is actively evaluating the best path forward for REL’s investments in light of the unprecedented events that have recently occurred. With significant growth and liquidity challenges anticipated, the Company is preparing for material reductions in spending and drilling activity across the portfolio. The next few months will undoubtedly represent a tough period for the portfolio, and REL is working hard to prioritize its investments to plan for continued uncertainty in the market. However, on the assumption the Discontinuation </w:t>
      </w:r>
      <w:r w:rsidR="0028468D" w:rsidRPr="001B573B">
        <w:rPr>
          <w:rFonts w:ascii="Arial" w:eastAsia="Cambria" w:hAnsi="Arial"/>
          <w:sz w:val="20"/>
        </w:rPr>
        <w:t>Resolution</w:t>
      </w:r>
      <w:r w:rsidRPr="001B573B">
        <w:rPr>
          <w:rFonts w:ascii="Arial" w:eastAsia="Cambria" w:hAnsi="Arial"/>
          <w:sz w:val="20"/>
        </w:rPr>
        <w:t xml:space="preserve"> is not passed, and b</w:t>
      </w:r>
      <w:r w:rsidR="00ED0DF0" w:rsidRPr="001B573B">
        <w:rPr>
          <w:rFonts w:ascii="Arial" w:eastAsia="Cambria" w:hAnsi="Arial"/>
          <w:sz w:val="20"/>
        </w:rPr>
        <w:t xml:space="preserve">ased on </w:t>
      </w:r>
      <w:r w:rsidR="007C6D61" w:rsidRPr="001B573B">
        <w:rPr>
          <w:rFonts w:ascii="Arial" w:eastAsia="Cambria" w:hAnsi="Arial"/>
          <w:sz w:val="20"/>
        </w:rPr>
        <w:t xml:space="preserve">the aforementioned procedures </w:t>
      </w:r>
      <w:r w:rsidR="00F2329C" w:rsidRPr="001B573B">
        <w:rPr>
          <w:rFonts w:ascii="Arial" w:eastAsia="Cambria" w:hAnsi="Arial"/>
          <w:sz w:val="20"/>
        </w:rPr>
        <w:t>and the</w:t>
      </w:r>
      <w:r w:rsidR="00C8363C" w:rsidRPr="001B573B">
        <w:rPr>
          <w:rFonts w:ascii="Arial" w:eastAsia="Cambria" w:hAnsi="Arial"/>
          <w:sz w:val="20"/>
        </w:rPr>
        <w:t xml:space="preserve"> existing</w:t>
      </w:r>
      <w:r w:rsidR="00F2329C" w:rsidRPr="001B573B">
        <w:rPr>
          <w:rFonts w:ascii="Arial" w:eastAsia="Cambria" w:hAnsi="Arial"/>
          <w:sz w:val="20"/>
        </w:rPr>
        <w:t xml:space="preserve"> internal control</w:t>
      </w:r>
      <w:r w:rsidR="00C8363C" w:rsidRPr="001B573B">
        <w:rPr>
          <w:rFonts w:ascii="Arial" w:eastAsia="Cambria" w:hAnsi="Arial"/>
          <w:sz w:val="20"/>
        </w:rPr>
        <w:t>s</w:t>
      </w:r>
      <w:r w:rsidR="00F2329C" w:rsidRPr="001B573B">
        <w:rPr>
          <w:rFonts w:ascii="Arial" w:eastAsia="Cambria" w:hAnsi="Arial"/>
          <w:sz w:val="20"/>
        </w:rPr>
        <w:t xml:space="preserve"> </w:t>
      </w:r>
      <w:r w:rsidR="007C6D61" w:rsidRPr="001B573B">
        <w:rPr>
          <w:rFonts w:ascii="Arial" w:eastAsia="Cambria" w:hAnsi="Arial"/>
          <w:sz w:val="20"/>
        </w:rPr>
        <w:t>of the Company and Investment Manager</w:t>
      </w:r>
      <w:r w:rsidR="00ED0DF0" w:rsidRPr="001B573B">
        <w:rPr>
          <w:rFonts w:ascii="Arial" w:eastAsia="Cambria" w:hAnsi="Arial"/>
          <w:sz w:val="20"/>
        </w:rPr>
        <w:t xml:space="preserve">, the Board has concluded there is a reasonable expectation that the Company will be able to continue in operation and meet its liabilities as </w:t>
      </w:r>
      <w:r w:rsidR="00F2329C" w:rsidRPr="001B573B">
        <w:rPr>
          <w:rFonts w:ascii="Arial" w:eastAsia="Cambria" w:hAnsi="Arial"/>
          <w:sz w:val="20"/>
        </w:rPr>
        <w:t xml:space="preserve">they fall due </w:t>
      </w:r>
      <w:r w:rsidR="002F1C98" w:rsidRPr="001B573B">
        <w:rPr>
          <w:rFonts w:ascii="Arial" w:eastAsia="Cambria" w:hAnsi="Arial"/>
          <w:sz w:val="20"/>
        </w:rPr>
        <w:t>over the three-year period of the assessment.</w:t>
      </w:r>
    </w:p>
    <w:p w14:paraId="13D54C15" w14:textId="77777777" w:rsidR="000009D3" w:rsidRPr="001B573B" w:rsidRDefault="000009D3" w:rsidP="001B573B">
      <w:pPr>
        <w:pStyle w:val="Pa38"/>
        <w:jc w:val="both"/>
        <w:rPr>
          <w:rFonts w:ascii="Arial" w:eastAsia="Cambria" w:hAnsi="Arial"/>
          <w:sz w:val="20"/>
        </w:rPr>
      </w:pPr>
    </w:p>
    <w:p w14:paraId="3BDAF5E0" w14:textId="1D7F463E" w:rsidR="0048047D" w:rsidRDefault="00CD5413" w:rsidP="000009D3">
      <w:pPr>
        <w:pStyle w:val="BodyText0"/>
        <w:ind w:left="0"/>
        <w:jc w:val="both"/>
      </w:pPr>
      <w:r w:rsidRPr="00811BA1" w:rsidDel="00563C51">
        <w:rPr>
          <w:sz w:val="20"/>
        </w:rPr>
        <w:t xml:space="preserve"> </w:t>
      </w:r>
    </w:p>
    <w:p w14:paraId="25C38020" w14:textId="02234DBF" w:rsidR="00763048" w:rsidRPr="005A4BC6" w:rsidRDefault="00763048" w:rsidP="001A230B">
      <w:pPr>
        <w:pStyle w:val="Heading2"/>
      </w:pPr>
      <w:r w:rsidRPr="005A4BC6">
        <w:t xml:space="preserve">Directors’ Responsibilities </w:t>
      </w:r>
    </w:p>
    <w:p w14:paraId="37CE925C" w14:textId="4C1D99DD" w:rsidR="00EF5867" w:rsidRPr="001B573B" w:rsidRDefault="00EF5867" w:rsidP="00AF0E48">
      <w:pPr>
        <w:spacing w:after="100" w:afterAutospacing="1"/>
        <w:jc w:val="both"/>
        <w:rPr>
          <w:rFonts w:eastAsia="Cambria"/>
        </w:rPr>
      </w:pPr>
      <w:r w:rsidRPr="001B573B">
        <w:rPr>
          <w:rFonts w:eastAsia="Cambria"/>
        </w:rPr>
        <w:lastRenderedPageBreak/>
        <w:t xml:space="preserve">Although the Company is domiciled in Guernsey, in accordance with the guidance set out in the AIC Code, the Directors describe in this </w:t>
      </w:r>
      <w:r w:rsidR="00101720" w:rsidRPr="001B573B">
        <w:rPr>
          <w:rFonts w:eastAsia="Cambria"/>
        </w:rPr>
        <w:t>A</w:t>
      </w:r>
      <w:r w:rsidRPr="001B573B">
        <w:rPr>
          <w:rFonts w:eastAsia="Cambria"/>
        </w:rPr>
        <w:t xml:space="preserve">nnual </w:t>
      </w:r>
      <w:r w:rsidR="00101720" w:rsidRPr="001B573B">
        <w:rPr>
          <w:rFonts w:eastAsia="Cambria"/>
        </w:rPr>
        <w:t>R</w:t>
      </w:r>
      <w:r w:rsidRPr="001B573B">
        <w:rPr>
          <w:rFonts w:eastAsia="Cambria"/>
        </w:rPr>
        <w:t xml:space="preserve">eport how the matters set out in </w:t>
      </w:r>
      <w:r w:rsidR="00101720" w:rsidRPr="001B573B">
        <w:rPr>
          <w:rFonts w:eastAsia="Cambria"/>
        </w:rPr>
        <w:t>S</w:t>
      </w:r>
      <w:r w:rsidRPr="001B573B">
        <w:rPr>
          <w:rFonts w:eastAsia="Cambria"/>
        </w:rPr>
        <w:t xml:space="preserve">ection 172 of the UK Companies Act 2006 have been considered in their board discussions and decision-making.  Section 172 of the Companies Act requires that the directors of a company act in the way that they consider, in good faith, is most likely to promote the success of the company for the benefit of its members as a whole, and in doing so have regard (amongst other matters) to the likely consequences of any decision in the long term and the interests of all the company's stakeholders.  </w:t>
      </w:r>
    </w:p>
    <w:p w14:paraId="5816FF8D" w14:textId="6C859951" w:rsidR="00763048" w:rsidRPr="001B573B" w:rsidRDefault="0018779F" w:rsidP="000009D3">
      <w:pPr>
        <w:pStyle w:val="wordsection1"/>
        <w:jc w:val="both"/>
        <w:rPr>
          <w:rFonts w:ascii="Arial" w:eastAsia="Cambria" w:hAnsi="Arial" w:cs="Arial"/>
          <w:sz w:val="20"/>
          <w:lang w:eastAsia="en-US"/>
        </w:rPr>
      </w:pPr>
      <w:r w:rsidRPr="001B573B">
        <w:rPr>
          <w:rFonts w:ascii="Arial" w:eastAsia="Cambria" w:hAnsi="Arial" w:cs="Arial"/>
          <w:sz w:val="20"/>
          <w:lang w:eastAsia="en-US"/>
        </w:rPr>
        <w:t>The Board seeks to encourage engagement between</w:t>
      </w:r>
      <w:r w:rsidR="009F4E94" w:rsidRPr="001B573B">
        <w:rPr>
          <w:rFonts w:ascii="Arial" w:eastAsia="Cambria" w:hAnsi="Arial" w:cs="Arial"/>
          <w:sz w:val="20"/>
          <w:lang w:eastAsia="en-US"/>
        </w:rPr>
        <w:t xml:space="preserve"> the Company’s</w:t>
      </w:r>
      <w:r w:rsidRPr="001B573B">
        <w:rPr>
          <w:rFonts w:ascii="Arial" w:eastAsia="Cambria" w:hAnsi="Arial" w:cs="Arial"/>
          <w:sz w:val="20"/>
          <w:lang w:eastAsia="en-US"/>
        </w:rPr>
        <w:t xml:space="preserve"> </w:t>
      </w:r>
      <w:r w:rsidR="00BC71AE" w:rsidRPr="001B573B">
        <w:rPr>
          <w:rFonts w:ascii="Arial" w:eastAsia="Cambria" w:hAnsi="Arial" w:cs="Arial"/>
          <w:sz w:val="20"/>
          <w:lang w:eastAsia="en-US"/>
        </w:rPr>
        <w:t>S</w:t>
      </w:r>
      <w:r w:rsidRPr="001B573B">
        <w:rPr>
          <w:rFonts w:ascii="Arial" w:eastAsia="Cambria" w:hAnsi="Arial" w:cs="Arial"/>
          <w:sz w:val="20"/>
          <w:lang w:eastAsia="en-US"/>
        </w:rPr>
        <w:t>hareholders and the Chairman of the Board, the Chairs of the Audit and Management Engagement Committee</w:t>
      </w:r>
      <w:r w:rsidR="009F4E94" w:rsidRPr="001B573B">
        <w:rPr>
          <w:rFonts w:ascii="Arial" w:eastAsia="Cambria" w:hAnsi="Arial" w:cs="Arial"/>
          <w:sz w:val="20"/>
          <w:lang w:eastAsia="en-US"/>
        </w:rPr>
        <w:t>s</w:t>
      </w:r>
      <w:r w:rsidRPr="001B573B">
        <w:rPr>
          <w:rFonts w:ascii="Arial" w:eastAsia="Cambria" w:hAnsi="Arial" w:cs="Arial"/>
          <w:sz w:val="20"/>
          <w:lang w:eastAsia="en-US"/>
        </w:rPr>
        <w:t xml:space="preserve"> and the Senior Independent Director</w:t>
      </w:r>
      <w:r w:rsidR="008D0B12" w:rsidRPr="001B573B">
        <w:rPr>
          <w:rFonts w:ascii="Arial" w:eastAsia="Cambria" w:hAnsi="Arial" w:cs="Arial"/>
          <w:sz w:val="20"/>
          <w:lang w:eastAsia="en-US"/>
        </w:rPr>
        <w:t>, which</w:t>
      </w:r>
      <w:r w:rsidRPr="001B573B">
        <w:rPr>
          <w:rFonts w:ascii="Arial" w:eastAsia="Cambria" w:hAnsi="Arial" w:cs="Arial"/>
          <w:sz w:val="20"/>
          <w:lang w:eastAsia="en-US"/>
        </w:rPr>
        <w:t xml:space="preserve"> has been </w:t>
      </w:r>
      <w:r w:rsidR="009E0748" w:rsidRPr="001B573B">
        <w:rPr>
          <w:rFonts w:ascii="Arial" w:eastAsia="Cambria" w:hAnsi="Arial" w:cs="Arial"/>
          <w:sz w:val="20"/>
          <w:lang w:eastAsia="en-US"/>
        </w:rPr>
        <w:t>facilitated</w:t>
      </w:r>
      <w:r w:rsidRPr="001B573B">
        <w:rPr>
          <w:rFonts w:ascii="Arial" w:eastAsia="Cambria" w:hAnsi="Arial" w:cs="Arial"/>
          <w:sz w:val="20"/>
          <w:lang w:eastAsia="en-US"/>
        </w:rPr>
        <w:t xml:space="preserve"> throughout the yea</w:t>
      </w:r>
      <w:r w:rsidR="009E0748" w:rsidRPr="001B573B">
        <w:rPr>
          <w:rFonts w:ascii="Arial" w:eastAsia="Cambria" w:hAnsi="Arial" w:cs="Arial"/>
          <w:sz w:val="20"/>
          <w:lang w:eastAsia="en-US"/>
        </w:rPr>
        <w:t xml:space="preserve">r. Up to date quarterly reporting also provides the Board with accurate, timely information on shareholder sentiment and direct feedback from </w:t>
      </w:r>
      <w:r w:rsidRPr="001B573B">
        <w:rPr>
          <w:rFonts w:ascii="Arial" w:eastAsia="Cambria" w:hAnsi="Arial" w:cs="Arial"/>
          <w:sz w:val="20"/>
          <w:lang w:eastAsia="en-US"/>
        </w:rPr>
        <w:t>s</w:t>
      </w:r>
      <w:r w:rsidR="002C2322" w:rsidRPr="001B573B">
        <w:rPr>
          <w:rFonts w:ascii="Arial" w:eastAsia="Cambria" w:hAnsi="Arial" w:cs="Arial"/>
          <w:sz w:val="20"/>
          <w:lang w:eastAsia="en-US"/>
        </w:rPr>
        <w:t>ervice providers</w:t>
      </w:r>
      <w:r w:rsidR="009E0748" w:rsidRPr="001B573B">
        <w:rPr>
          <w:rFonts w:ascii="Arial" w:eastAsia="Cambria" w:hAnsi="Arial" w:cs="Arial"/>
          <w:sz w:val="20"/>
          <w:lang w:eastAsia="en-US"/>
        </w:rPr>
        <w:t>,</w:t>
      </w:r>
      <w:r w:rsidRPr="001B573B">
        <w:rPr>
          <w:rFonts w:ascii="Arial" w:eastAsia="Cambria" w:hAnsi="Arial" w:cs="Arial"/>
          <w:sz w:val="20"/>
          <w:lang w:eastAsia="en-US"/>
        </w:rPr>
        <w:t xml:space="preserve"> impacted by the Company’s operations</w:t>
      </w:r>
      <w:r w:rsidR="009E0748" w:rsidRPr="001B573B">
        <w:rPr>
          <w:rFonts w:ascii="Arial" w:eastAsia="Cambria" w:hAnsi="Arial" w:cs="Arial"/>
          <w:sz w:val="20"/>
          <w:lang w:eastAsia="en-US"/>
        </w:rPr>
        <w:t>,</w:t>
      </w:r>
      <w:r w:rsidR="00A3575D" w:rsidRPr="001B573B">
        <w:rPr>
          <w:rFonts w:ascii="Arial" w:eastAsia="Cambria" w:hAnsi="Arial" w:cs="Arial"/>
          <w:sz w:val="20"/>
          <w:lang w:eastAsia="en-US"/>
        </w:rPr>
        <w:t xml:space="preserve"> and</w:t>
      </w:r>
      <w:r w:rsidR="009E0748" w:rsidRPr="001B573B">
        <w:rPr>
          <w:rFonts w:ascii="Arial" w:eastAsia="Cambria" w:hAnsi="Arial" w:cs="Arial"/>
          <w:sz w:val="20"/>
          <w:lang w:eastAsia="en-US"/>
        </w:rPr>
        <w:t xml:space="preserve"> is canvassed at least annually by the Chair of the Management Engagement Committee. It is against this backdrop that k</w:t>
      </w:r>
      <w:r w:rsidR="00763048" w:rsidRPr="001B573B">
        <w:rPr>
          <w:rFonts w:ascii="Arial" w:eastAsia="Cambria" w:hAnsi="Arial" w:cs="Arial"/>
          <w:sz w:val="20"/>
          <w:lang w:eastAsia="en-US"/>
        </w:rPr>
        <w:t>ey decisions</w:t>
      </w:r>
      <w:r w:rsidRPr="001B573B">
        <w:rPr>
          <w:rFonts w:ascii="Arial" w:eastAsia="Cambria" w:hAnsi="Arial" w:cs="Arial"/>
          <w:sz w:val="20"/>
          <w:lang w:eastAsia="en-US"/>
        </w:rPr>
        <w:t xml:space="preserve"> which</w:t>
      </w:r>
      <w:r w:rsidR="00763048" w:rsidRPr="001B573B">
        <w:rPr>
          <w:rFonts w:ascii="Arial" w:eastAsia="Cambria" w:hAnsi="Arial" w:cs="Arial"/>
          <w:sz w:val="20"/>
          <w:lang w:eastAsia="en-US"/>
        </w:rPr>
        <w:t xml:space="preserve"> are either material to the Company or are significant to any of the Company’s key stakeholders, </w:t>
      </w:r>
      <w:r w:rsidR="008D0B12" w:rsidRPr="001B573B">
        <w:rPr>
          <w:rFonts w:ascii="Arial" w:eastAsia="Cambria" w:hAnsi="Arial" w:cs="Arial"/>
          <w:sz w:val="20"/>
          <w:lang w:eastAsia="en-US"/>
        </w:rPr>
        <w:t>are taken</w:t>
      </w:r>
      <w:r w:rsidR="00763048" w:rsidRPr="001B573B">
        <w:rPr>
          <w:rFonts w:ascii="Arial" w:eastAsia="Cambria" w:hAnsi="Arial" w:cs="Arial"/>
          <w:sz w:val="20"/>
          <w:lang w:eastAsia="en-US"/>
        </w:rPr>
        <w:t>. The below key decisions were made or approved by the Directors during the year, with the overall aim of promoting the success of the Company</w:t>
      </w:r>
      <w:r w:rsidRPr="001B573B">
        <w:rPr>
          <w:rFonts w:ascii="Arial" w:eastAsia="Cambria" w:hAnsi="Arial" w:cs="Arial"/>
          <w:sz w:val="20"/>
          <w:lang w:eastAsia="en-US"/>
        </w:rPr>
        <w:t>, having regard to the long ter</w:t>
      </w:r>
      <w:r w:rsidR="009E0748" w:rsidRPr="001B573B">
        <w:rPr>
          <w:rFonts w:ascii="Arial" w:eastAsia="Cambria" w:hAnsi="Arial" w:cs="Arial"/>
          <w:sz w:val="20"/>
          <w:lang w:eastAsia="en-US"/>
        </w:rPr>
        <w:t>m,</w:t>
      </w:r>
      <w:r w:rsidR="00763048" w:rsidRPr="001B573B">
        <w:rPr>
          <w:rFonts w:ascii="Arial" w:eastAsia="Cambria" w:hAnsi="Arial" w:cs="Arial"/>
          <w:sz w:val="20"/>
          <w:lang w:eastAsia="en-US"/>
        </w:rPr>
        <w:t xml:space="preserve"> while considering the impact on its members, stakeholders and the wider society as outlined in the ESG section.</w:t>
      </w:r>
    </w:p>
    <w:p w14:paraId="664585A1" w14:textId="1DA786CC" w:rsidR="00763048" w:rsidRDefault="00763048" w:rsidP="000009D3">
      <w:pPr>
        <w:pStyle w:val="Heading2"/>
        <w:jc w:val="both"/>
      </w:pPr>
    </w:p>
    <w:p w14:paraId="58C8B98E" w14:textId="77777777" w:rsidR="00763048" w:rsidRPr="0048047D" w:rsidRDefault="00763048" w:rsidP="000009D3">
      <w:pPr>
        <w:jc w:val="both"/>
        <w:rPr>
          <w:i/>
          <w:lang w:eastAsia="en-GB"/>
        </w:rPr>
      </w:pPr>
      <w:r w:rsidRPr="0048047D">
        <w:rPr>
          <w:i/>
          <w:lang w:eastAsia="en-GB"/>
        </w:rPr>
        <w:t>Engagement with Shareholders</w:t>
      </w:r>
    </w:p>
    <w:p w14:paraId="27837200" w14:textId="6D67D0AF" w:rsidR="00763048" w:rsidRPr="001B573B" w:rsidRDefault="00763048" w:rsidP="000009D3">
      <w:pPr>
        <w:jc w:val="both"/>
        <w:rPr>
          <w:rFonts w:eastAsia="Cambria"/>
        </w:rPr>
      </w:pPr>
      <w:r w:rsidRPr="001B573B">
        <w:rPr>
          <w:rFonts w:eastAsia="Cambria"/>
        </w:rPr>
        <w:t>The Company reports to Shareholders in a number of formal ways, including its Annual Report, Interim Report and regulatory news releases, all of which are approved by the Board. In addition, the Company’s website contains comprehensive information for Shareholders.</w:t>
      </w:r>
      <w:r w:rsidR="00F164B7" w:rsidRPr="001B573B">
        <w:rPr>
          <w:rFonts w:eastAsia="Cambria"/>
        </w:rPr>
        <w:t xml:space="preserve"> Due to recently implemented travel restrictions as a result of COVID-19, </w:t>
      </w:r>
      <w:r w:rsidR="00B66E80" w:rsidRPr="001B573B">
        <w:rPr>
          <w:rFonts w:eastAsia="Cambria"/>
        </w:rPr>
        <w:t>t</w:t>
      </w:r>
      <w:r w:rsidR="00101720" w:rsidRPr="001B573B">
        <w:rPr>
          <w:rFonts w:eastAsia="Cambria"/>
        </w:rPr>
        <w:t>he Directors are keeping the 2020 AGM location and date under review and will make announcements as information becomes available.</w:t>
      </w:r>
      <w:r w:rsidR="00F164B7" w:rsidRPr="001B573B">
        <w:rPr>
          <w:rFonts w:eastAsia="Cambria"/>
        </w:rPr>
        <w:t xml:space="preserve"> Further details will be included in the AGM Notice and Form of Proxy, which will be published on the Company’s website in advance of the AGM. </w:t>
      </w:r>
    </w:p>
    <w:p w14:paraId="3EEB026C" w14:textId="77777777" w:rsidR="00763048" w:rsidRPr="00763048" w:rsidRDefault="00763048" w:rsidP="000009D3">
      <w:pPr>
        <w:jc w:val="both"/>
      </w:pPr>
    </w:p>
    <w:p w14:paraId="6E567F2F" w14:textId="05569958" w:rsidR="009145B0" w:rsidRPr="00811BA1" w:rsidRDefault="009145B0" w:rsidP="00EB7E49">
      <w:pPr>
        <w:pStyle w:val="Heading2"/>
      </w:pPr>
      <w:r w:rsidRPr="00811BA1">
        <w:t>Financial Risk Management Policies</w:t>
      </w:r>
      <w:r w:rsidR="008867CC" w:rsidRPr="00811BA1">
        <w:t xml:space="preserve"> and Objectives</w:t>
      </w:r>
    </w:p>
    <w:p w14:paraId="075A20B8" w14:textId="1CDBD7EA" w:rsidR="009145B0" w:rsidRPr="00811BA1" w:rsidRDefault="009145B0" w:rsidP="00EB7E49">
      <w:pPr>
        <w:pStyle w:val="Bodytext"/>
      </w:pPr>
      <w:r w:rsidRPr="00811BA1">
        <w:t xml:space="preserve">Financial Risk Management Policies and Objectives are disclosed in Note </w:t>
      </w:r>
      <w:r w:rsidR="00505043" w:rsidRPr="00811BA1">
        <w:t>1</w:t>
      </w:r>
      <w:r w:rsidR="00BF1AFA">
        <w:t>1</w:t>
      </w:r>
      <w:r w:rsidR="00D62E5A">
        <w:t>.</w:t>
      </w:r>
    </w:p>
    <w:p w14:paraId="27A5E306" w14:textId="77777777" w:rsidR="008867CC" w:rsidRPr="00811BA1" w:rsidRDefault="008867CC" w:rsidP="00EB7E49">
      <w:pPr>
        <w:pStyle w:val="Bodytext"/>
      </w:pPr>
    </w:p>
    <w:p w14:paraId="22032F27" w14:textId="77777777" w:rsidR="009145B0" w:rsidRPr="00811BA1" w:rsidRDefault="009145B0" w:rsidP="00EB7E49">
      <w:pPr>
        <w:pStyle w:val="Heading2"/>
      </w:pPr>
      <w:r w:rsidRPr="00811BA1">
        <w:t xml:space="preserve">Principal Risk and </w:t>
      </w:r>
      <w:r w:rsidR="008867CC" w:rsidRPr="00811BA1">
        <w:t>Uncertainties</w:t>
      </w:r>
    </w:p>
    <w:p w14:paraId="6F34BA11" w14:textId="396A0FB7" w:rsidR="009145B0" w:rsidRPr="00811BA1" w:rsidRDefault="009145B0" w:rsidP="00EB7E49">
      <w:pPr>
        <w:pStyle w:val="Bodytext"/>
      </w:pPr>
      <w:r w:rsidRPr="00811BA1">
        <w:t>Principal Risk and Uncertainties are discussed in the Corporate Governance Report</w:t>
      </w:r>
      <w:r w:rsidR="00D62E5A">
        <w:t>.</w:t>
      </w:r>
    </w:p>
    <w:p w14:paraId="54D30247" w14:textId="77777777" w:rsidR="008867CC" w:rsidRPr="00811BA1" w:rsidRDefault="008867CC" w:rsidP="00EB7E49">
      <w:pPr>
        <w:pStyle w:val="Bodytext"/>
      </w:pPr>
    </w:p>
    <w:p w14:paraId="3E0B5168" w14:textId="77777777" w:rsidR="009145B0" w:rsidRPr="00811BA1" w:rsidRDefault="008867CC" w:rsidP="00EB7E49">
      <w:pPr>
        <w:pStyle w:val="Heading2"/>
      </w:pPr>
      <w:r w:rsidRPr="00811BA1">
        <w:t>Subsequent Events</w:t>
      </w:r>
    </w:p>
    <w:p w14:paraId="533EE709" w14:textId="4EA685C7" w:rsidR="009145B0" w:rsidRPr="00811BA1" w:rsidRDefault="009145B0" w:rsidP="00EB7E49">
      <w:pPr>
        <w:pStyle w:val="Bodytext"/>
      </w:pPr>
      <w:r w:rsidRPr="00811BA1">
        <w:t>Subsequent Events are disclosed</w:t>
      </w:r>
      <w:r w:rsidR="00561AA1">
        <w:t xml:space="preserve"> in Note 1</w:t>
      </w:r>
      <w:r w:rsidR="00FC3EA5">
        <w:t>6</w:t>
      </w:r>
      <w:r w:rsidR="00D62E5A">
        <w:t>.</w:t>
      </w:r>
    </w:p>
    <w:p w14:paraId="2F321F75" w14:textId="77777777" w:rsidR="008867CC" w:rsidRPr="00811BA1" w:rsidRDefault="008867CC" w:rsidP="00EB7E49">
      <w:pPr>
        <w:pStyle w:val="Bodytext"/>
      </w:pPr>
    </w:p>
    <w:p w14:paraId="30EDA784" w14:textId="77777777" w:rsidR="009145B0" w:rsidRPr="00811BA1" w:rsidRDefault="008867CC" w:rsidP="00EB7E49">
      <w:pPr>
        <w:pStyle w:val="Heading2"/>
      </w:pPr>
      <w:r w:rsidRPr="00811BA1">
        <w:t>Annual General Meetings</w:t>
      </w:r>
    </w:p>
    <w:p w14:paraId="28404EE4" w14:textId="2FAA64A3" w:rsidR="009145B0" w:rsidRDefault="009145B0" w:rsidP="000009D3">
      <w:pPr>
        <w:pStyle w:val="Bodytext"/>
        <w:jc w:val="both"/>
      </w:pPr>
      <w:r w:rsidRPr="00811BA1">
        <w:t xml:space="preserve">The AGM of the Company </w:t>
      </w:r>
      <w:r w:rsidRPr="001460DE">
        <w:t xml:space="preserve">will be held at </w:t>
      </w:r>
      <w:r w:rsidR="00F72570">
        <w:t>15:30</w:t>
      </w:r>
      <w:r w:rsidRPr="001460DE">
        <w:t xml:space="preserve"> </w:t>
      </w:r>
      <w:r w:rsidR="008E412B">
        <w:t>p</w:t>
      </w:r>
      <w:r w:rsidRPr="001460DE">
        <w:t xml:space="preserve">m </w:t>
      </w:r>
      <w:r w:rsidR="00F0562F" w:rsidRPr="001460DE">
        <w:t>BST on</w:t>
      </w:r>
      <w:r w:rsidR="00787513">
        <w:t xml:space="preserve"> </w:t>
      </w:r>
      <w:r w:rsidR="00F72570">
        <w:t>17</w:t>
      </w:r>
      <w:r w:rsidR="00E929C9">
        <w:t xml:space="preserve"> June</w:t>
      </w:r>
      <w:r w:rsidR="001460DE" w:rsidRPr="001460DE">
        <w:t xml:space="preserve"> </w:t>
      </w:r>
      <w:r w:rsidRPr="001460DE">
        <w:t>20</w:t>
      </w:r>
      <w:r w:rsidR="00FF7D3E">
        <w:t>20</w:t>
      </w:r>
      <w:r w:rsidRPr="001460DE">
        <w:t xml:space="preserve"> </w:t>
      </w:r>
      <w:r w:rsidR="00613712" w:rsidRPr="001460DE">
        <w:t>at</w:t>
      </w:r>
      <w:r w:rsidR="00613712">
        <w:t xml:space="preserve"> </w:t>
      </w:r>
      <w:r w:rsidR="001C4226" w:rsidRPr="001C4226">
        <w:t xml:space="preserve">the offices of </w:t>
      </w:r>
      <w:r w:rsidR="00F72570">
        <w:t>Ocorian</w:t>
      </w:r>
      <w:r w:rsidR="00F72570" w:rsidRPr="001C4226">
        <w:t xml:space="preserve"> </w:t>
      </w:r>
      <w:r w:rsidR="00F72570">
        <w:t>Administration</w:t>
      </w:r>
      <w:r w:rsidR="001C4226" w:rsidRPr="001C4226">
        <w:t xml:space="preserve"> (Guernsey) Limited</w:t>
      </w:r>
      <w:r w:rsidR="00CD2E43">
        <w:t xml:space="preserve">, </w:t>
      </w:r>
      <w:r w:rsidR="00787513" w:rsidRPr="008F3390">
        <w:t>Trafalgar Court, Les Banques, St Peter Port, Guernsey,</w:t>
      </w:r>
      <w:r w:rsidR="00787513">
        <w:t xml:space="preserve"> Channel Islands.</w:t>
      </w:r>
      <w:r w:rsidRPr="001460DE">
        <w:t xml:space="preserve"> Details of</w:t>
      </w:r>
      <w:r w:rsidRPr="00811BA1">
        <w:t xml:space="preserve"> the resolutions to be proposed at the AGM, together with explanations, will appear in the notices of meetings to be distributed to Shareholders listed on the register as at 31 December 201</w:t>
      </w:r>
      <w:r w:rsidR="00FF7D3E">
        <w:t>9</w:t>
      </w:r>
      <w:r w:rsidRPr="00811BA1">
        <w:t xml:space="preserve"> together with this Annual Report.</w:t>
      </w:r>
      <w:r w:rsidR="008349CF">
        <w:t xml:space="preserve"> As a matter of good practice, all resolutions will be conducted on a poll and the results will be announced to the market as soon as possible after the meeting.</w:t>
      </w:r>
    </w:p>
    <w:p w14:paraId="50F0A813" w14:textId="3B6CD0FF" w:rsidR="006C27D1" w:rsidRDefault="006C27D1" w:rsidP="000009D3">
      <w:pPr>
        <w:pStyle w:val="Bodytext"/>
        <w:jc w:val="both"/>
      </w:pPr>
    </w:p>
    <w:p w14:paraId="589A9649" w14:textId="488270EF" w:rsidR="006C27D1" w:rsidRPr="00811BA1" w:rsidRDefault="006C27D1" w:rsidP="000009D3">
      <w:pPr>
        <w:pStyle w:val="Bodytext"/>
        <w:jc w:val="both"/>
      </w:pPr>
      <w:r>
        <w:rPr>
          <w:lang w:eastAsia="en-GB"/>
        </w:rPr>
        <w:t xml:space="preserve">Due to recently implemented travel restrictions as a result of COVID-19, </w:t>
      </w:r>
      <w:r w:rsidR="00B66E80">
        <w:t>t</w:t>
      </w:r>
      <w:r w:rsidR="00101720">
        <w:t>he Directors are keeping the 2020 AGM location and date under review and will make announcements as information becomes available.</w:t>
      </w:r>
      <w:r>
        <w:rPr>
          <w:lang w:eastAsia="en-GB"/>
        </w:rPr>
        <w:t xml:space="preserve"> Further details will be included in the AGM Notice and Form of Proxy, which will be published on the Company’s website in advance of the AGM.</w:t>
      </w:r>
    </w:p>
    <w:p w14:paraId="36BE3BFA" w14:textId="244B1C61" w:rsidR="009E66F2" w:rsidRPr="00811BA1" w:rsidRDefault="009E66F2" w:rsidP="000009D3">
      <w:pPr>
        <w:pStyle w:val="Bodytext"/>
        <w:jc w:val="both"/>
      </w:pPr>
    </w:p>
    <w:p w14:paraId="3B2B4C33" w14:textId="00DF1549" w:rsidR="009145B0" w:rsidRPr="00811BA1" w:rsidRDefault="009145B0" w:rsidP="000009D3">
      <w:pPr>
        <w:pStyle w:val="Bodytext"/>
        <w:jc w:val="both"/>
      </w:pPr>
      <w:r w:rsidRPr="00811BA1">
        <w:t>Members of the Board, including the Chairman</w:t>
      </w:r>
      <w:r w:rsidR="008867CC" w:rsidRPr="00811BA1">
        <w:t xml:space="preserve"> </w:t>
      </w:r>
      <w:r w:rsidRPr="00811BA1">
        <w:t xml:space="preserve">and the </w:t>
      </w:r>
      <w:r w:rsidR="005819E9">
        <w:t xml:space="preserve">Chairperson of each </w:t>
      </w:r>
      <w:r w:rsidRPr="00811BA1">
        <w:t xml:space="preserve">Committee, will be </w:t>
      </w:r>
      <w:r w:rsidR="00E929C9">
        <w:t>present</w:t>
      </w:r>
      <w:r w:rsidRPr="00811BA1">
        <w:t xml:space="preserve"> at the AGM</w:t>
      </w:r>
      <w:r w:rsidR="00F0409B">
        <w:t xml:space="preserve"> </w:t>
      </w:r>
      <w:r w:rsidRPr="00811BA1">
        <w:t>and will be available to answer Shareholder questions.</w:t>
      </w:r>
    </w:p>
    <w:p w14:paraId="0717193F" w14:textId="44793AEC" w:rsidR="008867CC" w:rsidRPr="00811BA1" w:rsidRDefault="008867CC" w:rsidP="00EB7E49">
      <w:pPr>
        <w:pStyle w:val="Bodytext"/>
      </w:pPr>
    </w:p>
    <w:p w14:paraId="1C303BC3" w14:textId="77777777" w:rsidR="009145B0" w:rsidRPr="00811BA1" w:rsidRDefault="009145B0" w:rsidP="00EB7E49">
      <w:pPr>
        <w:pStyle w:val="Bodytext"/>
      </w:pPr>
      <w:r w:rsidRPr="00811BA1">
        <w:t>By order of the Board</w:t>
      </w:r>
    </w:p>
    <w:p w14:paraId="01717253" w14:textId="77777777" w:rsidR="009145B0" w:rsidRPr="00811BA1" w:rsidRDefault="009145B0" w:rsidP="00EB7E49">
      <w:pPr>
        <w:pStyle w:val="Bodytext"/>
      </w:pPr>
    </w:p>
    <w:p w14:paraId="783B7C64" w14:textId="77777777" w:rsidR="009145B0" w:rsidRPr="00811BA1" w:rsidRDefault="009145B0" w:rsidP="00EB7E49">
      <w:pPr>
        <w:pStyle w:val="Bodytext"/>
      </w:pPr>
    </w:p>
    <w:p w14:paraId="0091D126" w14:textId="77777777" w:rsidR="00F77900" w:rsidRDefault="00F77900" w:rsidP="00EB7E49">
      <w:pPr>
        <w:pStyle w:val="Bodytext"/>
        <w:rPr>
          <w:b/>
        </w:rPr>
      </w:pPr>
      <w:r w:rsidRPr="00811BA1">
        <w:rPr>
          <w:b/>
        </w:rPr>
        <w:t>Richard Hayden</w:t>
      </w:r>
      <w:r w:rsidRPr="00811BA1" w:rsidDel="00F77900">
        <w:rPr>
          <w:b/>
        </w:rPr>
        <w:t xml:space="preserve"> </w:t>
      </w:r>
    </w:p>
    <w:p w14:paraId="710285F8" w14:textId="75115559" w:rsidR="009145B0" w:rsidRPr="00811BA1" w:rsidRDefault="009145B0" w:rsidP="00EB7E49">
      <w:pPr>
        <w:pStyle w:val="Bodytext"/>
        <w:rPr>
          <w:i/>
        </w:rPr>
      </w:pPr>
      <w:r w:rsidRPr="00811BA1">
        <w:rPr>
          <w:i/>
        </w:rPr>
        <w:t>Chairman</w:t>
      </w:r>
    </w:p>
    <w:p w14:paraId="68CDB3A7" w14:textId="36E384A7" w:rsidR="00D72828" w:rsidRPr="00811BA1" w:rsidRDefault="005B1414" w:rsidP="00EB7E49">
      <w:pPr>
        <w:pStyle w:val="Bodytext"/>
      </w:pPr>
      <w:r>
        <w:t>22</w:t>
      </w:r>
      <w:r w:rsidR="00400EEA">
        <w:t xml:space="preserve"> </w:t>
      </w:r>
      <w:r w:rsidR="001209A8">
        <w:t>April</w:t>
      </w:r>
      <w:r w:rsidR="00400EEA">
        <w:t xml:space="preserve"> </w:t>
      </w:r>
      <w:r w:rsidR="009145B0" w:rsidRPr="00811BA1">
        <w:t>20</w:t>
      </w:r>
      <w:r w:rsidR="00FF7D3E">
        <w:t>20</w:t>
      </w:r>
    </w:p>
    <w:p w14:paraId="5E2FBAAE" w14:textId="77777777" w:rsidR="00200423" w:rsidRDefault="00200423" w:rsidP="00200423">
      <w:pPr>
        <w:pStyle w:val="Heading1"/>
        <w:spacing w:before="0"/>
        <w:rPr>
          <w:sz w:val="20"/>
          <w:szCs w:val="20"/>
        </w:rPr>
      </w:pPr>
    </w:p>
    <w:p w14:paraId="793F37D6" w14:textId="094DF472" w:rsidR="00A92341" w:rsidRDefault="00A92341" w:rsidP="00200423"/>
    <w:p w14:paraId="4E765DF7" w14:textId="07860738" w:rsidR="002B75DD" w:rsidRPr="00811BA1" w:rsidRDefault="002B75DD" w:rsidP="00200423">
      <w:pPr>
        <w:pStyle w:val="Heading1"/>
        <w:spacing w:before="0"/>
      </w:pPr>
      <w:r w:rsidRPr="00811BA1">
        <w:t>Directors’ Responsibilities Statement</w:t>
      </w:r>
    </w:p>
    <w:p w14:paraId="2DFFB0D6" w14:textId="77777777" w:rsidR="002B75DD" w:rsidRPr="00811BA1" w:rsidRDefault="002B75DD" w:rsidP="00EB7E49">
      <w:pPr>
        <w:pStyle w:val="Bodytext"/>
      </w:pPr>
    </w:p>
    <w:p w14:paraId="452FCEFE" w14:textId="77777777" w:rsidR="002B75DD" w:rsidRPr="00811BA1" w:rsidRDefault="002B75DD" w:rsidP="000009D3">
      <w:pPr>
        <w:pStyle w:val="Bodytext"/>
        <w:jc w:val="both"/>
      </w:pPr>
      <w:r w:rsidRPr="00811BA1">
        <w:lastRenderedPageBreak/>
        <w:t>The Directors are responsible for preparing the Annual Report and Financial Statements in accordance with applicable law and regulations.</w:t>
      </w:r>
    </w:p>
    <w:p w14:paraId="5624CA87" w14:textId="77777777" w:rsidR="008867CC" w:rsidRPr="00811BA1" w:rsidRDefault="008867CC" w:rsidP="000009D3">
      <w:pPr>
        <w:pStyle w:val="Bodytext"/>
        <w:jc w:val="both"/>
      </w:pPr>
    </w:p>
    <w:p w14:paraId="5C7A783B" w14:textId="1ECA3C80" w:rsidR="002B75DD" w:rsidRPr="00811BA1" w:rsidRDefault="002B75DD" w:rsidP="000009D3">
      <w:pPr>
        <w:pStyle w:val="Bodytext"/>
        <w:spacing w:after="80"/>
        <w:jc w:val="both"/>
      </w:pPr>
      <w:r w:rsidRPr="00811BA1">
        <w:t xml:space="preserve">The Companies Law requires the Directors to prepare Financial Statements for each financial year. Under the Companies Law, the Directors must not approve the </w:t>
      </w:r>
      <w:r w:rsidR="002F261F">
        <w:t>F</w:t>
      </w:r>
      <w:r w:rsidR="002F261F" w:rsidRPr="00811BA1">
        <w:t xml:space="preserve">inancial </w:t>
      </w:r>
      <w:r w:rsidR="002F261F">
        <w:t>S</w:t>
      </w:r>
      <w:r w:rsidR="002F261F" w:rsidRPr="00811BA1">
        <w:t xml:space="preserve">tatements </w:t>
      </w:r>
      <w:r w:rsidRPr="00811BA1">
        <w:t>unless they are satisfied that they give a true and fair view of the state of affairs of the Company and of the profit or loss of the Company for that period. In preparing these Financial Statements, the Directors are required to:</w:t>
      </w:r>
    </w:p>
    <w:p w14:paraId="61634B72" w14:textId="77777777" w:rsidR="002B75DD" w:rsidRPr="00811BA1" w:rsidRDefault="002B75DD" w:rsidP="000009D3">
      <w:pPr>
        <w:pStyle w:val="Bodytext"/>
        <w:numPr>
          <w:ilvl w:val="0"/>
          <w:numId w:val="3"/>
        </w:numPr>
        <w:spacing w:after="80"/>
        <w:ind w:left="340" w:hanging="340"/>
        <w:jc w:val="both"/>
      </w:pPr>
      <w:r w:rsidRPr="00811BA1">
        <w:t>select suitable accounting policies in accordance with IAS 8: Accounting Policies, Changes in Accounting Estimates and Errors and then apply them consistently;</w:t>
      </w:r>
    </w:p>
    <w:p w14:paraId="3952305A" w14:textId="77777777" w:rsidR="002B75DD" w:rsidRPr="00811BA1" w:rsidRDefault="002B75DD" w:rsidP="000009D3">
      <w:pPr>
        <w:pStyle w:val="Bodytext"/>
        <w:numPr>
          <w:ilvl w:val="0"/>
          <w:numId w:val="3"/>
        </w:numPr>
        <w:spacing w:after="80"/>
        <w:ind w:left="340" w:hanging="340"/>
        <w:jc w:val="both"/>
      </w:pPr>
      <w:r w:rsidRPr="00811BA1">
        <w:t>make judgements and estimates that are reasonable and prudent;</w:t>
      </w:r>
    </w:p>
    <w:p w14:paraId="2115C1AB" w14:textId="77777777" w:rsidR="002B75DD" w:rsidRPr="00811BA1" w:rsidRDefault="002B75DD" w:rsidP="000009D3">
      <w:pPr>
        <w:pStyle w:val="Bodytext"/>
        <w:numPr>
          <w:ilvl w:val="0"/>
          <w:numId w:val="3"/>
        </w:numPr>
        <w:spacing w:after="80"/>
        <w:ind w:left="340" w:hanging="340"/>
        <w:jc w:val="both"/>
      </w:pPr>
      <w:r w:rsidRPr="00811BA1">
        <w:t>present information, including accounting policies, in a manner that provides relevant, reliable, comparable and understandable information;</w:t>
      </w:r>
    </w:p>
    <w:p w14:paraId="5AB36FD9" w14:textId="77777777" w:rsidR="002B75DD" w:rsidRPr="00811BA1" w:rsidRDefault="002B75DD" w:rsidP="000009D3">
      <w:pPr>
        <w:pStyle w:val="Bodytext"/>
        <w:numPr>
          <w:ilvl w:val="0"/>
          <w:numId w:val="3"/>
        </w:numPr>
        <w:spacing w:after="80"/>
        <w:ind w:left="340" w:hanging="340"/>
        <w:jc w:val="both"/>
      </w:pPr>
      <w:r w:rsidRPr="00811BA1">
        <w:t>provide addition</w:t>
      </w:r>
      <w:r w:rsidR="008867CC" w:rsidRPr="00811BA1">
        <w:t xml:space="preserve">al disclosures when compliance </w:t>
      </w:r>
      <w:r w:rsidRPr="00811BA1">
        <w:t>with the specific requirements in IFRS are insufficient to enable users to understand the impact of particular transactions, other events and conditions on the Company’s financial position and financial performance;</w:t>
      </w:r>
    </w:p>
    <w:p w14:paraId="30D6B08C" w14:textId="705EE032" w:rsidR="002B75DD" w:rsidRPr="00811BA1" w:rsidRDefault="002B75DD" w:rsidP="000009D3">
      <w:pPr>
        <w:pStyle w:val="Bodytext"/>
        <w:numPr>
          <w:ilvl w:val="0"/>
          <w:numId w:val="3"/>
        </w:numPr>
        <w:spacing w:after="80"/>
        <w:ind w:left="340" w:hanging="340"/>
        <w:jc w:val="both"/>
      </w:pPr>
      <w:r w:rsidRPr="00811BA1">
        <w:t xml:space="preserve">state that the Company has complied with IFRS, subject to any material departures disclosed and explained in the </w:t>
      </w:r>
      <w:r w:rsidR="002F261F">
        <w:t>F</w:t>
      </w:r>
      <w:r w:rsidR="002F261F" w:rsidRPr="00811BA1">
        <w:t xml:space="preserve">inancial </w:t>
      </w:r>
      <w:r w:rsidR="002F261F">
        <w:t>S</w:t>
      </w:r>
      <w:r w:rsidR="002F261F" w:rsidRPr="00811BA1">
        <w:t>tatements</w:t>
      </w:r>
      <w:r w:rsidRPr="00811BA1">
        <w:t>; and</w:t>
      </w:r>
    </w:p>
    <w:p w14:paraId="373FC719" w14:textId="77777777" w:rsidR="002B75DD" w:rsidRPr="00811BA1" w:rsidRDefault="002B75DD" w:rsidP="000009D3">
      <w:pPr>
        <w:pStyle w:val="Bodytext"/>
        <w:numPr>
          <w:ilvl w:val="0"/>
          <w:numId w:val="3"/>
        </w:numPr>
        <w:ind w:left="340" w:hanging="340"/>
        <w:jc w:val="both"/>
      </w:pPr>
      <w:r w:rsidRPr="00811BA1">
        <w:t>prepare the Financial Statements on a going concern basis unless it is inappropriate to presume that the Company will continue in business.</w:t>
      </w:r>
    </w:p>
    <w:p w14:paraId="24C5D490" w14:textId="77777777" w:rsidR="00B335A6" w:rsidRPr="00811BA1" w:rsidRDefault="00B335A6" w:rsidP="000009D3">
      <w:pPr>
        <w:pStyle w:val="Bodytext"/>
        <w:jc w:val="both"/>
      </w:pPr>
    </w:p>
    <w:p w14:paraId="547860EB" w14:textId="77777777" w:rsidR="002B75DD" w:rsidRPr="00811BA1" w:rsidRDefault="002B75DD" w:rsidP="000009D3">
      <w:pPr>
        <w:pStyle w:val="Bodytext"/>
        <w:jc w:val="both"/>
      </w:pPr>
      <w:r w:rsidRPr="00811BA1">
        <w:t>The Directors confirm that they have complied with the above requirements in preparing the Financial Statements.</w:t>
      </w:r>
    </w:p>
    <w:p w14:paraId="292AF196" w14:textId="77777777" w:rsidR="00B335A6" w:rsidRPr="00811BA1" w:rsidRDefault="00B335A6" w:rsidP="000009D3">
      <w:pPr>
        <w:pStyle w:val="Bodytext"/>
        <w:jc w:val="both"/>
      </w:pPr>
    </w:p>
    <w:p w14:paraId="6F82D5A4" w14:textId="77777777" w:rsidR="002B75DD" w:rsidRPr="00811BA1" w:rsidRDefault="002B75DD" w:rsidP="000009D3">
      <w:pPr>
        <w:pStyle w:val="Bodytext"/>
        <w:jc w:val="both"/>
      </w:pPr>
      <w:r w:rsidRPr="00811BA1">
        <w:t>The Directors are responsible for keeping proper accounting records, which disclose with reasonable accuracy at any time, the financial position of the Company and to enable them to ensure that the Financial Statem</w:t>
      </w:r>
      <w:r w:rsidR="00F26E3E" w:rsidRPr="00811BA1">
        <w:t>ents comply with Companies Law.</w:t>
      </w:r>
      <w:r w:rsidR="00214354" w:rsidRPr="00811BA1">
        <w:t xml:space="preserve"> </w:t>
      </w:r>
      <w:r w:rsidRPr="00811BA1">
        <w:t>They are also responsible for safeguarding the assets of the Company and hence for taking reasonable steps for the prevention and detection of fraud, error and non-compliance with law and regulations.</w:t>
      </w:r>
    </w:p>
    <w:p w14:paraId="094ADFBB" w14:textId="77777777" w:rsidR="00F26E3E" w:rsidRPr="00811BA1" w:rsidRDefault="00F26E3E" w:rsidP="000009D3">
      <w:pPr>
        <w:pStyle w:val="Bodytext"/>
        <w:jc w:val="both"/>
      </w:pPr>
    </w:p>
    <w:p w14:paraId="1875B2D2" w14:textId="77777777" w:rsidR="002B75DD" w:rsidRPr="00811BA1" w:rsidRDefault="002B75DD" w:rsidP="000009D3">
      <w:pPr>
        <w:pStyle w:val="Bodytext"/>
        <w:jc w:val="both"/>
      </w:pPr>
      <w:r w:rsidRPr="00811BA1">
        <w:t>The Directors are responsible for the maintenance and integrity of the corporate and financial information included on the Company’s website (www.RiverstoneREL.com). The work carried out by the external auditor does not involve considerations of these matters and, accordingly, the external auditor accepts no responsibility for any changes that may have occurred to the Financial Statements since they were initially presented on the website.</w:t>
      </w:r>
    </w:p>
    <w:p w14:paraId="7659EA5E" w14:textId="77777777" w:rsidR="00F26E3E" w:rsidRPr="00811BA1" w:rsidRDefault="00F26E3E" w:rsidP="000009D3">
      <w:pPr>
        <w:pStyle w:val="Bodytext"/>
        <w:jc w:val="both"/>
      </w:pPr>
    </w:p>
    <w:p w14:paraId="72810E4F" w14:textId="77777777" w:rsidR="002B75DD" w:rsidRDefault="002B75DD" w:rsidP="000009D3">
      <w:pPr>
        <w:pStyle w:val="Bodytext"/>
        <w:jc w:val="both"/>
      </w:pPr>
      <w:r w:rsidRPr="00811BA1">
        <w:t>Legislation in Guernsey governing the preparation and dissemination of the Financial Statements may differ from legislation in other jurisdictions.</w:t>
      </w:r>
    </w:p>
    <w:p w14:paraId="02127D32" w14:textId="77777777" w:rsidR="00200423" w:rsidRDefault="00200423" w:rsidP="00EB7E49">
      <w:pPr>
        <w:pStyle w:val="Bodytext"/>
      </w:pPr>
    </w:p>
    <w:p w14:paraId="1A598EA7" w14:textId="77777777" w:rsidR="00200423" w:rsidRDefault="00200423" w:rsidP="00EB7E49">
      <w:pPr>
        <w:pStyle w:val="Bodytext"/>
      </w:pPr>
    </w:p>
    <w:p w14:paraId="2E2764D3" w14:textId="3FC4E1B8" w:rsidR="00D66FD2" w:rsidRPr="00811BA1" w:rsidRDefault="00D66FD2" w:rsidP="00200423">
      <w:pPr>
        <w:pStyle w:val="Heading1"/>
        <w:spacing w:before="0"/>
      </w:pPr>
      <w:r w:rsidRPr="00811BA1">
        <w:t>Responsibility Statement of the Directors</w:t>
      </w:r>
      <w:r w:rsidR="00FF7C6E" w:rsidRPr="00811BA1">
        <w:t xml:space="preserve"> </w:t>
      </w:r>
      <w:r w:rsidRPr="00811BA1">
        <w:t xml:space="preserve">in Respect of the Annual Report under the Disclosure </w:t>
      </w:r>
      <w:r w:rsidR="00184565">
        <w:t xml:space="preserve">GUIDANCE </w:t>
      </w:r>
      <w:r w:rsidRPr="00811BA1">
        <w:t>and Transparency Rules</w:t>
      </w:r>
    </w:p>
    <w:p w14:paraId="3853BA82" w14:textId="77777777" w:rsidR="00D66FD2" w:rsidRPr="00811BA1" w:rsidRDefault="00D66FD2" w:rsidP="00EB7E49">
      <w:pPr>
        <w:pStyle w:val="Bodytext"/>
      </w:pPr>
    </w:p>
    <w:p w14:paraId="7F26EE7B" w14:textId="65634C2C" w:rsidR="00D66FD2" w:rsidRPr="00811BA1" w:rsidRDefault="00D66FD2" w:rsidP="000009D3">
      <w:pPr>
        <w:pStyle w:val="Bodytext"/>
        <w:spacing w:after="80"/>
        <w:jc w:val="both"/>
      </w:pPr>
      <w:r w:rsidRPr="00811BA1">
        <w:t>Each of the Directors</w:t>
      </w:r>
      <w:r w:rsidR="00CC3A25">
        <w:t xml:space="preserve"> </w:t>
      </w:r>
      <w:r w:rsidRPr="00811BA1">
        <w:t>confirms to the best of their knowledge and belief that:</w:t>
      </w:r>
    </w:p>
    <w:p w14:paraId="1397DC0C" w14:textId="77777777" w:rsidR="00D66FD2" w:rsidRPr="00811BA1" w:rsidRDefault="00D66FD2" w:rsidP="000009D3">
      <w:pPr>
        <w:pStyle w:val="Bodytext"/>
        <w:numPr>
          <w:ilvl w:val="0"/>
          <w:numId w:val="4"/>
        </w:numPr>
        <w:spacing w:after="80"/>
        <w:ind w:left="340" w:hanging="340"/>
        <w:jc w:val="both"/>
      </w:pPr>
      <w:r w:rsidRPr="00811BA1">
        <w:t>the Financial Statements, prepared in accordance with IFRS, give a true and fair view of the assets, liabilities, financial position and profit or loss of the Company;</w:t>
      </w:r>
    </w:p>
    <w:p w14:paraId="43E17979" w14:textId="77777777" w:rsidR="00D66FD2" w:rsidRPr="00811BA1" w:rsidRDefault="00D66FD2" w:rsidP="000009D3">
      <w:pPr>
        <w:pStyle w:val="Bodytext"/>
        <w:numPr>
          <w:ilvl w:val="0"/>
          <w:numId w:val="4"/>
        </w:numPr>
        <w:spacing w:after="80"/>
        <w:ind w:left="340" w:hanging="340"/>
        <w:jc w:val="both"/>
      </w:pPr>
      <w:r w:rsidRPr="00811BA1">
        <w:t>the Annual Report includes a fair review of the development and performance of the business and the position of the Company, together with a description of the principal risks and uncertainties faced; and</w:t>
      </w:r>
    </w:p>
    <w:p w14:paraId="3BFDEAE1" w14:textId="63AEFD2D" w:rsidR="00D66FD2" w:rsidRPr="00811BA1" w:rsidRDefault="00D66FD2" w:rsidP="000009D3">
      <w:pPr>
        <w:pStyle w:val="Bodytext"/>
        <w:numPr>
          <w:ilvl w:val="0"/>
          <w:numId w:val="4"/>
        </w:numPr>
        <w:ind w:left="340" w:hanging="340"/>
        <w:jc w:val="both"/>
      </w:pPr>
      <w:r w:rsidRPr="00811BA1">
        <w:t>the Annual Report and Financial Statements include information required by the UK</w:t>
      </w:r>
      <w:r w:rsidR="002923F3">
        <w:t xml:space="preserve"> Financial Conduct</w:t>
      </w:r>
      <w:r w:rsidRPr="00811BA1">
        <w:t xml:space="preserve"> Authority </w:t>
      </w:r>
      <w:r w:rsidR="0052604A">
        <w:t>so</w:t>
      </w:r>
      <w:r w:rsidRPr="00811BA1">
        <w:t xml:space="preserve"> that the Company complies with the provisions of the Listing Rules, Disclosure </w:t>
      </w:r>
      <w:r w:rsidR="002A153D">
        <w:t xml:space="preserve">Guidance </w:t>
      </w:r>
      <w:r w:rsidRPr="00811BA1">
        <w:t>and Transparency Rules of the UK Listing Authority</w:t>
      </w:r>
      <w:r w:rsidR="005819E9">
        <w:t>. W</w:t>
      </w:r>
      <w:r w:rsidRPr="00811BA1">
        <w:t xml:space="preserve">ith regard to corporate governance, the Company </w:t>
      </w:r>
      <w:r w:rsidR="005819E9">
        <w:t xml:space="preserve">is required </w:t>
      </w:r>
      <w:r w:rsidRPr="00811BA1">
        <w:t>to disclose how it has applied the principles, and complied with the provisions of the corporate governance code applicable to the Company.</w:t>
      </w:r>
    </w:p>
    <w:p w14:paraId="17287E00" w14:textId="77777777" w:rsidR="00D66FD2" w:rsidRPr="00811BA1" w:rsidRDefault="00D66FD2" w:rsidP="000009D3">
      <w:pPr>
        <w:pStyle w:val="Bodytext"/>
        <w:jc w:val="both"/>
      </w:pPr>
    </w:p>
    <w:p w14:paraId="69D98F90" w14:textId="7722F0DF" w:rsidR="00D66FD2" w:rsidRPr="00811BA1" w:rsidRDefault="00D66FD2" w:rsidP="000009D3">
      <w:pPr>
        <w:pStyle w:val="Bodytext"/>
        <w:jc w:val="both"/>
      </w:pPr>
      <w:r w:rsidRPr="00811BA1">
        <w:t>The Directors are responsible for preparing the Annual Report and Financial Statements in accordance with applicable law and regulations.</w:t>
      </w:r>
      <w:r w:rsidR="00867EBB">
        <w:t xml:space="preserve"> As part of the preparation of the Annual Report and Financial Statements</w:t>
      </w:r>
      <w:r w:rsidR="00135ED4">
        <w:t>,</w:t>
      </w:r>
      <w:r w:rsidR="00867EBB">
        <w:t xml:space="preserve"> the Directors have received reports and information from the Company’s Administrator and Investment Manager. The Directors have considered, reviewed and commented upon the Annual Report and Financial Statements throughout the drafting process in order to satisfy itself in respect of the content.</w:t>
      </w:r>
      <w:r w:rsidRPr="00811BA1">
        <w:t xml:space="preserve"> Having taken advice from the Investment Manager, the Directors consider the Annual Report and Financial Statements, taken as a whole, </w:t>
      </w:r>
      <w:r w:rsidRPr="00811BA1">
        <w:lastRenderedPageBreak/>
        <w:t>as fair, balanced and understandable and that it provides the information necessary for Shareholders to assess the Company’s performance, business model and strategy.</w:t>
      </w:r>
    </w:p>
    <w:p w14:paraId="5A658318" w14:textId="77777777" w:rsidR="00FF7C6E" w:rsidRPr="00811BA1" w:rsidRDefault="00FF7C6E" w:rsidP="000009D3">
      <w:pPr>
        <w:pStyle w:val="Bodytext"/>
        <w:jc w:val="both"/>
      </w:pPr>
    </w:p>
    <w:p w14:paraId="03630C42" w14:textId="77777777" w:rsidR="00D66FD2" w:rsidRPr="00811BA1" w:rsidRDefault="00D66FD2" w:rsidP="000009D3">
      <w:pPr>
        <w:pStyle w:val="Bodytext"/>
        <w:jc w:val="both"/>
      </w:pPr>
      <w:r w:rsidRPr="00811BA1">
        <w:t>By order of the Board</w:t>
      </w:r>
    </w:p>
    <w:p w14:paraId="09D9FFF8" w14:textId="77777777" w:rsidR="00D66FD2" w:rsidRPr="00811BA1" w:rsidRDefault="00D66FD2" w:rsidP="00EB7E49">
      <w:pPr>
        <w:pStyle w:val="Bodytext"/>
      </w:pPr>
    </w:p>
    <w:p w14:paraId="0B3D8538" w14:textId="77777777" w:rsidR="00D66FD2" w:rsidRPr="00811BA1" w:rsidRDefault="00D66FD2" w:rsidP="00EB7E4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835"/>
        <w:gridCol w:w="2835"/>
      </w:tblGrid>
      <w:tr w:rsidR="00FF7C6E" w:rsidRPr="00811BA1" w14:paraId="37A43B06" w14:textId="77777777">
        <w:tc>
          <w:tcPr>
            <w:tcW w:w="2835" w:type="dxa"/>
          </w:tcPr>
          <w:p w14:paraId="522C6AB1" w14:textId="5CD2BCAB" w:rsidR="00FF7C6E" w:rsidRPr="00811BA1" w:rsidRDefault="00F77900" w:rsidP="00EB7E49">
            <w:pPr>
              <w:rPr>
                <w:b/>
              </w:rPr>
            </w:pPr>
            <w:r w:rsidRPr="00811BA1">
              <w:rPr>
                <w:b/>
              </w:rPr>
              <w:t>Richard Hayden</w:t>
            </w:r>
          </w:p>
        </w:tc>
        <w:tc>
          <w:tcPr>
            <w:tcW w:w="2835" w:type="dxa"/>
          </w:tcPr>
          <w:p w14:paraId="0D05EEBB" w14:textId="52B60A2F" w:rsidR="00FF7C6E" w:rsidRPr="00811BA1" w:rsidRDefault="00F77900" w:rsidP="00EB7E49">
            <w:pPr>
              <w:rPr>
                <w:b/>
              </w:rPr>
            </w:pPr>
            <w:r w:rsidRPr="00F77900">
              <w:rPr>
                <w:b/>
              </w:rPr>
              <w:t>Patrick Firth</w:t>
            </w:r>
            <w:r w:rsidRPr="00811BA1" w:rsidDel="00D15FFE">
              <w:rPr>
                <w:b/>
              </w:rPr>
              <w:t xml:space="preserve"> </w:t>
            </w:r>
          </w:p>
        </w:tc>
      </w:tr>
      <w:tr w:rsidR="00FF7C6E" w:rsidRPr="00811BA1" w14:paraId="302BC015" w14:textId="77777777">
        <w:tc>
          <w:tcPr>
            <w:tcW w:w="2835" w:type="dxa"/>
          </w:tcPr>
          <w:p w14:paraId="32792CC6" w14:textId="77777777" w:rsidR="00FF7C6E" w:rsidRPr="00811BA1" w:rsidRDefault="00FF7C6E" w:rsidP="00EB7E49">
            <w:pPr>
              <w:rPr>
                <w:i/>
              </w:rPr>
            </w:pPr>
            <w:r w:rsidRPr="00811BA1">
              <w:rPr>
                <w:i/>
              </w:rPr>
              <w:t>Chairman</w:t>
            </w:r>
          </w:p>
        </w:tc>
        <w:tc>
          <w:tcPr>
            <w:tcW w:w="2835" w:type="dxa"/>
          </w:tcPr>
          <w:p w14:paraId="6DB7685E" w14:textId="77777777" w:rsidR="00FF7C6E" w:rsidRPr="00811BA1" w:rsidRDefault="00FF7C6E" w:rsidP="00EB7E49">
            <w:pPr>
              <w:rPr>
                <w:i/>
              </w:rPr>
            </w:pPr>
            <w:r w:rsidRPr="00984369">
              <w:rPr>
                <w:i/>
              </w:rPr>
              <w:t>Director</w:t>
            </w:r>
          </w:p>
        </w:tc>
      </w:tr>
      <w:tr w:rsidR="00FF7C6E" w:rsidRPr="00811BA1" w14:paraId="42C4BB55" w14:textId="77777777">
        <w:tc>
          <w:tcPr>
            <w:tcW w:w="2835" w:type="dxa"/>
          </w:tcPr>
          <w:p w14:paraId="1974A8B1" w14:textId="5164C06D" w:rsidR="00FF7C6E" w:rsidRPr="00811BA1" w:rsidRDefault="005B1414" w:rsidP="003614AE">
            <w:r>
              <w:t>22</w:t>
            </w:r>
            <w:r w:rsidR="00400EEA">
              <w:t xml:space="preserve"> </w:t>
            </w:r>
            <w:r w:rsidR="001209A8">
              <w:t>April</w:t>
            </w:r>
            <w:r w:rsidR="00400EEA">
              <w:t xml:space="preserve"> </w:t>
            </w:r>
            <w:r w:rsidR="00FF7C6E" w:rsidRPr="00811BA1">
              <w:t>20</w:t>
            </w:r>
            <w:r w:rsidR="00E17A44">
              <w:t>20</w:t>
            </w:r>
          </w:p>
        </w:tc>
        <w:tc>
          <w:tcPr>
            <w:tcW w:w="2835" w:type="dxa"/>
          </w:tcPr>
          <w:p w14:paraId="2B785795" w14:textId="2136F38F" w:rsidR="00FF7C6E" w:rsidRPr="00811BA1" w:rsidRDefault="005B1414" w:rsidP="00F55C6B">
            <w:r>
              <w:t>22</w:t>
            </w:r>
            <w:r w:rsidR="00400EEA">
              <w:t xml:space="preserve"> </w:t>
            </w:r>
            <w:r w:rsidR="001209A8">
              <w:t>April</w:t>
            </w:r>
            <w:r w:rsidR="00400EEA">
              <w:t xml:space="preserve"> </w:t>
            </w:r>
            <w:r w:rsidR="00FF7C6E" w:rsidRPr="00811BA1">
              <w:t>20</w:t>
            </w:r>
            <w:r w:rsidR="00E17A44">
              <w:t>20</w:t>
            </w:r>
          </w:p>
        </w:tc>
      </w:tr>
    </w:tbl>
    <w:p w14:paraId="49E82D5D" w14:textId="77777777" w:rsidR="00200423" w:rsidRDefault="00200423" w:rsidP="00200423"/>
    <w:p w14:paraId="6B2136A1" w14:textId="77777777" w:rsidR="00200423" w:rsidRDefault="00200423" w:rsidP="00200423"/>
    <w:p w14:paraId="747F0C28" w14:textId="2FDAFBB8" w:rsidR="007D0674" w:rsidRPr="00811BA1" w:rsidRDefault="007D0674" w:rsidP="00200423">
      <w:pPr>
        <w:pStyle w:val="Heading1"/>
        <w:spacing w:before="0"/>
      </w:pPr>
      <w:r w:rsidRPr="00811BA1">
        <w:t>Corporate Governance Report</w:t>
      </w:r>
    </w:p>
    <w:p w14:paraId="4902515E" w14:textId="77777777" w:rsidR="007D0674" w:rsidRPr="00811BA1" w:rsidRDefault="007D0674" w:rsidP="00EB7E49">
      <w:pPr>
        <w:pStyle w:val="Bodytext"/>
      </w:pPr>
    </w:p>
    <w:p w14:paraId="78F86048" w14:textId="0B4960DD" w:rsidR="007D0674" w:rsidRPr="00811BA1" w:rsidRDefault="00307A3A" w:rsidP="000009D3">
      <w:pPr>
        <w:pStyle w:val="Bodytext"/>
        <w:jc w:val="both"/>
      </w:pPr>
      <w:r>
        <w:t xml:space="preserve">As a UK listed Company, Riverstone Energy Limited’s governance policies and procedures are based on the principles of the </w:t>
      </w:r>
      <w:r w:rsidR="009F41F3">
        <w:t>UK</w:t>
      </w:r>
      <w:r>
        <w:t xml:space="preserve"> Code as required under the Listing Rules.</w:t>
      </w:r>
      <w:r w:rsidRPr="00307A3A">
        <w:t xml:space="preserve"> </w:t>
      </w:r>
      <w:r w:rsidRPr="00811BA1">
        <w:t xml:space="preserve">The </w:t>
      </w:r>
      <w:r w:rsidR="009F41F3">
        <w:t>UK</w:t>
      </w:r>
      <w:r w:rsidRPr="00811BA1">
        <w:t xml:space="preserve"> Code is available on the Financial Reporting Council’s website, www.frc.org.uk.</w:t>
      </w:r>
      <w:r>
        <w:t xml:space="preserve"> </w:t>
      </w:r>
    </w:p>
    <w:p w14:paraId="14B97EAC" w14:textId="77777777" w:rsidR="00B102EF" w:rsidRDefault="00B102EF" w:rsidP="000009D3">
      <w:pPr>
        <w:pStyle w:val="Bodytext"/>
        <w:jc w:val="both"/>
      </w:pPr>
    </w:p>
    <w:p w14:paraId="22FA0E1D" w14:textId="6F2944D4" w:rsidR="00003941" w:rsidRDefault="007D0674" w:rsidP="000009D3">
      <w:pPr>
        <w:pStyle w:val="Bodytext"/>
        <w:jc w:val="both"/>
      </w:pPr>
      <w:r w:rsidRPr="00811BA1">
        <w:t>The Company is subject to the GFSC Code, which applies to all companies registered as collective investment schemes in Guernsey.</w:t>
      </w:r>
      <w:r w:rsidR="00B102EF">
        <w:t xml:space="preserve"> </w:t>
      </w:r>
      <w:r w:rsidR="00003941" w:rsidRPr="00811BA1">
        <w:t xml:space="preserve">The GFSC has also confirmed that companies that report against the </w:t>
      </w:r>
      <w:r w:rsidR="00384AF7">
        <w:t>UK</w:t>
      </w:r>
      <w:r w:rsidR="00003941" w:rsidRPr="00811BA1">
        <w:t xml:space="preserve"> Code or AIC Code are deemed to meet the GFSC Code.</w:t>
      </w:r>
    </w:p>
    <w:p w14:paraId="6A0BEE1F" w14:textId="77777777" w:rsidR="008966B3" w:rsidRDefault="008966B3" w:rsidP="000009D3">
      <w:pPr>
        <w:pStyle w:val="Bodytext"/>
        <w:jc w:val="both"/>
      </w:pPr>
    </w:p>
    <w:p w14:paraId="26D6BC37" w14:textId="2C8CD63A" w:rsidR="007D0674" w:rsidRPr="00811BA1" w:rsidRDefault="00801B84" w:rsidP="000009D3">
      <w:pPr>
        <w:autoSpaceDE w:val="0"/>
        <w:autoSpaceDN w:val="0"/>
        <w:adjustRightInd w:val="0"/>
        <w:jc w:val="both"/>
      </w:pPr>
      <w:r>
        <w:t>Although not required</w:t>
      </w:r>
      <w:r w:rsidR="00940120">
        <w:t xml:space="preserve"> as the Company is no longer within the FTSE 350</w:t>
      </w:r>
      <w:r>
        <w:t>, t</w:t>
      </w:r>
      <w:r w:rsidR="005E5D6F" w:rsidRPr="00811BA1">
        <w:t>he Board monitors</w:t>
      </w:r>
      <w:r w:rsidR="007D0674" w:rsidRPr="00811BA1">
        <w:t xml:space="preserve"> developments in corporate governance to ensure the Board remains aligned with best practice especially with respect to the increased </w:t>
      </w:r>
      <w:r w:rsidR="001111B6">
        <w:t xml:space="preserve">desired </w:t>
      </w:r>
      <w:r w:rsidR="007D0674" w:rsidRPr="00811BA1">
        <w:t>focus on</w:t>
      </w:r>
      <w:r w:rsidR="001111B6">
        <w:t xml:space="preserve"> greater gender and ethnic</w:t>
      </w:r>
      <w:r w:rsidR="007D0674" w:rsidRPr="00811BA1">
        <w:t xml:space="preserve"> diversity</w:t>
      </w:r>
      <w:r w:rsidR="001111B6">
        <w:t xml:space="preserve"> on the boards of </w:t>
      </w:r>
      <w:r w:rsidR="001111B6" w:rsidRPr="00BC71AE">
        <w:t>FTSE 350 companies</w:t>
      </w:r>
      <w:r w:rsidR="001111B6">
        <w:t>. The Board recognises and supports the Hampton Alexander Review and the Parker Review</w:t>
      </w:r>
      <w:r w:rsidR="00B165B0">
        <w:t>,</w:t>
      </w:r>
      <w:r w:rsidR="001111B6">
        <w:t xml:space="preserve"> and </w:t>
      </w:r>
      <w:r w:rsidR="007D0674" w:rsidRPr="00811BA1">
        <w:t xml:space="preserve">acknowledges the importance of </w:t>
      </w:r>
      <w:r w:rsidR="001111B6">
        <w:t xml:space="preserve">having a variety of backgrounds and experiences represented in the boardroom </w:t>
      </w:r>
      <w:r w:rsidR="007D0674" w:rsidRPr="00811BA1">
        <w:t xml:space="preserve">for the effective functioning of the Board. It is the ongoing aspiration </w:t>
      </w:r>
      <w:r w:rsidR="001111B6">
        <w:t xml:space="preserve">of the Board </w:t>
      </w:r>
      <w:r w:rsidR="007D0674" w:rsidRPr="00811BA1">
        <w:t xml:space="preserve">to have a </w:t>
      </w:r>
      <w:r w:rsidR="0094466A" w:rsidRPr="00811BA1">
        <w:t>well-diversified</w:t>
      </w:r>
      <w:r w:rsidR="007D0674" w:rsidRPr="00811BA1">
        <w:t xml:space="preserve"> representation. The Board also values diversity of business skills and experience because Directors with diverse skills sets, capabilities and experience gained from different geographical backgrounds enhance the Board by bringing a wide range of perspectives to the Company.</w:t>
      </w:r>
      <w:r w:rsidR="00CE34A8">
        <w:t xml:space="preserve"> </w:t>
      </w:r>
      <w:r w:rsidR="00CE34A8" w:rsidRPr="00CE34A8">
        <w:t xml:space="preserve">The Board’s view has been and </w:t>
      </w:r>
      <w:r w:rsidR="00CE34A8">
        <w:t>c</w:t>
      </w:r>
      <w:r w:rsidR="00CE34A8" w:rsidRPr="00CE34A8">
        <w:t>ontinues to be that all appointments to the Board should be merit based, assessed</w:t>
      </w:r>
      <w:r w:rsidR="00CE34A8">
        <w:t xml:space="preserve"> </w:t>
      </w:r>
      <w:r w:rsidR="00CE34A8" w:rsidRPr="00CE34A8">
        <w:t>against objective selection criteria. To avoid precluding any deserving candidate from consideration, executive search consultants</w:t>
      </w:r>
      <w:r w:rsidR="00CE34A8">
        <w:t xml:space="preserve"> </w:t>
      </w:r>
      <w:r w:rsidR="002C2322">
        <w:t xml:space="preserve">will be </w:t>
      </w:r>
      <w:r w:rsidR="00CE34A8" w:rsidRPr="00CE34A8">
        <w:t xml:space="preserve">asked to provide candidates from a diverse range of backgrounds and that these lists are gender neutral. </w:t>
      </w:r>
    </w:p>
    <w:p w14:paraId="16FF4148" w14:textId="77777777" w:rsidR="007D0674" w:rsidRPr="00811BA1" w:rsidRDefault="007D0674" w:rsidP="000009D3">
      <w:pPr>
        <w:pStyle w:val="Bodytext"/>
        <w:jc w:val="both"/>
      </w:pPr>
    </w:p>
    <w:p w14:paraId="59781C94" w14:textId="28B131C3" w:rsidR="007D0674" w:rsidRPr="00811BA1" w:rsidRDefault="007D0674" w:rsidP="000009D3">
      <w:pPr>
        <w:pStyle w:val="Bodytext"/>
        <w:jc w:val="both"/>
      </w:pPr>
      <w:r w:rsidRPr="00811BA1">
        <w:t xml:space="preserve">The AIC Code addresses all the principles set out in the </w:t>
      </w:r>
      <w:r w:rsidR="009F41F3">
        <w:t xml:space="preserve">UK </w:t>
      </w:r>
      <w:r w:rsidRPr="00811BA1">
        <w:t>Code, as well as setting out additional principles and recommendations on issues that are of specific relevance to investment companies such as the Company. The Board considers that reporting against the principles and recommendations of the AIC Code provides better information to Shareholders.</w:t>
      </w:r>
    </w:p>
    <w:p w14:paraId="4B9A761C" w14:textId="77777777" w:rsidR="007D0674" w:rsidRPr="00811BA1" w:rsidRDefault="007D0674" w:rsidP="000009D3">
      <w:pPr>
        <w:pStyle w:val="Bodytext"/>
        <w:jc w:val="both"/>
      </w:pPr>
    </w:p>
    <w:p w14:paraId="7FB1FA7E" w14:textId="1A7EC7AD" w:rsidR="007D0674" w:rsidRPr="00811BA1" w:rsidRDefault="007D0674" w:rsidP="000009D3">
      <w:pPr>
        <w:pStyle w:val="Bodytext"/>
        <w:jc w:val="both"/>
      </w:pPr>
      <w:r w:rsidRPr="00811BA1">
        <w:t xml:space="preserve">The Company has complied with the recommendations of the AIC Code and the relevant provisions of the </w:t>
      </w:r>
      <w:r w:rsidR="009F41F3">
        <w:t>UK</w:t>
      </w:r>
      <w:r w:rsidRPr="00811BA1">
        <w:t xml:space="preserve"> Code, except as set out below.</w:t>
      </w:r>
    </w:p>
    <w:p w14:paraId="69E3AA4F" w14:textId="77777777" w:rsidR="007D0674" w:rsidRPr="00811BA1" w:rsidRDefault="007D0674" w:rsidP="000009D3">
      <w:pPr>
        <w:pStyle w:val="Bodytext"/>
        <w:jc w:val="both"/>
      </w:pPr>
    </w:p>
    <w:p w14:paraId="5E098053" w14:textId="0CBEFCA3" w:rsidR="007D0674" w:rsidRPr="00811BA1" w:rsidRDefault="007D0674" w:rsidP="000009D3">
      <w:pPr>
        <w:pStyle w:val="Bodytext"/>
        <w:spacing w:after="80"/>
        <w:jc w:val="both"/>
      </w:pPr>
      <w:r w:rsidRPr="00811BA1">
        <w:t xml:space="preserve">The </w:t>
      </w:r>
      <w:r w:rsidR="009F41F3">
        <w:t>UK</w:t>
      </w:r>
      <w:r w:rsidRPr="00811BA1">
        <w:t xml:space="preserve"> Code includes provisions relating to:</w:t>
      </w:r>
    </w:p>
    <w:p w14:paraId="2D8CD203" w14:textId="77777777" w:rsidR="007D0674" w:rsidRPr="00811BA1" w:rsidRDefault="007D0674" w:rsidP="000009D3">
      <w:pPr>
        <w:pStyle w:val="Bodytext"/>
        <w:numPr>
          <w:ilvl w:val="0"/>
          <w:numId w:val="5"/>
        </w:numPr>
        <w:spacing w:after="80"/>
        <w:ind w:left="340" w:hanging="340"/>
        <w:jc w:val="both"/>
      </w:pPr>
      <w:r w:rsidRPr="00811BA1">
        <w:t>the role of the chief executive;</w:t>
      </w:r>
    </w:p>
    <w:p w14:paraId="0E61791C" w14:textId="77777777" w:rsidR="007D0674" w:rsidRPr="00811BA1" w:rsidRDefault="007D0674" w:rsidP="000009D3">
      <w:pPr>
        <w:pStyle w:val="Bodytext"/>
        <w:numPr>
          <w:ilvl w:val="0"/>
          <w:numId w:val="5"/>
        </w:numPr>
        <w:spacing w:after="80"/>
        <w:ind w:left="340" w:hanging="340"/>
        <w:jc w:val="both"/>
      </w:pPr>
      <w:r w:rsidRPr="00811BA1">
        <w:t>executive directors’ remuneration; and</w:t>
      </w:r>
    </w:p>
    <w:p w14:paraId="4C6FED9B" w14:textId="77777777" w:rsidR="007D0674" w:rsidRPr="00811BA1" w:rsidRDefault="007D0674" w:rsidP="000009D3">
      <w:pPr>
        <w:pStyle w:val="Bodytext"/>
        <w:numPr>
          <w:ilvl w:val="0"/>
          <w:numId w:val="5"/>
        </w:numPr>
        <w:ind w:left="340" w:hanging="340"/>
        <w:jc w:val="both"/>
      </w:pPr>
      <w:r w:rsidRPr="00811BA1">
        <w:t>the need for an internal audit function.</w:t>
      </w:r>
    </w:p>
    <w:p w14:paraId="7CFB2341" w14:textId="77777777" w:rsidR="007D0674" w:rsidRPr="00811BA1" w:rsidRDefault="007D0674" w:rsidP="000009D3">
      <w:pPr>
        <w:pStyle w:val="Bodytext"/>
        <w:jc w:val="both"/>
      </w:pPr>
    </w:p>
    <w:p w14:paraId="49846D8C" w14:textId="30CEBB57" w:rsidR="007D0674" w:rsidRPr="00811BA1" w:rsidRDefault="00881689" w:rsidP="000009D3">
      <w:pPr>
        <w:pStyle w:val="Bodytext"/>
        <w:jc w:val="both"/>
      </w:pPr>
      <w:r>
        <w:t>A</w:t>
      </w:r>
      <w:r w:rsidR="007D0674" w:rsidRPr="00811BA1">
        <w:t xml:space="preserve">s explained in the </w:t>
      </w:r>
      <w:r w:rsidR="009F41F3">
        <w:t>UK</w:t>
      </w:r>
      <w:r w:rsidR="007D0674" w:rsidRPr="00811BA1">
        <w:t xml:space="preserve"> Code, the Board considers that the above provisions are not currently relevant to the position of the Company, being an externally managed investment company, which delegates most day-to-day functions to third parties.</w:t>
      </w:r>
    </w:p>
    <w:p w14:paraId="786B744A" w14:textId="77777777" w:rsidR="005326A9" w:rsidRPr="00811BA1" w:rsidRDefault="005326A9" w:rsidP="000009D3">
      <w:pPr>
        <w:pStyle w:val="Bodytext"/>
        <w:jc w:val="both"/>
      </w:pPr>
    </w:p>
    <w:p w14:paraId="4D593251" w14:textId="77777777" w:rsidR="007D0674" w:rsidRPr="00811BA1" w:rsidRDefault="007D0674" w:rsidP="000009D3">
      <w:pPr>
        <w:pStyle w:val="Bodytext"/>
        <w:jc w:val="both"/>
      </w:pPr>
      <w:r w:rsidRPr="00811BA1">
        <w:t>The Company does not have a chief executive or any executive directors. The Company has not established a separate remuneration committee as the Company has no executive officers and the Board is satisfied that any relevant issues that arise can be properly considered by the Board.</w:t>
      </w:r>
    </w:p>
    <w:p w14:paraId="71EC3BF1" w14:textId="77777777" w:rsidR="005326A9" w:rsidRPr="00811BA1" w:rsidRDefault="005326A9" w:rsidP="000009D3">
      <w:pPr>
        <w:pStyle w:val="Bodytext"/>
        <w:jc w:val="both"/>
      </w:pPr>
    </w:p>
    <w:p w14:paraId="0EC489AF" w14:textId="77777777" w:rsidR="007D0674" w:rsidRPr="00811BA1" w:rsidRDefault="007D0674" w:rsidP="000009D3">
      <w:pPr>
        <w:pStyle w:val="Bodytext"/>
        <w:jc w:val="both"/>
      </w:pPr>
      <w:r w:rsidRPr="00811BA1">
        <w:t>The Company has no employees or internal operations and has therefore not reported further in respect of these provisions. The need for an internal audit function is discussed in the Audit Committee report.</w:t>
      </w:r>
    </w:p>
    <w:p w14:paraId="24E2BF3D" w14:textId="77777777" w:rsidR="005326A9" w:rsidRPr="00811BA1" w:rsidRDefault="005326A9" w:rsidP="00EB7E49">
      <w:pPr>
        <w:pStyle w:val="Bodytext"/>
      </w:pPr>
    </w:p>
    <w:p w14:paraId="16205694" w14:textId="77777777" w:rsidR="007D0674" w:rsidRPr="00811BA1" w:rsidRDefault="005326A9" w:rsidP="00EB7E49">
      <w:pPr>
        <w:pStyle w:val="Heading2"/>
      </w:pPr>
      <w:r w:rsidRPr="00EE08EA">
        <w:t>The Board</w:t>
      </w:r>
    </w:p>
    <w:p w14:paraId="196E25B2" w14:textId="1114B50F" w:rsidR="008966B3" w:rsidRPr="008966B3" w:rsidRDefault="008966B3" w:rsidP="000009D3">
      <w:pPr>
        <w:autoSpaceDE w:val="0"/>
        <w:autoSpaceDN w:val="0"/>
        <w:adjustRightInd w:val="0"/>
        <w:jc w:val="both"/>
      </w:pPr>
      <w:r w:rsidRPr="008966B3">
        <w:t xml:space="preserve">The Company is led and controlled by a Board of Directors, which is collectively responsible for the long-term </w:t>
      </w:r>
      <w:r w:rsidR="00CF520F">
        <w:t xml:space="preserve">sustainable </w:t>
      </w:r>
      <w:r w:rsidRPr="008966B3">
        <w:t>success of the</w:t>
      </w:r>
      <w:r>
        <w:t xml:space="preserve"> </w:t>
      </w:r>
      <w:r w:rsidRPr="008966B3">
        <w:t xml:space="preserve">Company. It does so by creating and preserving value, and has as its foremost principle acting in the interests of </w:t>
      </w:r>
      <w:r w:rsidR="00B1088B">
        <w:t>S</w:t>
      </w:r>
      <w:r w:rsidRPr="008966B3">
        <w:t>hareholders</w:t>
      </w:r>
    </w:p>
    <w:p w14:paraId="35663880" w14:textId="77777777" w:rsidR="008966B3" w:rsidRDefault="008966B3" w:rsidP="000009D3">
      <w:pPr>
        <w:pStyle w:val="Bodytext"/>
        <w:jc w:val="both"/>
        <w:rPr>
          <w:rFonts w:ascii="HelveticaNeueLT-Light" w:hAnsi="HelveticaNeueLT-Light" w:cs="HelveticaNeueLT-Light"/>
          <w:color w:val="272627"/>
          <w:sz w:val="17"/>
          <w:szCs w:val="17"/>
        </w:rPr>
      </w:pPr>
    </w:p>
    <w:p w14:paraId="71DA09B6" w14:textId="5C8C710B" w:rsidR="00715242" w:rsidRPr="00811BA1" w:rsidRDefault="00715242" w:rsidP="000009D3">
      <w:pPr>
        <w:pStyle w:val="Bodytext"/>
        <w:jc w:val="both"/>
      </w:pPr>
      <w:r w:rsidRPr="00811BA1">
        <w:lastRenderedPageBreak/>
        <w:t>The Company believes that the composition of the Board is a fundamenta</w:t>
      </w:r>
      <w:r w:rsidR="005E5D6F" w:rsidRPr="00811BA1">
        <w:t>l driver of its success as the B</w:t>
      </w:r>
      <w:r w:rsidRPr="00811BA1">
        <w:t>oard must provide strong and effective leadership of the Company. The current Board was selected, as their biographies illustrate, to bring a breadth of knowledge, skills and business experience to the Company.</w:t>
      </w:r>
      <w:r w:rsidR="009D56EF">
        <w:t xml:space="preserve"> The non-executive Directors provide independent challenge and review, bringing wide experience, specific expertise and a fresh objective perspective.</w:t>
      </w:r>
      <w:r w:rsidRPr="00811BA1">
        <w:t xml:space="preserve"> </w:t>
      </w:r>
    </w:p>
    <w:p w14:paraId="080B6DEC" w14:textId="77777777" w:rsidR="00715242" w:rsidRPr="00811BA1" w:rsidRDefault="00715242" w:rsidP="000009D3">
      <w:pPr>
        <w:pStyle w:val="Bodytext"/>
        <w:jc w:val="both"/>
      </w:pPr>
    </w:p>
    <w:p w14:paraId="1C6D0025" w14:textId="529E64BD" w:rsidR="00D6215E" w:rsidRPr="00D5715F" w:rsidRDefault="007D0674" w:rsidP="000009D3">
      <w:pPr>
        <w:autoSpaceDE w:val="0"/>
        <w:autoSpaceDN w:val="0"/>
        <w:adjustRightInd w:val="0"/>
        <w:jc w:val="both"/>
      </w:pPr>
      <w:r w:rsidRPr="00D6215E">
        <w:t>The Board consists o</w:t>
      </w:r>
      <w:r w:rsidR="005326A9" w:rsidRPr="00D6215E">
        <w:t xml:space="preserve">f </w:t>
      </w:r>
      <w:r w:rsidR="009F66CD" w:rsidRPr="00D6215E">
        <w:t>eight</w:t>
      </w:r>
      <w:r w:rsidR="005326A9" w:rsidRPr="00D6215E">
        <w:t xml:space="preserve"> Non-</w:t>
      </w:r>
      <w:r w:rsidR="00FC4FAA">
        <w:t>e</w:t>
      </w:r>
      <w:r w:rsidR="005326A9" w:rsidRPr="00D6215E">
        <w:t>xecutive Directors</w:t>
      </w:r>
      <w:r w:rsidR="008D6905" w:rsidRPr="00D6215E">
        <w:t xml:space="preserve"> (31 December 201</w:t>
      </w:r>
      <w:r w:rsidR="003D2EB2">
        <w:t>8</w:t>
      </w:r>
      <w:r w:rsidR="008D6905" w:rsidRPr="00D6215E">
        <w:t xml:space="preserve">: </w:t>
      </w:r>
      <w:r w:rsidR="00EB470B" w:rsidRPr="00D6215E">
        <w:t>eight</w:t>
      </w:r>
      <w:r w:rsidR="008D6905" w:rsidRPr="00D6215E">
        <w:t>)</w:t>
      </w:r>
      <w:r w:rsidR="005326A9" w:rsidRPr="00D6215E">
        <w:t xml:space="preserve">, </w:t>
      </w:r>
      <w:r w:rsidRPr="00D6215E">
        <w:t>five of whom, including the Chairman, are independent of the Company’s Investment Manager</w:t>
      </w:r>
      <w:r w:rsidR="008C5E51" w:rsidRPr="00D6215E">
        <w:t>;</w:t>
      </w:r>
      <w:r w:rsidR="008667E8" w:rsidRPr="00D6215E">
        <w:t xml:space="preserve"> </w:t>
      </w:r>
      <w:r w:rsidR="008C5E51" w:rsidRPr="00D6215E">
        <w:t>Mr Hayden</w:t>
      </w:r>
      <w:r w:rsidR="00F77900" w:rsidRPr="00D6215E">
        <w:t xml:space="preserve">, Mr Firth, Mr Barker, </w:t>
      </w:r>
      <w:r w:rsidR="008C5E51" w:rsidRPr="00D6215E">
        <w:t>M</w:t>
      </w:r>
      <w:r w:rsidR="003F6E2A">
        <w:t>r</w:t>
      </w:r>
      <w:r w:rsidR="008C5E51" w:rsidRPr="00D6215E">
        <w:t>s Whittet</w:t>
      </w:r>
      <w:r w:rsidR="00F77900" w:rsidRPr="00D6215E">
        <w:t xml:space="preserve"> and Mr Thompson</w:t>
      </w:r>
      <w:r w:rsidR="008D6905" w:rsidRPr="00D6215E">
        <w:t xml:space="preserve"> (31 December 201</w:t>
      </w:r>
      <w:r w:rsidR="003D2EB2">
        <w:t>8</w:t>
      </w:r>
      <w:r w:rsidR="008D6905" w:rsidRPr="00D6215E">
        <w:t>: five)</w:t>
      </w:r>
      <w:r w:rsidR="008C5E51" w:rsidRPr="00D6215E">
        <w:t>. Mr Lapeyre</w:t>
      </w:r>
      <w:r w:rsidR="009841F9">
        <w:t>,</w:t>
      </w:r>
      <w:r w:rsidR="008C5E51" w:rsidRPr="00D6215E">
        <w:t xml:space="preserve"> Mr Leuschen</w:t>
      </w:r>
      <w:r w:rsidR="009841F9">
        <w:t xml:space="preserve">, and Mr Ryan </w:t>
      </w:r>
      <w:r w:rsidR="008C5E51" w:rsidRPr="00D6215E">
        <w:t>are not considered independent because of their nomination for appointment to the Board by the Investment Manager, pursuant to a right set out in the Investment Management Agreement.</w:t>
      </w:r>
      <w:r w:rsidR="00D6215E" w:rsidRPr="00D6215E">
        <w:t xml:space="preserve"> </w:t>
      </w:r>
      <w:r w:rsidR="00D6215E" w:rsidRPr="00D5715F">
        <w:t>All Directors served throughout the year</w:t>
      </w:r>
      <w:r w:rsidR="00130D9C">
        <w:t>.</w:t>
      </w:r>
    </w:p>
    <w:p w14:paraId="6258F96B" w14:textId="444B6BA2" w:rsidR="008C5E51" w:rsidRPr="00811BA1" w:rsidRDefault="008C5E51" w:rsidP="000009D3">
      <w:pPr>
        <w:pStyle w:val="Bodytext"/>
        <w:jc w:val="both"/>
      </w:pPr>
    </w:p>
    <w:p w14:paraId="721B56A6" w14:textId="10A39FBB" w:rsidR="008C5E51" w:rsidRPr="00811BA1" w:rsidRDefault="008C5E51" w:rsidP="000009D3">
      <w:pPr>
        <w:pStyle w:val="Bodytext"/>
        <w:spacing w:after="80"/>
        <w:jc w:val="both"/>
      </w:pPr>
      <w:r w:rsidRPr="00811BA1">
        <w:t xml:space="preserve">The Chairman of the Board </w:t>
      </w:r>
      <w:r w:rsidR="001D5B65">
        <w:t>is</w:t>
      </w:r>
      <w:r w:rsidRPr="00811BA1">
        <w:t xml:space="preserve"> independent and is appointed in accordance with the Company’s Articles of Incorporation. </w:t>
      </w:r>
      <w:r w:rsidR="008966B3" w:rsidRPr="00504BA5">
        <w:t>Mr Hayden</w:t>
      </w:r>
      <w:r w:rsidRPr="00811BA1">
        <w:t xml:space="preserve"> is considered to be independent because he: </w:t>
      </w:r>
    </w:p>
    <w:p w14:paraId="1DD81FEF" w14:textId="77777777" w:rsidR="008C5E51" w:rsidRPr="00811BA1" w:rsidRDefault="008C5E51" w:rsidP="000009D3">
      <w:pPr>
        <w:pStyle w:val="Bodytext"/>
        <w:numPr>
          <w:ilvl w:val="0"/>
          <w:numId w:val="6"/>
        </w:numPr>
        <w:spacing w:after="80"/>
        <w:ind w:left="340" w:hanging="340"/>
        <w:jc w:val="both"/>
      </w:pPr>
      <w:r w:rsidRPr="00811BA1">
        <w:t>has no current or historical employment with the Investment Manager;</w:t>
      </w:r>
    </w:p>
    <w:p w14:paraId="074DD072" w14:textId="77777777" w:rsidR="008C5E51" w:rsidRPr="00504BA5" w:rsidRDefault="008C5E51" w:rsidP="000009D3">
      <w:pPr>
        <w:pStyle w:val="Bodytext"/>
        <w:numPr>
          <w:ilvl w:val="0"/>
          <w:numId w:val="6"/>
        </w:numPr>
        <w:spacing w:after="80"/>
        <w:ind w:left="340" w:hanging="340"/>
        <w:jc w:val="both"/>
      </w:pPr>
      <w:r w:rsidRPr="00504BA5">
        <w:t>has no current directorships or partnerships in any other investment funds managed by the Investment Manager; and</w:t>
      </w:r>
    </w:p>
    <w:p w14:paraId="4F4256DE" w14:textId="77777777" w:rsidR="008C5E51" w:rsidRPr="00811BA1" w:rsidRDefault="008C5E51" w:rsidP="000009D3">
      <w:pPr>
        <w:pStyle w:val="Bodytext"/>
        <w:numPr>
          <w:ilvl w:val="0"/>
          <w:numId w:val="6"/>
        </w:numPr>
        <w:ind w:left="340" w:hanging="340"/>
        <w:jc w:val="both"/>
      </w:pPr>
      <w:r w:rsidRPr="00811BA1">
        <w:t>is not an executive of a self-managed company or an ex-employee who has left the executive team of a self-managed company within the last five years.</w:t>
      </w:r>
    </w:p>
    <w:p w14:paraId="083B347B" w14:textId="77777777" w:rsidR="008C5E51" w:rsidRPr="00811BA1" w:rsidRDefault="008C5E51" w:rsidP="000009D3">
      <w:pPr>
        <w:pStyle w:val="Bodytext"/>
        <w:jc w:val="both"/>
      </w:pPr>
    </w:p>
    <w:p w14:paraId="3F19B7C6" w14:textId="0917AF24" w:rsidR="00BB52A1" w:rsidRDefault="00BB52A1" w:rsidP="000009D3">
      <w:pPr>
        <w:autoSpaceDE w:val="0"/>
        <w:autoSpaceDN w:val="0"/>
        <w:adjustRightInd w:val="0"/>
        <w:jc w:val="both"/>
      </w:pPr>
      <w:r w:rsidRPr="00BB52A1">
        <w:t>The Board is fully satisfied that Patrick Firth demonstrates complete independence and robustness of character and judgement in his capacity as Senior Independent Director.</w:t>
      </w:r>
      <w:r w:rsidRPr="00D5715F">
        <w:t xml:space="preserve"> </w:t>
      </w:r>
      <w:r w:rsidRPr="00BB52A1">
        <w:t>The Board is of the view that no individual or group of individuals</w:t>
      </w:r>
      <w:r>
        <w:t xml:space="preserve"> </w:t>
      </w:r>
      <w:r w:rsidRPr="00BB52A1">
        <w:t>dominates decision making.</w:t>
      </w:r>
    </w:p>
    <w:p w14:paraId="5B3E84DF" w14:textId="77777777" w:rsidR="00BB52A1" w:rsidRDefault="00BB52A1" w:rsidP="000009D3">
      <w:pPr>
        <w:autoSpaceDE w:val="0"/>
        <w:autoSpaceDN w:val="0"/>
        <w:adjustRightInd w:val="0"/>
        <w:jc w:val="both"/>
      </w:pPr>
    </w:p>
    <w:p w14:paraId="23AD2B64" w14:textId="58AC0B68" w:rsidR="007D0674" w:rsidRPr="00D5715F" w:rsidRDefault="007D0674" w:rsidP="000009D3">
      <w:pPr>
        <w:autoSpaceDE w:val="0"/>
        <w:autoSpaceDN w:val="0"/>
        <w:adjustRightInd w:val="0"/>
        <w:jc w:val="both"/>
      </w:pPr>
      <w:r w:rsidRPr="00D5715F">
        <w:t>New Directors receive an induction from the Investment Manager and all Directors receive other relevant training as necessary.</w:t>
      </w:r>
    </w:p>
    <w:p w14:paraId="2894DEA6" w14:textId="77777777" w:rsidR="008C5E51" w:rsidRPr="00811BA1" w:rsidRDefault="008C5E51" w:rsidP="000009D3">
      <w:pPr>
        <w:pStyle w:val="Bodytext"/>
        <w:jc w:val="both"/>
      </w:pPr>
    </w:p>
    <w:p w14:paraId="6BA9F756" w14:textId="77777777" w:rsidR="007D0674" w:rsidRPr="00811BA1" w:rsidRDefault="007D0674" w:rsidP="000009D3">
      <w:pPr>
        <w:pStyle w:val="Bodytext"/>
        <w:jc w:val="both"/>
      </w:pPr>
      <w:r w:rsidRPr="00811BA1">
        <w:t>At each subsequent Annual General Meeting of the Company, each of the Directors at the date of the notice convening the Annual General Meeting shall retire from office and may offer themselves for election or re-election by the Shareholders.</w:t>
      </w:r>
    </w:p>
    <w:p w14:paraId="72829094" w14:textId="77777777" w:rsidR="005326A9" w:rsidRPr="00811BA1" w:rsidRDefault="005326A9" w:rsidP="000009D3">
      <w:pPr>
        <w:pStyle w:val="Bodytext"/>
        <w:jc w:val="both"/>
      </w:pPr>
    </w:p>
    <w:p w14:paraId="15F1852A" w14:textId="3519DA62" w:rsidR="007D0674" w:rsidRPr="00811BA1" w:rsidRDefault="007D0674" w:rsidP="000009D3">
      <w:pPr>
        <w:pStyle w:val="Bodytext"/>
        <w:jc w:val="both"/>
      </w:pPr>
      <w:r w:rsidRPr="00811BA1">
        <w:t>The Board meets at least four times a year for regular, scheduled meetings and should the nature of the activity of the Company require it, additional meetings may be held, some at short notice. At each meeting the Board follows a formal agenda that covers the business to be discussed. The primary focus at Board meetings is a review of investment performance and associated matters such as asset allocation, share price discount/premium management, investor relations, peer group information, gearing, industry issues and principal risks and uncertainties in particular those identified at the end of this report.</w:t>
      </w:r>
    </w:p>
    <w:p w14:paraId="6D8E586C" w14:textId="77777777" w:rsidR="005326A9" w:rsidRPr="00811BA1" w:rsidRDefault="005326A9" w:rsidP="000009D3">
      <w:pPr>
        <w:pStyle w:val="Bodytext"/>
        <w:jc w:val="both"/>
      </w:pPr>
    </w:p>
    <w:p w14:paraId="08E321F8" w14:textId="1F9330D8" w:rsidR="007D0674" w:rsidRPr="00811BA1" w:rsidRDefault="007D0674" w:rsidP="000009D3">
      <w:pPr>
        <w:pStyle w:val="Bodytext"/>
        <w:jc w:val="both"/>
      </w:pPr>
      <w:r w:rsidRPr="00811BA1">
        <w:t>Between meetings</w:t>
      </w:r>
      <w:r w:rsidR="00A5711E">
        <w:t xml:space="preserve"> the Board visits, at least annually, the Investment Manager, and</w:t>
      </w:r>
      <w:r w:rsidRPr="00811BA1">
        <w:t xml:space="preserve"> there is regular contact with the Administrator, and the Board requires to be supplied in a timely manner with information by the Investment Manager, the Company Secretary and other advisers in a form and of a quality</w:t>
      </w:r>
      <w:r w:rsidR="005326A9" w:rsidRPr="00811BA1">
        <w:t xml:space="preserve"> </w:t>
      </w:r>
      <w:r w:rsidRPr="00811BA1">
        <w:t>to enable it to discharge its duties.</w:t>
      </w:r>
    </w:p>
    <w:p w14:paraId="0C9AEEF4" w14:textId="77777777" w:rsidR="005326A9" w:rsidRPr="00811BA1" w:rsidRDefault="005326A9" w:rsidP="000009D3">
      <w:pPr>
        <w:pStyle w:val="Bodytext"/>
        <w:jc w:val="both"/>
      </w:pPr>
    </w:p>
    <w:p w14:paraId="2ECDC189" w14:textId="12D99D2C" w:rsidR="007D0674" w:rsidRPr="00811BA1" w:rsidRDefault="007D0674" w:rsidP="000009D3">
      <w:pPr>
        <w:pStyle w:val="Bodytext"/>
        <w:jc w:val="both"/>
      </w:pPr>
      <w:r w:rsidRPr="00811BA1">
        <w:t>The Company has adopted a share dealing code for the Board and will seek to ensure compliance by the Board and relevant personnel of the Investment Manager and other third party service providers with the terms of the share dealing code.</w:t>
      </w:r>
      <w:r w:rsidR="009D56EF">
        <w:t xml:space="preserve"> </w:t>
      </w:r>
    </w:p>
    <w:p w14:paraId="268675C5" w14:textId="77777777" w:rsidR="005326A9" w:rsidRPr="00811BA1" w:rsidRDefault="005326A9" w:rsidP="000009D3">
      <w:pPr>
        <w:pStyle w:val="Bodytext"/>
        <w:jc w:val="both"/>
      </w:pPr>
    </w:p>
    <w:p w14:paraId="0F60C79C" w14:textId="77777777" w:rsidR="007D0674" w:rsidRPr="00811BA1" w:rsidRDefault="005326A9" w:rsidP="00EB7E49">
      <w:pPr>
        <w:pStyle w:val="Heading2"/>
      </w:pPr>
      <w:r w:rsidRPr="00811BA1">
        <w:t>Board Tenure and Re-election</w:t>
      </w:r>
    </w:p>
    <w:p w14:paraId="75554FA4" w14:textId="6E8C024A" w:rsidR="00336B92" w:rsidRPr="00111D7C" w:rsidRDefault="007D0674" w:rsidP="000009D3">
      <w:pPr>
        <w:pStyle w:val="Bodytext"/>
        <w:jc w:val="both"/>
        <w:rPr>
          <w:i/>
        </w:rPr>
      </w:pPr>
      <w:r w:rsidRPr="00811BA1">
        <w:t xml:space="preserve">No member of the Board has served for longer than </w:t>
      </w:r>
      <w:r w:rsidR="00111D7C">
        <w:t>nine</w:t>
      </w:r>
      <w:r w:rsidR="00111D7C" w:rsidRPr="00811BA1">
        <w:t xml:space="preserve"> </w:t>
      </w:r>
      <w:r w:rsidRPr="00811BA1">
        <w:t xml:space="preserve">years </w:t>
      </w:r>
      <w:r w:rsidR="00FD2B9D">
        <w:t>as the Company was incorporated on 23 May 2013</w:t>
      </w:r>
      <w:r w:rsidRPr="00811BA1">
        <w:t>. As such</w:t>
      </w:r>
      <w:r w:rsidR="0098059A">
        <w:t>,</w:t>
      </w:r>
      <w:r w:rsidRPr="00811BA1">
        <w:t xml:space="preserve"> no issue has arisen to be considered by the Board with respect to long tenure. In accordance with the AIC Code, when and if any director shall have been in office (or on re-election would at the end of that term of office) for more than nine years</w:t>
      </w:r>
      <w:r w:rsidR="0098059A">
        <w:t>,</w:t>
      </w:r>
      <w:r w:rsidRPr="00811BA1">
        <w:t xml:space="preserve"> the Company will consider further whether there is a risk that such a director might reasonably be deemed to have lost independence through such long service.</w:t>
      </w:r>
      <w:r w:rsidR="006169AC">
        <w:t xml:space="preserve"> The Board considers its composition and succession planning on an ongoing basis. </w:t>
      </w:r>
      <w:r w:rsidR="000B4AAF">
        <w:t>All Directors stand for annual re-election at the AGM.</w:t>
      </w:r>
      <w:r w:rsidR="00322B6E">
        <w:t xml:space="preserve"> </w:t>
      </w:r>
    </w:p>
    <w:p w14:paraId="4F1E9CB8" w14:textId="77777777" w:rsidR="009F6066" w:rsidRPr="00811BA1" w:rsidRDefault="009F6066" w:rsidP="000009D3">
      <w:pPr>
        <w:pStyle w:val="Bodytext"/>
        <w:jc w:val="both"/>
      </w:pPr>
    </w:p>
    <w:p w14:paraId="646F2A84" w14:textId="4E10A44D" w:rsidR="007D0674" w:rsidRPr="00811BA1" w:rsidRDefault="007D0674" w:rsidP="000009D3">
      <w:pPr>
        <w:pStyle w:val="Bodytext"/>
        <w:jc w:val="both"/>
      </w:pPr>
      <w:r w:rsidRPr="00811BA1">
        <w:t>A Director who retires at an Annual General Meeting may, if willing to continue to act, be elected or re-elected at that meeting. If, at a general meeting at which a Director retires, the Company neither re-elects that Director nor appoints another person to the Board in</w:t>
      </w:r>
      <w:r w:rsidR="009F6066" w:rsidRPr="00811BA1">
        <w:t xml:space="preserve"> </w:t>
      </w:r>
      <w:r w:rsidRPr="00811BA1">
        <w:t>the place of that Director, the retiring Director shall,</w:t>
      </w:r>
      <w:r w:rsidR="009F6066" w:rsidRPr="00811BA1">
        <w:t xml:space="preserve"> </w:t>
      </w:r>
      <w:r w:rsidRPr="00811BA1">
        <w:t>if willing to act, be deemed to have been re-elected unless at the general meeting it is resolved not to fill</w:t>
      </w:r>
      <w:r w:rsidR="009F6066" w:rsidRPr="00811BA1">
        <w:t xml:space="preserve"> </w:t>
      </w:r>
      <w:r w:rsidRPr="00811BA1">
        <w:t>the vacancy or unless a resolution for the re-election</w:t>
      </w:r>
      <w:r w:rsidR="009F6066" w:rsidRPr="00811BA1">
        <w:t xml:space="preserve"> </w:t>
      </w:r>
      <w:r w:rsidRPr="00811BA1">
        <w:t>of the Director is put to the meeting and not passed.</w:t>
      </w:r>
    </w:p>
    <w:p w14:paraId="17BEE478" w14:textId="77777777" w:rsidR="009F6066" w:rsidRPr="00811BA1" w:rsidRDefault="009F6066" w:rsidP="000009D3">
      <w:pPr>
        <w:pStyle w:val="Bodytext"/>
        <w:jc w:val="both"/>
      </w:pPr>
    </w:p>
    <w:p w14:paraId="114F9342" w14:textId="3F1E6ADA" w:rsidR="007D0674" w:rsidRPr="00811BA1" w:rsidRDefault="007D0674" w:rsidP="000009D3">
      <w:pPr>
        <w:pStyle w:val="Bodytext"/>
        <w:jc w:val="both"/>
      </w:pPr>
      <w:r w:rsidRPr="00811BA1">
        <w:t>Directors are appointed under letters of appointment, copies of which are available at the registered office of the Company. The Board considers its composition and succession planning on an ongoing basis.</w:t>
      </w:r>
    </w:p>
    <w:p w14:paraId="26B71099" w14:textId="77777777" w:rsidR="00653E10" w:rsidRPr="00811BA1" w:rsidRDefault="00653E10" w:rsidP="000009D3">
      <w:pPr>
        <w:pStyle w:val="Bodytext"/>
        <w:jc w:val="both"/>
      </w:pPr>
    </w:p>
    <w:p w14:paraId="50DE1864" w14:textId="7CCD41C2" w:rsidR="007D0674" w:rsidRPr="00811BA1" w:rsidRDefault="003314D5" w:rsidP="00EB7E49">
      <w:pPr>
        <w:pStyle w:val="Heading2"/>
      </w:pPr>
      <w:r>
        <w:t xml:space="preserve">Directors’ </w:t>
      </w:r>
      <w:r w:rsidR="00AE3809" w:rsidRPr="005602D4">
        <w:t>Remuneration</w:t>
      </w:r>
    </w:p>
    <w:p w14:paraId="4BAE7753" w14:textId="77777777" w:rsidR="007A6CE1" w:rsidRDefault="00CF588A" w:rsidP="000009D3">
      <w:pPr>
        <w:pStyle w:val="Bodytext"/>
        <w:jc w:val="both"/>
      </w:pPr>
      <w:r w:rsidRPr="00811BA1">
        <w:t>T</w:t>
      </w:r>
      <w:r w:rsidR="00BA2FCD" w:rsidRPr="00811BA1">
        <w:t xml:space="preserve">he level of remuneration of the </w:t>
      </w:r>
      <w:r w:rsidR="00906A32">
        <w:t>N</w:t>
      </w:r>
      <w:r w:rsidR="00BA2FCD" w:rsidRPr="00811BA1">
        <w:t>on-executive Directors reflect</w:t>
      </w:r>
      <w:r w:rsidR="001502C5" w:rsidRPr="00811BA1">
        <w:t>s</w:t>
      </w:r>
      <w:r w:rsidR="00BA2FCD" w:rsidRPr="00811BA1">
        <w:t xml:space="preserve"> the time commitment and responsibilities of their roles. The remuneration of the </w:t>
      </w:r>
      <w:r w:rsidR="00906A32">
        <w:t>N</w:t>
      </w:r>
      <w:r w:rsidR="00BA2FCD" w:rsidRPr="00811BA1">
        <w:t xml:space="preserve">on-executive Directors does not include any share options or other performance related elements and there are no plans to seek any </w:t>
      </w:r>
      <w:r w:rsidR="003314D5">
        <w:t>S</w:t>
      </w:r>
      <w:r w:rsidR="00BA2FCD" w:rsidRPr="00811BA1">
        <w:t>hareholder waivers to deviate from this.</w:t>
      </w:r>
    </w:p>
    <w:p w14:paraId="3611E154" w14:textId="77777777" w:rsidR="007A6CE1" w:rsidRDefault="007A6CE1" w:rsidP="000009D3">
      <w:pPr>
        <w:pStyle w:val="Bodytext"/>
        <w:jc w:val="both"/>
      </w:pPr>
    </w:p>
    <w:p w14:paraId="735A86BF" w14:textId="2706632F" w:rsidR="007D0674" w:rsidRPr="00811BA1" w:rsidRDefault="007D0674" w:rsidP="000009D3">
      <w:pPr>
        <w:pStyle w:val="Bodytext"/>
        <w:jc w:val="both"/>
      </w:pPr>
      <w:r w:rsidRPr="00811BA1">
        <w:t>The Chairman is entitled to annual remuneration of £1</w:t>
      </w:r>
      <w:r w:rsidR="00994BE4">
        <w:t xml:space="preserve">32,000 </w:t>
      </w:r>
      <w:r w:rsidR="00934D8F" w:rsidRPr="00811BA1">
        <w:t>(31 December 201</w:t>
      </w:r>
      <w:r w:rsidR="003D2EB2">
        <w:t>8</w:t>
      </w:r>
      <w:r w:rsidR="00934D8F" w:rsidRPr="00811BA1">
        <w:t>: £</w:t>
      </w:r>
      <w:r w:rsidR="00DE61B2" w:rsidRPr="00811BA1">
        <w:t>1</w:t>
      </w:r>
      <w:r w:rsidR="00DE61B2">
        <w:t>32,000</w:t>
      </w:r>
      <w:r w:rsidR="00934D8F" w:rsidRPr="00811BA1">
        <w:t>)</w:t>
      </w:r>
      <w:r w:rsidRPr="00811BA1">
        <w:t xml:space="preserve">. </w:t>
      </w:r>
      <w:r w:rsidR="00C415A3">
        <w:t>The Chairman of the Audit Committee is entitled to annual remuneration of £82,500 (31 December 201</w:t>
      </w:r>
      <w:r w:rsidR="003D2EB2">
        <w:t>8</w:t>
      </w:r>
      <w:r w:rsidR="00C415A3">
        <w:t>: £</w:t>
      </w:r>
      <w:r w:rsidR="00DE61B2">
        <w:t>82,500</w:t>
      </w:r>
      <w:r w:rsidR="00C415A3">
        <w:t>) and t</w:t>
      </w:r>
      <w:r w:rsidR="00C0339B">
        <w:t>he Chair</w:t>
      </w:r>
      <w:r w:rsidR="001D5B65">
        <w:t>man</w:t>
      </w:r>
      <w:r w:rsidR="00C0339B">
        <w:t xml:space="preserve"> of the Management Engagement Committee is entitled to annual remuneration of £</w:t>
      </w:r>
      <w:r w:rsidR="00994BE4">
        <w:t>71,500</w:t>
      </w:r>
      <w:r w:rsidR="00C0339B">
        <w:t xml:space="preserve"> (31 December 201</w:t>
      </w:r>
      <w:r w:rsidR="003D2EB2">
        <w:t>8</w:t>
      </w:r>
      <w:r w:rsidR="00C0339B">
        <w:t>:</w:t>
      </w:r>
      <w:r w:rsidR="00ED410D">
        <w:t xml:space="preserve"> </w:t>
      </w:r>
      <w:r w:rsidR="00C0339B">
        <w:t>£</w:t>
      </w:r>
      <w:r w:rsidR="00DE61B2">
        <w:t>71,500</w:t>
      </w:r>
      <w:r w:rsidR="00800B37">
        <w:t>)</w:t>
      </w:r>
      <w:r w:rsidR="00C415A3">
        <w:t xml:space="preserve">. </w:t>
      </w:r>
      <w:r w:rsidRPr="00811BA1">
        <w:t>The other independent Directors are entitled to annual remuneration of £6</w:t>
      </w:r>
      <w:r w:rsidR="00994BE4">
        <w:t>6</w:t>
      </w:r>
      <w:r w:rsidRPr="00811BA1">
        <w:t>,000</w:t>
      </w:r>
      <w:r w:rsidR="00934D8F" w:rsidRPr="00811BA1">
        <w:t xml:space="preserve"> (31 December 201</w:t>
      </w:r>
      <w:r w:rsidR="003D2EB2">
        <w:t>8</w:t>
      </w:r>
      <w:r w:rsidR="00DE61B2">
        <w:t>: £66</w:t>
      </w:r>
      <w:r w:rsidR="00934D8F" w:rsidRPr="00811BA1">
        <w:t>,000)</w:t>
      </w:r>
      <w:r w:rsidRPr="00811BA1">
        <w:t xml:space="preserve">. The </w:t>
      </w:r>
      <w:r w:rsidR="00185F14" w:rsidRPr="00811BA1">
        <w:t xml:space="preserve">three </w:t>
      </w:r>
      <w:r w:rsidRPr="00811BA1">
        <w:t>non-independent Directors have chosen not to be remunerated by the Company for their services.</w:t>
      </w:r>
    </w:p>
    <w:p w14:paraId="72F04618" w14:textId="77777777" w:rsidR="00AE3809" w:rsidRPr="00811BA1" w:rsidRDefault="00AE3809" w:rsidP="000009D3">
      <w:pPr>
        <w:pStyle w:val="Bodytext"/>
        <w:jc w:val="both"/>
      </w:pPr>
    </w:p>
    <w:p w14:paraId="06BDF88A" w14:textId="1896C8A5" w:rsidR="007D0674" w:rsidRPr="00811BA1" w:rsidRDefault="007D0674" w:rsidP="000009D3">
      <w:pPr>
        <w:pStyle w:val="Bodytext"/>
        <w:jc w:val="both"/>
      </w:pPr>
      <w:r w:rsidRPr="00811BA1">
        <w:t>During the year ended 31 December 201</w:t>
      </w:r>
      <w:r w:rsidR="003D2EB2">
        <w:t>9</w:t>
      </w:r>
      <w:r w:rsidRPr="00811BA1">
        <w:t xml:space="preserve"> and 31 December 201</w:t>
      </w:r>
      <w:r w:rsidR="003D2EB2">
        <w:t>8</w:t>
      </w:r>
      <w:r w:rsidRPr="00811BA1">
        <w:t>, the Directors’ remuneration was as follows:</w:t>
      </w:r>
      <w:r w:rsidR="000E5926" w:rsidRPr="000E5926">
        <w:rPr>
          <w:vertAlign w:val="superscript"/>
        </w:rPr>
        <w:t xml:space="preserve"> </w:t>
      </w:r>
    </w:p>
    <w:p w14:paraId="40F47650" w14:textId="77777777" w:rsidR="00AE3809" w:rsidRPr="00811BA1" w:rsidRDefault="00AE3809" w:rsidP="00EB7E49">
      <w:pPr>
        <w:pStyle w:val="Bodytext"/>
      </w:pPr>
    </w:p>
    <w:tbl>
      <w:tblPr>
        <w:tblStyle w:val="TableGrid"/>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50"/>
        <w:gridCol w:w="1701"/>
        <w:gridCol w:w="1701"/>
      </w:tblGrid>
      <w:tr w:rsidR="006A1F82" w:rsidRPr="00811BA1" w14:paraId="0048F1E5" w14:textId="77777777" w:rsidTr="006A1F82">
        <w:trPr>
          <w:trHeight w:val="463"/>
        </w:trPr>
        <w:tc>
          <w:tcPr>
            <w:tcW w:w="6350" w:type="dxa"/>
            <w:tcBorders>
              <w:bottom w:val="single" w:sz="4" w:space="0" w:color="auto"/>
            </w:tcBorders>
          </w:tcPr>
          <w:p w14:paraId="7D6BAD08" w14:textId="7796626B" w:rsidR="006A1F82" w:rsidRPr="00811BA1" w:rsidRDefault="006A1F82" w:rsidP="00EB7E49">
            <w:pPr>
              <w:pStyle w:val="Bodytext"/>
            </w:pPr>
            <w:r>
              <w:t>Director</w:t>
            </w:r>
          </w:p>
        </w:tc>
        <w:tc>
          <w:tcPr>
            <w:tcW w:w="1701" w:type="dxa"/>
            <w:tcBorders>
              <w:bottom w:val="single" w:sz="4" w:space="0" w:color="auto"/>
            </w:tcBorders>
            <w:vAlign w:val="bottom"/>
          </w:tcPr>
          <w:p w14:paraId="26DA012C" w14:textId="6B9C2E11" w:rsidR="006A1F82" w:rsidRPr="00811BA1" w:rsidRDefault="006A1F82" w:rsidP="00EB7E49">
            <w:pPr>
              <w:pStyle w:val="Bodytext"/>
              <w:jc w:val="right"/>
              <w:rPr>
                <w:b/>
              </w:rPr>
            </w:pPr>
            <w:r w:rsidRPr="00811BA1">
              <w:rPr>
                <w:b/>
              </w:rPr>
              <w:t>201</w:t>
            </w:r>
            <w:r w:rsidR="003D2EB2">
              <w:rPr>
                <w:b/>
              </w:rPr>
              <w:t>9</w:t>
            </w:r>
          </w:p>
          <w:p w14:paraId="146BB2CE" w14:textId="77777777" w:rsidR="006A1F82" w:rsidRPr="00811BA1" w:rsidRDefault="006A1F82" w:rsidP="00EB7E49">
            <w:pPr>
              <w:pStyle w:val="Bodytext"/>
              <w:jc w:val="right"/>
              <w:rPr>
                <w:b/>
              </w:rPr>
            </w:pPr>
            <w:r w:rsidRPr="00811BA1">
              <w:rPr>
                <w:b/>
              </w:rPr>
              <w:t>($’000)</w:t>
            </w:r>
          </w:p>
        </w:tc>
        <w:tc>
          <w:tcPr>
            <w:tcW w:w="1701" w:type="dxa"/>
            <w:tcBorders>
              <w:bottom w:val="single" w:sz="4" w:space="0" w:color="auto"/>
            </w:tcBorders>
            <w:vAlign w:val="bottom"/>
          </w:tcPr>
          <w:p w14:paraId="02E55A87" w14:textId="61A030FE" w:rsidR="006A1F82" w:rsidRPr="006A1F82" w:rsidRDefault="006A1F82" w:rsidP="00AE2D96">
            <w:pPr>
              <w:pStyle w:val="Bodytext"/>
              <w:jc w:val="right"/>
            </w:pPr>
            <w:r w:rsidRPr="006A1F82">
              <w:t>201</w:t>
            </w:r>
            <w:r w:rsidR="003D2EB2">
              <w:t>8</w:t>
            </w:r>
          </w:p>
          <w:p w14:paraId="51726D65" w14:textId="33CE9881" w:rsidR="006A1F82" w:rsidRPr="006A1F82" w:rsidRDefault="006A1F82" w:rsidP="00EB7E49">
            <w:pPr>
              <w:pStyle w:val="Bodytext"/>
              <w:jc w:val="right"/>
            </w:pPr>
            <w:r w:rsidRPr="006A1F82">
              <w:t>($’000)</w:t>
            </w:r>
          </w:p>
        </w:tc>
      </w:tr>
      <w:tr w:rsidR="006A1F82" w:rsidRPr="00811BA1" w14:paraId="7075587D" w14:textId="77777777" w:rsidTr="00597D70">
        <w:trPr>
          <w:trHeight w:val="227"/>
        </w:trPr>
        <w:tc>
          <w:tcPr>
            <w:tcW w:w="6350" w:type="dxa"/>
            <w:vAlign w:val="center"/>
          </w:tcPr>
          <w:p w14:paraId="32E4F6D6" w14:textId="37D3B9EA" w:rsidR="006A1F82" w:rsidRPr="00811BA1" w:rsidRDefault="006A1F82" w:rsidP="00597D70">
            <w:pPr>
              <w:pStyle w:val="Bodytext"/>
            </w:pPr>
            <w:r w:rsidRPr="00811BA1">
              <w:t>Peter Barker</w:t>
            </w:r>
            <w:r w:rsidRPr="00811BA1">
              <w:rPr>
                <w:vertAlign w:val="superscript"/>
              </w:rPr>
              <w:t xml:space="preserve"> (</w:t>
            </w:r>
            <w:r>
              <w:rPr>
                <w:vertAlign w:val="superscript"/>
              </w:rPr>
              <w:t>1</w:t>
            </w:r>
            <w:r w:rsidRPr="00811BA1">
              <w:rPr>
                <w:vertAlign w:val="superscript"/>
              </w:rPr>
              <w:t>)</w:t>
            </w:r>
          </w:p>
        </w:tc>
        <w:tc>
          <w:tcPr>
            <w:tcW w:w="1701" w:type="dxa"/>
            <w:vAlign w:val="center"/>
          </w:tcPr>
          <w:p w14:paraId="14DE5160" w14:textId="560BE4F5" w:rsidR="006A1F82" w:rsidRPr="007A6F82" w:rsidRDefault="00032827" w:rsidP="00EB7E49">
            <w:pPr>
              <w:pStyle w:val="Bodytext"/>
              <w:jc w:val="right"/>
              <w:rPr>
                <w:b/>
              </w:rPr>
            </w:pPr>
            <w:r>
              <w:rPr>
                <w:b/>
              </w:rPr>
              <w:t>8</w:t>
            </w:r>
            <w:r w:rsidR="00A87411">
              <w:rPr>
                <w:b/>
              </w:rPr>
              <w:t>6</w:t>
            </w:r>
          </w:p>
        </w:tc>
        <w:tc>
          <w:tcPr>
            <w:tcW w:w="1701" w:type="dxa"/>
            <w:vAlign w:val="center"/>
          </w:tcPr>
          <w:p w14:paraId="5CB96BEE" w14:textId="215B5BEE" w:rsidR="006A1F82" w:rsidRPr="006A1F82" w:rsidRDefault="003D2EB2" w:rsidP="00EB7E49">
            <w:pPr>
              <w:pStyle w:val="Bodytext"/>
              <w:jc w:val="right"/>
            </w:pPr>
            <w:r>
              <w:t>8</w:t>
            </w:r>
            <w:r w:rsidR="00A87411">
              <w:t>4</w:t>
            </w:r>
          </w:p>
        </w:tc>
      </w:tr>
      <w:tr w:rsidR="006A1F82" w:rsidRPr="00811BA1" w14:paraId="0BFC1098" w14:textId="77777777" w:rsidTr="00597D70">
        <w:trPr>
          <w:trHeight w:val="227"/>
        </w:trPr>
        <w:tc>
          <w:tcPr>
            <w:tcW w:w="6350" w:type="dxa"/>
            <w:vAlign w:val="center"/>
          </w:tcPr>
          <w:p w14:paraId="4EBF71A1" w14:textId="1BB86F01" w:rsidR="006A1F82" w:rsidRPr="00811BA1" w:rsidRDefault="006A1F82" w:rsidP="00597D70">
            <w:pPr>
              <w:pStyle w:val="Bodytext"/>
            </w:pPr>
            <w:r w:rsidRPr="00811BA1">
              <w:t>Patrick Firth</w:t>
            </w:r>
            <w:r w:rsidRPr="003F6E2A">
              <w:rPr>
                <w:vertAlign w:val="superscript"/>
              </w:rPr>
              <w:t>(1)</w:t>
            </w:r>
            <w:r w:rsidRPr="00811BA1">
              <w:rPr>
                <w:vertAlign w:val="superscript"/>
              </w:rPr>
              <w:t>(2)</w:t>
            </w:r>
          </w:p>
        </w:tc>
        <w:tc>
          <w:tcPr>
            <w:tcW w:w="1701" w:type="dxa"/>
            <w:vAlign w:val="center"/>
          </w:tcPr>
          <w:p w14:paraId="21771E1C" w14:textId="48E27388" w:rsidR="006A1F82" w:rsidRPr="007A6F82" w:rsidRDefault="00032827" w:rsidP="00EB7E49">
            <w:pPr>
              <w:pStyle w:val="Bodytext"/>
              <w:jc w:val="right"/>
              <w:rPr>
                <w:b/>
              </w:rPr>
            </w:pPr>
            <w:r>
              <w:rPr>
                <w:b/>
              </w:rPr>
              <w:t>10</w:t>
            </w:r>
            <w:r w:rsidR="00A87411">
              <w:rPr>
                <w:b/>
              </w:rPr>
              <w:t>8</w:t>
            </w:r>
          </w:p>
        </w:tc>
        <w:tc>
          <w:tcPr>
            <w:tcW w:w="1701" w:type="dxa"/>
            <w:vAlign w:val="center"/>
          </w:tcPr>
          <w:p w14:paraId="37292408" w14:textId="3276F97B" w:rsidR="006A1F82" w:rsidRPr="006A1F82" w:rsidRDefault="003D2EB2" w:rsidP="00EB7E49">
            <w:pPr>
              <w:pStyle w:val="Bodytext"/>
              <w:jc w:val="right"/>
            </w:pPr>
            <w:r>
              <w:t>10</w:t>
            </w:r>
            <w:r w:rsidR="00A87411">
              <w:t>5</w:t>
            </w:r>
          </w:p>
        </w:tc>
      </w:tr>
      <w:tr w:rsidR="006A1F82" w:rsidRPr="00811BA1" w14:paraId="56EC077C" w14:textId="77777777" w:rsidTr="00597D70">
        <w:trPr>
          <w:trHeight w:val="227"/>
        </w:trPr>
        <w:tc>
          <w:tcPr>
            <w:tcW w:w="6350" w:type="dxa"/>
            <w:vAlign w:val="center"/>
          </w:tcPr>
          <w:p w14:paraId="1B34E371" w14:textId="7CAB0F8C" w:rsidR="006A1F82" w:rsidRPr="00811BA1" w:rsidRDefault="006A1F82" w:rsidP="00597D70">
            <w:pPr>
              <w:pStyle w:val="Bodytext"/>
            </w:pPr>
            <w:r w:rsidRPr="00811BA1">
              <w:t>Richard Hayden</w:t>
            </w:r>
            <w:r w:rsidRPr="00811BA1">
              <w:rPr>
                <w:vertAlign w:val="superscript"/>
              </w:rPr>
              <w:t>(</w:t>
            </w:r>
            <w:r>
              <w:rPr>
                <w:vertAlign w:val="superscript"/>
              </w:rPr>
              <w:t>1</w:t>
            </w:r>
            <w:r w:rsidRPr="00811BA1">
              <w:rPr>
                <w:vertAlign w:val="superscript"/>
              </w:rPr>
              <w:t>)</w:t>
            </w:r>
            <w:r>
              <w:rPr>
                <w:vertAlign w:val="superscript"/>
              </w:rPr>
              <w:t>(3)</w:t>
            </w:r>
          </w:p>
        </w:tc>
        <w:tc>
          <w:tcPr>
            <w:tcW w:w="1701" w:type="dxa"/>
            <w:vAlign w:val="center"/>
          </w:tcPr>
          <w:p w14:paraId="57062570" w14:textId="194DABB1" w:rsidR="006A1F82" w:rsidRPr="007A6F82" w:rsidRDefault="00032827" w:rsidP="00EB7E49">
            <w:pPr>
              <w:pStyle w:val="Bodytext"/>
              <w:jc w:val="right"/>
              <w:rPr>
                <w:b/>
              </w:rPr>
            </w:pPr>
            <w:r>
              <w:rPr>
                <w:b/>
              </w:rPr>
              <w:t>1</w:t>
            </w:r>
            <w:r w:rsidR="00A87411">
              <w:rPr>
                <w:b/>
              </w:rPr>
              <w:t>73</w:t>
            </w:r>
          </w:p>
        </w:tc>
        <w:tc>
          <w:tcPr>
            <w:tcW w:w="1701" w:type="dxa"/>
            <w:vAlign w:val="center"/>
          </w:tcPr>
          <w:p w14:paraId="0F0FBB05" w14:textId="53C06E21" w:rsidR="006A1F82" w:rsidRPr="006A1F82" w:rsidRDefault="00723A7B" w:rsidP="00EB7E49">
            <w:pPr>
              <w:pStyle w:val="Bodytext"/>
              <w:jc w:val="right"/>
            </w:pPr>
            <w:r>
              <w:t>1</w:t>
            </w:r>
            <w:r w:rsidR="00A87411">
              <w:t>68</w:t>
            </w:r>
          </w:p>
        </w:tc>
      </w:tr>
      <w:tr w:rsidR="0021631B" w:rsidRPr="00811BA1" w14:paraId="692F8EFC" w14:textId="77777777" w:rsidTr="00597D70">
        <w:trPr>
          <w:trHeight w:val="227"/>
        </w:trPr>
        <w:tc>
          <w:tcPr>
            <w:tcW w:w="6350" w:type="dxa"/>
            <w:vAlign w:val="center"/>
          </w:tcPr>
          <w:p w14:paraId="37E8037A" w14:textId="41B94130" w:rsidR="0021631B" w:rsidRPr="00811BA1" w:rsidRDefault="0021631B" w:rsidP="0021631B">
            <w:pPr>
              <w:pStyle w:val="Bodytext"/>
            </w:pPr>
            <w:r w:rsidRPr="00811BA1">
              <w:t>Pierre Lapeyre</w:t>
            </w:r>
          </w:p>
        </w:tc>
        <w:tc>
          <w:tcPr>
            <w:tcW w:w="1701" w:type="dxa"/>
            <w:vAlign w:val="center"/>
          </w:tcPr>
          <w:p w14:paraId="5ADA3A95" w14:textId="1E777BB3" w:rsidR="0021631B" w:rsidRPr="007A6F82" w:rsidRDefault="0021631B" w:rsidP="0021631B">
            <w:pPr>
              <w:pStyle w:val="Bodytext"/>
              <w:jc w:val="right"/>
              <w:rPr>
                <w:b/>
              </w:rPr>
            </w:pPr>
            <w:r w:rsidRPr="006A1F82">
              <w:t>-</w:t>
            </w:r>
          </w:p>
        </w:tc>
        <w:tc>
          <w:tcPr>
            <w:tcW w:w="1701" w:type="dxa"/>
            <w:vAlign w:val="center"/>
          </w:tcPr>
          <w:p w14:paraId="64F3F7B7" w14:textId="52F1D63B" w:rsidR="0021631B" w:rsidRPr="006A1F82" w:rsidRDefault="0021631B" w:rsidP="0021631B">
            <w:pPr>
              <w:pStyle w:val="Bodytext"/>
              <w:jc w:val="right"/>
            </w:pPr>
            <w:r w:rsidRPr="006A1F82">
              <w:t>-</w:t>
            </w:r>
          </w:p>
        </w:tc>
      </w:tr>
      <w:tr w:rsidR="0021631B" w:rsidRPr="00811BA1" w14:paraId="42807975" w14:textId="77777777" w:rsidTr="00597D70">
        <w:trPr>
          <w:trHeight w:val="227"/>
        </w:trPr>
        <w:tc>
          <w:tcPr>
            <w:tcW w:w="6350" w:type="dxa"/>
            <w:vAlign w:val="center"/>
          </w:tcPr>
          <w:p w14:paraId="608D5541" w14:textId="59E811D6" w:rsidR="0021631B" w:rsidRPr="00811BA1" w:rsidRDefault="0021631B" w:rsidP="0021631B">
            <w:pPr>
              <w:pStyle w:val="Bodytext"/>
            </w:pPr>
            <w:r w:rsidRPr="00811BA1">
              <w:t>David Leuschen</w:t>
            </w:r>
          </w:p>
        </w:tc>
        <w:tc>
          <w:tcPr>
            <w:tcW w:w="1701" w:type="dxa"/>
            <w:vAlign w:val="center"/>
          </w:tcPr>
          <w:p w14:paraId="290C7FA6" w14:textId="68D13593" w:rsidR="0021631B" w:rsidRPr="007A6F82" w:rsidRDefault="0021631B" w:rsidP="0021631B">
            <w:pPr>
              <w:pStyle w:val="Bodytext"/>
              <w:jc w:val="right"/>
              <w:rPr>
                <w:b/>
              </w:rPr>
            </w:pPr>
            <w:r w:rsidRPr="006A1F82">
              <w:t>-</w:t>
            </w:r>
          </w:p>
        </w:tc>
        <w:tc>
          <w:tcPr>
            <w:tcW w:w="1701" w:type="dxa"/>
            <w:vAlign w:val="center"/>
          </w:tcPr>
          <w:p w14:paraId="210E6A09" w14:textId="22B47379" w:rsidR="0021631B" w:rsidRPr="006A1F82" w:rsidRDefault="0021631B" w:rsidP="0021631B">
            <w:pPr>
              <w:pStyle w:val="Bodytext"/>
              <w:jc w:val="right"/>
            </w:pPr>
            <w:r w:rsidRPr="006A1F82">
              <w:t>-</w:t>
            </w:r>
          </w:p>
        </w:tc>
      </w:tr>
      <w:tr w:rsidR="0021631B" w:rsidRPr="00811BA1" w14:paraId="3DA4FC49" w14:textId="77777777" w:rsidTr="00597D70">
        <w:trPr>
          <w:trHeight w:val="227"/>
        </w:trPr>
        <w:tc>
          <w:tcPr>
            <w:tcW w:w="6350" w:type="dxa"/>
            <w:vAlign w:val="center"/>
          </w:tcPr>
          <w:p w14:paraId="1753766B" w14:textId="0326B04D" w:rsidR="0021631B" w:rsidRPr="00811BA1" w:rsidRDefault="0021631B" w:rsidP="0021631B">
            <w:pPr>
              <w:pStyle w:val="Bodytext"/>
            </w:pPr>
            <w:r>
              <w:t>Ken Ryan</w:t>
            </w:r>
            <w:r>
              <w:rPr>
                <w:vertAlign w:val="superscript"/>
              </w:rPr>
              <w:t xml:space="preserve"> </w:t>
            </w:r>
          </w:p>
        </w:tc>
        <w:tc>
          <w:tcPr>
            <w:tcW w:w="1701" w:type="dxa"/>
            <w:vAlign w:val="center"/>
          </w:tcPr>
          <w:p w14:paraId="77F29F84" w14:textId="3D014768" w:rsidR="0021631B" w:rsidRPr="004C5479" w:rsidDel="00D05906" w:rsidRDefault="0021631B" w:rsidP="0021631B">
            <w:pPr>
              <w:pStyle w:val="Bodytext"/>
              <w:jc w:val="right"/>
              <w:rPr>
                <w:b/>
              </w:rPr>
            </w:pPr>
            <w:r w:rsidRPr="006A1F82">
              <w:t>-</w:t>
            </w:r>
          </w:p>
        </w:tc>
        <w:tc>
          <w:tcPr>
            <w:tcW w:w="1701" w:type="dxa"/>
            <w:vAlign w:val="center"/>
          </w:tcPr>
          <w:p w14:paraId="3611AADE" w14:textId="7FBE9ADB" w:rsidR="0021631B" w:rsidRPr="006A1F82" w:rsidRDefault="0021631B" w:rsidP="0021631B">
            <w:pPr>
              <w:pStyle w:val="Bodytext"/>
              <w:jc w:val="right"/>
            </w:pPr>
            <w:r w:rsidRPr="006A1F82">
              <w:t>-</w:t>
            </w:r>
          </w:p>
        </w:tc>
      </w:tr>
      <w:tr w:rsidR="0021631B" w:rsidRPr="00811BA1" w14:paraId="580D264E" w14:textId="77777777" w:rsidTr="00597D70">
        <w:trPr>
          <w:trHeight w:val="227"/>
        </w:trPr>
        <w:tc>
          <w:tcPr>
            <w:tcW w:w="6350" w:type="dxa"/>
            <w:vAlign w:val="center"/>
          </w:tcPr>
          <w:p w14:paraId="4D2933BD" w14:textId="60324CAA" w:rsidR="0021631B" w:rsidRPr="00811BA1" w:rsidRDefault="0021631B" w:rsidP="0021631B">
            <w:pPr>
              <w:pStyle w:val="Bodytext"/>
            </w:pPr>
            <w:r>
              <w:t>Jeremy Thompson</w:t>
            </w:r>
            <w:r>
              <w:rPr>
                <w:vertAlign w:val="superscript"/>
              </w:rPr>
              <w:t>(1</w:t>
            </w:r>
            <w:r w:rsidRPr="00811BA1">
              <w:rPr>
                <w:vertAlign w:val="superscript"/>
              </w:rPr>
              <w:t>)</w:t>
            </w:r>
            <w:r>
              <w:rPr>
                <w:vertAlign w:val="superscript"/>
              </w:rPr>
              <w:t xml:space="preserve"> </w:t>
            </w:r>
          </w:p>
        </w:tc>
        <w:tc>
          <w:tcPr>
            <w:tcW w:w="1701" w:type="dxa"/>
            <w:vAlign w:val="center"/>
          </w:tcPr>
          <w:p w14:paraId="40B2A736" w14:textId="184DD71C" w:rsidR="0021631B" w:rsidRPr="007A6F82" w:rsidDel="00D05906" w:rsidRDefault="00032827" w:rsidP="0021631B">
            <w:pPr>
              <w:pStyle w:val="Bodytext"/>
              <w:jc w:val="right"/>
              <w:rPr>
                <w:b/>
              </w:rPr>
            </w:pPr>
            <w:r>
              <w:rPr>
                <w:b/>
              </w:rPr>
              <w:t>8</w:t>
            </w:r>
            <w:r w:rsidR="00A87411">
              <w:rPr>
                <w:b/>
              </w:rPr>
              <w:t>6</w:t>
            </w:r>
          </w:p>
        </w:tc>
        <w:tc>
          <w:tcPr>
            <w:tcW w:w="1701" w:type="dxa"/>
            <w:vAlign w:val="center"/>
          </w:tcPr>
          <w:p w14:paraId="253C8989" w14:textId="7D420EF5" w:rsidR="0021631B" w:rsidRPr="006A1F82" w:rsidRDefault="003D2EB2" w:rsidP="0021631B">
            <w:pPr>
              <w:pStyle w:val="Bodytext"/>
              <w:jc w:val="right"/>
            </w:pPr>
            <w:r>
              <w:t>8</w:t>
            </w:r>
            <w:r w:rsidR="00A87411">
              <w:t>4</w:t>
            </w:r>
          </w:p>
        </w:tc>
      </w:tr>
      <w:tr w:rsidR="0021631B" w:rsidRPr="00811BA1" w14:paraId="5569159C" w14:textId="77777777" w:rsidTr="00597D70">
        <w:trPr>
          <w:trHeight w:val="227"/>
        </w:trPr>
        <w:tc>
          <w:tcPr>
            <w:tcW w:w="6350" w:type="dxa"/>
            <w:vAlign w:val="center"/>
          </w:tcPr>
          <w:p w14:paraId="28A4F688" w14:textId="322326CD" w:rsidR="0021631B" w:rsidRPr="00811BA1" w:rsidRDefault="0021631B" w:rsidP="0021631B">
            <w:pPr>
              <w:pStyle w:val="Bodytext"/>
            </w:pPr>
            <w:r>
              <w:t>Claire Whittet</w:t>
            </w:r>
            <w:r w:rsidRPr="00811BA1">
              <w:rPr>
                <w:vertAlign w:val="superscript"/>
              </w:rPr>
              <w:t>(</w:t>
            </w:r>
            <w:r>
              <w:rPr>
                <w:vertAlign w:val="superscript"/>
              </w:rPr>
              <w:t>1</w:t>
            </w:r>
            <w:r w:rsidRPr="00811BA1">
              <w:rPr>
                <w:vertAlign w:val="superscript"/>
              </w:rPr>
              <w:t>)</w:t>
            </w:r>
            <w:r>
              <w:rPr>
                <w:vertAlign w:val="superscript"/>
              </w:rPr>
              <w:t>(4)</w:t>
            </w:r>
          </w:p>
        </w:tc>
        <w:tc>
          <w:tcPr>
            <w:tcW w:w="1701" w:type="dxa"/>
            <w:vAlign w:val="center"/>
          </w:tcPr>
          <w:p w14:paraId="5B9283D0" w14:textId="6A44B946" w:rsidR="0021631B" w:rsidRPr="007A6F82" w:rsidDel="00D05906" w:rsidRDefault="00032827" w:rsidP="0021631B">
            <w:pPr>
              <w:pStyle w:val="Bodytext"/>
              <w:jc w:val="right"/>
              <w:rPr>
                <w:b/>
              </w:rPr>
            </w:pPr>
            <w:r>
              <w:rPr>
                <w:b/>
              </w:rPr>
              <w:t>9</w:t>
            </w:r>
            <w:r w:rsidR="00A87411">
              <w:rPr>
                <w:b/>
              </w:rPr>
              <w:t>4</w:t>
            </w:r>
          </w:p>
        </w:tc>
        <w:tc>
          <w:tcPr>
            <w:tcW w:w="1701" w:type="dxa"/>
            <w:vAlign w:val="center"/>
          </w:tcPr>
          <w:p w14:paraId="0D295970" w14:textId="69849E66" w:rsidR="0021631B" w:rsidRPr="006A1F82" w:rsidRDefault="003D2EB2" w:rsidP="0021631B">
            <w:pPr>
              <w:pStyle w:val="Bodytext"/>
              <w:jc w:val="right"/>
            </w:pPr>
            <w:r>
              <w:t>9</w:t>
            </w:r>
            <w:r w:rsidR="00A87411">
              <w:t>1</w:t>
            </w:r>
          </w:p>
        </w:tc>
      </w:tr>
    </w:tbl>
    <w:p w14:paraId="0E46E3FB" w14:textId="57E43960" w:rsidR="00005172" w:rsidRPr="00811BA1" w:rsidRDefault="00005172" w:rsidP="009B52C9">
      <w:pPr>
        <w:pStyle w:val="Footnote"/>
        <w:jc w:val="both"/>
      </w:pPr>
      <w:r w:rsidRPr="00A67A51">
        <w:rPr>
          <w:vertAlign w:val="superscript"/>
        </w:rPr>
        <w:t>(1)</w:t>
      </w:r>
      <w:r w:rsidRPr="00811BA1">
        <w:tab/>
        <w:t>Non-executive Independent Director</w:t>
      </w:r>
    </w:p>
    <w:p w14:paraId="50A4D6F2" w14:textId="0474C324" w:rsidR="00005172" w:rsidRDefault="00005172" w:rsidP="009B52C9">
      <w:pPr>
        <w:pStyle w:val="Footnote"/>
        <w:jc w:val="both"/>
      </w:pPr>
      <w:r w:rsidRPr="00A67A51">
        <w:rPr>
          <w:vertAlign w:val="superscript"/>
        </w:rPr>
        <w:t>(2)</w:t>
      </w:r>
      <w:r w:rsidRPr="00811BA1">
        <w:tab/>
        <w:t>Senior Independent Director</w:t>
      </w:r>
      <w:r w:rsidR="001D5B65">
        <w:t xml:space="preserve"> </w:t>
      </w:r>
      <w:r w:rsidR="007E6117">
        <w:t xml:space="preserve">and Chairman of the Audit Committee </w:t>
      </w:r>
    </w:p>
    <w:p w14:paraId="49805D5A" w14:textId="0E6F0164" w:rsidR="007E6117" w:rsidRDefault="007E6117" w:rsidP="009B52C9">
      <w:pPr>
        <w:pStyle w:val="Footnote"/>
        <w:jc w:val="both"/>
      </w:pPr>
      <w:r w:rsidRPr="00A67A51">
        <w:rPr>
          <w:vertAlign w:val="superscript"/>
        </w:rPr>
        <w:t>(3)</w:t>
      </w:r>
      <w:r>
        <w:t xml:space="preserve"> </w:t>
      </w:r>
      <w:r>
        <w:tab/>
        <w:t xml:space="preserve">Chairman of the Company </w:t>
      </w:r>
    </w:p>
    <w:p w14:paraId="5CC072E6" w14:textId="288A8B02" w:rsidR="007E6117" w:rsidRDefault="00A43380" w:rsidP="009B52C9">
      <w:pPr>
        <w:pStyle w:val="Footnote"/>
        <w:jc w:val="both"/>
      </w:pPr>
      <w:r>
        <w:rPr>
          <w:vertAlign w:val="superscript"/>
        </w:rPr>
        <w:t>(4</w:t>
      </w:r>
      <w:r w:rsidR="007E6117" w:rsidRPr="00A67A51">
        <w:rPr>
          <w:vertAlign w:val="superscript"/>
        </w:rPr>
        <w:t>)</w:t>
      </w:r>
      <w:r w:rsidR="007E6117">
        <w:tab/>
        <w:t xml:space="preserve">Chairman of the Management Engagement Committee </w:t>
      </w:r>
    </w:p>
    <w:p w14:paraId="6A1788DF" w14:textId="77777777" w:rsidR="00D16295" w:rsidRDefault="00D16295" w:rsidP="00EB7E49">
      <w:pPr>
        <w:pStyle w:val="Footnote"/>
      </w:pPr>
    </w:p>
    <w:p w14:paraId="53B171EA" w14:textId="08727B9D" w:rsidR="007D0674" w:rsidRPr="00811BA1" w:rsidRDefault="007D0674" w:rsidP="000009D3">
      <w:pPr>
        <w:pStyle w:val="Bodytext"/>
        <w:jc w:val="both"/>
      </w:pPr>
      <w:r w:rsidRPr="00811BA1">
        <w:t>The above fees du</w:t>
      </w:r>
      <w:r w:rsidR="00AE3809" w:rsidRPr="00811BA1">
        <w:t xml:space="preserve">e to the Directors are for the </w:t>
      </w:r>
      <w:r w:rsidRPr="00811BA1">
        <w:t>year ended 31 December 201</w:t>
      </w:r>
      <w:r w:rsidR="003D2EB2">
        <w:t>9</w:t>
      </w:r>
      <w:r w:rsidRPr="00811BA1">
        <w:t xml:space="preserve"> and 31 December 201</w:t>
      </w:r>
      <w:r w:rsidR="003D2EB2">
        <w:t>8</w:t>
      </w:r>
      <w:r w:rsidRPr="00811BA1">
        <w:t>, and none were outstanding at 31 December 201</w:t>
      </w:r>
      <w:r w:rsidR="003D2EB2">
        <w:t>9</w:t>
      </w:r>
      <w:r w:rsidRPr="00811BA1">
        <w:t xml:space="preserve"> </w:t>
      </w:r>
      <w:r w:rsidR="00A14077" w:rsidRPr="00811BA1">
        <w:t xml:space="preserve">(31 December </w:t>
      </w:r>
      <w:r w:rsidRPr="00811BA1">
        <w:t>201</w:t>
      </w:r>
      <w:r w:rsidR="003D2EB2">
        <w:t>8</w:t>
      </w:r>
      <w:r w:rsidR="00A14077" w:rsidRPr="00811BA1">
        <w:t>: $Nil)</w:t>
      </w:r>
      <w:r w:rsidRPr="00811BA1">
        <w:t>.</w:t>
      </w:r>
    </w:p>
    <w:p w14:paraId="09FB5480" w14:textId="77777777" w:rsidR="007E6F57" w:rsidRPr="00811BA1" w:rsidRDefault="007E6F57" w:rsidP="00EB7E49">
      <w:pPr>
        <w:pStyle w:val="Bodytext"/>
      </w:pPr>
    </w:p>
    <w:p w14:paraId="034885EE" w14:textId="5E35B839" w:rsidR="007D0674" w:rsidRPr="00811BA1" w:rsidRDefault="00BB14D3" w:rsidP="00EB7E49">
      <w:pPr>
        <w:pStyle w:val="Heading2"/>
      </w:pPr>
      <w:r w:rsidRPr="00811BA1">
        <w:t>Duties and Responsibilities</w:t>
      </w:r>
    </w:p>
    <w:p w14:paraId="1046BE73" w14:textId="77777777" w:rsidR="007D0674" w:rsidRPr="00811BA1" w:rsidRDefault="007D0674" w:rsidP="000009D3">
      <w:pPr>
        <w:pStyle w:val="Bodytext"/>
        <w:jc w:val="both"/>
      </w:pPr>
      <w:r w:rsidRPr="00811BA1">
        <w:t xml:space="preserve">The Board is responsible to Shareholders for the overall management of the Company. The duties and powers reserved for the Board include decisions relating to the determination of investment policy and approval of investments in certain instances, strategy, capital raising, statutory obligations and public disclosure, financial reporting and entering </w:t>
      </w:r>
      <w:r w:rsidR="00BB14D3" w:rsidRPr="00811BA1">
        <w:t xml:space="preserve">into any material contracts by </w:t>
      </w:r>
      <w:r w:rsidRPr="00811BA1">
        <w:t>the Company.</w:t>
      </w:r>
    </w:p>
    <w:p w14:paraId="05050418" w14:textId="77777777" w:rsidR="00BB14D3" w:rsidRPr="00811BA1" w:rsidRDefault="00BB14D3" w:rsidP="000009D3">
      <w:pPr>
        <w:pStyle w:val="Bodytext"/>
        <w:jc w:val="both"/>
      </w:pPr>
    </w:p>
    <w:p w14:paraId="1463A357" w14:textId="7C9D48EE" w:rsidR="003629DC" w:rsidRPr="003629DC" w:rsidRDefault="003629DC" w:rsidP="000009D3">
      <w:pPr>
        <w:pStyle w:val="Bodytext"/>
        <w:jc w:val="both"/>
      </w:pPr>
      <w:r w:rsidRPr="003629DC">
        <w:t>The Board retains direct responsibility for certain matters, including (but not limited to):</w:t>
      </w:r>
    </w:p>
    <w:p w14:paraId="4D7DF654" w14:textId="6DFC5550" w:rsidR="003629DC" w:rsidRPr="003629DC" w:rsidRDefault="003629DC" w:rsidP="000009D3">
      <w:pPr>
        <w:pStyle w:val="Bodytext"/>
        <w:numPr>
          <w:ilvl w:val="0"/>
          <w:numId w:val="28"/>
        </w:numPr>
        <w:jc w:val="both"/>
      </w:pPr>
      <w:r w:rsidRPr="003629DC">
        <w:t>approving the Company’s long term objective and any decisions of a strategic nature including any change in investment objective, policy and restrictions, including those which may need to be submitted to Shareholders for approval;</w:t>
      </w:r>
    </w:p>
    <w:p w14:paraId="745FD76B" w14:textId="77777777" w:rsidR="003629DC" w:rsidRPr="003629DC" w:rsidRDefault="003629DC" w:rsidP="000009D3">
      <w:pPr>
        <w:pStyle w:val="Bodytext"/>
        <w:numPr>
          <w:ilvl w:val="0"/>
          <w:numId w:val="28"/>
        </w:numPr>
        <w:jc w:val="both"/>
      </w:pPr>
      <w:r w:rsidRPr="003629DC">
        <w:t>reviewing the performance of the Company in light of the Company’s strategy objectives and budgets ensuring that any necessary corrective action is taken;</w:t>
      </w:r>
    </w:p>
    <w:p w14:paraId="1BD81B16" w14:textId="361D908B" w:rsidR="003629DC" w:rsidRPr="003629DC" w:rsidRDefault="003629DC" w:rsidP="000009D3">
      <w:pPr>
        <w:pStyle w:val="Bodytext"/>
        <w:numPr>
          <w:ilvl w:val="0"/>
          <w:numId w:val="28"/>
        </w:numPr>
        <w:jc w:val="both"/>
      </w:pPr>
      <w:r w:rsidRPr="003629DC">
        <w:t>the appointment, overall supervision and removal of key service providers and any material amendments to the agreements or contractual arrangements with any key delegates or service providers;</w:t>
      </w:r>
    </w:p>
    <w:p w14:paraId="5D5923C8" w14:textId="273EEA08" w:rsidR="003629DC" w:rsidRPr="003629DC" w:rsidRDefault="003629DC" w:rsidP="000009D3">
      <w:pPr>
        <w:pStyle w:val="Bodytext"/>
        <w:numPr>
          <w:ilvl w:val="0"/>
          <w:numId w:val="28"/>
        </w:numPr>
        <w:jc w:val="both"/>
      </w:pPr>
      <w:r w:rsidRPr="003629DC">
        <w:t>approving any transactions with ‘‘related parties’’ for the purposes of the Company’s voluntary compliance with the applicable sections of the UK Listing Rules;</w:t>
      </w:r>
    </w:p>
    <w:p w14:paraId="3FBE9988" w14:textId="77777777" w:rsidR="003629DC" w:rsidRPr="003629DC" w:rsidRDefault="003629DC" w:rsidP="000009D3">
      <w:pPr>
        <w:pStyle w:val="Bodytext"/>
        <w:numPr>
          <w:ilvl w:val="0"/>
          <w:numId w:val="28"/>
        </w:numPr>
        <w:jc w:val="both"/>
      </w:pPr>
      <w:r w:rsidRPr="003629DC">
        <w:t>the review of the Company’s valuation policy;</w:t>
      </w:r>
    </w:p>
    <w:p w14:paraId="0E14C323" w14:textId="77777777" w:rsidR="003629DC" w:rsidRPr="003629DC" w:rsidRDefault="003629DC" w:rsidP="000009D3">
      <w:pPr>
        <w:pStyle w:val="Bodytext"/>
        <w:numPr>
          <w:ilvl w:val="0"/>
          <w:numId w:val="28"/>
        </w:numPr>
        <w:jc w:val="both"/>
      </w:pPr>
      <w:r w:rsidRPr="003629DC">
        <w:t>the review of the Company’s corporate governance arrangements; and</w:t>
      </w:r>
    </w:p>
    <w:p w14:paraId="4D8EC931" w14:textId="77777777" w:rsidR="003629DC" w:rsidRPr="003629DC" w:rsidRDefault="003629DC" w:rsidP="000009D3">
      <w:pPr>
        <w:pStyle w:val="Bodytext"/>
        <w:numPr>
          <w:ilvl w:val="0"/>
          <w:numId w:val="28"/>
        </w:numPr>
        <w:jc w:val="both"/>
      </w:pPr>
      <w:r w:rsidRPr="003629DC">
        <w:t>approving any actual or potential conflicts of interest.</w:t>
      </w:r>
    </w:p>
    <w:p w14:paraId="027C2FD7" w14:textId="77777777" w:rsidR="00AD266D" w:rsidRPr="00811BA1" w:rsidRDefault="00AD266D" w:rsidP="000009D3">
      <w:pPr>
        <w:pStyle w:val="Bodytext"/>
        <w:jc w:val="both"/>
      </w:pPr>
    </w:p>
    <w:p w14:paraId="2C7ACDAF" w14:textId="77777777" w:rsidR="007D0674" w:rsidRPr="00811BA1" w:rsidRDefault="007D0674" w:rsidP="000009D3">
      <w:pPr>
        <w:pStyle w:val="Bodytext"/>
        <w:jc w:val="both"/>
      </w:pPr>
      <w:r w:rsidRPr="00811BA1">
        <w:t>The Directors have access to the advice and services of the Administrator, who is responsible to the Board for ensuring that Board procedures are followed and that it complies with Companies Law and applicable rules and regulations of the GFSC and the LSE. Where necessary, in carrying out their duties, the Directors may seek independent professional advice and services at the expense of the Company. The Company maintains directors’ and officers’ liability insurance in respect of legal action against its Directors on an ongoing basis.</w:t>
      </w:r>
    </w:p>
    <w:p w14:paraId="7E31788E" w14:textId="77777777" w:rsidR="00BB14D3" w:rsidRPr="00811BA1" w:rsidRDefault="00BB14D3" w:rsidP="000009D3">
      <w:pPr>
        <w:pStyle w:val="Bodytext"/>
        <w:jc w:val="both"/>
      </w:pPr>
    </w:p>
    <w:p w14:paraId="4AEAD273" w14:textId="409104B5" w:rsidR="007D0674" w:rsidRPr="00811BA1" w:rsidRDefault="007D0674" w:rsidP="000009D3">
      <w:pPr>
        <w:pStyle w:val="Bodytext"/>
        <w:jc w:val="both"/>
      </w:pPr>
      <w:r w:rsidRPr="00811BA1">
        <w:t>The Board’s responsibilities for the Annual Report are set out in the Directors’ Responsibility Statement</w:t>
      </w:r>
      <w:r w:rsidR="000D303A" w:rsidRPr="00811BA1">
        <w:t xml:space="preserve">. </w:t>
      </w:r>
      <w:r w:rsidRPr="00811BA1">
        <w:t xml:space="preserve">The Board is also responsible for issuing appropriate half-yearly financial reports, </w:t>
      </w:r>
      <w:r w:rsidR="00CF588A" w:rsidRPr="00811BA1">
        <w:t>quarterly portfolio valuations</w:t>
      </w:r>
      <w:r w:rsidR="00274F01" w:rsidRPr="00811BA1">
        <w:t xml:space="preserve"> </w:t>
      </w:r>
      <w:r w:rsidRPr="00811BA1">
        <w:t>and other price-sensitive public reports.</w:t>
      </w:r>
    </w:p>
    <w:p w14:paraId="2D987127" w14:textId="77777777" w:rsidR="00BB14D3" w:rsidRPr="00811BA1" w:rsidRDefault="00BB14D3" w:rsidP="000009D3">
      <w:pPr>
        <w:pStyle w:val="Bodytext"/>
        <w:jc w:val="both"/>
      </w:pPr>
    </w:p>
    <w:p w14:paraId="4B4C7559" w14:textId="758902CB" w:rsidR="00D44E66" w:rsidRPr="00811BA1" w:rsidRDefault="00D44E66" w:rsidP="000009D3">
      <w:pPr>
        <w:pStyle w:val="Heading3"/>
        <w:jc w:val="both"/>
      </w:pPr>
      <w:r w:rsidRPr="005A057B">
        <w:lastRenderedPageBreak/>
        <w:t>Directors’ attendance at Board and Committee Meetings:</w:t>
      </w:r>
      <w:r w:rsidRPr="00811BA1">
        <w:t xml:space="preserve"> </w:t>
      </w:r>
    </w:p>
    <w:p w14:paraId="5A4E1058" w14:textId="77777777" w:rsidR="00BB14D3" w:rsidRPr="00811BA1" w:rsidRDefault="00BB14D3" w:rsidP="000009D3">
      <w:pPr>
        <w:pStyle w:val="Bodytext"/>
        <w:jc w:val="both"/>
      </w:pPr>
    </w:p>
    <w:p w14:paraId="2F96C71C" w14:textId="13E79D7A" w:rsidR="00393AAE" w:rsidRDefault="00BA2FCD" w:rsidP="000009D3">
      <w:pPr>
        <w:pStyle w:val="Bodytext"/>
        <w:jc w:val="both"/>
      </w:pPr>
      <w:r w:rsidRPr="00811BA1">
        <w:t xml:space="preserve">One of the key criteria the Company uses when selecting </w:t>
      </w:r>
      <w:r w:rsidR="00906A32">
        <w:t>N</w:t>
      </w:r>
      <w:r w:rsidRPr="00811BA1">
        <w:t>on-executive Dir</w:t>
      </w:r>
      <w:r w:rsidR="005E5D6F" w:rsidRPr="00811BA1">
        <w:t>ectors is their confirmation prior</w:t>
      </w:r>
      <w:r w:rsidRPr="00811BA1">
        <w:t xml:space="preserve"> to their appointment that they will be able to allocate sufficient time to the Company to discharge their </w:t>
      </w:r>
      <w:r w:rsidR="00213846" w:rsidRPr="00811BA1">
        <w:t>responsibilities</w:t>
      </w:r>
      <w:r w:rsidRPr="00811BA1">
        <w:t xml:space="preserve"> in a timely and effective manner. </w:t>
      </w:r>
    </w:p>
    <w:p w14:paraId="2BFA771D" w14:textId="77777777" w:rsidR="003C5483" w:rsidRDefault="003C5483" w:rsidP="000009D3">
      <w:pPr>
        <w:pStyle w:val="Bodytext"/>
        <w:jc w:val="both"/>
      </w:pPr>
    </w:p>
    <w:p w14:paraId="470DAA84" w14:textId="77777777" w:rsidR="0042343A" w:rsidRDefault="0042343A" w:rsidP="0042343A">
      <w:pPr>
        <w:autoSpaceDE w:val="0"/>
        <w:autoSpaceDN w:val="0"/>
        <w:adjustRightInd w:val="0"/>
      </w:pPr>
      <w:r w:rsidRPr="003C5483">
        <w:t>The Board formally met four times during the year</w:t>
      </w:r>
      <w:r>
        <w:t>.</w:t>
      </w:r>
      <w:r w:rsidRPr="003C5483">
        <w:t xml:space="preserve"> </w:t>
      </w:r>
      <w:r>
        <w:t>The Board has held a number of ad hoc meetings, and the sub committees of the Board have met frequently, during the course of 2019</w:t>
      </w:r>
      <w:r w:rsidRPr="003C5483">
        <w:t xml:space="preserve">. The Chairman meets privately with the independent </w:t>
      </w:r>
      <w:r>
        <w:t>N</w:t>
      </w:r>
      <w:r w:rsidRPr="003C5483">
        <w:t xml:space="preserve">on-executive </w:t>
      </w:r>
      <w:r>
        <w:t>D</w:t>
      </w:r>
      <w:r w:rsidRPr="003C5483">
        <w:t xml:space="preserve">irectors before each scheduled Board meeting. </w:t>
      </w:r>
      <w:r>
        <w:t>Directors are encouraged when they are</w:t>
      </w:r>
      <w:r w:rsidRPr="003C5483">
        <w:t xml:space="preserve"> unable to attend a meeting to give the Chairman their views and comments on matters to be discussed, in advance. In addition to their meeting commitments, the</w:t>
      </w:r>
      <w:r>
        <w:t xml:space="preserve"> </w:t>
      </w:r>
      <w:r w:rsidRPr="003C5483">
        <w:t xml:space="preserve">Non-executive Directors also </w:t>
      </w:r>
      <w:r>
        <w:t xml:space="preserve">liaise with </w:t>
      </w:r>
      <w:r w:rsidRPr="00941774">
        <w:t>the</w:t>
      </w:r>
      <w:r>
        <w:t xml:space="preserve"> Investment Manager</w:t>
      </w:r>
      <w:r w:rsidRPr="003C5483">
        <w:t xml:space="preserve"> whenever required and there is regular contact</w:t>
      </w:r>
      <w:r>
        <w:t xml:space="preserve"> </w:t>
      </w:r>
      <w:r w:rsidRPr="003C5483">
        <w:t>outside the Board meeting schedule.</w:t>
      </w:r>
      <w:r w:rsidRPr="00915E95">
        <w:t xml:space="preserve"> </w:t>
      </w:r>
      <w:r>
        <w:t>In addition to the Board members, members of the Investment Manager attend relevant sections of the Board meetings by invitation.</w:t>
      </w:r>
    </w:p>
    <w:p w14:paraId="4BF5D6F5" w14:textId="77777777" w:rsidR="003C5483" w:rsidRDefault="003C5483" w:rsidP="000009D3">
      <w:pPr>
        <w:pStyle w:val="Bodytext"/>
        <w:jc w:val="both"/>
      </w:pPr>
    </w:p>
    <w:p w14:paraId="0DFA3E2E" w14:textId="11F83769" w:rsidR="00BA2FCD" w:rsidRPr="00811BA1" w:rsidRDefault="007C672A" w:rsidP="000009D3">
      <w:pPr>
        <w:pStyle w:val="Bodytext"/>
        <w:jc w:val="both"/>
      </w:pPr>
      <w:r>
        <w:t>A</w:t>
      </w:r>
      <w:r w:rsidR="00BA2FCD" w:rsidRPr="00811BA1">
        <w:t xml:space="preserve">ttendance </w:t>
      </w:r>
      <w:r>
        <w:t xml:space="preserve">is </w:t>
      </w:r>
      <w:r w:rsidR="00BA2FCD" w:rsidRPr="00811BA1">
        <w:t>further set out below:</w:t>
      </w:r>
    </w:p>
    <w:p w14:paraId="7CACD87D" w14:textId="77777777" w:rsidR="00BA2FCD" w:rsidRPr="00811BA1" w:rsidRDefault="00BA2FCD" w:rsidP="00EB7E49">
      <w:pPr>
        <w:pStyle w:val="Bodytext"/>
      </w:pP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227"/>
        <w:gridCol w:w="683"/>
        <w:gridCol w:w="683"/>
        <w:gridCol w:w="683"/>
        <w:gridCol w:w="683"/>
        <w:gridCol w:w="712"/>
        <w:gridCol w:w="714"/>
        <w:gridCol w:w="772"/>
        <w:gridCol w:w="772"/>
        <w:gridCol w:w="1546"/>
      </w:tblGrid>
      <w:tr w:rsidR="0042343A" w:rsidRPr="00811BA1" w14:paraId="19CC444D" w14:textId="12881FE3" w:rsidTr="0042343A">
        <w:trPr>
          <w:trHeight w:val="637"/>
        </w:trPr>
        <w:tc>
          <w:tcPr>
            <w:tcW w:w="2227" w:type="dxa"/>
            <w:vAlign w:val="bottom"/>
          </w:tcPr>
          <w:p w14:paraId="7FD5D921" w14:textId="0978686D" w:rsidR="0042343A" w:rsidRPr="005C633A" w:rsidRDefault="0042343A" w:rsidP="00EB7E49">
            <w:pPr>
              <w:pStyle w:val="Bodytext"/>
              <w:rPr>
                <w:b/>
              </w:rPr>
            </w:pPr>
          </w:p>
        </w:tc>
        <w:tc>
          <w:tcPr>
            <w:tcW w:w="1366" w:type="dxa"/>
            <w:gridSpan w:val="2"/>
            <w:vAlign w:val="bottom"/>
          </w:tcPr>
          <w:p w14:paraId="7D1596BA" w14:textId="77777777" w:rsidR="0042343A" w:rsidRPr="005C633A" w:rsidRDefault="0042343A" w:rsidP="005C633A">
            <w:pPr>
              <w:pStyle w:val="Bodytext"/>
              <w:jc w:val="center"/>
              <w:rPr>
                <w:b/>
              </w:rPr>
            </w:pPr>
            <w:r w:rsidRPr="005C633A">
              <w:rPr>
                <w:b/>
              </w:rPr>
              <w:t>Board</w:t>
            </w:r>
          </w:p>
          <w:p w14:paraId="40444F76" w14:textId="77777777" w:rsidR="0042343A" w:rsidRPr="005C633A" w:rsidRDefault="0042343A" w:rsidP="005C633A">
            <w:pPr>
              <w:pStyle w:val="Bodytext"/>
              <w:jc w:val="center"/>
              <w:rPr>
                <w:b/>
              </w:rPr>
            </w:pPr>
            <w:r w:rsidRPr="005C633A">
              <w:rPr>
                <w:b/>
              </w:rPr>
              <w:t>Meetings</w:t>
            </w:r>
          </w:p>
          <w:p w14:paraId="703FD13D" w14:textId="4BB3AC6D" w:rsidR="0042343A" w:rsidRPr="005C633A" w:rsidRDefault="0042343A" w:rsidP="00690D9C">
            <w:pPr>
              <w:pStyle w:val="Bodytext"/>
              <w:jc w:val="center"/>
              <w:rPr>
                <w:b/>
              </w:rPr>
            </w:pPr>
            <w:r w:rsidRPr="005C633A">
              <w:rPr>
                <w:b/>
              </w:rPr>
              <w:t xml:space="preserve">(max </w:t>
            </w:r>
            <w:r>
              <w:rPr>
                <w:b/>
              </w:rPr>
              <w:t>4</w:t>
            </w:r>
            <w:r w:rsidRPr="005C633A">
              <w:rPr>
                <w:b/>
              </w:rPr>
              <w:t>)</w:t>
            </w:r>
          </w:p>
        </w:tc>
        <w:tc>
          <w:tcPr>
            <w:tcW w:w="1366" w:type="dxa"/>
            <w:gridSpan w:val="2"/>
            <w:vAlign w:val="bottom"/>
          </w:tcPr>
          <w:p w14:paraId="596CFE10" w14:textId="77777777" w:rsidR="0042343A" w:rsidRPr="005C633A" w:rsidRDefault="0042343A" w:rsidP="005C633A">
            <w:pPr>
              <w:pStyle w:val="Bodytext"/>
              <w:jc w:val="center"/>
              <w:rPr>
                <w:b/>
              </w:rPr>
            </w:pPr>
            <w:r w:rsidRPr="005C633A">
              <w:rPr>
                <w:b/>
              </w:rPr>
              <w:t>Audit</w:t>
            </w:r>
          </w:p>
          <w:p w14:paraId="455B8D72" w14:textId="77777777" w:rsidR="0042343A" w:rsidRPr="005C633A" w:rsidRDefault="0042343A" w:rsidP="005C633A">
            <w:pPr>
              <w:pStyle w:val="Bodytext"/>
              <w:jc w:val="center"/>
              <w:rPr>
                <w:b/>
              </w:rPr>
            </w:pPr>
            <w:r w:rsidRPr="005C633A">
              <w:rPr>
                <w:b/>
              </w:rPr>
              <w:t>Committee</w:t>
            </w:r>
          </w:p>
          <w:p w14:paraId="644E1BE3" w14:textId="77777777" w:rsidR="0042343A" w:rsidRPr="005C633A" w:rsidRDefault="0042343A" w:rsidP="005C633A">
            <w:pPr>
              <w:pStyle w:val="Bodytext"/>
              <w:jc w:val="center"/>
              <w:rPr>
                <w:b/>
              </w:rPr>
            </w:pPr>
            <w:r w:rsidRPr="005C633A">
              <w:rPr>
                <w:b/>
              </w:rPr>
              <w:t>Meetings</w:t>
            </w:r>
          </w:p>
          <w:p w14:paraId="50C9F456" w14:textId="46EAC0F1" w:rsidR="0042343A" w:rsidRPr="005C633A" w:rsidRDefault="0042343A" w:rsidP="00690D9C">
            <w:pPr>
              <w:pStyle w:val="Bodytext"/>
              <w:jc w:val="center"/>
              <w:rPr>
                <w:b/>
              </w:rPr>
            </w:pPr>
            <w:r w:rsidRPr="005C633A">
              <w:rPr>
                <w:b/>
              </w:rPr>
              <w:t xml:space="preserve">(max </w:t>
            </w:r>
            <w:r>
              <w:rPr>
                <w:b/>
              </w:rPr>
              <w:t>4</w:t>
            </w:r>
            <w:r w:rsidRPr="005C633A">
              <w:rPr>
                <w:b/>
              </w:rPr>
              <w:t>)</w:t>
            </w:r>
          </w:p>
        </w:tc>
        <w:tc>
          <w:tcPr>
            <w:tcW w:w="1426" w:type="dxa"/>
            <w:gridSpan w:val="2"/>
            <w:vAlign w:val="bottom"/>
          </w:tcPr>
          <w:p w14:paraId="582A13DC" w14:textId="77777777" w:rsidR="0042343A" w:rsidRPr="005C633A" w:rsidRDefault="0042343A" w:rsidP="005C633A">
            <w:pPr>
              <w:pStyle w:val="Bodytext"/>
              <w:jc w:val="center"/>
              <w:rPr>
                <w:b/>
              </w:rPr>
            </w:pPr>
            <w:r w:rsidRPr="005C633A">
              <w:rPr>
                <w:b/>
              </w:rPr>
              <w:t>Nomination</w:t>
            </w:r>
          </w:p>
          <w:p w14:paraId="6148B0E4" w14:textId="77777777" w:rsidR="0042343A" w:rsidRPr="005C633A" w:rsidRDefault="0042343A" w:rsidP="005C633A">
            <w:pPr>
              <w:pStyle w:val="Bodytext"/>
              <w:jc w:val="center"/>
              <w:rPr>
                <w:b/>
              </w:rPr>
            </w:pPr>
            <w:r w:rsidRPr="005C633A">
              <w:rPr>
                <w:b/>
              </w:rPr>
              <w:t>Committee</w:t>
            </w:r>
          </w:p>
          <w:p w14:paraId="3CB71017" w14:textId="77777777" w:rsidR="0042343A" w:rsidRPr="005C633A" w:rsidRDefault="0042343A" w:rsidP="005C633A">
            <w:pPr>
              <w:pStyle w:val="Bodytext"/>
              <w:jc w:val="center"/>
              <w:rPr>
                <w:b/>
              </w:rPr>
            </w:pPr>
            <w:r w:rsidRPr="005C633A">
              <w:rPr>
                <w:b/>
              </w:rPr>
              <w:t>Meetings</w:t>
            </w:r>
          </w:p>
          <w:p w14:paraId="37BAC914" w14:textId="36F8B43E" w:rsidR="0042343A" w:rsidRPr="005C633A" w:rsidRDefault="0042343A" w:rsidP="005C633A">
            <w:pPr>
              <w:pStyle w:val="Bodytext"/>
              <w:jc w:val="center"/>
              <w:rPr>
                <w:b/>
              </w:rPr>
            </w:pPr>
            <w:r w:rsidRPr="005C633A">
              <w:rPr>
                <w:b/>
              </w:rPr>
              <w:t xml:space="preserve">(max </w:t>
            </w:r>
            <w:r>
              <w:rPr>
                <w:b/>
              </w:rPr>
              <w:t>1</w:t>
            </w:r>
            <w:r w:rsidRPr="005C633A">
              <w:rPr>
                <w:b/>
              </w:rPr>
              <w:t>)</w:t>
            </w:r>
          </w:p>
        </w:tc>
        <w:tc>
          <w:tcPr>
            <w:tcW w:w="1544" w:type="dxa"/>
            <w:gridSpan w:val="2"/>
            <w:vAlign w:val="bottom"/>
          </w:tcPr>
          <w:p w14:paraId="35127090" w14:textId="77777777" w:rsidR="0042343A" w:rsidRPr="005C633A" w:rsidRDefault="0042343A" w:rsidP="005C633A">
            <w:pPr>
              <w:pStyle w:val="Bodytext"/>
              <w:jc w:val="center"/>
              <w:rPr>
                <w:b/>
              </w:rPr>
            </w:pPr>
            <w:r w:rsidRPr="005C633A">
              <w:rPr>
                <w:b/>
              </w:rPr>
              <w:t>Management</w:t>
            </w:r>
          </w:p>
          <w:p w14:paraId="1F750906" w14:textId="77777777" w:rsidR="0042343A" w:rsidRPr="005C633A" w:rsidRDefault="0042343A" w:rsidP="005C633A">
            <w:pPr>
              <w:pStyle w:val="Bodytext"/>
              <w:jc w:val="center"/>
              <w:rPr>
                <w:b/>
              </w:rPr>
            </w:pPr>
            <w:r w:rsidRPr="005C633A">
              <w:rPr>
                <w:b/>
              </w:rPr>
              <w:t>Engagement</w:t>
            </w:r>
          </w:p>
          <w:p w14:paraId="67E7F44F" w14:textId="77777777" w:rsidR="0042343A" w:rsidRPr="005C633A" w:rsidRDefault="0042343A" w:rsidP="005C633A">
            <w:pPr>
              <w:pStyle w:val="Bodytext"/>
              <w:jc w:val="center"/>
              <w:rPr>
                <w:b/>
              </w:rPr>
            </w:pPr>
            <w:r w:rsidRPr="005C633A">
              <w:rPr>
                <w:b/>
              </w:rPr>
              <w:t>Committee</w:t>
            </w:r>
          </w:p>
          <w:p w14:paraId="48945F54" w14:textId="77777777" w:rsidR="0042343A" w:rsidRPr="005C633A" w:rsidRDefault="0042343A" w:rsidP="005C633A">
            <w:pPr>
              <w:pStyle w:val="Bodytext"/>
              <w:jc w:val="center"/>
              <w:rPr>
                <w:b/>
              </w:rPr>
            </w:pPr>
            <w:r w:rsidRPr="005C633A">
              <w:rPr>
                <w:b/>
              </w:rPr>
              <w:t>Meetings</w:t>
            </w:r>
          </w:p>
          <w:p w14:paraId="74E29ED7" w14:textId="7E278E6E" w:rsidR="0042343A" w:rsidRPr="005C633A" w:rsidRDefault="0042343A" w:rsidP="005C633A">
            <w:pPr>
              <w:pStyle w:val="Bodytext"/>
              <w:jc w:val="center"/>
              <w:rPr>
                <w:b/>
              </w:rPr>
            </w:pPr>
            <w:r w:rsidRPr="005C633A">
              <w:rPr>
                <w:b/>
              </w:rPr>
              <w:t xml:space="preserve">(max </w:t>
            </w:r>
            <w:r>
              <w:rPr>
                <w:b/>
              </w:rPr>
              <w:t>1</w:t>
            </w:r>
            <w:r w:rsidRPr="005C633A">
              <w:rPr>
                <w:b/>
              </w:rPr>
              <w:t>)</w:t>
            </w:r>
          </w:p>
        </w:tc>
        <w:tc>
          <w:tcPr>
            <w:tcW w:w="1546" w:type="dxa"/>
          </w:tcPr>
          <w:p w14:paraId="3C8FD81D" w14:textId="77777777" w:rsidR="0042343A" w:rsidRDefault="0042343A" w:rsidP="005C633A">
            <w:pPr>
              <w:pStyle w:val="Bodytext"/>
              <w:jc w:val="center"/>
              <w:rPr>
                <w:b/>
              </w:rPr>
            </w:pPr>
          </w:p>
          <w:p w14:paraId="65FDED3C" w14:textId="77777777" w:rsidR="0042343A" w:rsidRDefault="0042343A" w:rsidP="005C633A">
            <w:pPr>
              <w:pStyle w:val="Bodytext"/>
              <w:jc w:val="center"/>
              <w:rPr>
                <w:b/>
              </w:rPr>
            </w:pPr>
          </w:p>
          <w:p w14:paraId="0B3C0150" w14:textId="2AFCE983" w:rsidR="0042343A" w:rsidRPr="005C633A" w:rsidRDefault="0042343A" w:rsidP="005C633A">
            <w:pPr>
              <w:pStyle w:val="Bodytext"/>
              <w:jc w:val="center"/>
              <w:rPr>
                <w:b/>
              </w:rPr>
            </w:pPr>
            <w:r>
              <w:rPr>
                <w:b/>
              </w:rPr>
              <w:t>Tenure as at 31 December 2019</w:t>
            </w:r>
          </w:p>
        </w:tc>
      </w:tr>
      <w:tr w:rsidR="0042343A" w:rsidRPr="00811BA1" w14:paraId="4B3A71CA" w14:textId="180B163C" w:rsidTr="0042343A">
        <w:trPr>
          <w:trHeight w:val="184"/>
        </w:trPr>
        <w:tc>
          <w:tcPr>
            <w:tcW w:w="2227" w:type="dxa"/>
            <w:tcBorders>
              <w:bottom w:val="single" w:sz="4" w:space="0" w:color="auto"/>
            </w:tcBorders>
            <w:vAlign w:val="bottom"/>
          </w:tcPr>
          <w:p w14:paraId="4124C274" w14:textId="6B4AD438" w:rsidR="0042343A" w:rsidRPr="005C633A" w:rsidRDefault="0042343A" w:rsidP="005C633A">
            <w:pPr>
              <w:pStyle w:val="Bodytext"/>
              <w:rPr>
                <w:b/>
              </w:rPr>
            </w:pPr>
            <w:r w:rsidRPr="005C633A">
              <w:rPr>
                <w:b/>
              </w:rPr>
              <w:t>Director</w:t>
            </w:r>
          </w:p>
        </w:tc>
        <w:tc>
          <w:tcPr>
            <w:tcW w:w="683" w:type="dxa"/>
            <w:tcBorders>
              <w:bottom w:val="single" w:sz="4" w:space="0" w:color="auto"/>
            </w:tcBorders>
            <w:vAlign w:val="bottom"/>
          </w:tcPr>
          <w:p w14:paraId="3A44BE5F" w14:textId="64C3C466" w:rsidR="0042343A" w:rsidRPr="005C633A" w:rsidRDefault="0042343A" w:rsidP="005C633A">
            <w:pPr>
              <w:pStyle w:val="Bodytext"/>
              <w:jc w:val="center"/>
              <w:rPr>
                <w:b/>
              </w:rPr>
            </w:pPr>
          </w:p>
        </w:tc>
        <w:tc>
          <w:tcPr>
            <w:tcW w:w="683" w:type="dxa"/>
            <w:tcBorders>
              <w:bottom w:val="single" w:sz="4" w:space="0" w:color="auto"/>
            </w:tcBorders>
          </w:tcPr>
          <w:p w14:paraId="68FFF8E0" w14:textId="45526368" w:rsidR="0042343A" w:rsidRPr="005C633A" w:rsidRDefault="0042343A" w:rsidP="005C633A">
            <w:pPr>
              <w:pStyle w:val="Bodytext"/>
              <w:jc w:val="center"/>
              <w:rPr>
                <w:b/>
              </w:rPr>
            </w:pPr>
          </w:p>
        </w:tc>
        <w:tc>
          <w:tcPr>
            <w:tcW w:w="683" w:type="dxa"/>
            <w:tcBorders>
              <w:bottom w:val="single" w:sz="4" w:space="0" w:color="auto"/>
            </w:tcBorders>
            <w:vAlign w:val="bottom"/>
          </w:tcPr>
          <w:p w14:paraId="7A48215E" w14:textId="04BC6B45" w:rsidR="0042343A" w:rsidRPr="005C633A" w:rsidRDefault="0042343A" w:rsidP="005C633A">
            <w:pPr>
              <w:pStyle w:val="Bodytext"/>
              <w:jc w:val="center"/>
              <w:rPr>
                <w:b/>
              </w:rPr>
            </w:pPr>
          </w:p>
        </w:tc>
        <w:tc>
          <w:tcPr>
            <w:tcW w:w="683" w:type="dxa"/>
            <w:tcBorders>
              <w:bottom w:val="single" w:sz="4" w:space="0" w:color="auto"/>
            </w:tcBorders>
          </w:tcPr>
          <w:p w14:paraId="58321F8D" w14:textId="4B6BEB6A" w:rsidR="0042343A" w:rsidRPr="005C633A" w:rsidRDefault="0042343A" w:rsidP="005C633A">
            <w:pPr>
              <w:pStyle w:val="Bodytext"/>
              <w:jc w:val="center"/>
              <w:rPr>
                <w:b/>
              </w:rPr>
            </w:pPr>
          </w:p>
        </w:tc>
        <w:tc>
          <w:tcPr>
            <w:tcW w:w="712" w:type="dxa"/>
            <w:tcBorders>
              <w:bottom w:val="single" w:sz="4" w:space="0" w:color="auto"/>
            </w:tcBorders>
            <w:vAlign w:val="bottom"/>
          </w:tcPr>
          <w:p w14:paraId="3C3511B4" w14:textId="063327F0" w:rsidR="0042343A" w:rsidRPr="005C633A" w:rsidRDefault="0042343A" w:rsidP="005C633A">
            <w:pPr>
              <w:pStyle w:val="Bodytext"/>
              <w:jc w:val="center"/>
              <w:rPr>
                <w:b/>
              </w:rPr>
            </w:pPr>
          </w:p>
        </w:tc>
        <w:tc>
          <w:tcPr>
            <w:tcW w:w="713" w:type="dxa"/>
            <w:tcBorders>
              <w:bottom w:val="single" w:sz="4" w:space="0" w:color="auto"/>
            </w:tcBorders>
          </w:tcPr>
          <w:p w14:paraId="689CC8E9" w14:textId="738FE146" w:rsidR="0042343A" w:rsidRPr="005C633A" w:rsidRDefault="0042343A" w:rsidP="005C633A">
            <w:pPr>
              <w:pStyle w:val="Bodytext"/>
              <w:jc w:val="center"/>
              <w:rPr>
                <w:b/>
              </w:rPr>
            </w:pPr>
          </w:p>
        </w:tc>
        <w:tc>
          <w:tcPr>
            <w:tcW w:w="772" w:type="dxa"/>
            <w:tcBorders>
              <w:bottom w:val="single" w:sz="4" w:space="0" w:color="auto"/>
            </w:tcBorders>
            <w:vAlign w:val="bottom"/>
          </w:tcPr>
          <w:p w14:paraId="5AF4F849" w14:textId="71C23862" w:rsidR="0042343A" w:rsidRPr="005C633A" w:rsidRDefault="0042343A" w:rsidP="005C633A">
            <w:pPr>
              <w:pStyle w:val="Bodytext"/>
              <w:jc w:val="center"/>
              <w:rPr>
                <w:b/>
              </w:rPr>
            </w:pPr>
          </w:p>
        </w:tc>
        <w:tc>
          <w:tcPr>
            <w:tcW w:w="772" w:type="dxa"/>
            <w:tcBorders>
              <w:bottom w:val="single" w:sz="4" w:space="0" w:color="auto"/>
            </w:tcBorders>
          </w:tcPr>
          <w:p w14:paraId="277B4DAC" w14:textId="42F9EE7A" w:rsidR="0042343A" w:rsidRPr="005C633A" w:rsidRDefault="0042343A" w:rsidP="005C633A">
            <w:pPr>
              <w:pStyle w:val="Bodytext"/>
              <w:jc w:val="center"/>
              <w:rPr>
                <w:b/>
              </w:rPr>
            </w:pPr>
          </w:p>
        </w:tc>
        <w:tc>
          <w:tcPr>
            <w:tcW w:w="1546" w:type="dxa"/>
            <w:tcBorders>
              <w:bottom w:val="single" w:sz="4" w:space="0" w:color="auto"/>
            </w:tcBorders>
          </w:tcPr>
          <w:p w14:paraId="7C60A9CD" w14:textId="77777777" w:rsidR="0042343A" w:rsidRPr="005C633A" w:rsidRDefault="0042343A" w:rsidP="005C633A">
            <w:pPr>
              <w:pStyle w:val="Bodytext"/>
              <w:jc w:val="center"/>
              <w:rPr>
                <w:b/>
              </w:rPr>
            </w:pPr>
          </w:p>
        </w:tc>
      </w:tr>
      <w:tr w:rsidR="0042343A" w:rsidRPr="00811BA1" w14:paraId="6B4219BA" w14:textId="235F0B8B" w:rsidTr="0042343A">
        <w:trPr>
          <w:trHeight w:val="229"/>
        </w:trPr>
        <w:tc>
          <w:tcPr>
            <w:tcW w:w="2227" w:type="dxa"/>
            <w:tcBorders>
              <w:top w:val="single" w:sz="4" w:space="0" w:color="auto"/>
            </w:tcBorders>
            <w:vAlign w:val="center"/>
          </w:tcPr>
          <w:p w14:paraId="5C6A303B" w14:textId="77777777" w:rsidR="0042343A" w:rsidRPr="00811BA1" w:rsidRDefault="0042343A" w:rsidP="00D0221A">
            <w:pPr>
              <w:pStyle w:val="Bodytext"/>
            </w:pPr>
            <w:r w:rsidRPr="00811BA1">
              <w:t xml:space="preserve">Peter Barker </w:t>
            </w:r>
            <w:r w:rsidRPr="00811BA1">
              <w:rPr>
                <w:vertAlign w:val="superscript"/>
              </w:rPr>
              <w:t>(1)</w:t>
            </w:r>
          </w:p>
        </w:tc>
        <w:tc>
          <w:tcPr>
            <w:tcW w:w="683" w:type="dxa"/>
            <w:tcBorders>
              <w:top w:val="single" w:sz="4" w:space="0" w:color="auto"/>
            </w:tcBorders>
            <w:vAlign w:val="center"/>
          </w:tcPr>
          <w:p w14:paraId="70C93BCB" w14:textId="43971843" w:rsidR="0042343A" w:rsidRPr="00811BA1" w:rsidRDefault="0042343A" w:rsidP="00D0221A">
            <w:pPr>
              <w:pStyle w:val="Bodytext"/>
              <w:jc w:val="center"/>
            </w:pPr>
          </w:p>
        </w:tc>
        <w:tc>
          <w:tcPr>
            <w:tcW w:w="683" w:type="dxa"/>
            <w:tcBorders>
              <w:top w:val="single" w:sz="4" w:space="0" w:color="auto"/>
            </w:tcBorders>
            <w:vAlign w:val="center"/>
          </w:tcPr>
          <w:p w14:paraId="56499416" w14:textId="75DBC65C" w:rsidR="0042343A" w:rsidRPr="00811BA1" w:rsidRDefault="0042343A" w:rsidP="00D0221A">
            <w:pPr>
              <w:pStyle w:val="Bodytext"/>
            </w:pPr>
            <w:r>
              <w:t>4</w:t>
            </w:r>
          </w:p>
        </w:tc>
        <w:tc>
          <w:tcPr>
            <w:tcW w:w="683" w:type="dxa"/>
            <w:tcBorders>
              <w:top w:val="single" w:sz="4" w:space="0" w:color="auto"/>
            </w:tcBorders>
            <w:vAlign w:val="center"/>
          </w:tcPr>
          <w:p w14:paraId="0FE8C822" w14:textId="0689E434" w:rsidR="0042343A" w:rsidRPr="00811BA1" w:rsidRDefault="0042343A" w:rsidP="00D0221A">
            <w:pPr>
              <w:pStyle w:val="Bodytext"/>
            </w:pPr>
          </w:p>
        </w:tc>
        <w:tc>
          <w:tcPr>
            <w:tcW w:w="683" w:type="dxa"/>
            <w:tcBorders>
              <w:top w:val="single" w:sz="4" w:space="0" w:color="auto"/>
            </w:tcBorders>
            <w:vAlign w:val="center"/>
          </w:tcPr>
          <w:p w14:paraId="64D5273D" w14:textId="749AF1B7" w:rsidR="0042343A" w:rsidRPr="00811BA1" w:rsidRDefault="0042343A" w:rsidP="00D0221A">
            <w:pPr>
              <w:pStyle w:val="Bodytext"/>
            </w:pPr>
            <w:r>
              <w:t>4</w:t>
            </w:r>
          </w:p>
        </w:tc>
        <w:tc>
          <w:tcPr>
            <w:tcW w:w="712" w:type="dxa"/>
            <w:tcBorders>
              <w:top w:val="single" w:sz="4" w:space="0" w:color="auto"/>
            </w:tcBorders>
            <w:vAlign w:val="center"/>
          </w:tcPr>
          <w:p w14:paraId="705279D2" w14:textId="19CCA744" w:rsidR="0042343A" w:rsidRPr="00811BA1" w:rsidRDefault="0042343A" w:rsidP="00D0221A">
            <w:pPr>
              <w:pStyle w:val="Bodytext"/>
            </w:pPr>
          </w:p>
        </w:tc>
        <w:tc>
          <w:tcPr>
            <w:tcW w:w="713" w:type="dxa"/>
            <w:tcBorders>
              <w:top w:val="single" w:sz="4" w:space="0" w:color="auto"/>
            </w:tcBorders>
            <w:vAlign w:val="center"/>
          </w:tcPr>
          <w:p w14:paraId="3032819D" w14:textId="498C698E" w:rsidR="0042343A" w:rsidRPr="00811BA1" w:rsidRDefault="0042343A" w:rsidP="00D0221A">
            <w:pPr>
              <w:pStyle w:val="Bodytext"/>
            </w:pPr>
            <w:r>
              <w:t>1</w:t>
            </w:r>
          </w:p>
        </w:tc>
        <w:tc>
          <w:tcPr>
            <w:tcW w:w="772" w:type="dxa"/>
            <w:tcBorders>
              <w:top w:val="single" w:sz="4" w:space="0" w:color="auto"/>
            </w:tcBorders>
            <w:vAlign w:val="center"/>
          </w:tcPr>
          <w:p w14:paraId="27185358" w14:textId="3FE39EF6" w:rsidR="0042343A" w:rsidRPr="00811BA1" w:rsidRDefault="0042343A" w:rsidP="00D0221A">
            <w:pPr>
              <w:pStyle w:val="Bodytext"/>
            </w:pPr>
          </w:p>
        </w:tc>
        <w:tc>
          <w:tcPr>
            <w:tcW w:w="772" w:type="dxa"/>
            <w:tcBorders>
              <w:top w:val="single" w:sz="4" w:space="0" w:color="auto"/>
            </w:tcBorders>
            <w:vAlign w:val="center"/>
          </w:tcPr>
          <w:p w14:paraId="2BCF5640" w14:textId="0A1F950D" w:rsidR="0042343A" w:rsidRPr="00811BA1" w:rsidRDefault="0042343A" w:rsidP="00D0221A">
            <w:pPr>
              <w:pStyle w:val="Bodytext"/>
            </w:pPr>
            <w:r>
              <w:t>1</w:t>
            </w:r>
          </w:p>
        </w:tc>
        <w:tc>
          <w:tcPr>
            <w:tcW w:w="1546" w:type="dxa"/>
            <w:tcBorders>
              <w:top w:val="single" w:sz="4" w:space="0" w:color="auto"/>
            </w:tcBorders>
          </w:tcPr>
          <w:p w14:paraId="104AA6E5" w14:textId="3BDB1C49" w:rsidR="0042343A" w:rsidRPr="00811BA1" w:rsidRDefault="0042343A" w:rsidP="00D0221A">
            <w:pPr>
              <w:pStyle w:val="Bodytext"/>
            </w:pPr>
            <w:r>
              <w:t xml:space="preserve">6 years, </w:t>
            </w:r>
            <w:r>
              <w:br/>
              <w:t>4 months</w:t>
            </w:r>
          </w:p>
        </w:tc>
      </w:tr>
      <w:tr w:rsidR="0042343A" w:rsidRPr="00081323" w14:paraId="3BA205E3" w14:textId="1AF1590A" w:rsidTr="0042343A">
        <w:trPr>
          <w:trHeight w:val="229"/>
        </w:trPr>
        <w:tc>
          <w:tcPr>
            <w:tcW w:w="2227" w:type="dxa"/>
            <w:vAlign w:val="center"/>
          </w:tcPr>
          <w:p w14:paraId="6B39050E" w14:textId="186B57E2" w:rsidR="0042343A" w:rsidRPr="00081323" w:rsidRDefault="0042343A" w:rsidP="00D0221A">
            <w:pPr>
              <w:pStyle w:val="Bodytext"/>
            </w:pPr>
            <w:r w:rsidRPr="00081323">
              <w:t xml:space="preserve">Patrick Firth </w:t>
            </w:r>
            <w:r w:rsidRPr="00081323">
              <w:rPr>
                <w:vertAlign w:val="superscript"/>
              </w:rPr>
              <w:t>(1)(2)</w:t>
            </w:r>
          </w:p>
        </w:tc>
        <w:tc>
          <w:tcPr>
            <w:tcW w:w="683" w:type="dxa"/>
            <w:vAlign w:val="center"/>
          </w:tcPr>
          <w:p w14:paraId="0583D310" w14:textId="5FD8EDAA" w:rsidR="0042343A" w:rsidRPr="00081323" w:rsidRDefault="0042343A" w:rsidP="00D0221A">
            <w:pPr>
              <w:pStyle w:val="Bodytext"/>
              <w:jc w:val="center"/>
            </w:pPr>
          </w:p>
        </w:tc>
        <w:tc>
          <w:tcPr>
            <w:tcW w:w="683" w:type="dxa"/>
            <w:vAlign w:val="center"/>
          </w:tcPr>
          <w:p w14:paraId="537D42F5" w14:textId="0B55ABF0" w:rsidR="0042343A" w:rsidRPr="00081323" w:rsidRDefault="0042343A" w:rsidP="00D0221A">
            <w:pPr>
              <w:pStyle w:val="Bodytext"/>
            </w:pPr>
            <w:r>
              <w:t>4</w:t>
            </w:r>
          </w:p>
        </w:tc>
        <w:tc>
          <w:tcPr>
            <w:tcW w:w="683" w:type="dxa"/>
            <w:vAlign w:val="center"/>
          </w:tcPr>
          <w:p w14:paraId="4454C8BE" w14:textId="730454C3" w:rsidR="0042343A" w:rsidRPr="00081323" w:rsidRDefault="0042343A" w:rsidP="00D0221A">
            <w:pPr>
              <w:pStyle w:val="Bodytext"/>
            </w:pPr>
          </w:p>
        </w:tc>
        <w:tc>
          <w:tcPr>
            <w:tcW w:w="683" w:type="dxa"/>
            <w:vAlign w:val="center"/>
          </w:tcPr>
          <w:p w14:paraId="5AD5D4CA" w14:textId="7737E4DA" w:rsidR="0042343A" w:rsidRPr="00081323" w:rsidRDefault="0042343A" w:rsidP="00D0221A">
            <w:pPr>
              <w:pStyle w:val="Bodytext"/>
            </w:pPr>
            <w:r>
              <w:t>4</w:t>
            </w:r>
          </w:p>
        </w:tc>
        <w:tc>
          <w:tcPr>
            <w:tcW w:w="712" w:type="dxa"/>
            <w:vAlign w:val="center"/>
          </w:tcPr>
          <w:p w14:paraId="03A5EA15" w14:textId="5B39A2F5" w:rsidR="0042343A" w:rsidRPr="00081323" w:rsidRDefault="0042343A" w:rsidP="00D0221A">
            <w:pPr>
              <w:pStyle w:val="Bodytext"/>
            </w:pPr>
          </w:p>
        </w:tc>
        <w:tc>
          <w:tcPr>
            <w:tcW w:w="713" w:type="dxa"/>
            <w:vAlign w:val="center"/>
          </w:tcPr>
          <w:p w14:paraId="3A986DEE" w14:textId="2ABA4A2C" w:rsidR="0042343A" w:rsidRPr="00081323" w:rsidRDefault="0042343A" w:rsidP="00D0221A">
            <w:pPr>
              <w:pStyle w:val="Bodytext"/>
            </w:pPr>
            <w:r>
              <w:t>1</w:t>
            </w:r>
          </w:p>
        </w:tc>
        <w:tc>
          <w:tcPr>
            <w:tcW w:w="772" w:type="dxa"/>
            <w:vAlign w:val="center"/>
          </w:tcPr>
          <w:p w14:paraId="0F11DEEE" w14:textId="1A5624B4" w:rsidR="0042343A" w:rsidRPr="00081323" w:rsidRDefault="0042343A" w:rsidP="00D0221A">
            <w:pPr>
              <w:pStyle w:val="Bodytext"/>
            </w:pPr>
          </w:p>
        </w:tc>
        <w:tc>
          <w:tcPr>
            <w:tcW w:w="772" w:type="dxa"/>
            <w:vAlign w:val="center"/>
          </w:tcPr>
          <w:p w14:paraId="69CCF0F2" w14:textId="78A5D369" w:rsidR="0042343A" w:rsidRPr="00081323" w:rsidRDefault="0042343A" w:rsidP="00D0221A">
            <w:pPr>
              <w:pStyle w:val="Bodytext"/>
            </w:pPr>
            <w:r>
              <w:t>1</w:t>
            </w:r>
          </w:p>
        </w:tc>
        <w:tc>
          <w:tcPr>
            <w:tcW w:w="1546" w:type="dxa"/>
          </w:tcPr>
          <w:p w14:paraId="37F190CD" w14:textId="4AEC8137" w:rsidR="0042343A" w:rsidRPr="00081323" w:rsidRDefault="0042343A" w:rsidP="00D0221A">
            <w:pPr>
              <w:pStyle w:val="Bodytext"/>
            </w:pPr>
            <w:r>
              <w:t xml:space="preserve">6 years, </w:t>
            </w:r>
            <w:r>
              <w:br/>
              <w:t>8 months</w:t>
            </w:r>
          </w:p>
        </w:tc>
      </w:tr>
      <w:tr w:rsidR="0042343A" w:rsidRPr="00081323" w14:paraId="6F580DC5" w14:textId="494CDCD7" w:rsidTr="0042343A">
        <w:trPr>
          <w:trHeight w:val="229"/>
        </w:trPr>
        <w:tc>
          <w:tcPr>
            <w:tcW w:w="2227" w:type="dxa"/>
            <w:vAlign w:val="center"/>
          </w:tcPr>
          <w:p w14:paraId="0A211542" w14:textId="2FA4D4BD" w:rsidR="0042343A" w:rsidRPr="00081323" w:rsidRDefault="0042343A" w:rsidP="00D0221A">
            <w:pPr>
              <w:pStyle w:val="Bodytext"/>
            </w:pPr>
            <w:r w:rsidRPr="00081323">
              <w:t>Richard Hayden</w:t>
            </w:r>
            <w:r w:rsidRPr="00081323">
              <w:rPr>
                <w:vertAlign w:val="superscript"/>
              </w:rPr>
              <w:t>(1)</w:t>
            </w:r>
          </w:p>
        </w:tc>
        <w:tc>
          <w:tcPr>
            <w:tcW w:w="683" w:type="dxa"/>
            <w:vAlign w:val="center"/>
          </w:tcPr>
          <w:p w14:paraId="323944F7" w14:textId="6E25E6CE" w:rsidR="0042343A" w:rsidRPr="00081323" w:rsidRDefault="0042343A" w:rsidP="00D0221A">
            <w:pPr>
              <w:pStyle w:val="Bodytext"/>
              <w:jc w:val="center"/>
            </w:pPr>
          </w:p>
        </w:tc>
        <w:tc>
          <w:tcPr>
            <w:tcW w:w="683" w:type="dxa"/>
            <w:vAlign w:val="center"/>
          </w:tcPr>
          <w:p w14:paraId="1B230358" w14:textId="70B1DB0B" w:rsidR="0042343A" w:rsidRPr="00081323" w:rsidRDefault="0042343A" w:rsidP="00D0221A">
            <w:pPr>
              <w:pStyle w:val="Bodytext"/>
            </w:pPr>
            <w:r>
              <w:t>4</w:t>
            </w:r>
          </w:p>
        </w:tc>
        <w:tc>
          <w:tcPr>
            <w:tcW w:w="683" w:type="dxa"/>
            <w:vAlign w:val="center"/>
          </w:tcPr>
          <w:p w14:paraId="55EA97B1" w14:textId="0834ADB0" w:rsidR="0042343A" w:rsidRPr="00081323" w:rsidRDefault="0042343A" w:rsidP="00D0221A">
            <w:pPr>
              <w:pStyle w:val="Bodytext"/>
            </w:pPr>
          </w:p>
        </w:tc>
        <w:tc>
          <w:tcPr>
            <w:tcW w:w="683" w:type="dxa"/>
            <w:vAlign w:val="center"/>
          </w:tcPr>
          <w:p w14:paraId="3ADB1DBA" w14:textId="36536446" w:rsidR="0042343A" w:rsidRPr="00081323" w:rsidRDefault="0042343A" w:rsidP="00D0221A">
            <w:pPr>
              <w:pStyle w:val="Bodytext"/>
            </w:pPr>
            <w:r>
              <w:t>4</w:t>
            </w:r>
          </w:p>
        </w:tc>
        <w:tc>
          <w:tcPr>
            <w:tcW w:w="712" w:type="dxa"/>
            <w:vAlign w:val="center"/>
          </w:tcPr>
          <w:p w14:paraId="23CA47BB" w14:textId="4D2D873E" w:rsidR="0042343A" w:rsidRPr="00081323" w:rsidRDefault="0042343A" w:rsidP="00D0221A">
            <w:pPr>
              <w:pStyle w:val="Bodytext"/>
            </w:pPr>
          </w:p>
        </w:tc>
        <w:tc>
          <w:tcPr>
            <w:tcW w:w="713" w:type="dxa"/>
            <w:vAlign w:val="center"/>
          </w:tcPr>
          <w:p w14:paraId="0D3A5BDB" w14:textId="47BC4ECE" w:rsidR="0042343A" w:rsidRPr="00081323" w:rsidRDefault="0042343A" w:rsidP="00D0221A">
            <w:pPr>
              <w:pStyle w:val="Bodytext"/>
            </w:pPr>
            <w:r>
              <w:t>1</w:t>
            </w:r>
          </w:p>
        </w:tc>
        <w:tc>
          <w:tcPr>
            <w:tcW w:w="772" w:type="dxa"/>
            <w:vAlign w:val="center"/>
          </w:tcPr>
          <w:p w14:paraId="222E9006" w14:textId="75CABEFD" w:rsidR="0042343A" w:rsidRPr="00081323" w:rsidRDefault="0042343A" w:rsidP="00D0221A">
            <w:pPr>
              <w:pStyle w:val="Bodytext"/>
            </w:pPr>
          </w:p>
        </w:tc>
        <w:tc>
          <w:tcPr>
            <w:tcW w:w="772" w:type="dxa"/>
            <w:vAlign w:val="center"/>
          </w:tcPr>
          <w:p w14:paraId="3ACE5894" w14:textId="0CAC4C1F" w:rsidR="0042343A" w:rsidRPr="00081323" w:rsidRDefault="0042343A" w:rsidP="00D0221A">
            <w:pPr>
              <w:pStyle w:val="Bodytext"/>
            </w:pPr>
            <w:r>
              <w:t>1</w:t>
            </w:r>
          </w:p>
        </w:tc>
        <w:tc>
          <w:tcPr>
            <w:tcW w:w="1546" w:type="dxa"/>
          </w:tcPr>
          <w:p w14:paraId="24C1122D" w14:textId="5EAFC08C" w:rsidR="0042343A" w:rsidRPr="00081323" w:rsidRDefault="0042343A" w:rsidP="00D0221A">
            <w:pPr>
              <w:pStyle w:val="Bodytext"/>
            </w:pPr>
            <w:r>
              <w:t xml:space="preserve">6 years, </w:t>
            </w:r>
            <w:r>
              <w:br/>
              <w:t>8 months</w:t>
            </w:r>
          </w:p>
        </w:tc>
      </w:tr>
      <w:tr w:rsidR="0042343A" w:rsidRPr="00081323" w14:paraId="2CC4C520" w14:textId="1DE31BAC" w:rsidTr="0042343A">
        <w:trPr>
          <w:trHeight w:val="229"/>
        </w:trPr>
        <w:tc>
          <w:tcPr>
            <w:tcW w:w="2227" w:type="dxa"/>
            <w:vAlign w:val="center"/>
          </w:tcPr>
          <w:p w14:paraId="2015255F" w14:textId="77777777" w:rsidR="0042343A" w:rsidRPr="00081323" w:rsidRDefault="0042343A" w:rsidP="00D0221A">
            <w:pPr>
              <w:pStyle w:val="Bodytext"/>
            </w:pPr>
            <w:r w:rsidRPr="00081323">
              <w:t>Pierre Lapeyre</w:t>
            </w:r>
          </w:p>
        </w:tc>
        <w:tc>
          <w:tcPr>
            <w:tcW w:w="683" w:type="dxa"/>
            <w:vAlign w:val="center"/>
          </w:tcPr>
          <w:p w14:paraId="66476914" w14:textId="177AB213" w:rsidR="0042343A" w:rsidRPr="00081323" w:rsidRDefault="0042343A" w:rsidP="00D0221A">
            <w:pPr>
              <w:pStyle w:val="Bodytext"/>
              <w:jc w:val="center"/>
            </w:pPr>
          </w:p>
        </w:tc>
        <w:tc>
          <w:tcPr>
            <w:tcW w:w="683" w:type="dxa"/>
            <w:vAlign w:val="center"/>
          </w:tcPr>
          <w:p w14:paraId="318106DA" w14:textId="722D326C" w:rsidR="0042343A" w:rsidRPr="00081323" w:rsidRDefault="0042343A" w:rsidP="00D0221A">
            <w:pPr>
              <w:pStyle w:val="Bodytext"/>
            </w:pPr>
            <w:r>
              <w:t>3</w:t>
            </w:r>
          </w:p>
        </w:tc>
        <w:tc>
          <w:tcPr>
            <w:tcW w:w="683" w:type="dxa"/>
            <w:vAlign w:val="center"/>
          </w:tcPr>
          <w:p w14:paraId="29F228B6" w14:textId="67F7DB54" w:rsidR="0042343A" w:rsidRPr="00081323" w:rsidRDefault="0042343A" w:rsidP="00D0221A">
            <w:pPr>
              <w:pStyle w:val="Bodytext"/>
            </w:pPr>
          </w:p>
        </w:tc>
        <w:tc>
          <w:tcPr>
            <w:tcW w:w="683" w:type="dxa"/>
            <w:vAlign w:val="center"/>
          </w:tcPr>
          <w:p w14:paraId="1F69637F" w14:textId="383AAC9E" w:rsidR="0042343A" w:rsidRPr="00081323" w:rsidRDefault="0042343A" w:rsidP="00D0221A">
            <w:pPr>
              <w:pStyle w:val="Bodytext"/>
            </w:pPr>
            <w:r>
              <w:t>N/A</w:t>
            </w:r>
          </w:p>
        </w:tc>
        <w:tc>
          <w:tcPr>
            <w:tcW w:w="712" w:type="dxa"/>
            <w:vAlign w:val="center"/>
          </w:tcPr>
          <w:p w14:paraId="4A109E71" w14:textId="66AA2120" w:rsidR="0042343A" w:rsidRPr="00081323" w:rsidRDefault="0042343A" w:rsidP="00D0221A">
            <w:pPr>
              <w:pStyle w:val="Bodytext"/>
            </w:pPr>
          </w:p>
        </w:tc>
        <w:tc>
          <w:tcPr>
            <w:tcW w:w="713" w:type="dxa"/>
            <w:vAlign w:val="center"/>
          </w:tcPr>
          <w:p w14:paraId="178443E5" w14:textId="1E27FFFE" w:rsidR="0042343A" w:rsidRPr="00081323" w:rsidRDefault="0042343A" w:rsidP="00D0221A">
            <w:pPr>
              <w:pStyle w:val="Bodytext"/>
            </w:pPr>
            <w:r>
              <w:t>N/A</w:t>
            </w:r>
          </w:p>
        </w:tc>
        <w:tc>
          <w:tcPr>
            <w:tcW w:w="772" w:type="dxa"/>
            <w:vAlign w:val="center"/>
          </w:tcPr>
          <w:p w14:paraId="7A9B2419" w14:textId="7E0DF98D" w:rsidR="0042343A" w:rsidRPr="00081323" w:rsidRDefault="0042343A" w:rsidP="00D0221A">
            <w:pPr>
              <w:pStyle w:val="Bodytext"/>
            </w:pPr>
          </w:p>
        </w:tc>
        <w:tc>
          <w:tcPr>
            <w:tcW w:w="772" w:type="dxa"/>
            <w:vAlign w:val="center"/>
          </w:tcPr>
          <w:p w14:paraId="56BA19C5" w14:textId="48F1072B" w:rsidR="0042343A" w:rsidRPr="00081323" w:rsidRDefault="0042343A" w:rsidP="00D0221A">
            <w:pPr>
              <w:pStyle w:val="Bodytext"/>
            </w:pPr>
            <w:r>
              <w:t>N/A</w:t>
            </w:r>
          </w:p>
        </w:tc>
        <w:tc>
          <w:tcPr>
            <w:tcW w:w="1546" w:type="dxa"/>
          </w:tcPr>
          <w:p w14:paraId="2CA9485D" w14:textId="61099568" w:rsidR="0042343A" w:rsidRPr="00081323" w:rsidRDefault="0042343A" w:rsidP="00D0221A">
            <w:pPr>
              <w:pStyle w:val="Bodytext"/>
            </w:pPr>
            <w:r>
              <w:t>6</w:t>
            </w:r>
            <w:r w:rsidRPr="000634C6">
              <w:t xml:space="preserve"> years, </w:t>
            </w:r>
            <w:r>
              <w:br/>
            </w:r>
            <w:r w:rsidRPr="000634C6">
              <w:t>8 months</w:t>
            </w:r>
          </w:p>
        </w:tc>
      </w:tr>
      <w:tr w:rsidR="0042343A" w:rsidRPr="00081323" w14:paraId="15F29955" w14:textId="7549D812" w:rsidTr="0042343A">
        <w:trPr>
          <w:trHeight w:val="229"/>
        </w:trPr>
        <w:tc>
          <w:tcPr>
            <w:tcW w:w="2227" w:type="dxa"/>
            <w:vAlign w:val="center"/>
          </w:tcPr>
          <w:p w14:paraId="13CB21C9" w14:textId="77777777" w:rsidR="0042343A" w:rsidRPr="00081323" w:rsidRDefault="0042343A" w:rsidP="00D0221A">
            <w:pPr>
              <w:pStyle w:val="Bodytext"/>
            </w:pPr>
            <w:r w:rsidRPr="00081323">
              <w:t>David Leuschen</w:t>
            </w:r>
          </w:p>
        </w:tc>
        <w:tc>
          <w:tcPr>
            <w:tcW w:w="683" w:type="dxa"/>
            <w:vAlign w:val="center"/>
          </w:tcPr>
          <w:p w14:paraId="72DBE898" w14:textId="47B59B56" w:rsidR="0042343A" w:rsidRPr="00081323" w:rsidRDefault="0042343A" w:rsidP="00D0221A">
            <w:pPr>
              <w:pStyle w:val="Bodytext"/>
              <w:jc w:val="center"/>
            </w:pPr>
          </w:p>
        </w:tc>
        <w:tc>
          <w:tcPr>
            <w:tcW w:w="683" w:type="dxa"/>
            <w:vAlign w:val="center"/>
          </w:tcPr>
          <w:p w14:paraId="55285C6A" w14:textId="4AF45C22" w:rsidR="0042343A" w:rsidRPr="00081323" w:rsidRDefault="0042343A" w:rsidP="00D0221A">
            <w:pPr>
              <w:pStyle w:val="Bodytext"/>
            </w:pPr>
            <w:r>
              <w:t>3</w:t>
            </w:r>
          </w:p>
        </w:tc>
        <w:tc>
          <w:tcPr>
            <w:tcW w:w="683" w:type="dxa"/>
            <w:vAlign w:val="center"/>
          </w:tcPr>
          <w:p w14:paraId="6580CC09" w14:textId="2AA60DAB" w:rsidR="0042343A" w:rsidRPr="00081323" w:rsidRDefault="0042343A" w:rsidP="00D0221A">
            <w:pPr>
              <w:pStyle w:val="Bodytext"/>
            </w:pPr>
          </w:p>
        </w:tc>
        <w:tc>
          <w:tcPr>
            <w:tcW w:w="683" w:type="dxa"/>
            <w:vAlign w:val="center"/>
          </w:tcPr>
          <w:p w14:paraId="00209B44" w14:textId="3DFD0569" w:rsidR="0042343A" w:rsidRPr="00081323" w:rsidRDefault="0042343A" w:rsidP="00D0221A">
            <w:pPr>
              <w:pStyle w:val="Bodytext"/>
            </w:pPr>
            <w:r>
              <w:t>N/A</w:t>
            </w:r>
          </w:p>
        </w:tc>
        <w:tc>
          <w:tcPr>
            <w:tcW w:w="712" w:type="dxa"/>
            <w:vAlign w:val="center"/>
          </w:tcPr>
          <w:p w14:paraId="192054F5" w14:textId="27C5AD08" w:rsidR="0042343A" w:rsidRPr="00081323" w:rsidRDefault="0042343A" w:rsidP="00D0221A">
            <w:pPr>
              <w:pStyle w:val="Bodytext"/>
            </w:pPr>
          </w:p>
        </w:tc>
        <w:tc>
          <w:tcPr>
            <w:tcW w:w="713" w:type="dxa"/>
            <w:vAlign w:val="center"/>
          </w:tcPr>
          <w:p w14:paraId="116166EE" w14:textId="7F946DDD" w:rsidR="0042343A" w:rsidRPr="00081323" w:rsidRDefault="0042343A" w:rsidP="00D0221A">
            <w:pPr>
              <w:pStyle w:val="Bodytext"/>
            </w:pPr>
            <w:r>
              <w:t>N/A</w:t>
            </w:r>
          </w:p>
        </w:tc>
        <w:tc>
          <w:tcPr>
            <w:tcW w:w="772" w:type="dxa"/>
            <w:vAlign w:val="center"/>
          </w:tcPr>
          <w:p w14:paraId="0867ECC3" w14:textId="792B89FC" w:rsidR="0042343A" w:rsidRPr="00081323" w:rsidRDefault="0042343A" w:rsidP="00D0221A">
            <w:pPr>
              <w:pStyle w:val="Bodytext"/>
            </w:pPr>
          </w:p>
        </w:tc>
        <w:tc>
          <w:tcPr>
            <w:tcW w:w="772" w:type="dxa"/>
            <w:vAlign w:val="center"/>
          </w:tcPr>
          <w:p w14:paraId="694FB2E1" w14:textId="61ACE884" w:rsidR="0042343A" w:rsidRPr="00081323" w:rsidRDefault="0042343A" w:rsidP="00D0221A">
            <w:pPr>
              <w:pStyle w:val="Bodytext"/>
            </w:pPr>
            <w:r>
              <w:t>N/A</w:t>
            </w:r>
          </w:p>
        </w:tc>
        <w:tc>
          <w:tcPr>
            <w:tcW w:w="1546" w:type="dxa"/>
          </w:tcPr>
          <w:p w14:paraId="2CF324E6" w14:textId="0B7F00AD" w:rsidR="0042343A" w:rsidRPr="00081323" w:rsidRDefault="0042343A" w:rsidP="00D0221A">
            <w:pPr>
              <w:pStyle w:val="Bodytext"/>
            </w:pPr>
            <w:r>
              <w:t>6</w:t>
            </w:r>
            <w:r w:rsidRPr="000634C6">
              <w:t xml:space="preserve"> years, </w:t>
            </w:r>
            <w:r>
              <w:br/>
            </w:r>
            <w:r w:rsidRPr="000634C6">
              <w:t>8 months</w:t>
            </w:r>
          </w:p>
        </w:tc>
      </w:tr>
      <w:tr w:rsidR="0042343A" w:rsidRPr="00081323" w14:paraId="19856045" w14:textId="06DB56DD" w:rsidTr="0042343A">
        <w:trPr>
          <w:trHeight w:val="229"/>
        </w:trPr>
        <w:tc>
          <w:tcPr>
            <w:tcW w:w="2227" w:type="dxa"/>
            <w:tcBorders>
              <w:top w:val="nil"/>
              <w:left w:val="nil"/>
              <w:bottom w:val="nil"/>
              <w:right w:val="nil"/>
            </w:tcBorders>
            <w:vAlign w:val="center"/>
          </w:tcPr>
          <w:p w14:paraId="6210F882" w14:textId="776BFADF" w:rsidR="0042343A" w:rsidRPr="00081323" w:rsidRDefault="0042343A" w:rsidP="00D0221A">
            <w:pPr>
              <w:pStyle w:val="Bodytext"/>
            </w:pPr>
            <w:r w:rsidRPr="00081323">
              <w:t>Claire Whittet</w:t>
            </w:r>
            <w:r w:rsidRPr="00081323">
              <w:rPr>
                <w:vertAlign w:val="superscript"/>
              </w:rPr>
              <w:t>(1)</w:t>
            </w:r>
          </w:p>
        </w:tc>
        <w:tc>
          <w:tcPr>
            <w:tcW w:w="683" w:type="dxa"/>
            <w:tcBorders>
              <w:top w:val="nil"/>
              <w:left w:val="nil"/>
              <w:bottom w:val="nil"/>
              <w:right w:val="nil"/>
            </w:tcBorders>
            <w:vAlign w:val="center"/>
          </w:tcPr>
          <w:p w14:paraId="401A8245" w14:textId="2249977C" w:rsidR="0042343A" w:rsidRPr="00081323" w:rsidRDefault="0042343A" w:rsidP="00D0221A">
            <w:pPr>
              <w:pStyle w:val="Bodytext"/>
              <w:jc w:val="center"/>
            </w:pPr>
          </w:p>
        </w:tc>
        <w:tc>
          <w:tcPr>
            <w:tcW w:w="683" w:type="dxa"/>
            <w:tcBorders>
              <w:top w:val="nil"/>
              <w:left w:val="nil"/>
              <w:bottom w:val="nil"/>
              <w:right w:val="nil"/>
            </w:tcBorders>
            <w:vAlign w:val="center"/>
          </w:tcPr>
          <w:p w14:paraId="0905625B" w14:textId="1B7F6AC8" w:rsidR="0042343A" w:rsidRPr="00081323" w:rsidRDefault="0042343A" w:rsidP="00D0221A">
            <w:pPr>
              <w:pStyle w:val="Bodytext"/>
            </w:pPr>
            <w:r>
              <w:t>4</w:t>
            </w:r>
          </w:p>
        </w:tc>
        <w:tc>
          <w:tcPr>
            <w:tcW w:w="683" w:type="dxa"/>
            <w:tcBorders>
              <w:top w:val="nil"/>
              <w:left w:val="nil"/>
              <w:bottom w:val="nil"/>
              <w:right w:val="nil"/>
            </w:tcBorders>
            <w:vAlign w:val="center"/>
          </w:tcPr>
          <w:p w14:paraId="5404723F" w14:textId="3F671F08" w:rsidR="0042343A" w:rsidRPr="00081323" w:rsidRDefault="0042343A" w:rsidP="00D0221A">
            <w:pPr>
              <w:pStyle w:val="Bodytext"/>
            </w:pPr>
          </w:p>
        </w:tc>
        <w:tc>
          <w:tcPr>
            <w:tcW w:w="683" w:type="dxa"/>
            <w:tcBorders>
              <w:top w:val="nil"/>
              <w:left w:val="nil"/>
              <w:bottom w:val="nil"/>
              <w:right w:val="nil"/>
            </w:tcBorders>
            <w:vAlign w:val="center"/>
          </w:tcPr>
          <w:p w14:paraId="29819AAC" w14:textId="2EC56915" w:rsidR="0042343A" w:rsidRPr="00081323" w:rsidRDefault="0042343A" w:rsidP="00D0221A">
            <w:pPr>
              <w:pStyle w:val="Bodytext"/>
            </w:pPr>
            <w:r>
              <w:t>4</w:t>
            </w:r>
          </w:p>
        </w:tc>
        <w:tc>
          <w:tcPr>
            <w:tcW w:w="712" w:type="dxa"/>
            <w:tcBorders>
              <w:top w:val="nil"/>
              <w:left w:val="nil"/>
              <w:bottom w:val="nil"/>
              <w:right w:val="nil"/>
            </w:tcBorders>
            <w:vAlign w:val="center"/>
          </w:tcPr>
          <w:p w14:paraId="499FCB47" w14:textId="658BCEAA" w:rsidR="0042343A" w:rsidRPr="00081323" w:rsidRDefault="0042343A" w:rsidP="00D0221A">
            <w:pPr>
              <w:pStyle w:val="Bodytext"/>
            </w:pPr>
          </w:p>
        </w:tc>
        <w:tc>
          <w:tcPr>
            <w:tcW w:w="713" w:type="dxa"/>
            <w:tcBorders>
              <w:top w:val="nil"/>
              <w:left w:val="nil"/>
              <w:bottom w:val="nil"/>
              <w:right w:val="nil"/>
            </w:tcBorders>
            <w:vAlign w:val="center"/>
          </w:tcPr>
          <w:p w14:paraId="543D467E" w14:textId="7C47B922" w:rsidR="0042343A" w:rsidRPr="00081323" w:rsidRDefault="0042343A" w:rsidP="00D0221A">
            <w:pPr>
              <w:pStyle w:val="Bodytext"/>
            </w:pPr>
            <w:r>
              <w:t>1</w:t>
            </w:r>
          </w:p>
        </w:tc>
        <w:tc>
          <w:tcPr>
            <w:tcW w:w="772" w:type="dxa"/>
            <w:tcBorders>
              <w:top w:val="nil"/>
              <w:left w:val="nil"/>
              <w:bottom w:val="nil"/>
              <w:right w:val="nil"/>
            </w:tcBorders>
            <w:vAlign w:val="center"/>
          </w:tcPr>
          <w:p w14:paraId="12464E51" w14:textId="16597AD1" w:rsidR="0042343A" w:rsidRPr="00081323" w:rsidRDefault="0042343A" w:rsidP="00D0221A">
            <w:pPr>
              <w:pStyle w:val="Bodytext"/>
            </w:pPr>
          </w:p>
        </w:tc>
        <w:tc>
          <w:tcPr>
            <w:tcW w:w="772" w:type="dxa"/>
            <w:tcBorders>
              <w:top w:val="nil"/>
              <w:left w:val="nil"/>
              <w:bottom w:val="nil"/>
              <w:right w:val="nil"/>
            </w:tcBorders>
            <w:vAlign w:val="center"/>
          </w:tcPr>
          <w:p w14:paraId="3BE34828" w14:textId="4160FF5F" w:rsidR="0042343A" w:rsidRPr="00081323" w:rsidRDefault="0042343A" w:rsidP="00D0221A">
            <w:pPr>
              <w:pStyle w:val="Bodytext"/>
            </w:pPr>
            <w:r>
              <w:t>1</w:t>
            </w:r>
          </w:p>
        </w:tc>
        <w:tc>
          <w:tcPr>
            <w:tcW w:w="1546" w:type="dxa"/>
            <w:tcBorders>
              <w:top w:val="nil"/>
              <w:left w:val="nil"/>
              <w:bottom w:val="nil"/>
              <w:right w:val="nil"/>
            </w:tcBorders>
          </w:tcPr>
          <w:p w14:paraId="279FFE74" w14:textId="26F4C294" w:rsidR="0042343A" w:rsidRPr="00081323" w:rsidRDefault="0042343A" w:rsidP="00D0221A">
            <w:pPr>
              <w:pStyle w:val="Bodytext"/>
            </w:pPr>
            <w:r>
              <w:t>4</w:t>
            </w:r>
            <w:r w:rsidRPr="00677BC1">
              <w:t xml:space="preserve"> years, </w:t>
            </w:r>
            <w:r>
              <w:br/>
            </w:r>
            <w:r w:rsidRPr="00677BC1">
              <w:t>8 months</w:t>
            </w:r>
          </w:p>
        </w:tc>
      </w:tr>
      <w:tr w:rsidR="0042343A" w:rsidRPr="00081323" w14:paraId="45399A10" w14:textId="3FF17B63" w:rsidTr="0042343A">
        <w:trPr>
          <w:trHeight w:val="229"/>
        </w:trPr>
        <w:tc>
          <w:tcPr>
            <w:tcW w:w="2227" w:type="dxa"/>
            <w:vAlign w:val="center"/>
          </w:tcPr>
          <w:p w14:paraId="79A1DE0B" w14:textId="13B16233" w:rsidR="0042343A" w:rsidRPr="00081323" w:rsidRDefault="0042343A" w:rsidP="00D0221A">
            <w:pPr>
              <w:pStyle w:val="Bodytext"/>
            </w:pPr>
            <w:r w:rsidRPr="00081323">
              <w:t>Ken Ryan</w:t>
            </w:r>
          </w:p>
        </w:tc>
        <w:tc>
          <w:tcPr>
            <w:tcW w:w="683" w:type="dxa"/>
            <w:vAlign w:val="center"/>
          </w:tcPr>
          <w:p w14:paraId="51D04B86" w14:textId="16D97C83" w:rsidR="0042343A" w:rsidRPr="00081323" w:rsidRDefault="0042343A" w:rsidP="00D0221A">
            <w:pPr>
              <w:pStyle w:val="Bodytext"/>
              <w:jc w:val="center"/>
            </w:pPr>
          </w:p>
        </w:tc>
        <w:tc>
          <w:tcPr>
            <w:tcW w:w="683" w:type="dxa"/>
            <w:vAlign w:val="center"/>
          </w:tcPr>
          <w:p w14:paraId="096F24EB" w14:textId="023039C0" w:rsidR="0042343A" w:rsidRPr="00081323" w:rsidRDefault="0042343A" w:rsidP="00D0221A">
            <w:pPr>
              <w:pStyle w:val="Bodytext"/>
            </w:pPr>
            <w:r>
              <w:t>4</w:t>
            </w:r>
          </w:p>
        </w:tc>
        <w:tc>
          <w:tcPr>
            <w:tcW w:w="683" w:type="dxa"/>
            <w:vAlign w:val="center"/>
          </w:tcPr>
          <w:p w14:paraId="53354EE6" w14:textId="721E3B70" w:rsidR="0042343A" w:rsidRPr="00081323" w:rsidRDefault="0042343A" w:rsidP="00D0221A">
            <w:pPr>
              <w:pStyle w:val="Bodytext"/>
            </w:pPr>
          </w:p>
        </w:tc>
        <w:tc>
          <w:tcPr>
            <w:tcW w:w="683" w:type="dxa"/>
            <w:vAlign w:val="center"/>
          </w:tcPr>
          <w:p w14:paraId="5A3686CC" w14:textId="665D1F98" w:rsidR="0042343A" w:rsidRPr="00081323" w:rsidRDefault="0042343A" w:rsidP="00D0221A">
            <w:pPr>
              <w:pStyle w:val="Bodytext"/>
            </w:pPr>
            <w:r>
              <w:t>N/A</w:t>
            </w:r>
          </w:p>
        </w:tc>
        <w:tc>
          <w:tcPr>
            <w:tcW w:w="712" w:type="dxa"/>
            <w:vAlign w:val="center"/>
          </w:tcPr>
          <w:p w14:paraId="3F20BEC6" w14:textId="3F8449E4" w:rsidR="0042343A" w:rsidRPr="00081323" w:rsidRDefault="0042343A" w:rsidP="00D0221A">
            <w:pPr>
              <w:pStyle w:val="Bodytext"/>
            </w:pPr>
          </w:p>
        </w:tc>
        <w:tc>
          <w:tcPr>
            <w:tcW w:w="713" w:type="dxa"/>
            <w:vAlign w:val="center"/>
          </w:tcPr>
          <w:p w14:paraId="47C9AB9A" w14:textId="6696454F" w:rsidR="0042343A" w:rsidRPr="00081323" w:rsidRDefault="0042343A" w:rsidP="00D0221A">
            <w:pPr>
              <w:pStyle w:val="Bodytext"/>
            </w:pPr>
            <w:r>
              <w:t>N/A</w:t>
            </w:r>
          </w:p>
        </w:tc>
        <w:tc>
          <w:tcPr>
            <w:tcW w:w="772" w:type="dxa"/>
            <w:vAlign w:val="center"/>
          </w:tcPr>
          <w:p w14:paraId="66437703" w14:textId="01C9578E" w:rsidR="0042343A" w:rsidRPr="00081323" w:rsidRDefault="0042343A" w:rsidP="00D0221A">
            <w:pPr>
              <w:pStyle w:val="Bodytext"/>
            </w:pPr>
          </w:p>
        </w:tc>
        <w:tc>
          <w:tcPr>
            <w:tcW w:w="772" w:type="dxa"/>
            <w:vAlign w:val="center"/>
          </w:tcPr>
          <w:p w14:paraId="47B8C182" w14:textId="4131BD2C" w:rsidR="0042343A" w:rsidRPr="00081323" w:rsidRDefault="0042343A" w:rsidP="00D0221A">
            <w:pPr>
              <w:pStyle w:val="Bodytext"/>
            </w:pPr>
            <w:r>
              <w:t>N/A</w:t>
            </w:r>
          </w:p>
        </w:tc>
        <w:tc>
          <w:tcPr>
            <w:tcW w:w="1546" w:type="dxa"/>
          </w:tcPr>
          <w:p w14:paraId="2E17573D" w14:textId="5848930C" w:rsidR="0042343A" w:rsidRPr="00081323" w:rsidRDefault="0042343A" w:rsidP="00D0221A">
            <w:pPr>
              <w:pStyle w:val="Bodytext"/>
            </w:pPr>
            <w:r>
              <w:t>3</w:t>
            </w:r>
            <w:r w:rsidRPr="00677BC1">
              <w:t xml:space="preserve"> years, </w:t>
            </w:r>
            <w:r>
              <w:br/>
            </w:r>
            <w:r w:rsidRPr="00677BC1">
              <w:t>8 months</w:t>
            </w:r>
          </w:p>
        </w:tc>
      </w:tr>
      <w:tr w:rsidR="0042343A" w:rsidRPr="00081323" w14:paraId="653627D7" w14:textId="507A8392" w:rsidTr="0042343A">
        <w:trPr>
          <w:trHeight w:val="229"/>
        </w:trPr>
        <w:tc>
          <w:tcPr>
            <w:tcW w:w="2227" w:type="dxa"/>
            <w:vAlign w:val="center"/>
          </w:tcPr>
          <w:p w14:paraId="32330A71" w14:textId="2DFD59BF" w:rsidR="0042343A" w:rsidRPr="00081323" w:rsidRDefault="0042343A" w:rsidP="00D0221A">
            <w:pPr>
              <w:pStyle w:val="Bodytext"/>
            </w:pPr>
            <w:r w:rsidRPr="00081323">
              <w:t>Jeremy Thompson</w:t>
            </w:r>
            <w:r w:rsidRPr="00081323">
              <w:rPr>
                <w:vertAlign w:val="superscript"/>
              </w:rPr>
              <w:t>(1)</w:t>
            </w:r>
          </w:p>
        </w:tc>
        <w:tc>
          <w:tcPr>
            <w:tcW w:w="683" w:type="dxa"/>
            <w:vAlign w:val="center"/>
          </w:tcPr>
          <w:p w14:paraId="6B244FC3" w14:textId="733E08DA" w:rsidR="0042343A" w:rsidRPr="00081323" w:rsidRDefault="0042343A" w:rsidP="00D0221A">
            <w:pPr>
              <w:pStyle w:val="Bodytext"/>
              <w:jc w:val="center"/>
            </w:pPr>
          </w:p>
        </w:tc>
        <w:tc>
          <w:tcPr>
            <w:tcW w:w="683" w:type="dxa"/>
            <w:vAlign w:val="center"/>
          </w:tcPr>
          <w:p w14:paraId="6B78ED5F" w14:textId="0F242BFB" w:rsidR="0042343A" w:rsidRPr="00081323" w:rsidRDefault="0042343A" w:rsidP="00D0221A">
            <w:pPr>
              <w:pStyle w:val="Bodytext"/>
            </w:pPr>
            <w:r>
              <w:t>4</w:t>
            </w:r>
          </w:p>
        </w:tc>
        <w:tc>
          <w:tcPr>
            <w:tcW w:w="683" w:type="dxa"/>
            <w:vAlign w:val="center"/>
          </w:tcPr>
          <w:p w14:paraId="1CE11179" w14:textId="0CDB271C" w:rsidR="0042343A" w:rsidRPr="00081323" w:rsidRDefault="0042343A" w:rsidP="00D0221A">
            <w:pPr>
              <w:pStyle w:val="Bodytext"/>
            </w:pPr>
          </w:p>
        </w:tc>
        <w:tc>
          <w:tcPr>
            <w:tcW w:w="683" w:type="dxa"/>
            <w:vAlign w:val="center"/>
          </w:tcPr>
          <w:p w14:paraId="7B73D27F" w14:textId="1D9209AD" w:rsidR="0042343A" w:rsidRPr="00081323" w:rsidRDefault="0042343A" w:rsidP="00D0221A">
            <w:pPr>
              <w:pStyle w:val="Bodytext"/>
            </w:pPr>
            <w:r>
              <w:t>4</w:t>
            </w:r>
          </w:p>
        </w:tc>
        <w:tc>
          <w:tcPr>
            <w:tcW w:w="712" w:type="dxa"/>
            <w:vAlign w:val="center"/>
          </w:tcPr>
          <w:p w14:paraId="016808BB" w14:textId="51138C84" w:rsidR="0042343A" w:rsidRPr="00081323" w:rsidRDefault="0042343A" w:rsidP="00D0221A">
            <w:pPr>
              <w:pStyle w:val="Bodytext"/>
            </w:pPr>
          </w:p>
        </w:tc>
        <w:tc>
          <w:tcPr>
            <w:tcW w:w="713" w:type="dxa"/>
            <w:vAlign w:val="center"/>
          </w:tcPr>
          <w:p w14:paraId="21B1900E" w14:textId="2DEDE08F" w:rsidR="0042343A" w:rsidRPr="00081323" w:rsidRDefault="0042343A" w:rsidP="00D0221A">
            <w:pPr>
              <w:pStyle w:val="Bodytext"/>
            </w:pPr>
            <w:r>
              <w:t>1</w:t>
            </w:r>
          </w:p>
        </w:tc>
        <w:tc>
          <w:tcPr>
            <w:tcW w:w="772" w:type="dxa"/>
            <w:vAlign w:val="center"/>
          </w:tcPr>
          <w:p w14:paraId="0F23A323" w14:textId="24309BD5" w:rsidR="0042343A" w:rsidRPr="00081323" w:rsidRDefault="0042343A" w:rsidP="00D0221A">
            <w:pPr>
              <w:pStyle w:val="Bodytext"/>
            </w:pPr>
          </w:p>
        </w:tc>
        <w:tc>
          <w:tcPr>
            <w:tcW w:w="772" w:type="dxa"/>
            <w:vAlign w:val="center"/>
          </w:tcPr>
          <w:p w14:paraId="7A9F2953" w14:textId="2C331CC6" w:rsidR="0042343A" w:rsidRPr="00081323" w:rsidRDefault="0042343A" w:rsidP="00D0221A">
            <w:pPr>
              <w:pStyle w:val="Bodytext"/>
            </w:pPr>
            <w:r>
              <w:t>1</w:t>
            </w:r>
          </w:p>
        </w:tc>
        <w:tc>
          <w:tcPr>
            <w:tcW w:w="1546" w:type="dxa"/>
          </w:tcPr>
          <w:p w14:paraId="07164BAA" w14:textId="6CFCC22A" w:rsidR="0042343A" w:rsidRPr="00081323" w:rsidRDefault="0042343A" w:rsidP="00D0221A">
            <w:pPr>
              <w:pStyle w:val="Bodytext"/>
            </w:pPr>
            <w:r>
              <w:t>3</w:t>
            </w:r>
            <w:r w:rsidRPr="00677BC1">
              <w:t xml:space="preserve"> years, </w:t>
            </w:r>
            <w:r>
              <w:br/>
            </w:r>
            <w:r w:rsidRPr="00677BC1">
              <w:t>8 months</w:t>
            </w:r>
          </w:p>
        </w:tc>
      </w:tr>
    </w:tbl>
    <w:p w14:paraId="546FFA91" w14:textId="13123D63" w:rsidR="00610281" w:rsidRPr="00081323" w:rsidRDefault="00610281" w:rsidP="000009D3">
      <w:pPr>
        <w:pStyle w:val="Footnote"/>
        <w:jc w:val="both"/>
      </w:pPr>
      <w:r w:rsidRPr="00081323">
        <w:rPr>
          <w:vertAlign w:val="superscript"/>
        </w:rPr>
        <w:t>(1)</w:t>
      </w:r>
      <w:r w:rsidRPr="00081323">
        <w:tab/>
        <w:t>Non-executive Independent Director</w:t>
      </w:r>
      <w:r w:rsidR="002E4D02">
        <w:t>.</w:t>
      </w:r>
    </w:p>
    <w:p w14:paraId="66EC756C" w14:textId="3DC9C267" w:rsidR="00610281" w:rsidRDefault="00610281" w:rsidP="000009D3">
      <w:pPr>
        <w:pStyle w:val="Footnote"/>
        <w:jc w:val="both"/>
      </w:pPr>
      <w:r w:rsidRPr="00081323">
        <w:rPr>
          <w:vertAlign w:val="superscript"/>
        </w:rPr>
        <w:t>(2)</w:t>
      </w:r>
      <w:r w:rsidRPr="00081323">
        <w:tab/>
      </w:r>
      <w:r w:rsidR="00C63156" w:rsidRPr="00081323">
        <w:t xml:space="preserve">Non-executive </w:t>
      </w:r>
      <w:r w:rsidRPr="00081323">
        <w:t>Senior Independent Director</w:t>
      </w:r>
      <w:r w:rsidR="002E4D02">
        <w:t>.</w:t>
      </w:r>
    </w:p>
    <w:p w14:paraId="621DD178" w14:textId="77777777" w:rsidR="002E7F76" w:rsidRPr="00081323" w:rsidRDefault="002E7F76" w:rsidP="00B4108A">
      <w:pPr>
        <w:pStyle w:val="Footnote"/>
        <w:jc w:val="both"/>
      </w:pPr>
    </w:p>
    <w:p w14:paraId="0B0CD46C" w14:textId="588C16E4" w:rsidR="007C3F43" w:rsidRDefault="00A73D63" w:rsidP="00B4108A">
      <w:pPr>
        <w:pStyle w:val="Bodytext"/>
        <w:jc w:val="both"/>
      </w:pPr>
      <w:r w:rsidRPr="00393AAE">
        <w:t>A</w:t>
      </w:r>
      <w:r w:rsidR="00194779" w:rsidRPr="00393AAE">
        <w:t xml:space="preserve"> quorum </w:t>
      </w:r>
      <w:r w:rsidRPr="00393AAE">
        <w:t>is</w:t>
      </w:r>
      <w:r w:rsidR="00194779" w:rsidRPr="00393AAE">
        <w:t xml:space="preserve"> </w:t>
      </w:r>
      <w:r w:rsidRPr="00393AAE">
        <w:t xml:space="preserve">comprised of any two or more members of the Board from time to time, to perform </w:t>
      </w:r>
    </w:p>
    <w:p w14:paraId="39F7A48B" w14:textId="4E6DBCAF" w:rsidR="000B35BC" w:rsidRDefault="00A73D63" w:rsidP="00B4108A">
      <w:pPr>
        <w:autoSpaceDE w:val="0"/>
        <w:autoSpaceDN w:val="0"/>
        <w:adjustRightInd w:val="0"/>
        <w:jc w:val="both"/>
      </w:pPr>
      <w:r w:rsidRPr="00393AAE">
        <w:t xml:space="preserve">administrative and other routine functions on behalf of the </w:t>
      </w:r>
      <w:r w:rsidR="00EC007B">
        <w:t>B</w:t>
      </w:r>
      <w:r w:rsidRPr="00393AAE">
        <w:t xml:space="preserve">oard, subject to such limitations as the Board may expressly impose on this </w:t>
      </w:r>
      <w:r w:rsidR="003314D5" w:rsidRPr="00393AAE">
        <w:t>c</w:t>
      </w:r>
      <w:r w:rsidRPr="00393AAE">
        <w:t>ommittee from time to time.</w:t>
      </w:r>
      <w:r w:rsidR="0042343A" w:rsidRPr="00BB5A20">
        <w:t xml:space="preserve"> </w:t>
      </w:r>
      <w:r w:rsidR="0042343A">
        <w:t>The Standing Committee was dissolved by the Board on 26 February 2019.</w:t>
      </w:r>
    </w:p>
    <w:p w14:paraId="5DBF93BF" w14:textId="1993FC8D" w:rsidR="00F07FC8" w:rsidRDefault="00F07FC8" w:rsidP="00EB7E49">
      <w:pPr>
        <w:autoSpaceDE w:val="0"/>
        <w:autoSpaceDN w:val="0"/>
        <w:adjustRightInd w:val="0"/>
      </w:pPr>
    </w:p>
    <w:p w14:paraId="70E5EE46" w14:textId="6B60E07D" w:rsidR="00F07FC8" w:rsidRPr="00F07FC8" w:rsidRDefault="00F07FC8" w:rsidP="00F07FC8">
      <w:pPr>
        <w:pStyle w:val="Heading2"/>
      </w:pPr>
      <w:r w:rsidRPr="00F07FC8">
        <w:t>Conflicts of interest</w:t>
      </w:r>
    </w:p>
    <w:p w14:paraId="5D4C71DB" w14:textId="2E51821E" w:rsidR="00F07FC8" w:rsidRPr="00393AAE" w:rsidRDefault="00F07FC8" w:rsidP="00B4108A">
      <w:pPr>
        <w:autoSpaceDE w:val="0"/>
        <w:autoSpaceDN w:val="0"/>
        <w:adjustRightInd w:val="0"/>
        <w:jc w:val="both"/>
      </w:pPr>
      <w:r w:rsidRPr="00F07FC8">
        <w:t>A Director has a duty to avoid a situation in which he or she has, or can have, a direct or indirect interest that conflicts, or possibly may confl</w:t>
      </w:r>
      <w:r>
        <w:t>ict, with the interests of the Company</w:t>
      </w:r>
      <w:r w:rsidRPr="00F07FC8">
        <w:t xml:space="preserve">. The Board requires Directors to declare all appointments and other situations that could result in a possible conflict of interest and has adopted appropriate procedures to manage and, if appropriate, approve any such conflicts. The Board is satisfied that there is no compromise to the independence of those Directors who have appointments on the boards of, or relationships with, companies outside the </w:t>
      </w:r>
      <w:r>
        <w:t>Company</w:t>
      </w:r>
      <w:r w:rsidRPr="00F07FC8">
        <w:t>.</w:t>
      </w:r>
    </w:p>
    <w:p w14:paraId="6C704960" w14:textId="77777777" w:rsidR="000B35BC" w:rsidRPr="00811BA1" w:rsidRDefault="000B35BC" w:rsidP="00EB7E49"/>
    <w:p w14:paraId="69E9ADD4" w14:textId="77777777" w:rsidR="007D0674" w:rsidRDefault="009D6C03" w:rsidP="00EB7E49">
      <w:pPr>
        <w:pStyle w:val="Heading2"/>
      </w:pPr>
      <w:r w:rsidRPr="00811BA1">
        <w:t>Committees of the Board</w:t>
      </w:r>
    </w:p>
    <w:p w14:paraId="79654FA7" w14:textId="4BEC1522" w:rsidR="00654151" w:rsidRDefault="0036395F" w:rsidP="00B4108A">
      <w:pPr>
        <w:autoSpaceDE w:val="0"/>
        <w:autoSpaceDN w:val="0"/>
        <w:adjustRightInd w:val="0"/>
        <w:jc w:val="both"/>
        <w:rPr>
          <w:bCs/>
        </w:rPr>
      </w:pPr>
      <w:r w:rsidRPr="0036395F">
        <w:t xml:space="preserve">The Board believes that it and its </w:t>
      </w:r>
      <w:r w:rsidR="00F102A2">
        <w:t>c</w:t>
      </w:r>
      <w:r w:rsidRPr="0036395F">
        <w:t>ommittees have an appropriate composition and blend of skills</w:t>
      </w:r>
      <w:r w:rsidR="0082620B">
        <w:t xml:space="preserve">, </w:t>
      </w:r>
      <w:r w:rsidRPr="0036395F">
        <w:t>experience</w:t>
      </w:r>
      <w:r w:rsidR="0082620B">
        <w:t>, independence and diversity of backgrounds</w:t>
      </w:r>
      <w:r w:rsidRPr="0036395F">
        <w:t xml:space="preserve"> to discharge their duties </w:t>
      </w:r>
      <w:r w:rsidR="0082620B">
        <w:t xml:space="preserve">and responsibilities </w:t>
      </w:r>
      <w:r w:rsidRPr="0036395F">
        <w:t xml:space="preserve">effectively. The Board keeps its membership, and that of its </w:t>
      </w:r>
      <w:r w:rsidR="00F102A2">
        <w:t>c</w:t>
      </w:r>
      <w:r w:rsidRPr="0036395F">
        <w:t>ommittees, under review to ensure that an acceptable balance is</w:t>
      </w:r>
      <w:r>
        <w:t xml:space="preserve"> </w:t>
      </w:r>
      <w:r w:rsidRPr="0036395F">
        <w:t>maintained, and that the collective skills and experience of its members continue to be refreshed. It is satisfied that all</w:t>
      </w:r>
      <w:r>
        <w:t xml:space="preserve"> </w:t>
      </w:r>
      <w:r w:rsidRPr="0036395F">
        <w:rPr>
          <w:bCs/>
        </w:rPr>
        <w:t>Directors have sufficient time to devote to their roles and that undue reliance is not placed on any individual.</w:t>
      </w:r>
    </w:p>
    <w:p w14:paraId="1296C01B" w14:textId="77777777" w:rsidR="00AC5834" w:rsidRDefault="00AC5834" w:rsidP="00B4108A">
      <w:pPr>
        <w:autoSpaceDE w:val="0"/>
        <w:autoSpaceDN w:val="0"/>
        <w:adjustRightInd w:val="0"/>
        <w:jc w:val="both"/>
        <w:rPr>
          <w:bCs/>
        </w:rPr>
      </w:pPr>
    </w:p>
    <w:p w14:paraId="3C549431" w14:textId="2C230AAD" w:rsidR="00AC5834" w:rsidRDefault="00AC5834" w:rsidP="00B4108A">
      <w:pPr>
        <w:autoSpaceDE w:val="0"/>
        <w:autoSpaceDN w:val="0"/>
        <w:adjustRightInd w:val="0"/>
        <w:jc w:val="both"/>
      </w:pPr>
      <w:r w:rsidRPr="00AC5834">
        <w:lastRenderedPageBreak/>
        <w:t xml:space="preserve">Each </w:t>
      </w:r>
      <w:r w:rsidR="00F102A2">
        <w:t>c</w:t>
      </w:r>
      <w:r w:rsidRPr="00AC5834">
        <w:t>ommittee</w:t>
      </w:r>
      <w:r w:rsidR="00F102A2">
        <w:t xml:space="preserve"> of the Board</w:t>
      </w:r>
      <w:r w:rsidRPr="00AC5834">
        <w:t xml:space="preserve"> has written terms of reference, approved by the Board, summarising its objectives, remit and powers,</w:t>
      </w:r>
      <w:r>
        <w:t xml:space="preserve"> </w:t>
      </w:r>
      <w:r w:rsidRPr="00AC5834">
        <w:t xml:space="preserve">which are available on the Company’s website </w:t>
      </w:r>
      <w:r w:rsidRPr="0037044E">
        <w:t>(</w:t>
      </w:r>
      <w:r w:rsidR="008B0216" w:rsidRPr="00CF64AD">
        <w:t>www.RiverstoneREL.com</w:t>
      </w:r>
      <w:r w:rsidRPr="0037044E">
        <w:t>)</w:t>
      </w:r>
      <w:r w:rsidR="008B0216">
        <w:t xml:space="preserve"> </w:t>
      </w:r>
      <w:r w:rsidRPr="00AC5834">
        <w:t xml:space="preserve">and reviewed on an annual basis. All </w:t>
      </w:r>
      <w:r w:rsidR="00F102A2">
        <w:t>c</w:t>
      </w:r>
      <w:r w:rsidRPr="00AC5834">
        <w:t>ommittee members are provided with</w:t>
      </w:r>
      <w:r>
        <w:t xml:space="preserve"> </w:t>
      </w:r>
      <w:r w:rsidRPr="00AC5834">
        <w:t xml:space="preserve">appropriate induction on joining their respective </w:t>
      </w:r>
      <w:r w:rsidR="00F102A2">
        <w:t>c</w:t>
      </w:r>
      <w:r w:rsidRPr="00AC5834">
        <w:t>ommittees, as well as on-going access to training. Minutes of all meetings</w:t>
      </w:r>
      <w:r>
        <w:t xml:space="preserve"> </w:t>
      </w:r>
      <w:r w:rsidRPr="00AC5834">
        <w:t xml:space="preserve">of the </w:t>
      </w:r>
      <w:r w:rsidR="00F102A2">
        <w:t>c</w:t>
      </w:r>
      <w:r w:rsidRPr="00AC5834">
        <w:t xml:space="preserve">ommittees (save for the private sessions of </w:t>
      </w:r>
      <w:r w:rsidR="00F102A2">
        <w:t>c</w:t>
      </w:r>
      <w:r w:rsidRPr="00AC5834">
        <w:t>ommittee members at the end of meetings) are made available to all</w:t>
      </w:r>
      <w:r>
        <w:t xml:space="preserve"> </w:t>
      </w:r>
      <w:r w:rsidRPr="00AC5834">
        <w:t>Directors and feedback from each of the</w:t>
      </w:r>
      <w:r>
        <w:t xml:space="preserve"> </w:t>
      </w:r>
      <w:r w:rsidR="00E12976">
        <w:t>c</w:t>
      </w:r>
      <w:r w:rsidRPr="00AC5834">
        <w:t xml:space="preserve">ommittees is provided to the Board by the respective </w:t>
      </w:r>
      <w:r w:rsidR="00F102A2">
        <w:t>c</w:t>
      </w:r>
      <w:r w:rsidRPr="00AC5834">
        <w:t>ommittee Chairmen at the</w:t>
      </w:r>
      <w:r>
        <w:t xml:space="preserve"> </w:t>
      </w:r>
      <w:r w:rsidRPr="00AC5834">
        <w:t xml:space="preserve">next Board meeting. The </w:t>
      </w:r>
      <w:r w:rsidR="00504BA5">
        <w:t>Chair</w:t>
      </w:r>
      <w:r w:rsidR="00EE5721">
        <w:t>man</w:t>
      </w:r>
      <w:r w:rsidR="00504BA5">
        <w:t xml:space="preserve"> of each </w:t>
      </w:r>
      <w:r w:rsidR="00F102A2">
        <w:t>c</w:t>
      </w:r>
      <w:r w:rsidRPr="00AC5834">
        <w:t xml:space="preserve">ommittee </w:t>
      </w:r>
      <w:r w:rsidR="009E7248" w:rsidRPr="00AC5834">
        <w:t>attends</w:t>
      </w:r>
      <w:r w:rsidRPr="00AC5834">
        <w:t xml:space="preserve"> the AGM to answer any questions on their </w:t>
      </w:r>
      <w:r w:rsidR="00F102A2">
        <w:t>c</w:t>
      </w:r>
      <w:r w:rsidRPr="00AC5834">
        <w:t>ommittee’s activities</w:t>
      </w:r>
      <w:r w:rsidR="00FD22FE">
        <w:t>.</w:t>
      </w:r>
      <w:r w:rsidR="00523A8C">
        <w:t xml:space="preserve"> </w:t>
      </w:r>
      <w:r w:rsidR="00FD22FE">
        <w:rPr>
          <w:lang w:eastAsia="en-GB"/>
        </w:rPr>
        <w:t xml:space="preserve">Due </w:t>
      </w:r>
      <w:r w:rsidR="00523A8C">
        <w:rPr>
          <w:lang w:eastAsia="en-GB"/>
        </w:rPr>
        <w:t>to recently implemented COVID-19 travel restrictions</w:t>
      </w:r>
      <w:r w:rsidR="00AF037E">
        <w:rPr>
          <w:lang w:eastAsia="en-GB"/>
        </w:rPr>
        <w:t>,</w:t>
      </w:r>
      <w:r w:rsidR="006C27D1">
        <w:rPr>
          <w:lang w:eastAsia="en-GB"/>
        </w:rPr>
        <w:t xml:space="preserve"> </w:t>
      </w:r>
      <w:r w:rsidR="00AF037E">
        <w:t>the Directors are keeping the 2020 AGM location and date under review and will make announcements as information becomes available</w:t>
      </w:r>
      <w:r w:rsidR="00AF037E">
        <w:rPr>
          <w:lang w:eastAsia="en-GB"/>
        </w:rPr>
        <w:t>.</w:t>
      </w:r>
      <w:r w:rsidR="006C27D1">
        <w:rPr>
          <w:lang w:eastAsia="en-GB"/>
        </w:rPr>
        <w:t xml:space="preserve"> </w:t>
      </w:r>
      <w:r w:rsidR="00AF037E">
        <w:rPr>
          <w:lang w:eastAsia="en-GB"/>
        </w:rPr>
        <w:t>F</w:t>
      </w:r>
      <w:r w:rsidR="006C27D1">
        <w:rPr>
          <w:lang w:eastAsia="en-GB"/>
        </w:rPr>
        <w:t>urther details</w:t>
      </w:r>
      <w:r w:rsidR="00523A8C">
        <w:rPr>
          <w:lang w:eastAsia="en-GB"/>
        </w:rPr>
        <w:t xml:space="preserve"> </w:t>
      </w:r>
      <w:r w:rsidR="006C27D1">
        <w:rPr>
          <w:lang w:eastAsia="en-GB"/>
        </w:rPr>
        <w:t>will be included in the AGM Notice and Form of Proxy, which will be published on the Company’s website in advance of the AGM.</w:t>
      </w:r>
    </w:p>
    <w:p w14:paraId="4B53C7CC" w14:textId="77777777" w:rsidR="00AC5834" w:rsidRPr="00AC5834" w:rsidRDefault="00AC5834" w:rsidP="00B4108A">
      <w:pPr>
        <w:autoSpaceDE w:val="0"/>
        <w:autoSpaceDN w:val="0"/>
        <w:adjustRightInd w:val="0"/>
        <w:jc w:val="both"/>
      </w:pPr>
    </w:p>
    <w:p w14:paraId="15FA939F" w14:textId="5E7F0583" w:rsidR="0036395F" w:rsidRDefault="00AC5834" w:rsidP="00B4108A">
      <w:pPr>
        <w:pStyle w:val="Bodytext"/>
        <w:jc w:val="both"/>
      </w:pPr>
      <w:r w:rsidRPr="00AC5834">
        <w:t xml:space="preserve">The Board and its </w:t>
      </w:r>
      <w:r w:rsidR="00F102A2">
        <w:t>c</w:t>
      </w:r>
      <w:r w:rsidRPr="00AC5834">
        <w:t>ommittees are supplied with regular, comprehensive and timely information in a form and of a quality that</w:t>
      </w:r>
      <w:r>
        <w:t xml:space="preserve"> </w:t>
      </w:r>
      <w:r w:rsidRPr="00AC5834">
        <w:t>enables them to discharge their duties effectively. All Directors are able to make further enquiries of management whenever necessary and have access to the services of the Company Secretary.</w:t>
      </w:r>
    </w:p>
    <w:p w14:paraId="57F37CDF" w14:textId="77777777" w:rsidR="0022066C" w:rsidRPr="00B4108A" w:rsidRDefault="0022066C" w:rsidP="00B4108A">
      <w:pPr>
        <w:pStyle w:val="Heading3"/>
        <w:jc w:val="both"/>
        <w:rPr>
          <w:sz w:val="20"/>
        </w:rPr>
      </w:pPr>
    </w:p>
    <w:p w14:paraId="44BE92AE" w14:textId="77777777" w:rsidR="007D0674" w:rsidRPr="00811BA1" w:rsidRDefault="007D0674" w:rsidP="00B4108A">
      <w:pPr>
        <w:pStyle w:val="Heading3"/>
        <w:jc w:val="both"/>
      </w:pPr>
      <w:r w:rsidRPr="00811BA1">
        <w:t>Audit Committee</w:t>
      </w:r>
    </w:p>
    <w:p w14:paraId="0B8A9D23" w14:textId="0AAE67A9" w:rsidR="00A174E7" w:rsidRPr="002F1C98" w:rsidRDefault="007D0674" w:rsidP="00B4108A">
      <w:pPr>
        <w:autoSpaceDE w:val="0"/>
        <w:autoSpaceDN w:val="0"/>
        <w:adjustRightInd w:val="0"/>
        <w:jc w:val="both"/>
      </w:pPr>
      <w:r w:rsidRPr="002F1C98">
        <w:t xml:space="preserve">The Audit Committee is chaired by Mr </w:t>
      </w:r>
      <w:r w:rsidR="003962F4">
        <w:t xml:space="preserve">Firth </w:t>
      </w:r>
      <w:r w:rsidRPr="002F1C98">
        <w:t>and comprises Mr Barker</w:t>
      </w:r>
      <w:r w:rsidR="003962F4">
        <w:t>, Mr Hayden</w:t>
      </w:r>
      <w:r w:rsidR="005B5A06">
        <w:t>, Mr</w:t>
      </w:r>
      <w:r w:rsidR="006A1F82">
        <w:t xml:space="preserve"> Thompson</w:t>
      </w:r>
      <w:r w:rsidR="003962F4">
        <w:t xml:space="preserve"> and M</w:t>
      </w:r>
      <w:r w:rsidR="00CF55AC">
        <w:t>r</w:t>
      </w:r>
      <w:r w:rsidR="003962F4">
        <w:t>s Whittet</w:t>
      </w:r>
      <w:r w:rsidR="006A1F82">
        <w:t>.</w:t>
      </w:r>
      <w:r w:rsidR="00184565">
        <w:t xml:space="preserve"> </w:t>
      </w:r>
      <w:r w:rsidR="00003941" w:rsidRPr="002F1C98">
        <w:t>T</w:t>
      </w:r>
      <w:r w:rsidRPr="002F1C98">
        <w:t xml:space="preserve">he </w:t>
      </w:r>
      <w:r w:rsidR="00EE5721">
        <w:t>C</w:t>
      </w:r>
      <w:r w:rsidR="00EE5721" w:rsidRPr="002F1C98">
        <w:t>hair</w:t>
      </w:r>
      <w:r w:rsidR="00EE5721">
        <w:t>man</w:t>
      </w:r>
      <w:r w:rsidR="00EE5721" w:rsidRPr="002F1C98">
        <w:t xml:space="preserve"> </w:t>
      </w:r>
      <w:r w:rsidRPr="002F1C98">
        <w:t xml:space="preserve">of the Audit Committee, the Investment Manager and the external auditor, Ernst &amp; Young LLP, </w:t>
      </w:r>
      <w:r w:rsidR="00003941" w:rsidRPr="002F1C98">
        <w:t>have held discussions regarding</w:t>
      </w:r>
      <w:r w:rsidRPr="002F1C98">
        <w:t xml:space="preserve"> the audit approach and identified risks. </w:t>
      </w:r>
      <w:r w:rsidR="00E43933">
        <w:t>The external auditor</w:t>
      </w:r>
      <w:r w:rsidR="003614AE">
        <w:t>s</w:t>
      </w:r>
      <w:r w:rsidR="004A0A08" w:rsidRPr="004A0A08">
        <w:t xml:space="preserve"> attend </w:t>
      </w:r>
      <w:r w:rsidR="0034577E">
        <w:t xml:space="preserve">Audit </w:t>
      </w:r>
      <w:r w:rsidR="004A0A08" w:rsidRPr="004A0A08">
        <w:t>Committee meetings and a private meeting is routinely hel</w:t>
      </w:r>
      <w:r w:rsidR="00E43933">
        <w:t>d with the external auditor</w:t>
      </w:r>
      <w:r w:rsidR="003614AE">
        <w:t>s</w:t>
      </w:r>
      <w:r w:rsidR="004A0A08" w:rsidRPr="004A0A08">
        <w:t xml:space="preserve"> to afford them the opportunity of discussions without the presence of management. </w:t>
      </w:r>
      <w:r w:rsidR="004A0A08" w:rsidRPr="002F1C98">
        <w:t>The Audit Committee activities are contained in th</w:t>
      </w:r>
      <w:r w:rsidR="001D5B65">
        <w:t>e Report of the Audit Committee</w:t>
      </w:r>
      <w:r w:rsidR="00D62E5A">
        <w:t>.</w:t>
      </w:r>
    </w:p>
    <w:p w14:paraId="24AAA84F" w14:textId="77777777" w:rsidR="00A174E7" w:rsidRPr="002F1C98" w:rsidRDefault="00A174E7" w:rsidP="00B4108A">
      <w:pPr>
        <w:autoSpaceDE w:val="0"/>
        <w:autoSpaceDN w:val="0"/>
        <w:adjustRightInd w:val="0"/>
        <w:jc w:val="both"/>
      </w:pPr>
    </w:p>
    <w:p w14:paraId="3CF869D8" w14:textId="124B6250" w:rsidR="007D0674" w:rsidRPr="00811BA1" w:rsidRDefault="007D0674" w:rsidP="00B4108A">
      <w:pPr>
        <w:pStyle w:val="Heading3"/>
        <w:jc w:val="both"/>
      </w:pPr>
      <w:r w:rsidRPr="00811BA1">
        <w:t>Nomination Committee</w:t>
      </w:r>
    </w:p>
    <w:p w14:paraId="6738C0B7" w14:textId="6928AE0D" w:rsidR="00F47A5B" w:rsidRDefault="007D0674" w:rsidP="00B4108A">
      <w:pPr>
        <w:pStyle w:val="Bodytext"/>
        <w:jc w:val="both"/>
      </w:pPr>
      <w:r w:rsidRPr="00811BA1">
        <w:t xml:space="preserve">The Nomination Committee is chaired by </w:t>
      </w:r>
      <w:r w:rsidR="00542FD3">
        <w:t xml:space="preserve">Mr Hayden </w:t>
      </w:r>
      <w:r w:rsidRPr="00811BA1">
        <w:t>and comprises Mr Barker</w:t>
      </w:r>
      <w:r w:rsidR="00542FD3">
        <w:t>,</w:t>
      </w:r>
      <w:r w:rsidRPr="00811BA1">
        <w:t xml:space="preserve"> Mr Firth</w:t>
      </w:r>
      <w:r w:rsidR="00542FD3">
        <w:t xml:space="preserve">, </w:t>
      </w:r>
      <w:r w:rsidR="006A1F82">
        <w:t xml:space="preserve">Mr Thompson </w:t>
      </w:r>
      <w:r w:rsidR="00B41853">
        <w:t xml:space="preserve">and </w:t>
      </w:r>
      <w:r w:rsidR="00542FD3">
        <w:t>M</w:t>
      </w:r>
      <w:r w:rsidR="00CF55AC">
        <w:t>r</w:t>
      </w:r>
      <w:r w:rsidR="00542FD3">
        <w:t>s Whitte</w:t>
      </w:r>
      <w:r w:rsidR="00596E42">
        <w:t>t</w:t>
      </w:r>
      <w:r w:rsidR="006A1F82">
        <w:t>.</w:t>
      </w:r>
    </w:p>
    <w:p w14:paraId="6ED37FD9" w14:textId="77777777" w:rsidR="00504BA5" w:rsidRDefault="00504BA5" w:rsidP="00B4108A">
      <w:pPr>
        <w:autoSpaceDE w:val="0"/>
        <w:autoSpaceDN w:val="0"/>
        <w:adjustRightInd w:val="0"/>
        <w:jc w:val="both"/>
      </w:pPr>
    </w:p>
    <w:p w14:paraId="5BE8C142" w14:textId="0F5F9FD9" w:rsidR="00C55FE5" w:rsidRDefault="007D0674" w:rsidP="00B4108A">
      <w:pPr>
        <w:autoSpaceDE w:val="0"/>
        <w:autoSpaceDN w:val="0"/>
        <w:adjustRightInd w:val="0"/>
        <w:jc w:val="both"/>
      </w:pPr>
      <w:r w:rsidRPr="00D5715F">
        <w:t>The Nomination Committee meets at least once a year pursuant to its terms o</w:t>
      </w:r>
      <w:r w:rsidR="00870DFC" w:rsidRPr="00D5715F">
        <w:t xml:space="preserve">f reference </w:t>
      </w:r>
      <w:r w:rsidRPr="00D5715F">
        <w:t>and met on</w:t>
      </w:r>
      <w:r w:rsidR="00F65EEC">
        <w:t xml:space="preserve"> 26 February 2019</w:t>
      </w:r>
      <w:r w:rsidRPr="00D5715F">
        <w:t>.</w:t>
      </w:r>
      <w:r w:rsidR="00F47A5B" w:rsidRPr="00D5715F">
        <w:t xml:space="preserve"> </w:t>
      </w:r>
      <w:r w:rsidRPr="00D5715F">
        <w:t xml:space="preserve">The Nomination Committee is convened for the purpose of considering the appointment of additional Directors as and when considered </w:t>
      </w:r>
      <w:r w:rsidRPr="00EE08EA">
        <w:t xml:space="preserve">appropriate. </w:t>
      </w:r>
      <w:r w:rsidR="0034601B" w:rsidRPr="00EE08EA">
        <w:t xml:space="preserve">The </w:t>
      </w:r>
      <w:r w:rsidR="00533BAF">
        <w:t xml:space="preserve">Nomination </w:t>
      </w:r>
      <w:r w:rsidR="0034601B" w:rsidRPr="00EE08EA">
        <w:t xml:space="preserve">Committee recognises the continuing importance of planning for the future and ensuring that succession plans are in place. </w:t>
      </w:r>
      <w:r w:rsidR="00C55FE5" w:rsidRPr="00EE08EA">
        <w:t>In considering appointments to the Board, the Nomination Committee takes into account the ongoing requirements of the Company and evaluates the balance of skills, experience, independence, and knowledge of each candidate. Appointments are therefore made on personal merit and against objective criteria with the aim of bringing new skills and different perspectives to the Board whilst taking into account the existing balance of knowledge, experience and diversity.</w:t>
      </w:r>
    </w:p>
    <w:p w14:paraId="7548B36A" w14:textId="77777777" w:rsidR="0034601B" w:rsidRDefault="0034601B" w:rsidP="00B4108A">
      <w:pPr>
        <w:autoSpaceDE w:val="0"/>
        <w:autoSpaceDN w:val="0"/>
        <w:adjustRightInd w:val="0"/>
        <w:jc w:val="both"/>
      </w:pPr>
    </w:p>
    <w:p w14:paraId="635DCCDC" w14:textId="1F193BD4" w:rsidR="007D0674" w:rsidRPr="00D5715F" w:rsidRDefault="00AE5445" w:rsidP="00B4108A">
      <w:pPr>
        <w:autoSpaceDE w:val="0"/>
        <w:autoSpaceDN w:val="0"/>
        <w:adjustRightInd w:val="0"/>
        <w:jc w:val="both"/>
      </w:pPr>
      <w:r w:rsidRPr="00D5715F">
        <w:t xml:space="preserve">In the case of candidates for </w:t>
      </w:r>
      <w:r w:rsidR="00906A32">
        <w:t>N</w:t>
      </w:r>
      <w:r w:rsidRPr="00D5715F">
        <w:t xml:space="preserve">on-executive </w:t>
      </w:r>
      <w:r w:rsidR="00906A32">
        <w:t>D</w:t>
      </w:r>
      <w:r w:rsidRPr="00D5715F">
        <w:t xml:space="preserve">irectorships, care is taken to ascertain that they have sufficient time to fulfil their Board and, where relevant, </w:t>
      </w:r>
      <w:r w:rsidR="0053379A">
        <w:t>c</w:t>
      </w:r>
      <w:r w:rsidRPr="00D5715F">
        <w:t>ommittee responsibilities.</w:t>
      </w:r>
      <w:r w:rsidR="00504BA5">
        <w:t xml:space="preserve"> </w:t>
      </w:r>
      <w:r w:rsidR="00B93CF3" w:rsidRPr="00D5715F">
        <w:t xml:space="preserve">The Board believes that the terms of reference of the Nomination Committee ensure that it operates in a rigorous and transparent manner. </w:t>
      </w:r>
      <w:r w:rsidR="007D0674" w:rsidRPr="00D5715F">
        <w:t>The Board believes that, as a whole, it comprises an appropriate balance of skills, experience and knowledge. The Board also believes that diversity of experience and approach, including gender diversity, amongst Board members is of great importance and it is the Company’s policy to give careful consideration to issues of Board balance and diversity when making new appointments.</w:t>
      </w:r>
      <w:r w:rsidR="00DD60AD">
        <w:t xml:space="preserve"> The Board remains focu</w:t>
      </w:r>
      <w:r w:rsidR="002969DF">
        <w:t>s</w:t>
      </w:r>
      <w:r w:rsidR="00DD60AD">
        <w:t>sed on the guidelines outlined by the Hampton-Alexander Review and The Parker Review.</w:t>
      </w:r>
    </w:p>
    <w:p w14:paraId="179F4B44" w14:textId="77777777" w:rsidR="0000645D" w:rsidRPr="00811BA1" w:rsidRDefault="0000645D" w:rsidP="00B4108A">
      <w:pPr>
        <w:pStyle w:val="Bodytext"/>
        <w:jc w:val="both"/>
      </w:pPr>
    </w:p>
    <w:p w14:paraId="47CF0CB6" w14:textId="77777777" w:rsidR="00635915" w:rsidRDefault="00635915" w:rsidP="00B4108A">
      <w:pPr>
        <w:pStyle w:val="Bodytext"/>
        <w:jc w:val="both"/>
      </w:pPr>
      <w:r>
        <w:t>The Nominations Committee has reviewed the composition, structure and diversity of the Board, succession planning, the independence of the Directors and whether each of the Directors has sufficient time available to discharge their duties effectively.  The Committee and the Board confirm that they believe that the Board has an appropriate mix of skills and backgrounds and was selected with that in mind, that a majority of Directors should be considered as Independent in accordance with the provisions of the AIC Code and that all Directors have the time available to discharge their duties effectively.</w:t>
      </w:r>
    </w:p>
    <w:p w14:paraId="6D276DF1" w14:textId="77777777" w:rsidR="00635915" w:rsidRDefault="00635915" w:rsidP="00B4108A">
      <w:pPr>
        <w:pStyle w:val="Bodytext"/>
        <w:jc w:val="both"/>
      </w:pPr>
    </w:p>
    <w:p w14:paraId="12F23184" w14:textId="77777777" w:rsidR="0042343A" w:rsidRDefault="0042343A" w:rsidP="0042343A">
      <w:pPr>
        <w:pStyle w:val="Bodytext"/>
      </w:pPr>
      <w:r>
        <w:t xml:space="preserve">Notwithstanding that Claire Whittet is on the Boards of six companies listed on the London Stock Exchange or Euronext, the Committee noted that she is a full-time non-executive director and that all of the six companies are listed investment companies where the level of complexity and time commitment required is lower than larger trading companies. Further, they noted that Mrs Whittet has attended all Board and main committee meetings during the year and that she has always shown the time commitment to discharge fully and effectively her duties as a Director. </w:t>
      </w:r>
    </w:p>
    <w:p w14:paraId="67B467C2" w14:textId="12854402" w:rsidR="00635915" w:rsidRDefault="00635915" w:rsidP="00B4108A">
      <w:pPr>
        <w:pStyle w:val="Bodytext"/>
        <w:jc w:val="both"/>
      </w:pPr>
    </w:p>
    <w:p w14:paraId="108ADFC7" w14:textId="77777777" w:rsidR="0042343A" w:rsidRDefault="0042343A" w:rsidP="0042343A">
      <w:pPr>
        <w:pStyle w:val="Bodytext"/>
      </w:pPr>
      <w:r>
        <w:t xml:space="preserve">Patrick Firth is a director and Chairman of the Audit Committee of four companies listed on the London Stock Exchange. He is also a full-time non-executive director and all of the four companies are listed investment companies. Further, they noted that Mr Firth has attended all Board and main committee meetings during the </w:t>
      </w:r>
      <w:r>
        <w:lastRenderedPageBreak/>
        <w:t>year and that he has always demonstrated the time commitment to discharge fully and effectively his duties as a Director.</w:t>
      </w:r>
    </w:p>
    <w:p w14:paraId="28592C9C" w14:textId="77777777" w:rsidR="00635915" w:rsidRDefault="00635915" w:rsidP="00B4108A">
      <w:pPr>
        <w:pStyle w:val="Bodytext"/>
        <w:jc w:val="both"/>
      </w:pPr>
    </w:p>
    <w:p w14:paraId="2A26ADA9" w14:textId="77777777" w:rsidR="00635915" w:rsidRDefault="00635915" w:rsidP="00B4108A">
      <w:pPr>
        <w:pStyle w:val="Bodytext"/>
        <w:jc w:val="both"/>
      </w:pPr>
      <w:r>
        <w:t>Accordingly, the Board recommends that Shareholders vote in favour of the re-election of all Directors at the forthcoming AGM.</w:t>
      </w:r>
    </w:p>
    <w:p w14:paraId="6963BEC6" w14:textId="77777777" w:rsidR="00DC4AE3" w:rsidRPr="00811BA1" w:rsidRDefault="00DC4AE3" w:rsidP="00B4108A">
      <w:pPr>
        <w:pStyle w:val="Bodytext"/>
        <w:jc w:val="both"/>
      </w:pPr>
    </w:p>
    <w:p w14:paraId="0F538E0F" w14:textId="77777777" w:rsidR="00AD266D" w:rsidRPr="00811BA1" w:rsidRDefault="00AD266D" w:rsidP="00B4108A">
      <w:pPr>
        <w:pStyle w:val="Heading3"/>
        <w:jc w:val="both"/>
      </w:pPr>
      <w:r w:rsidRPr="00621AE9">
        <w:t xml:space="preserve">Management Engagement </w:t>
      </w:r>
      <w:r w:rsidRPr="00701912">
        <w:t>Committee</w:t>
      </w:r>
    </w:p>
    <w:p w14:paraId="137D9DAF" w14:textId="3F76553A" w:rsidR="00AD266D" w:rsidRPr="00811BA1" w:rsidRDefault="00AD266D" w:rsidP="00B4108A">
      <w:pPr>
        <w:pStyle w:val="Bodytext"/>
        <w:jc w:val="both"/>
      </w:pPr>
      <w:r w:rsidRPr="00811BA1">
        <w:t xml:space="preserve">The Management Engagement Committee is chaired by </w:t>
      </w:r>
      <w:r w:rsidR="00F77900">
        <w:t>M</w:t>
      </w:r>
      <w:r w:rsidR="00CF55AC">
        <w:t>r</w:t>
      </w:r>
      <w:r w:rsidR="00F77900">
        <w:t xml:space="preserve">s </w:t>
      </w:r>
      <w:r w:rsidR="000B5423">
        <w:t xml:space="preserve">Whittet </w:t>
      </w:r>
      <w:r w:rsidR="000B5423" w:rsidRPr="00811BA1">
        <w:t>and</w:t>
      </w:r>
      <w:r w:rsidRPr="00811BA1">
        <w:t xml:space="preserve"> comprises </w:t>
      </w:r>
      <w:r w:rsidR="00C009FD" w:rsidRPr="00811BA1">
        <w:t>Mr Barker</w:t>
      </w:r>
      <w:r w:rsidR="00542FD3">
        <w:t xml:space="preserve">, </w:t>
      </w:r>
      <w:r w:rsidR="00C009FD">
        <w:t>Mr Hayden</w:t>
      </w:r>
      <w:r w:rsidRPr="00811BA1">
        <w:t>,</w:t>
      </w:r>
      <w:r w:rsidR="006A1F82">
        <w:t xml:space="preserve"> Mr Firth</w:t>
      </w:r>
      <w:r w:rsidR="00B41853">
        <w:t xml:space="preserve"> and</w:t>
      </w:r>
      <w:r w:rsidRPr="00811BA1">
        <w:t xml:space="preserve"> Mr</w:t>
      </w:r>
      <w:r w:rsidR="00184565">
        <w:t xml:space="preserve"> </w:t>
      </w:r>
      <w:r w:rsidR="006A1F82">
        <w:t>Thompson</w:t>
      </w:r>
      <w:r w:rsidR="00D80211" w:rsidRPr="00811BA1">
        <w:t>.</w:t>
      </w:r>
      <w:r w:rsidR="00D80211">
        <w:t xml:space="preserve"> </w:t>
      </w:r>
      <w:r w:rsidRPr="00811BA1">
        <w:t>The Management Engagement Committee meets at least once a year pursuant to its terms of reference.</w:t>
      </w:r>
    </w:p>
    <w:p w14:paraId="5516F9F2" w14:textId="77777777" w:rsidR="00AD266D" w:rsidRPr="00811BA1" w:rsidRDefault="00AD266D" w:rsidP="00B4108A">
      <w:pPr>
        <w:pStyle w:val="Bodytext"/>
        <w:jc w:val="both"/>
      </w:pPr>
    </w:p>
    <w:p w14:paraId="6D7F9BAB" w14:textId="77777777" w:rsidR="00AD266D" w:rsidRPr="00811BA1" w:rsidRDefault="00AD266D" w:rsidP="00B4108A">
      <w:pPr>
        <w:pStyle w:val="Bodytext"/>
        <w:jc w:val="both"/>
      </w:pPr>
      <w:r w:rsidRPr="00811BA1">
        <w:t>The Management Engagement Committee provides a formal mechanism for the review of the performance of the Investment Manager and the Company’s other advisors and service providers. It carries out this review through consideration of a number of objective and subjective criteria and through a review of the terms and conditions of the advisors’ appointments with the aim of evaluating performance, identifying any weaknesses and ensuring value for money for the Shareholders.</w:t>
      </w:r>
    </w:p>
    <w:p w14:paraId="5383D865" w14:textId="77777777" w:rsidR="00AD266D" w:rsidRPr="00811BA1" w:rsidRDefault="00AD266D" w:rsidP="00B4108A">
      <w:pPr>
        <w:pStyle w:val="Bodytext"/>
        <w:jc w:val="both"/>
      </w:pPr>
    </w:p>
    <w:p w14:paraId="3EFE7ABE" w14:textId="77777777" w:rsidR="00A15994" w:rsidRPr="00811BA1" w:rsidRDefault="00A15994" w:rsidP="00B4108A">
      <w:pPr>
        <w:pStyle w:val="Heading3"/>
        <w:jc w:val="both"/>
      </w:pPr>
      <w:r w:rsidRPr="00811BA1">
        <w:t>Board Performance and Evaluation</w:t>
      </w:r>
    </w:p>
    <w:p w14:paraId="2F682C37" w14:textId="7E710AE2" w:rsidR="005C138C" w:rsidRDefault="00A15994" w:rsidP="00B4108A">
      <w:pPr>
        <w:pStyle w:val="Bodytext"/>
        <w:jc w:val="both"/>
      </w:pPr>
      <w:r w:rsidRPr="00811BA1">
        <w:t xml:space="preserve">In accordance with </w:t>
      </w:r>
      <w:r w:rsidR="003629DC">
        <w:t>Provision 26</w:t>
      </w:r>
      <w:r w:rsidRPr="00811BA1">
        <w:t xml:space="preserve"> of the AIC Code which requires a formal and rigorous annual evaluation of its performance, the Board formally reviews its performance annually through an internal process. Internal evaluation of the Board, the Audit Committee, the Nomination Committee, the Management Engagement Committee and individual Directors has taken the form of self-appraisal questionnaires and discussions to </w:t>
      </w:r>
      <w:r w:rsidRPr="001460DE">
        <w:t>determine effectiveness and performance in various areas as well as the Directors’ continued independence.</w:t>
      </w:r>
    </w:p>
    <w:p w14:paraId="02CF08AB" w14:textId="5B8C460C" w:rsidR="005C138C" w:rsidRDefault="00EC71D9" w:rsidP="00B4108A">
      <w:pPr>
        <w:pStyle w:val="Bodytext"/>
        <w:jc w:val="both"/>
      </w:pPr>
      <w:r w:rsidRPr="001460DE">
        <w:t xml:space="preserve"> </w:t>
      </w:r>
    </w:p>
    <w:p w14:paraId="18132DEC" w14:textId="2061CED4" w:rsidR="00055B2A" w:rsidRDefault="005C138C" w:rsidP="00B4108A">
      <w:pPr>
        <w:autoSpaceDE w:val="0"/>
        <w:autoSpaceDN w:val="0"/>
        <w:adjustRightInd w:val="0"/>
        <w:jc w:val="both"/>
      </w:pPr>
      <w:r w:rsidRPr="0036395F">
        <w:t>The Board believes that annual evaluations are helpful and provide a valuable opportunity for continuous improvement.</w:t>
      </w:r>
      <w:r>
        <w:t xml:space="preserve"> </w:t>
      </w:r>
      <w:r w:rsidRPr="0036395F">
        <w:t>In 201</w:t>
      </w:r>
      <w:r>
        <w:t>9</w:t>
      </w:r>
      <w:r w:rsidRPr="0036395F">
        <w:t>, an externally</w:t>
      </w:r>
      <w:r w:rsidR="00DD0715">
        <w:t xml:space="preserve"> </w:t>
      </w:r>
      <w:r w:rsidRPr="0036395F">
        <w:t>facilitated review of the Board, its Committees and individual Directors (including the Chairman) was</w:t>
      </w:r>
      <w:r>
        <w:t xml:space="preserve"> u</w:t>
      </w:r>
      <w:r w:rsidRPr="0036395F">
        <w:t>ndertaken.</w:t>
      </w:r>
      <w:r>
        <w:t xml:space="preserve"> </w:t>
      </w:r>
      <w:r w:rsidRPr="00D5715F">
        <w:t xml:space="preserve">The Board evaluation was facilitated by </w:t>
      </w:r>
      <w:r w:rsidR="00361C2B">
        <w:t xml:space="preserve">Active </w:t>
      </w:r>
      <w:r w:rsidRPr="00D5715F">
        <w:t>Optimus Limited</w:t>
      </w:r>
      <w:r w:rsidR="00361C2B">
        <w:t xml:space="preserve"> (“Optimus”)</w:t>
      </w:r>
      <w:r w:rsidRPr="00D5715F">
        <w:t>.</w:t>
      </w:r>
      <w:r>
        <w:t xml:space="preserve"> </w:t>
      </w:r>
      <w:r w:rsidRPr="0036395F">
        <w:t>The 201</w:t>
      </w:r>
      <w:r>
        <w:t>9</w:t>
      </w:r>
      <w:r w:rsidRPr="0036395F">
        <w:t xml:space="preserve"> Board effectiveness review took the form of a structured questionnaire which covered a range of key topics</w:t>
      </w:r>
      <w:r>
        <w:t xml:space="preserve"> </w:t>
      </w:r>
      <w:r w:rsidRPr="0036395F">
        <w:t>including composition, skills, knowledge and experience of the Board, the respective roles and responsibilities of the</w:t>
      </w:r>
      <w:r>
        <w:t xml:space="preserve"> </w:t>
      </w:r>
      <w:r w:rsidRPr="0036395F">
        <w:t>Non-executive and Executive Directors, quality of strategic and risk debate, the effectiveness of decision making</w:t>
      </w:r>
      <w:r>
        <w:t xml:space="preserve"> </w:t>
      </w:r>
      <w:r w:rsidRPr="0036395F">
        <w:t>and interactions with management together with one to one discussions between</w:t>
      </w:r>
      <w:r>
        <w:t xml:space="preserve"> Optimus and each of the Directors, including</w:t>
      </w:r>
      <w:r w:rsidRPr="0036395F">
        <w:t xml:space="preserve"> the Chairman.</w:t>
      </w:r>
      <w:r>
        <w:t xml:space="preserve"> </w:t>
      </w:r>
      <w:r w:rsidRPr="0036395F">
        <w:t>All Directors participated in the evaluation, and the findings were collectively</w:t>
      </w:r>
      <w:r>
        <w:t xml:space="preserve"> </w:t>
      </w:r>
      <w:r w:rsidRPr="0036395F">
        <w:t>considered by the Board.</w:t>
      </w:r>
    </w:p>
    <w:p w14:paraId="3F2A98DE" w14:textId="77777777" w:rsidR="00055B2A" w:rsidRDefault="00055B2A" w:rsidP="00B4108A">
      <w:pPr>
        <w:autoSpaceDE w:val="0"/>
        <w:autoSpaceDN w:val="0"/>
        <w:adjustRightInd w:val="0"/>
        <w:jc w:val="both"/>
      </w:pPr>
    </w:p>
    <w:p w14:paraId="2B23A3B5" w14:textId="07B28E53" w:rsidR="00055B2A" w:rsidRDefault="005C138C" w:rsidP="00B4108A">
      <w:pPr>
        <w:autoSpaceDE w:val="0"/>
        <w:autoSpaceDN w:val="0"/>
        <w:adjustRightInd w:val="0"/>
        <w:jc w:val="both"/>
      </w:pPr>
      <w:r w:rsidRPr="00BC71AE">
        <w:t>No significant areas of weaknesses were highlighted during the evaluation</w:t>
      </w:r>
      <w:r w:rsidR="00934E90" w:rsidRPr="00BC71AE">
        <w:t>, but</w:t>
      </w:r>
      <w:r w:rsidR="00934E90">
        <w:t xml:space="preserve"> Optimus did</w:t>
      </w:r>
      <w:r w:rsidR="00853B10">
        <w:t xml:space="preserve"> note that,</w:t>
      </w:r>
      <w:r w:rsidR="00853B10" w:rsidRPr="00853B10">
        <w:rPr>
          <w:rFonts w:eastAsia="Times New Roman"/>
        </w:rPr>
        <w:t xml:space="preserve"> </w:t>
      </w:r>
      <w:r w:rsidR="00853B10" w:rsidRPr="007F6735">
        <w:rPr>
          <w:rFonts w:eastAsia="Times New Roman"/>
        </w:rPr>
        <w:t xml:space="preserve">as provided in the Investment Management Agreement (and set forth in the </w:t>
      </w:r>
      <w:r w:rsidR="00853B10">
        <w:rPr>
          <w:rFonts w:eastAsia="Times New Roman"/>
        </w:rPr>
        <w:t>P</w:t>
      </w:r>
      <w:r w:rsidR="00853B10" w:rsidRPr="007F6735">
        <w:rPr>
          <w:rFonts w:eastAsia="Times New Roman"/>
        </w:rPr>
        <w:t>rospectus</w:t>
      </w:r>
      <w:r w:rsidR="00F75528">
        <w:rPr>
          <w:rFonts w:eastAsia="Times New Roman"/>
        </w:rPr>
        <w:t>es</w:t>
      </w:r>
      <w:r w:rsidR="00853B10" w:rsidRPr="007F6735">
        <w:rPr>
          <w:rFonts w:eastAsia="Times New Roman"/>
        </w:rPr>
        <w:t>)</w:t>
      </w:r>
      <w:r w:rsidR="00853B10">
        <w:rPr>
          <w:rFonts w:eastAsia="Times New Roman"/>
        </w:rPr>
        <w:t>,</w:t>
      </w:r>
      <w:r w:rsidR="00853B10">
        <w:t xml:space="preserve"> </w:t>
      </w:r>
      <w:r w:rsidR="00853B10" w:rsidRPr="007F6735">
        <w:rPr>
          <w:rFonts w:eastAsia="Times New Roman"/>
        </w:rPr>
        <w:t>the Board is not empowered to authorise changes to the capital structure, including dividends and share repurchase</w:t>
      </w:r>
      <w:r w:rsidR="00853B10">
        <w:rPr>
          <w:rFonts w:eastAsia="Times New Roman"/>
        </w:rPr>
        <w:t>,</w:t>
      </w:r>
      <w:r w:rsidR="00853B10" w:rsidRPr="007F6735">
        <w:rPr>
          <w:rFonts w:eastAsia="Times New Roman"/>
        </w:rPr>
        <w:t xml:space="preserve"> without the consent of the Investment Manager</w:t>
      </w:r>
      <w:r w:rsidR="00187252">
        <w:rPr>
          <w:rFonts w:eastAsia="Times New Roman"/>
        </w:rPr>
        <w:t>,</w:t>
      </w:r>
      <w:r w:rsidR="000036A3">
        <w:rPr>
          <w:rFonts w:eastAsia="Times New Roman"/>
        </w:rPr>
        <w:t xml:space="preserve"> which is not generally consistent for UK listed investment companies</w:t>
      </w:r>
      <w:r w:rsidR="00853B10">
        <w:t>.</w:t>
      </w:r>
      <w:r w:rsidR="00934E90">
        <w:t xml:space="preserve"> </w:t>
      </w:r>
      <w:r w:rsidR="003A381C">
        <w:t xml:space="preserve">Additionally, Optimus </w:t>
      </w:r>
      <w:r w:rsidR="00934E90">
        <w:t>provide</w:t>
      </w:r>
      <w:r w:rsidR="003A381C">
        <w:t>d</w:t>
      </w:r>
      <w:r w:rsidR="00934E90">
        <w:t xml:space="preserve"> a few suggestions of improvements in order to enhance REL’s level of compliance with the </w:t>
      </w:r>
      <w:r w:rsidR="001A43CE">
        <w:t xml:space="preserve">AIC Code, including the amendment of the Investment Management Agreement, succession planning and shareholder relations in anticipation of a potential </w:t>
      </w:r>
      <w:r w:rsidR="000B69EE">
        <w:t>D</w:t>
      </w:r>
      <w:r w:rsidR="001A43CE">
        <w:t>iscontinuation</w:t>
      </w:r>
      <w:r w:rsidR="000B69EE">
        <w:t xml:space="preserve"> Resolution</w:t>
      </w:r>
      <w:r w:rsidR="001A43CE">
        <w:t xml:space="preserve"> </w:t>
      </w:r>
      <w:r w:rsidR="00BF4E59">
        <w:t>V</w:t>
      </w:r>
      <w:r w:rsidR="001A43CE">
        <w:t>ote.</w:t>
      </w:r>
      <w:r w:rsidR="00055B2A">
        <w:t xml:space="preserve"> On 3 January 2020, the Company announced amendments to Performance Allocation arrangements under the Investment Management Agreement that are effective from 30 June 2019 (see Investment Management Agreement section of Corporate Governance Report for further detail). The Board monitors the tenure of each Director</w:t>
      </w:r>
      <w:r w:rsidR="000B69EE">
        <w:t xml:space="preserve"> with regards to succession planning and plans to arrange for meetings with key Shareholders in advance of a potential Discontinuation Resolution </w:t>
      </w:r>
      <w:r w:rsidR="00BF4E59">
        <w:t>V</w:t>
      </w:r>
      <w:r w:rsidR="000B69EE">
        <w:t>ote (see Going Concern section of Report of the Directors for further detail)</w:t>
      </w:r>
      <w:r w:rsidR="00055B2A">
        <w:t>.</w:t>
      </w:r>
      <w:r w:rsidRPr="0036395F">
        <w:t xml:space="preserve"> </w:t>
      </w:r>
    </w:p>
    <w:p w14:paraId="31D195D3" w14:textId="77777777" w:rsidR="00055B2A" w:rsidRDefault="00055B2A" w:rsidP="00B4108A">
      <w:pPr>
        <w:autoSpaceDE w:val="0"/>
        <w:autoSpaceDN w:val="0"/>
        <w:adjustRightInd w:val="0"/>
        <w:jc w:val="both"/>
      </w:pPr>
    </w:p>
    <w:p w14:paraId="56E23864" w14:textId="5B691050" w:rsidR="005F6E3D" w:rsidRPr="0036395F" w:rsidRDefault="00934E90" w:rsidP="00B4108A">
      <w:pPr>
        <w:autoSpaceDE w:val="0"/>
        <w:autoSpaceDN w:val="0"/>
        <w:adjustRightInd w:val="0"/>
        <w:jc w:val="both"/>
      </w:pPr>
      <w:r>
        <w:t>T</w:t>
      </w:r>
      <w:r w:rsidR="005C138C" w:rsidRPr="0036395F">
        <w:t>he Board concluded that it had operated</w:t>
      </w:r>
      <w:r w:rsidR="005C138C">
        <w:t xml:space="preserve"> effectively throughout </w:t>
      </w:r>
      <w:r w:rsidR="005C138C" w:rsidRPr="0036395F">
        <w:t>201</w:t>
      </w:r>
      <w:r w:rsidR="005C138C">
        <w:t>9</w:t>
      </w:r>
      <w:r w:rsidR="005C138C" w:rsidRPr="0036395F">
        <w:t xml:space="preserve"> and the Board is confident in its ability to continue effectively to lead the Company and oversee its affairs. The Board believes that the current mix of skills, experience, knowledge and age of the Directors is appropriate to the requirements of the Company.</w:t>
      </w:r>
      <w:r w:rsidR="00055B2A">
        <w:t xml:space="preserve"> </w:t>
      </w:r>
      <w:r w:rsidR="005F6E3D">
        <w:t xml:space="preserve">The Board commissions an independent evaluation of its performance every three years. The next independent evaluation is due in </w:t>
      </w:r>
      <w:r w:rsidR="005C138C">
        <w:t>2022</w:t>
      </w:r>
      <w:r w:rsidR="005F6E3D">
        <w:t>.</w:t>
      </w:r>
    </w:p>
    <w:p w14:paraId="33A58F16" w14:textId="77777777" w:rsidR="0036395F" w:rsidRPr="00811BA1" w:rsidRDefault="0036395F" w:rsidP="00B4108A">
      <w:pPr>
        <w:pStyle w:val="Bodytext"/>
        <w:jc w:val="both"/>
      </w:pPr>
    </w:p>
    <w:p w14:paraId="7561E1D5" w14:textId="77777777" w:rsidR="00A15994" w:rsidRPr="00811BA1" w:rsidRDefault="00A15994" w:rsidP="00B4108A">
      <w:pPr>
        <w:pStyle w:val="Bodytext"/>
        <w:jc w:val="both"/>
      </w:pPr>
      <w:r w:rsidRPr="00811BA1">
        <w:t>New Directors receive an induction on joining the Board and regularly meet with the senior management employed by the Investment Manager both formally and informally to ensure that the Board remains regularly updated on all issues. All members of the Board are members of professional bodies and serve on other Boards, which ensures they are kept abreast of the latest technical developments in their areas of expertise.</w:t>
      </w:r>
    </w:p>
    <w:p w14:paraId="47218D9B" w14:textId="77777777" w:rsidR="00A15994" w:rsidRPr="00811BA1" w:rsidRDefault="00A15994" w:rsidP="00B4108A">
      <w:pPr>
        <w:pStyle w:val="Bodytext"/>
        <w:jc w:val="both"/>
      </w:pPr>
    </w:p>
    <w:p w14:paraId="6D425C6E" w14:textId="37695712" w:rsidR="00A15994" w:rsidRPr="00811BA1" w:rsidRDefault="00A15994" w:rsidP="00B4108A">
      <w:pPr>
        <w:pStyle w:val="Bodytext"/>
        <w:jc w:val="both"/>
      </w:pPr>
      <w:r w:rsidRPr="00811BA1">
        <w:t xml:space="preserve">The Board arranges for presentations from the Investment </w:t>
      </w:r>
      <w:r w:rsidR="00003941" w:rsidRPr="00811BA1">
        <w:t>Manager</w:t>
      </w:r>
      <w:r w:rsidRPr="00811BA1">
        <w:t xml:space="preserve">, the Company’s brokers and other advisors on matters relevant to the Company’s business. The Board assesses the training needs of Directors on an annual basis. </w:t>
      </w:r>
    </w:p>
    <w:p w14:paraId="60854E52" w14:textId="77777777" w:rsidR="007D0674" w:rsidRPr="00811BA1" w:rsidRDefault="007D0674" w:rsidP="00EB7E49">
      <w:pPr>
        <w:pStyle w:val="Bodytext"/>
      </w:pPr>
    </w:p>
    <w:p w14:paraId="048852C4" w14:textId="77777777" w:rsidR="007D0674" w:rsidRPr="00811BA1" w:rsidRDefault="007D0674" w:rsidP="00EB7E49">
      <w:pPr>
        <w:pStyle w:val="Heading2"/>
      </w:pPr>
      <w:r w:rsidRPr="00811BA1">
        <w:t>Internal Co</w:t>
      </w:r>
      <w:r w:rsidR="00282286" w:rsidRPr="00811BA1">
        <w:t>ntrol and Financial Reporting</w:t>
      </w:r>
    </w:p>
    <w:p w14:paraId="7CDBD5B5" w14:textId="552DA2FC" w:rsidR="007D0674" w:rsidRPr="00811BA1" w:rsidRDefault="007D0674" w:rsidP="00AC1E56">
      <w:pPr>
        <w:pStyle w:val="Bodytext"/>
        <w:spacing w:after="80"/>
        <w:jc w:val="both"/>
      </w:pPr>
      <w:r w:rsidRPr="00811BA1">
        <w:lastRenderedPageBreak/>
        <w:t xml:space="preserve">The Directors acknowledge that they are responsible for establishing and maintaining the Company’s system of internal control and reviewing its effectiveness. Internal control systems are designed to manage rather than eliminate the failure to achieve business objectives and can only provide reasonable but not absolute assurance against material misstatements or loss. </w:t>
      </w:r>
      <w:r w:rsidR="009D268B">
        <w:t xml:space="preserve">However, the Board’s objective is to ensure that Riverstone Energy Limited has appropriate systems in place for the identification and management of </w:t>
      </w:r>
      <w:r w:rsidR="00186539">
        <w:t>risks.</w:t>
      </w:r>
      <w:r w:rsidR="00186539" w:rsidRPr="00811BA1">
        <w:t xml:space="preserve"> The</w:t>
      </w:r>
      <w:r w:rsidRPr="00811BA1">
        <w:t xml:space="preserve"> Directors </w:t>
      </w:r>
      <w:r w:rsidR="003F5074">
        <w:t xml:space="preserve">carry out a robust assessment of the principal risks facing the </w:t>
      </w:r>
      <w:r w:rsidR="002F261F">
        <w:t>Company</w:t>
      </w:r>
      <w:r w:rsidR="003F5074">
        <w:t>, including those that would threaten its business model, future performance, solvency or liquidity.</w:t>
      </w:r>
      <w:r w:rsidRPr="00811BA1">
        <w:t xml:space="preserve"> The key procedures which have been established to provide internal control are that:</w:t>
      </w:r>
    </w:p>
    <w:p w14:paraId="18A27CEA" w14:textId="77455667" w:rsidR="007D0674" w:rsidRPr="00811BA1" w:rsidRDefault="005E5D6F" w:rsidP="00AC1E56">
      <w:pPr>
        <w:pStyle w:val="Bodytext"/>
        <w:numPr>
          <w:ilvl w:val="0"/>
          <w:numId w:val="7"/>
        </w:numPr>
        <w:spacing w:after="80"/>
        <w:ind w:left="340" w:hanging="340"/>
        <w:jc w:val="both"/>
      </w:pPr>
      <w:r w:rsidRPr="00811BA1">
        <w:t>the Board has delegated the day-to-</w:t>
      </w:r>
      <w:r w:rsidR="007D0674" w:rsidRPr="00811BA1">
        <w:t>day operations of the Company to the Administrator and Investment Manager; however, it retains accountability for all functions it delegates;</w:t>
      </w:r>
    </w:p>
    <w:p w14:paraId="2C9ECFBC" w14:textId="6D1AC674" w:rsidR="007D0674" w:rsidRPr="00811BA1" w:rsidRDefault="007D0674" w:rsidP="00AC1E56">
      <w:pPr>
        <w:pStyle w:val="Bodytext"/>
        <w:numPr>
          <w:ilvl w:val="0"/>
          <w:numId w:val="7"/>
        </w:numPr>
        <w:spacing w:after="80"/>
        <w:ind w:left="340" w:hanging="340"/>
        <w:jc w:val="both"/>
      </w:pPr>
      <w:r w:rsidRPr="00811BA1">
        <w:t>the Board clearly defines the duties and responsibilities of the Company’s agents and advisors and appointments are made by the Board after due and careful consideration. The Board monitors the ongoing performance of such agents and advisors and will continue to do so through the Management Engagement Committee;</w:t>
      </w:r>
    </w:p>
    <w:p w14:paraId="63943803" w14:textId="77777777" w:rsidR="007D0674" w:rsidRPr="00811BA1" w:rsidRDefault="007D0674" w:rsidP="00AC1E56">
      <w:pPr>
        <w:pStyle w:val="Bodytext"/>
        <w:numPr>
          <w:ilvl w:val="0"/>
          <w:numId w:val="7"/>
        </w:numPr>
        <w:spacing w:after="80"/>
        <w:ind w:left="340" w:hanging="340"/>
        <w:jc w:val="both"/>
      </w:pPr>
      <w:r w:rsidRPr="00811BA1">
        <w:t>the Board monitors the actions of the Investment Manager at regular Board meetings and is given frequent updates on developments arising from the operations and strategic direction of the underlying investee companies;</w:t>
      </w:r>
    </w:p>
    <w:p w14:paraId="4835A754" w14:textId="77777777" w:rsidR="007D0674" w:rsidRPr="00811BA1" w:rsidRDefault="007D0674" w:rsidP="00AC1E56">
      <w:pPr>
        <w:pStyle w:val="Bodytext"/>
        <w:numPr>
          <w:ilvl w:val="0"/>
          <w:numId w:val="7"/>
        </w:numPr>
        <w:spacing w:after="80"/>
        <w:ind w:left="340" w:hanging="340"/>
        <w:jc w:val="both"/>
      </w:pPr>
      <w:r w:rsidRPr="00811BA1">
        <w:t>the Administrator provides administration and company secretarial services to the Company.</w:t>
      </w:r>
      <w:r w:rsidR="00CF4673" w:rsidRPr="00811BA1">
        <w:t xml:space="preserve"> </w:t>
      </w:r>
      <w:r w:rsidR="00CF4673" w:rsidRPr="00811BA1">
        <w:br/>
      </w:r>
      <w:r w:rsidRPr="00811BA1">
        <w:t>The Administrator maintains a system of internal control on which they report to the Board; and</w:t>
      </w:r>
    </w:p>
    <w:p w14:paraId="4D610BFE" w14:textId="77777777" w:rsidR="007D0674" w:rsidRPr="00811BA1" w:rsidRDefault="007D0674" w:rsidP="00AC1E56">
      <w:pPr>
        <w:pStyle w:val="Bodytext"/>
        <w:numPr>
          <w:ilvl w:val="0"/>
          <w:numId w:val="8"/>
        </w:numPr>
        <w:ind w:left="340" w:hanging="340"/>
        <w:jc w:val="both"/>
      </w:pPr>
      <w:r w:rsidRPr="00811BA1">
        <w:t>the Board has reviewed the need for an internal audit function and has decided that the systems and procedures employed by the Administrator and Investment Manager, including their own internal controls and procedures, provide sufficient assurance that an appropriate level of risk management and internal control, which safeguards Shareholders’ investment and the Company’s assets, is maintained. An internal audit function specific to the Company</w:t>
      </w:r>
      <w:r w:rsidR="00282286" w:rsidRPr="00811BA1">
        <w:t xml:space="preserve"> </w:t>
      </w:r>
      <w:r w:rsidRPr="00811BA1">
        <w:t>is therefore considered unnecessary.</w:t>
      </w:r>
    </w:p>
    <w:p w14:paraId="5C6C3D0D" w14:textId="77777777" w:rsidR="00CA3047" w:rsidRDefault="00CA3047" w:rsidP="00AC1E56">
      <w:pPr>
        <w:pStyle w:val="Bodytext"/>
        <w:jc w:val="both"/>
      </w:pPr>
    </w:p>
    <w:p w14:paraId="1F15FE3F" w14:textId="5E9AB036" w:rsidR="00282286" w:rsidRDefault="009F27C6" w:rsidP="00AC1E56">
      <w:pPr>
        <w:autoSpaceDE w:val="0"/>
        <w:autoSpaceDN w:val="0"/>
        <w:adjustRightInd w:val="0"/>
        <w:jc w:val="both"/>
      </w:pPr>
      <w:r w:rsidRPr="00954CB8">
        <w:t>Internal controls over financial reporting are designed to provide reasonable assurance</w:t>
      </w:r>
      <w:r>
        <w:t xml:space="preserve"> </w:t>
      </w:r>
      <w:r w:rsidRPr="00954CB8">
        <w:t xml:space="preserve">regarding the reliability of financial reporting and the preparation of </w:t>
      </w:r>
      <w:r w:rsidR="00E80D62">
        <w:t>F</w:t>
      </w:r>
      <w:r w:rsidRPr="00954CB8">
        <w:t xml:space="preserve">inancial </w:t>
      </w:r>
      <w:r w:rsidR="00E80D62">
        <w:t>S</w:t>
      </w:r>
      <w:r w:rsidRPr="00954CB8">
        <w:t>tatements for external reporting purposes.</w:t>
      </w:r>
      <w:r>
        <w:t xml:space="preserve"> </w:t>
      </w:r>
      <w:r w:rsidR="00CA3047" w:rsidRPr="00954CB8">
        <w:t>The Administrator and Investment Manager both operate risk controlled frameworks on a continual</w:t>
      </w:r>
      <w:r w:rsidR="00873300" w:rsidRPr="00954CB8">
        <w:t xml:space="preserve"> ongoing</w:t>
      </w:r>
      <w:r w:rsidR="00CA3047" w:rsidRPr="00954CB8">
        <w:t xml:space="preserve"> basis within a regulated environment. The Administrator has undertaken an ISAE 3402: Assurance Reports on Controls at a Service Organ</w:t>
      </w:r>
      <w:r w:rsidR="00873300" w:rsidRPr="00954CB8">
        <w:t>i</w:t>
      </w:r>
      <w:r w:rsidR="00CA3047" w:rsidRPr="00954CB8">
        <w:t xml:space="preserve">sation audit and formally reports to the Board quarterly through a compliance report. The Investment </w:t>
      </w:r>
      <w:r w:rsidR="00873300" w:rsidRPr="00954CB8">
        <w:t>M</w:t>
      </w:r>
      <w:r w:rsidR="00CA3047" w:rsidRPr="00954CB8">
        <w:t>anager formally reports to the Board quarterly including updates within Riverstone and also engages with the Board on an ad-hoc basis as required. No weaknesses or failings within the Administrator or Investment Manager have been identified.</w:t>
      </w:r>
      <w:r w:rsidR="00954CB8" w:rsidRPr="00954CB8">
        <w:t xml:space="preserve"> </w:t>
      </w:r>
    </w:p>
    <w:p w14:paraId="5BBB3E59" w14:textId="77777777" w:rsidR="00CA3047" w:rsidRPr="00811BA1" w:rsidRDefault="00CA3047" w:rsidP="00AC1E56">
      <w:pPr>
        <w:pStyle w:val="Bodytext"/>
        <w:jc w:val="both"/>
      </w:pPr>
    </w:p>
    <w:p w14:paraId="29C76ABD" w14:textId="0DA74E66" w:rsidR="007D0674" w:rsidRPr="00811BA1" w:rsidRDefault="007D0674" w:rsidP="00AC1E56">
      <w:pPr>
        <w:pStyle w:val="Bodytext"/>
        <w:jc w:val="both"/>
      </w:pPr>
      <w:r w:rsidRPr="00811BA1">
        <w:t>The systems of control referred to above are designed to ensure effectiveness and efficient operation, internal control and compliance with laws and regulations. In establishing the systems of internal control, regard is paid to the materiality of relevant risks, the likelihood of costs being incurred and costs of control. It follows therefore that the systems of internal control can only provide reasonable but not absolute assurance against the risk of material misstatement or loss.</w:t>
      </w:r>
      <w:r w:rsidR="006003A0" w:rsidRPr="006003A0">
        <w:t xml:space="preserve"> </w:t>
      </w:r>
      <w:r w:rsidR="006003A0">
        <w:t>This process has been in place for the year under review and up to the date of approval of this Annual Rep</w:t>
      </w:r>
      <w:r w:rsidR="00BA108E">
        <w:t xml:space="preserve">ort and Financial Statements. </w:t>
      </w:r>
      <w:r w:rsidR="00E23F13">
        <w:t>It i</w:t>
      </w:r>
      <w:r w:rsidR="006003A0">
        <w:t xml:space="preserve">s reviewed by the Board and is in accordance with the </w:t>
      </w:r>
      <w:r w:rsidR="00E23F13">
        <w:t xml:space="preserve">FRC’s </w:t>
      </w:r>
      <w:r w:rsidR="006003A0">
        <w:t>internal control publication: Guidance on Risk Management, Internal Control and Related Financial and Business Reporting.</w:t>
      </w:r>
    </w:p>
    <w:p w14:paraId="6256A2CF" w14:textId="77777777" w:rsidR="00282286" w:rsidRPr="00811BA1" w:rsidRDefault="00282286" w:rsidP="00EB7E49">
      <w:pPr>
        <w:pStyle w:val="Bodytext"/>
      </w:pPr>
    </w:p>
    <w:p w14:paraId="30B0CA59" w14:textId="1DA1B89A" w:rsidR="007D0674" w:rsidRPr="00811BA1" w:rsidRDefault="007D0674" w:rsidP="00EB7E49">
      <w:pPr>
        <w:pStyle w:val="Heading2"/>
      </w:pPr>
      <w:r w:rsidRPr="00811BA1">
        <w:t>Investment Management A</w:t>
      </w:r>
      <w:r w:rsidR="006C0035" w:rsidRPr="00811BA1">
        <w:t>greement</w:t>
      </w:r>
    </w:p>
    <w:p w14:paraId="094F886F" w14:textId="4C0CF45A" w:rsidR="007D0674" w:rsidRPr="00811BA1" w:rsidRDefault="007D0674" w:rsidP="00AC1E56">
      <w:pPr>
        <w:pStyle w:val="Bodytext"/>
        <w:jc w:val="both"/>
      </w:pPr>
      <w:r w:rsidRPr="00811BA1">
        <w:t xml:space="preserve">The Investment Manager </w:t>
      </w:r>
      <w:r w:rsidR="00CA0373">
        <w:t>is</w:t>
      </w:r>
      <w:r w:rsidRPr="00811BA1">
        <w:t xml:space="preserve"> the sole investment manager of the Company and the Partnership. Pursuant to the Investment Management Agreement, the Investment Manager has responsibility for and discretion over investing and managing the Company’s and the Partnership’s direct and </w:t>
      </w:r>
      <w:r w:rsidR="006C0035" w:rsidRPr="00811BA1">
        <w:t xml:space="preserve">indirect assets, subject to and </w:t>
      </w:r>
      <w:r w:rsidRPr="00811BA1">
        <w:t>in accordance with the Company’s investment policy. The Investment Manager is entitled to delegate all or part of its functions under the Investment Management Agreement to one or more of its affiliates.</w:t>
      </w:r>
    </w:p>
    <w:p w14:paraId="4B31C478" w14:textId="77777777" w:rsidR="006C0035" w:rsidRPr="00811BA1" w:rsidRDefault="006C0035" w:rsidP="00AC1E56">
      <w:pPr>
        <w:pStyle w:val="Bodytext"/>
        <w:jc w:val="both"/>
      </w:pPr>
    </w:p>
    <w:p w14:paraId="4F4B07A2" w14:textId="52D2DC78" w:rsidR="007D0674" w:rsidRPr="00811BA1" w:rsidRDefault="007D0674" w:rsidP="00AC1E56">
      <w:pPr>
        <w:pStyle w:val="Bodytext"/>
        <w:jc w:val="both"/>
      </w:pPr>
      <w:r w:rsidRPr="00811BA1">
        <w:t>The Company has delegated the provision of all services to external service providers whose work is overseen by the Management Engagement Committee at its regular scheduled meetings. Each year</w:t>
      </w:r>
      <w:r w:rsidR="00E7104F">
        <w:t>,</w:t>
      </w:r>
      <w:r w:rsidRPr="00811BA1">
        <w:t xml:space="preserve"> a detailed review of performance pursuant to their terms of engagement is undertaken by the Management Engagement Committee.</w:t>
      </w:r>
      <w:r w:rsidR="00CA0373" w:rsidRPr="00CA0373">
        <w:t xml:space="preserve"> </w:t>
      </w:r>
      <w:r w:rsidR="00CA0373">
        <w:t>In particular, during 201</w:t>
      </w:r>
      <w:r w:rsidR="002A6B68">
        <w:t>9</w:t>
      </w:r>
      <w:r w:rsidR="00E7104F">
        <w:t>,</w:t>
      </w:r>
      <w:r w:rsidR="00CA0373">
        <w:t xml:space="preserve"> the Management Engagement Committee and the Investment Manager discussed</w:t>
      </w:r>
      <w:r w:rsidR="00C344BF">
        <w:t xml:space="preserve"> fees, termination provisions, capital structure management</w:t>
      </w:r>
      <w:r w:rsidR="00E7104F">
        <w:t>,</w:t>
      </w:r>
      <w:r w:rsidR="00C344BF">
        <w:t xml:space="preserve"> </w:t>
      </w:r>
      <w:r w:rsidR="00CA0373">
        <w:t xml:space="preserve"> the performance of the Company</w:t>
      </w:r>
      <w:r w:rsidR="00E7104F">
        <w:t>,</w:t>
      </w:r>
      <w:r w:rsidR="00CA0373">
        <w:t xml:space="preserve"> and the basis of the Company's and the Investment Manager's relationship and alignment of interests at length, including the benefits to the Company of Riverstone's extensive participation in the management of all of the Company's investments and the significant equity commitment of Riverstone to the Company as one of its major </w:t>
      </w:r>
      <w:r w:rsidR="00BC71AE">
        <w:t>S</w:t>
      </w:r>
      <w:r w:rsidR="00CA0373">
        <w:t>hareholders.</w:t>
      </w:r>
    </w:p>
    <w:p w14:paraId="0C70BC1A" w14:textId="77777777" w:rsidR="006C0035" w:rsidRPr="00811BA1" w:rsidRDefault="006C0035" w:rsidP="00AC1E56">
      <w:pPr>
        <w:pStyle w:val="Bodytext"/>
        <w:jc w:val="both"/>
      </w:pPr>
    </w:p>
    <w:p w14:paraId="5BECFAA6" w14:textId="50D99546" w:rsidR="007D0674" w:rsidRDefault="007D0674" w:rsidP="00AC1E56">
      <w:pPr>
        <w:pStyle w:val="Bodytext"/>
        <w:jc w:val="both"/>
      </w:pPr>
      <w:r w:rsidRPr="00811BA1">
        <w:t>In accordance with Listing Rule 15.6.2(2)R and having formally appraised the performance and resources of the Investment Manager, in the opinion of the Directors the continuing appointment of the Investment Manager on the terms agreed is in the interests of the Shareholders as a whole.</w:t>
      </w:r>
    </w:p>
    <w:p w14:paraId="46406C21" w14:textId="308115B1" w:rsidR="00A404D4" w:rsidRDefault="00A404D4" w:rsidP="00AC1E56">
      <w:pPr>
        <w:pStyle w:val="Bodytext"/>
        <w:jc w:val="both"/>
      </w:pPr>
    </w:p>
    <w:p w14:paraId="6329E9C3" w14:textId="79CC8551" w:rsidR="00A404D4" w:rsidRDefault="00A404D4" w:rsidP="00AC1E56">
      <w:pPr>
        <w:pStyle w:val="Bodytext"/>
        <w:jc w:val="both"/>
      </w:pPr>
      <w:r>
        <w:t>On 3 January 2020, the Company announced amendments to Performance Allocation arrangements</w:t>
      </w:r>
      <w:r w:rsidR="003A6D34">
        <w:t xml:space="preserve"> under the Investment Management Agreement</w:t>
      </w:r>
      <w:r>
        <w:t xml:space="preserve"> that are effective from 30 June 2019. The amended terms on which the Company is required to pay a Performance Allocation in respect of its investment are as follows:</w:t>
      </w:r>
    </w:p>
    <w:p w14:paraId="5809067B" w14:textId="77777777" w:rsidR="00A404D4" w:rsidRDefault="00A404D4" w:rsidP="00AC1E56">
      <w:pPr>
        <w:pStyle w:val="Bodytext"/>
        <w:jc w:val="both"/>
      </w:pPr>
    </w:p>
    <w:p w14:paraId="4446EAD4" w14:textId="733F8145" w:rsidR="00A404D4" w:rsidRDefault="00A404D4" w:rsidP="00AC1E56">
      <w:pPr>
        <w:pStyle w:val="Bodytext"/>
        <w:numPr>
          <w:ilvl w:val="0"/>
          <w:numId w:val="25"/>
        </w:numPr>
        <w:jc w:val="both"/>
      </w:pPr>
      <w:r>
        <w:t>Portfolio level cost b</w:t>
      </w:r>
      <w:r w:rsidRPr="00A404D4">
        <w:t>enchmark</w:t>
      </w:r>
      <w:r>
        <w:t>:</w:t>
      </w:r>
      <w:r w:rsidRPr="00A404D4">
        <w:t> A Performance Allocation will only be distributed in respect of a realised investment if, at the time of the realisation of the relevant investment, the aggregate of the fair market value of all of the Company's then unrealised investments and the proceeds of all of its realised investments since inception exceeds the aggregate acquisition price of all of the Company's unrea</w:t>
      </w:r>
      <w:r>
        <w:t>lised and realised investments.</w:t>
      </w:r>
      <w:r w:rsidRPr="00A404D4">
        <w:t xml:space="preserve"> If this portfolio level cost benchmark is not met at the time of realisation of the relevant investment, distribution of the Performance Allocation is subject to deferment as described further below.</w:t>
      </w:r>
      <w:r w:rsidR="003A381C">
        <w:t xml:space="preserve"> </w:t>
      </w:r>
      <w:r w:rsidR="003A381C">
        <w:rPr>
          <w:rFonts w:eastAsia="Calibri"/>
        </w:rPr>
        <w:t>As of 31 December 2019, the portfolio level cost benchmark was in deficit of $254.5 million.</w:t>
      </w:r>
      <w:r w:rsidRPr="00A404D4">
        <w:t> </w:t>
      </w:r>
    </w:p>
    <w:p w14:paraId="0AD66226" w14:textId="77777777" w:rsidR="00A404D4" w:rsidRPr="00A404D4" w:rsidRDefault="00A404D4" w:rsidP="00AC1E56">
      <w:pPr>
        <w:pStyle w:val="Bodytext"/>
        <w:ind w:left="720"/>
        <w:jc w:val="both"/>
      </w:pPr>
    </w:p>
    <w:p w14:paraId="6FAB9C95" w14:textId="0E03485A" w:rsidR="00A404D4" w:rsidRDefault="00A404D4" w:rsidP="00AC1E56">
      <w:pPr>
        <w:pStyle w:val="Bodytext"/>
        <w:numPr>
          <w:ilvl w:val="0"/>
          <w:numId w:val="25"/>
        </w:numPr>
        <w:jc w:val="both"/>
      </w:pPr>
      <w:r>
        <w:t>8</w:t>
      </w:r>
      <w:r w:rsidR="00621A24">
        <w:t xml:space="preserve"> per cent.</w:t>
      </w:r>
      <w:r>
        <w:t xml:space="preserve"> hurdle r</w:t>
      </w:r>
      <w:r w:rsidRPr="00A404D4">
        <w:t>ate: A Performance Allocation will only be accrued for payment upon the realisation of an investment if the proceeds from that investment exceed an amount equal to its acquisition cost plus an 8</w:t>
      </w:r>
      <w:r w:rsidR="00621A24">
        <w:t xml:space="preserve"> per cent.</w:t>
      </w:r>
      <w:r w:rsidRPr="00A404D4">
        <w:t xml:space="preserve"> annual cumulative hurdle rate calculated from the date of investme</w:t>
      </w:r>
      <w:r>
        <w:t xml:space="preserve">nt to the date of realisation. </w:t>
      </w:r>
      <w:r w:rsidRPr="00A404D4">
        <w:t>If the hurdle is met, the Performance Allocation will be 20</w:t>
      </w:r>
      <w:r w:rsidR="00621A24">
        <w:t xml:space="preserve"> per cent.</w:t>
      </w:r>
      <w:r w:rsidRPr="00A404D4">
        <w:t xml:space="preserve"> of all Net Profits in respect of each such investment. </w:t>
      </w:r>
      <w:r w:rsidR="003A381C">
        <w:rPr>
          <w:rFonts w:eastAsia="Calibri"/>
        </w:rPr>
        <w:t>As of 31 December 2019, only the Ridgebury investment exceeded the hurdle rate</w:t>
      </w:r>
      <w:r w:rsidR="008F487F">
        <w:rPr>
          <w:rFonts w:eastAsia="Calibri"/>
        </w:rPr>
        <w:t xml:space="preserve"> and the total portfolio</w:t>
      </w:r>
      <w:r w:rsidR="00986B39">
        <w:rPr>
          <w:rFonts w:eastAsia="Calibri"/>
        </w:rPr>
        <w:t>’s</w:t>
      </w:r>
      <w:r w:rsidR="008F487F">
        <w:rPr>
          <w:rFonts w:eastAsia="Calibri"/>
        </w:rPr>
        <w:t xml:space="preserve"> </w:t>
      </w:r>
      <w:r w:rsidR="00986B39">
        <w:rPr>
          <w:rFonts w:eastAsia="Calibri"/>
        </w:rPr>
        <w:t>G</w:t>
      </w:r>
      <w:r w:rsidR="008F487F">
        <w:rPr>
          <w:rFonts w:eastAsia="Calibri"/>
        </w:rPr>
        <w:t xml:space="preserve">ross IRR is approximately </w:t>
      </w:r>
      <w:r w:rsidR="0042328C">
        <w:rPr>
          <w:rFonts w:eastAsia="Calibri"/>
        </w:rPr>
        <w:t>-</w:t>
      </w:r>
      <w:r w:rsidR="008F487F">
        <w:rPr>
          <w:rFonts w:eastAsia="Calibri"/>
        </w:rPr>
        <w:t>6 per cent</w:t>
      </w:r>
      <w:r w:rsidR="003A381C">
        <w:rPr>
          <w:rFonts w:eastAsia="Calibri"/>
        </w:rPr>
        <w:t>.</w:t>
      </w:r>
    </w:p>
    <w:p w14:paraId="78CC64AE" w14:textId="1BDFE854" w:rsidR="00A404D4" w:rsidRPr="00A404D4" w:rsidRDefault="00A404D4" w:rsidP="00AC1E56">
      <w:pPr>
        <w:pStyle w:val="Bodytext"/>
        <w:jc w:val="both"/>
      </w:pPr>
    </w:p>
    <w:p w14:paraId="25A2EA9B" w14:textId="6D3AD804" w:rsidR="00A404D4" w:rsidRDefault="00A404D4" w:rsidP="00AC1E56">
      <w:pPr>
        <w:pStyle w:val="Bodytext"/>
        <w:numPr>
          <w:ilvl w:val="0"/>
          <w:numId w:val="25"/>
        </w:numPr>
        <w:jc w:val="both"/>
      </w:pPr>
      <w:r w:rsidRPr="00A404D4">
        <w:t xml:space="preserve">Full </w:t>
      </w:r>
      <w:r>
        <w:t xml:space="preserve">realisation: </w:t>
      </w:r>
      <w:r w:rsidRPr="00A404D4">
        <w:t>A Performance Allocation will only be calculated and accrued on the full realisation of the entire interest in an investment, unless a partial realisation results in the full return of all capita</w:t>
      </w:r>
      <w:r>
        <w:t>l invested in such investment. </w:t>
      </w:r>
      <w:r w:rsidRPr="00A404D4">
        <w:t>Otherwise, no Performance Allocation will be payable on partial disposals and the ability for the Investment Manager to elect to receive a Performance Allocation on an investment that has been held by the Company for at least seven years (but not sold) has been removed.</w:t>
      </w:r>
    </w:p>
    <w:p w14:paraId="32802036" w14:textId="280A3199" w:rsidR="00A404D4" w:rsidRPr="00A404D4" w:rsidRDefault="00A404D4" w:rsidP="00AC1E56">
      <w:pPr>
        <w:pStyle w:val="Bodytext"/>
        <w:jc w:val="both"/>
      </w:pPr>
    </w:p>
    <w:p w14:paraId="760EF421" w14:textId="3E94CAEF" w:rsidR="00A404D4" w:rsidRDefault="00A404D4" w:rsidP="00AC1E56">
      <w:pPr>
        <w:pStyle w:val="Bodytext"/>
        <w:numPr>
          <w:ilvl w:val="0"/>
          <w:numId w:val="25"/>
        </w:numPr>
        <w:jc w:val="both"/>
      </w:pPr>
      <w:r>
        <w:t xml:space="preserve">Deferral: </w:t>
      </w:r>
      <w:r w:rsidRPr="00A404D4">
        <w:t xml:space="preserve">If the portfolio level cost benchmark is not met at the time of full realisation of the relevant investment, it will be retested on a quarterly basis </w:t>
      </w:r>
      <w:r>
        <w:t>for the following three years. </w:t>
      </w:r>
      <w:r w:rsidRPr="00A404D4">
        <w:t>If, at any time during those three years, the benchmark is satisfied for four continuous quarters, the relevant Performance Allocation will then become d</w:t>
      </w:r>
      <w:r>
        <w:t>istributable without interest. </w:t>
      </w:r>
      <w:r w:rsidRPr="00A404D4">
        <w:t>Any accrued but undistributed Performance Allocation that has been deferred due to the portfolio level cost benchmark test will expire after 36 months.</w:t>
      </w:r>
    </w:p>
    <w:p w14:paraId="6497C35D" w14:textId="77777777" w:rsidR="00DF68E3" w:rsidRDefault="00DF68E3" w:rsidP="00AC1E56">
      <w:pPr>
        <w:pStyle w:val="ListParagraph"/>
        <w:jc w:val="both"/>
      </w:pPr>
    </w:p>
    <w:p w14:paraId="2CF63F2C" w14:textId="7C812B09" w:rsidR="00DF68E3" w:rsidRDefault="00DF68E3" w:rsidP="00AC1E56">
      <w:pPr>
        <w:jc w:val="both"/>
      </w:pPr>
      <w:r w:rsidRPr="00DF68E3">
        <w:t>The Investment Manager will continue to be required to apply each Performance Allocation (net of taxes) to acquire ordinary shares of the Company. </w:t>
      </w:r>
    </w:p>
    <w:p w14:paraId="025CF51B" w14:textId="77777777" w:rsidR="00DF68E3" w:rsidRPr="00DF68E3" w:rsidRDefault="00DF68E3" w:rsidP="00AC1E56">
      <w:pPr>
        <w:jc w:val="both"/>
      </w:pPr>
    </w:p>
    <w:p w14:paraId="7DE25545" w14:textId="69E4600B" w:rsidR="00DF68E3" w:rsidRPr="00DF68E3" w:rsidRDefault="00DF68E3" w:rsidP="00AC1E56">
      <w:pPr>
        <w:pStyle w:val="Bodytext"/>
        <w:jc w:val="both"/>
        <w:rPr>
          <w:i/>
        </w:rPr>
      </w:pPr>
      <w:r w:rsidRPr="00DF68E3">
        <w:rPr>
          <w:i/>
        </w:rPr>
        <w:t>Distribution of Investment Proceeds</w:t>
      </w:r>
    </w:p>
    <w:p w14:paraId="6EEE338C" w14:textId="37580F20" w:rsidR="00DF68E3" w:rsidRPr="00DF68E3" w:rsidRDefault="00DF68E3" w:rsidP="00AC1E56">
      <w:pPr>
        <w:pStyle w:val="Bodytext"/>
        <w:jc w:val="both"/>
      </w:pPr>
      <w:r w:rsidRPr="00DF68E3">
        <w:t>In addition, the Company and the Investment Manager have agreed that, going forward, 20</w:t>
      </w:r>
      <w:r w:rsidR="003A381C">
        <w:t xml:space="preserve"> per cent.</w:t>
      </w:r>
      <w:r w:rsidRPr="00DF68E3">
        <w:t xml:space="preserve"> of the Net Profits attributable to each fully realised investment, net of taxes, withholdings or reserves for taxes will, at the discretion of the Company, be available for</w:t>
      </w:r>
      <w:r>
        <w:t xml:space="preserve"> distribution to the Company's S</w:t>
      </w:r>
      <w:r w:rsidRPr="00DF68E3">
        <w:t>hareholders, whether by dividend or share repurchases.</w:t>
      </w:r>
    </w:p>
    <w:p w14:paraId="11FB7791" w14:textId="77777777" w:rsidR="00A404D4" w:rsidRPr="00A404D4" w:rsidRDefault="00A404D4" w:rsidP="00AC1E56">
      <w:pPr>
        <w:pStyle w:val="Bodytext"/>
        <w:jc w:val="both"/>
        <w:rPr>
          <w:lang w:val="en"/>
        </w:rPr>
      </w:pPr>
    </w:p>
    <w:p w14:paraId="139A64DB" w14:textId="4F92EBE4" w:rsidR="00922020" w:rsidRDefault="00922020" w:rsidP="00EB7E49">
      <w:pPr>
        <w:pStyle w:val="Heading2"/>
      </w:pPr>
      <w:r>
        <w:t>Our Culture</w:t>
      </w:r>
    </w:p>
    <w:p w14:paraId="444D19CA" w14:textId="7E60C1F4" w:rsidR="00922020" w:rsidRPr="00922020" w:rsidRDefault="00922020" w:rsidP="00AC1E56">
      <w:pPr>
        <w:jc w:val="both"/>
      </w:pPr>
      <w:r w:rsidRPr="00922020">
        <w:t xml:space="preserve">The Board discussed the Company’s culture over the course of the period. It was agreed that the Company’s culture is built around that of the Investment Manager, with a focus on long lasting relationships with a diverse investor base; sustainable investment excellence; and a world class team demonstrating extensive industry knowledge. The Board will continue to monitor the Company’s culture on an annual basis through continued engagement with </w:t>
      </w:r>
      <w:r w:rsidR="00BC71AE">
        <w:t>S</w:t>
      </w:r>
      <w:r w:rsidRPr="00922020">
        <w:t>hareholders and management.</w:t>
      </w:r>
    </w:p>
    <w:p w14:paraId="3B2DBFBD" w14:textId="77777777" w:rsidR="00922020" w:rsidRDefault="00922020" w:rsidP="00EB7E49">
      <w:pPr>
        <w:pStyle w:val="Heading2"/>
      </w:pPr>
    </w:p>
    <w:p w14:paraId="3BAE7A77" w14:textId="05501299" w:rsidR="007D0674" w:rsidRPr="00811BA1" w:rsidRDefault="007D0674" w:rsidP="00EB7E49">
      <w:pPr>
        <w:pStyle w:val="Heading2"/>
      </w:pPr>
      <w:r w:rsidRPr="00811BA1">
        <w:t>Relations with Shareholders</w:t>
      </w:r>
    </w:p>
    <w:p w14:paraId="68B1F380" w14:textId="184D4821" w:rsidR="003013A3" w:rsidRDefault="007D0674" w:rsidP="00AC1E56">
      <w:pPr>
        <w:autoSpaceDE w:val="0"/>
        <w:autoSpaceDN w:val="0"/>
        <w:adjustRightInd w:val="0"/>
        <w:jc w:val="both"/>
      </w:pPr>
      <w:r w:rsidRPr="003013A3">
        <w:t xml:space="preserve">The Board welcomes Shareholders’ views and places great importance on communication with its Shareholders. </w:t>
      </w:r>
      <w:r w:rsidR="00826133">
        <w:t xml:space="preserve">Due to recently implemented COVID-19 travel restrictions, the Directors </w:t>
      </w:r>
      <w:r w:rsidR="00333F22">
        <w:t xml:space="preserve">are keeping the </w:t>
      </w:r>
      <w:r w:rsidR="00101720">
        <w:t xml:space="preserve">2020 </w:t>
      </w:r>
      <w:r w:rsidR="00333F22">
        <w:t>AGM location and date under review and will make announcements as information becomes available.</w:t>
      </w:r>
      <w:r w:rsidR="00523A8C">
        <w:rPr>
          <w:lang w:eastAsia="en-GB"/>
        </w:rPr>
        <w:t xml:space="preserve"> Further details will be included in the AGM Notice and Form of Proxy, which will be published on the Company’s website in advance of the AGM. </w:t>
      </w:r>
      <w:r w:rsidR="00661CB7" w:rsidRPr="000E5926">
        <w:t>In addition, Mr Firth, as the Senior Independent Director</w:t>
      </w:r>
      <w:r w:rsidR="00355861">
        <w:t>,</w:t>
      </w:r>
      <w:r w:rsidR="00661CB7" w:rsidRPr="000E5926">
        <w:t xml:space="preserve"> is also available to </w:t>
      </w:r>
      <w:r w:rsidR="00B1088B">
        <w:t>S</w:t>
      </w:r>
      <w:r w:rsidR="00661CB7" w:rsidRPr="000E5926">
        <w:t>hareholders if they have concerns which contact through the normal channels has failed to resolve or for which such contact would be inappropriate.</w:t>
      </w:r>
      <w:r w:rsidR="0022066C" w:rsidRPr="0022066C">
        <w:t xml:space="preserve"> </w:t>
      </w:r>
      <w:r w:rsidR="000036A3">
        <w:t xml:space="preserve">Mrs. Whittet, Management Engagement Committee Chair, is available to discuss matters regarding service providers </w:t>
      </w:r>
      <w:r w:rsidR="00187252">
        <w:t>of</w:t>
      </w:r>
      <w:r w:rsidR="000036A3">
        <w:t xml:space="preserve"> REL. </w:t>
      </w:r>
      <w:r w:rsidR="0022066C" w:rsidRPr="003013A3">
        <w:t>The Chairman</w:t>
      </w:r>
      <w:r w:rsidR="001D5B65">
        <w:t>, Senior Independent Director</w:t>
      </w:r>
      <w:r w:rsidR="0022066C" w:rsidRPr="003013A3">
        <w:t xml:space="preserve"> and other </w:t>
      </w:r>
      <w:r w:rsidR="00355861">
        <w:t>D</w:t>
      </w:r>
      <w:r w:rsidR="0022066C" w:rsidRPr="003013A3">
        <w:t>irectors are also available to meet with Shareholders at other times, if required.</w:t>
      </w:r>
      <w:r w:rsidR="003A381C">
        <w:t xml:space="preserve"> At the request of several Shareholders, the Chairman, Senior Independent Director and other Directors arranged meetings and addressed direct correspondence raised at the quarterly Board meetings during the year.</w:t>
      </w:r>
    </w:p>
    <w:p w14:paraId="1D52917F" w14:textId="77777777" w:rsidR="003013A3" w:rsidRDefault="003013A3" w:rsidP="00AC1E56">
      <w:pPr>
        <w:pStyle w:val="Bodytext"/>
        <w:jc w:val="both"/>
      </w:pPr>
    </w:p>
    <w:p w14:paraId="394DCA0D" w14:textId="7195A656" w:rsidR="003629DC" w:rsidRPr="003629DC" w:rsidRDefault="003629DC" w:rsidP="00AC1E56">
      <w:pPr>
        <w:pStyle w:val="Bodytext"/>
        <w:jc w:val="both"/>
      </w:pPr>
      <w:r w:rsidRPr="003629DC">
        <w:lastRenderedPageBreak/>
        <w:t xml:space="preserve">The Company reports formally to Shareholders in a number of ways; regulatory news releases through the London Stock Exchange’s Regulatory News Service, announcements are issued in response to events or routine reporting obligations. Also, an Interim Report will be published each year outlining performance to 30 June and the Annual Report will be published each year for the year ended 31 December, both of which will be made available on the Company’s website. In addition, the Company’s website contains comprehensive information, including company notifications, share information, financial reports, investment objectives and policy, investor contacts and information on the Board and corporate governance. Shareholders and other interested parties can subscribe to email news updates by registering online on the website. </w:t>
      </w:r>
    </w:p>
    <w:p w14:paraId="61402E9F" w14:textId="77777777" w:rsidR="00661CB7" w:rsidRDefault="00661CB7" w:rsidP="00AC1E56">
      <w:pPr>
        <w:pStyle w:val="Bodytext"/>
        <w:jc w:val="both"/>
      </w:pPr>
    </w:p>
    <w:p w14:paraId="3DC844DF" w14:textId="44A00283" w:rsidR="003629DC" w:rsidRPr="003629DC" w:rsidRDefault="007D0674" w:rsidP="00AC1E56">
      <w:pPr>
        <w:jc w:val="both"/>
      </w:pPr>
      <w:r w:rsidRPr="000E5926">
        <w:t>The Investment Manager has regular contact with Shareholders, in</w:t>
      </w:r>
      <w:r w:rsidR="006D3E0A">
        <w:t xml:space="preserve">cluding </w:t>
      </w:r>
      <w:r w:rsidR="00B11841">
        <w:t xml:space="preserve">the </w:t>
      </w:r>
      <w:r w:rsidRPr="000E5926">
        <w:t>Cornerstone Investors, and any views that they may have are communicated to</w:t>
      </w:r>
      <w:r w:rsidR="001D636F" w:rsidRPr="000E5926">
        <w:t xml:space="preserve"> </w:t>
      </w:r>
      <w:r w:rsidRPr="000E5926">
        <w:t>the Board and vice versa. No sensitive information is provided to the Cornerstone Investors that is not provided to the Shareholders as a whole and at the same time. The Board is also kept fully informed of all relevant market commentary on the Company by the Investment Manager and the Corporate Broker</w:t>
      </w:r>
      <w:r w:rsidR="003314D5" w:rsidRPr="000E5926">
        <w:t>s</w:t>
      </w:r>
      <w:r w:rsidRPr="000E5926">
        <w:t>.</w:t>
      </w:r>
      <w:r w:rsidR="000E5926" w:rsidRPr="000E5926">
        <w:t xml:space="preserve"> </w:t>
      </w:r>
      <w:r w:rsidR="003629DC" w:rsidRPr="003629DC">
        <w:t>The Directors and Investment Manager receive informal feedback from analysts and investors, which is presented to the Board by the Company’s Broker. The Company Secretary also receives informal feedback via queries submitted through the Company’s website and these are addressed by the Board, the Investment Manager or the Company Secretary, where applicable.</w:t>
      </w:r>
    </w:p>
    <w:p w14:paraId="7808FE5B" w14:textId="4FD196E7" w:rsidR="007D0674" w:rsidRDefault="007F611C" w:rsidP="00AC1E56">
      <w:pPr>
        <w:autoSpaceDE w:val="0"/>
        <w:autoSpaceDN w:val="0"/>
        <w:adjustRightInd w:val="0"/>
        <w:jc w:val="both"/>
      </w:pPr>
      <w:r w:rsidRPr="002E29FA">
        <w:t>Over the year, the</w:t>
      </w:r>
      <w:r w:rsidR="002E29FA" w:rsidRPr="002E29FA">
        <w:t xml:space="preserve"> Investment Manager’s</w:t>
      </w:r>
      <w:r w:rsidRPr="002E29FA">
        <w:t xml:space="preserve"> </w:t>
      </w:r>
      <w:r w:rsidR="002E29FA">
        <w:t>i</w:t>
      </w:r>
      <w:r w:rsidR="002E29FA" w:rsidRPr="002E29FA">
        <w:t xml:space="preserve">nvestor </w:t>
      </w:r>
      <w:r w:rsidR="002E29FA">
        <w:t>r</w:t>
      </w:r>
      <w:r w:rsidR="002E29FA" w:rsidRPr="002E29FA">
        <w:t>elations</w:t>
      </w:r>
      <w:r w:rsidRPr="002E29FA">
        <w:t xml:space="preserve"> team and </w:t>
      </w:r>
      <w:r w:rsidR="002E29FA">
        <w:t>s</w:t>
      </w:r>
      <w:r w:rsidRPr="002E29FA">
        <w:t xml:space="preserve">enior </w:t>
      </w:r>
      <w:r w:rsidR="002E29FA">
        <w:t>m</w:t>
      </w:r>
      <w:r w:rsidRPr="002E29FA">
        <w:t xml:space="preserve">anagement </w:t>
      </w:r>
      <w:r w:rsidR="002E29FA">
        <w:t>held several</w:t>
      </w:r>
      <w:r w:rsidRPr="002E29FA">
        <w:t xml:space="preserve"> roadshows and</w:t>
      </w:r>
      <w:r w:rsidR="002E29FA">
        <w:t xml:space="preserve"> over </w:t>
      </w:r>
      <w:r w:rsidR="001D6AFC" w:rsidRPr="0081360C">
        <w:t>80</w:t>
      </w:r>
      <w:r w:rsidR="002E29FA" w:rsidRPr="0081360C">
        <w:t xml:space="preserve"> meetings</w:t>
      </w:r>
      <w:r w:rsidR="002E29FA">
        <w:t xml:space="preserve"> with investors and equity research analysts</w:t>
      </w:r>
      <w:r w:rsidR="0087230E" w:rsidRPr="002E29FA">
        <w:t>.</w:t>
      </w:r>
    </w:p>
    <w:p w14:paraId="3696F442" w14:textId="1DD15BFF" w:rsidR="001310F8" w:rsidRDefault="001310F8" w:rsidP="00AC1E56">
      <w:pPr>
        <w:autoSpaceDE w:val="0"/>
        <w:autoSpaceDN w:val="0"/>
        <w:adjustRightInd w:val="0"/>
        <w:jc w:val="both"/>
      </w:pPr>
    </w:p>
    <w:p w14:paraId="03C2FD16" w14:textId="330D9610" w:rsidR="001310F8" w:rsidRPr="00D02CFB" w:rsidRDefault="001310F8" w:rsidP="00AC1E56">
      <w:pPr>
        <w:autoSpaceDE w:val="0"/>
        <w:autoSpaceDN w:val="0"/>
        <w:adjustRightInd w:val="0"/>
        <w:jc w:val="both"/>
      </w:pPr>
      <w:r w:rsidRPr="00D02CFB">
        <w:t>Financial results, events, corporate reports, webcasts and fact books are all stored in the</w:t>
      </w:r>
      <w:r w:rsidR="00BB52A1" w:rsidRPr="00D02CFB">
        <w:t xml:space="preserve"> </w:t>
      </w:r>
      <w:r w:rsidRPr="00D02CFB">
        <w:t xml:space="preserve">Investor Relations section of our website: </w:t>
      </w:r>
      <w:r w:rsidR="00BB52A1" w:rsidRPr="00D02CFB">
        <w:t>www.riverstonerel.com/investors/</w:t>
      </w:r>
    </w:p>
    <w:p w14:paraId="6ED94D5F" w14:textId="77777777" w:rsidR="00BB52A1" w:rsidRDefault="00BB52A1" w:rsidP="001310F8">
      <w:pPr>
        <w:autoSpaceDE w:val="0"/>
        <w:autoSpaceDN w:val="0"/>
        <w:adjustRightInd w:val="0"/>
        <w:rPr>
          <w:rFonts w:ascii="DINOT" w:hAnsi="DINOT" w:cs="DINOT"/>
          <w:sz w:val="24"/>
          <w:szCs w:val="24"/>
        </w:rPr>
      </w:pPr>
    </w:p>
    <w:p w14:paraId="2B9F3EB4" w14:textId="69D01598" w:rsidR="001310F8" w:rsidRPr="00D02CFB" w:rsidRDefault="001310F8" w:rsidP="00D02CFB">
      <w:pPr>
        <w:pStyle w:val="Heading2"/>
      </w:pPr>
      <w:r w:rsidRPr="00D02CFB">
        <w:t>2020 KEY SHAREHOLDER ENGAGEMENTS</w:t>
      </w:r>
    </w:p>
    <w:p w14:paraId="29870F7A" w14:textId="77777777" w:rsidR="001310F8" w:rsidRPr="00D02CFB" w:rsidRDefault="001310F8" w:rsidP="001310F8">
      <w:pPr>
        <w:autoSpaceDE w:val="0"/>
        <w:autoSpaceDN w:val="0"/>
        <w:adjustRightInd w:val="0"/>
      </w:pPr>
    </w:p>
    <w:p w14:paraId="17355A35" w14:textId="7FEFB1DB" w:rsidR="001310F8" w:rsidRPr="00D02CFB" w:rsidRDefault="001310F8" w:rsidP="001310F8">
      <w:pPr>
        <w:autoSpaceDE w:val="0"/>
        <w:autoSpaceDN w:val="0"/>
        <w:adjustRightInd w:val="0"/>
      </w:pPr>
      <w:r w:rsidRPr="00D02CFB">
        <w:t>January</w:t>
      </w:r>
    </w:p>
    <w:p w14:paraId="74D25C6C" w14:textId="432C00AE" w:rsidR="001310F8" w:rsidRPr="00D02CFB" w:rsidRDefault="00D02CFB" w:rsidP="001310F8">
      <w:pPr>
        <w:autoSpaceDE w:val="0"/>
        <w:autoSpaceDN w:val="0"/>
        <w:adjustRightInd w:val="0"/>
      </w:pPr>
      <w:r>
        <w:t>Quarterly Portfolio Valuations</w:t>
      </w:r>
    </w:p>
    <w:p w14:paraId="15052928" w14:textId="77777777" w:rsidR="001310F8" w:rsidRPr="00D02CFB" w:rsidRDefault="001310F8" w:rsidP="001310F8">
      <w:pPr>
        <w:autoSpaceDE w:val="0"/>
        <w:autoSpaceDN w:val="0"/>
        <w:adjustRightInd w:val="0"/>
      </w:pPr>
    </w:p>
    <w:p w14:paraId="45308BC7" w14:textId="69E67333" w:rsidR="001310F8" w:rsidRPr="00D02CFB" w:rsidRDefault="00B45158" w:rsidP="001310F8">
      <w:pPr>
        <w:autoSpaceDE w:val="0"/>
        <w:autoSpaceDN w:val="0"/>
        <w:adjustRightInd w:val="0"/>
      </w:pPr>
      <w:r>
        <w:t>April</w:t>
      </w:r>
    </w:p>
    <w:p w14:paraId="726F2489" w14:textId="77777777" w:rsidR="001310F8" w:rsidRPr="00D02CFB" w:rsidRDefault="001310F8" w:rsidP="001310F8">
      <w:pPr>
        <w:autoSpaceDE w:val="0"/>
        <w:autoSpaceDN w:val="0"/>
        <w:adjustRightInd w:val="0"/>
      </w:pPr>
      <w:r w:rsidRPr="00D02CFB">
        <w:t>Full Year Results</w:t>
      </w:r>
    </w:p>
    <w:p w14:paraId="7696F84B" w14:textId="77777777" w:rsidR="00D02CFB" w:rsidRDefault="00D02CFB" w:rsidP="001310F8">
      <w:pPr>
        <w:autoSpaceDE w:val="0"/>
        <w:autoSpaceDN w:val="0"/>
        <w:adjustRightInd w:val="0"/>
      </w:pPr>
    </w:p>
    <w:p w14:paraId="2CD99468" w14:textId="0A22DD78" w:rsidR="001310F8" w:rsidRPr="00D02CFB" w:rsidRDefault="001310F8" w:rsidP="001310F8">
      <w:pPr>
        <w:autoSpaceDE w:val="0"/>
        <w:autoSpaceDN w:val="0"/>
        <w:adjustRightInd w:val="0"/>
      </w:pPr>
      <w:r w:rsidRPr="00D02CFB">
        <w:t>April</w:t>
      </w:r>
    </w:p>
    <w:p w14:paraId="321F1E58" w14:textId="04705DFF" w:rsidR="001310F8" w:rsidRDefault="00D02CFB" w:rsidP="001310F8">
      <w:pPr>
        <w:autoSpaceDE w:val="0"/>
        <w:autoSpaceDN w:val="0"/>
        <w:adjustRightInd w:val="0"/>
      </w:pPr>
      <w:r>
        <w:t xml:space="preserve">Notice of </w:t>
      </w:r>
      <w:r w:rsidR="001310F8" w:rsidRPr="00D02CFB">
        <w:t>Annual General Meeting</w:t>
      </w:r>
    </w:p>
    <w:p w14:paraId="3CC1CD15" w14:textId="77777777" w:rsidR="00D02CFB" w:rsidRPr="00D02CFB" w:rsidRDefault="00D02CFB" w:rsidP="00D02CFB">
      <w:pPr>
        <w:autoSpaceDE w:val="0"/>
        <w:autoSpaceDN w:val="0"/>
        <w:adjustRightInd w:val="0"/>
      </w:pPr>
      <w:r>
        <w:t>Quarterly Portfolio Valuations</w:t>
      </w:r>
    </w:p>
    <w:p w14:paraId="65D2C432" w14:textId="61BD93B8" w:rsidR="00D02CFB" w:rsidRDefault="00D02CFB" w:rsidP="001310F8">
      <w:pPr>
        <w:autoSpaceDE w:val="0"/>
        <w:autoSpaceDN w:val="0"/>
        <w:adjustRightInd w:val="0"/>
      </w:pPr>
    </w:p>
    <w:p w14:paraId="40D8E6B7" w14:textId="34DA3554" w:rsidR="00D02CFB" w:rsidRPr="00D02CFB" w:rsidRDefault="00E929C9" w:rsidP="001310F8">
      <w:pPr>
        <w:autoSpaceDE w:val="0"/>
        <w:autoSpaceDN w:val="0"/>
        <w:adjustRightInd w:val="0"/>
      </w:pPr>
      <w:r>
        <w:t>June</w:t>
      </w:r>
    </w:p>
    <w:p w14:paraId="6EDBD129" w14:textId="39826B70" w:rsidR="001310F8" w:rsidRPr="00D02CFB" w:rsidRDefault="001310F8" w:rsidP="001310F8">
      <w:pPr>
        <w:autoSpaceDE w:val="0"/>
        <w:autoSpaceDN w:val="0"/>
        <w:adjustRightInd w:val="0"/>
      </w:pPr>
      <w:r w:rsidRPr="00D02CFB">
        <w:t xml:space="preserve">Annual General Meeting </w:t>
      </w:r>
    </w:p>
    <w:p w14:paraId="220591D4" w14:textId="77777777" w:rsidR="001310F8" w:rsidRPr="00D02CFB" w:rsidRDefault="001310F8" w:rsidP="001310F8">
      <w:pPr>
        <w:autoSpaceDE w:val="0"/>
        <w:autoSpaceDN w:val="0"/>
        <w:adjustRightInd w:val="0"/>
      </w:pPr>
    </w:p>
    <w:p w14:paraId="01F3FEC5" w14:textId="0208ADF0" w:rsidR="001310F8" w:rsidRPr="00D02CFB" w:rsidRDefault="001310F8" w:rsidP="001310F8">
      <w:pPr>
        <w:autoSpaceDE w:val="0"/>
        <w:autoSpaceDN w:val="0"/>
        <w:adjustRightInd w:val="0"/>
      </w:pPr>
      <w:r w:rsidRPr="00D02CFB">
        <w:t>July</w:t>
      </w:r>
    </w:p>
    <w:p w14:paraId="71E56762" w14:textId="77777777" w:rsidR="00D02CFB" w:rsidRPr="00D02CFB" w:rsidRDefault="00D02CFB" w:rsidP="00D02CFB">
      <w:pPr>
        <w:autoSpaceDE w:val="0"/>
        <w:autoSpaceDN w:val="0"/>
        <w:adjustRightInd w:val="0"/>
      </w:pPr>
      <w:r>
        <w:t>Quarterly Portfolio Valuations</w:t>
      </w:r>
    </w:p>
    <w:p w14:paraId="0F2AC405" w14:textId="76AEB8AC" w:rsidR="00D02CFB" w:rsidRDefault="00D02CFB" w:rsidP="001310F8">
      <w:pPr>
        <w:autoSpaceDE w:val="0"/>
        <w:autoSpaceDN w:val="0"/>
        <w:adjustRightInd w:val="0"/>
      </w:pPr>
    </w:p>
    <w:p w14:paraId="27EF9BEB" w14:textId="29ABB16C" w:rsidR="00D02CFB" w:rsidRDefault="00D02CFB" w:rsidP="001310F8">
      <w:pPr>
        <w:autoSpaceDE w:val="0"/>
        <w:autoSpaceDN w:val="0"/>
        <w:adjustRightInd w:val="0"/>
      </w:pPr>
      <w:r>
        <w:t>August</w:t>
      </w:r>
    </w:p>
    <w:p w14:paraId="6A865F95" w14:textId="3334E465" w:rsidR="001310F8" w:rsidRPr="00D02CFB" w:rsidRDefault="001310F8" w:rsidP="001310F8">
      <w:pPr>
        <w:autoSpaceDE w:val="0"/>
        <w:autoSpaceDN w:val="0"/>
        <w:adjustRightInd w:val="0"/>
      </w:pPr>
      <w:r w:rsidRPr="00D02CFB">
        <w:t>Half Year Results</w:t>
      </w:r>
    </w:p>
    <w:p w14:paraId="162FB3B1" w14:textId="3AC25447" w:rsidR="001310F8" w:rsidRDefault="001310F8" w:rsidP="001310F8">
      <w:pPr>
        <w:autoSpaceDE w:val="0"/>
        <w:autoSpaceDN w:val="0"/>
        <w:adjustRightInd w:val="0"/>
      </w:pPr>
    </w:p>
    <w:p w14:paraId="4C27EBAD" w14:textId="6193788B" w:rsidR="00D02CFB" w:rsidRDefault="00D02CFB" w:rsidP="001310F8">
      <w:pPr>
        <w:autoSpaceDE w:val="0"/>
        <w:autoSpaceDN w:val="0"/>
        <w:adjustRightInd w:val="0"/>
      </w:pPr>
      <w:r>
        <w:t>October</w:t>
      </w:r>
    </w:p>
    <w:p w14:paraId="5E54A3CE" w14:textId="3611200B" w:rsidR="00D02CFB" w:rsidRDefault="00D02CFB" w:rsidP="00D02CFB">
      <w:pPr>
        <w:autoSpaceDE w:val="0"/>
        <w:autoSpaceDN w:val="0"/>
        <w:adjustRightInd w:val="0"/>
      </w:pPr>
      <w:r>
        <w:t>Quarterly Portfolio Valuations</w:t>
      </w:r>
    </w:p>
    <w:p w14:paraId="4A071259" w14:textId="0C57BDB2" w:rsidR="00B45158" w:rsidRDefault="00B45158" w:rsidP="00D02CFB">
      <w:pPr>
        <w:autoSpaceDE w:val="0"/>
        <w:autoSpaceDN w:val="0"/>
        <w:adjustRightInd w:val="0"/>
      </w:pPr>
    </w:p>
    <w:p w14:paraId="1D151595" w14:textId="5D54CC38" w:rsidR="00B45158" w:rsidRDefault="00B45158" w:rsidP="00D02CFB">
      <w:pPr>
        <w:autoSpaceDE w:val="0"/>
        <w:autoSpaceDN w:val="0"/>
        <w:adjustRightInd w:val="0"/>
      </w:pPr>
      <w:r>
        <w:t>November</w:t>
      </w:r>
    </w:p>
    <w:p w14:paraId="192B69EC" w14:textId="5127C0A2" w:rsidR="00B45158" w:rsidRPr="00D02CFB" w:rsidRDefault="00B45158" w:rsidP="00D02CFB">
      <w:pPr>
        <w:autoSpaceDE w:val="0"/>
        <w:autoSpaceDN w:val="0"/>
        <w:adjustRightInd w:val="0"/>
      </w:pPr>
      <w:r>
        <w:t>Discontinuation Resolution</w:t>
      </w:r>
      <w:r w:rsidR="00893B6A">
        <w:t xml:space="preserve"> </w:t>
      </w:r>
      <w:r w:rsidR="00BF4E59">
        <w:t>V</w:t>
      </w:r>
      <w:r w:rsidR="00893B6A">
        <w:t>ote</w:t>
      </w:r>
      <w:r>
        <w:t xml:space="preserve"> </w:t>
      </w:r>
      <w:r w:rsidR="00893B6A">
        <w:t>(EG</w:t>
      </w:r>
      <w:r>
        <w:t>M</w:t>
      </w:r>
      <w:r w:rsidR="00893B6A">
        <w:t>)</w:t>
      </w:r>
    </w:p>
    <w:p w14:paraId="29DD2779" w14:textId="77777777" w:rsidR="001310F8" w:rsidRPr="001310F8" w:rsidRDefault="001310F8" w:rsidP="001310F8"/>
    <w:p w14:paraId="4D535D32" w14:textId="77777777" w:rsidR="000A2157" w:rsidRPr="000126A3" w:rsidRDefault="000A2157" w:rsidP="000A2157">
      <w:pPr>
        <w:pStyle w:val="Heading2"/>
      </w:pPr>
      <w:r w:rsidRPr="000126A3">
        <w:t xml:space="preserve">Engagement with Stakeholders </w:t>
      </w:r>
    </w:p>
    <w:p w14:paraId="1AAFCAD1" w14:textId="79C35933" w:rsidR="003629DC" w:rsidRDefault="003629DC" w:rsidP="000A2157"/>
    <w:p w14:paraId="4C22FD39" w14:textId="77777777" w:rsidR="003629DC" w:rsidRPr="003A5F95" w:rsidRDefault="003629DC" w:rsidP="00AC1E56">
      <w:pPr>
        <w:jc w:val="both"/>
      </w:pPr>
      <w:r w:rsidRPr="003A5F95">
        <w:t xml:space="preserve">The wider stakeholders of the Company comprise its service providers, investee companies and suppliers and the Board recognises and values these stakeholders. </w:t>
      </w:r>
    </w:p>
    <w:p w14:paraId="75594274" w14:textId="77777777" w:rsidR="003629DC" w:rsidRPr="003A5F95" w:rsidRDefault="003629DC" w:rsidP="00AC1E56">
      <w:pPr>
        <w:jc w:val="both"/>
      </w:pPr>
    </w:p>
    <w:p w14:paraId="7C5758AB" w14:textId="2B0CEB04" w:rsidR="003629DC" w:rsidRPr="003A5F95" w:rsidRDefault="003629DC" w:rsidP="00AC1E56">
      <w:pPr>
        <w:jc w:val="both"/>
      </w:pPr>
      <w:r w:rsidRPr="003A5F95">
        <w:t xml:space="preserve">The Company’s relationship with its service providers, including the Investment Manager, is of particular importance. Service providers have been selected and engaged based on due diligence and references including consideration of their internal controls and expertise. The Company has a Management Engagement Committee, who will review the performance of each service provider annually and provide feedback as appropriate, to maintain good working relationships. </w:t>
      </w:r>
    </w:p>
    <w:p w14:paraId="3DF19421" w14:textId="77777777" w:rsidR="003629DC" w:rsidRPr="003A5F95" w:rsidRDefault="003629DC" w:rsidP="00AC1E56">
      <w:pPr>
        <w:jc w:val="both"/>
      </w:pPr>
    </w:p>
    <w:p w14:paraId="77CC8123" w14:textId="77777777" w:rsidR="003629DC" w:rsidRPr="003A5F95" w:rsidRDefault="003629DC" w:rsidP="00AC1E56">
      <w:pPr>
        <w:jc w:val="both"/>
      </w:pPr>
      <w:r w:rsidRPr="003A5F95">
        <w:t xml:space="preserve">Responsible investing principles have been applied to each of the investments made, which ensures that appropriate due diligence has been conducted and that the terms of the investments are clearly set out and agreed with investee companies in advance. </w:t>
      </w:r>
    </w:p>
    <w:p w14:paraId="7B832308" w14:textId="77777777" w:rsidR="003629DC" w:rsidRPr="003A5F95" w:rsidRDefault="003629DC" w:rsidP="00AC1E56">
      <w:pPr>
        <w:jc w:val="both"/>
      </w:pPr>
    </w:p>
    <w:p w14:paraId="70E3EBE7" w14:textId="77777777" w:rsidR="003629DC" w:rsidRPr="003A5F95" w:rsidRDefault="003629DC" w:rsidP="00AC1E56">
      <w:pPr>
        <w:jc w:val="both"/>
      </w:pPr>
      <w:r w:rsidRPr="003A5F95">
        <w:t>The Board recognises that relationships with suppliers are enhanced by prompt payment and the Company’s Administrator, in conjunction with the Investment Manager, ensures all payments are processed within the contractual terms agreed with the individual suppliers.</w:t>
      </w:r>
    </w:p>
    <w:p w14:paraId="72DE02D0" w14:textId="77777777" w:rsidR="003629DC" w:rsidRDefault="003629DC" w:rsidP="003629DC">
      <w:pPr>
        <w:pStyle w:val="Bodytext"/>
        <w:jc w:val="both"/>
        <w:rPr>
          <w:rFonts w:ascii="Verdana" w:eastAsiaTheme="minorEastAsia" w:hAnsi="Verdana" w:cstheme="minorBidi"/>
          <w:sz w:val="18"/>
          <w:szCs w:val="18"/>
          <w:lang w:eastAsia="zh-CN"/>
        </w:rPr>
      </w:pPr>
    </w:p>
    <w:p w14:paraId="5EE87265" w14:textId="1C83EAB1" w:rsidR="00922020" w:rsidRDefault="000A2157" w:rsidP="00EB7E49">
      <w:pPr>
        <w:pStyle w:val="Heading2"/>
      </w:pPr>
      <w:r>
        <w:t xml:space="preserve">Relations with </w:t>
      </w:r>
      <w:r w:rsidR="00922020">
        <w:t>Other Stakeholders</w:t>
      </w:r>
    </w:p>
    <w:p w14:paraId="4D5AECBC" w14:textId="686B8CE6" w:rsidR="00922020" w:rsidRDefault="000A2157" w:rsidP="00AC1E56">
      <w:pPr>
        <w:jc w:val="both"/>
      </w:pPr>
      <w:r w:rsidRPr="000A2157">
        <w:t>The Investment Manager conducts presentations with analysts and investors to coincide with the announcement of the Company’s full and half year results, providing an opportunity for discussions and queries on the Company’s activities, performance and key metrics. In addition to these semi-annual presentations, the Investment Manager meets regularly with analysts and investors to provide further updates with how the Company and the investment portfolio are performing.</w:t>
      </w:r>
    </w:p>
    <w:p w14:paraId="57A36ACE" w14:textId="3345495D" w:rsidR="000A2157" w:rsidRDefault="000A2157" w:rsidP="00AC1E56">
      <w:pPr>
        <w:jc w:val="both"/>
      </w:pPr>
    </w:p>
    <w:p w14:paraId="041C372D" w14:textId="2438F42B" w:rsidR="000A2157" w:rsidRPr="000A2157" w:rsidRDefault="000A2157" w:rsidP="00AC1E56">
      <w:pPr>
        <w:jc w:val="both"/>
      </w:pPr>
      <w:r w:rsidRPr="000A2157">
        <w:t>The Directors and Investment Manager receive informal feedback from analysts and investors, which is presented to the Board by the Company’s Broker</w:t>
      </w:r>
      <w:r w:rsidR="003A5F95">
        <w:t>s</w:t>
      </w:r>
      <w:r w:rsidRPr="000A2157">
        <w:t>. The Company Secretary also receives informal feedback via queries submitted through the Company’s website and these are addressed by the Board, the Investment Manager or the Company Secretary, where applicable.</w:t>
      </w:r>
    </w:p>
    <w:p w14:paraId="58DB2329" w14:textId="69E0C71D" w:rsidR="000A2157" w:rsidRPr="000A2157" w:rsidRDefault="000A2157" w:rsidP="00AC1E56">
      <w:pPr>
        <w:jc w:val="both"/>
      </w:pPr>
    </w:p>
    <w:p w14:paraId="6B62F0B8" w14:textId="680ABEB9" w:rsidR="000A2157" w:rsidRDefault="000A2157" w:rsidP="00AC1E56">
      <w:pPr>
        <w:jc w:val="both"/>
      </w:pPr>
      <w:r w:rsidRPr="000A2157">
        <w:t>The Directors recognise that the long term success of the Company is linked to the success of the communities in which the Group, and its investee companies, operate.</w:t>
      </w:r>
    </w:p>
    <w:p w14:paraId="039BA670" w14:textId="77777777" w:rsidR="00922020" w:rsidRPr="00922020" w:rsidRDefault="00922020" w:rsidP="00922020"/>
    <w:p w14:paraId="322CE229" w14:textId="3B84561D" w:rsidR="00007710" w:rsidRPr="00701912" w:rsidRDefault="00007710" w:rsidP="00AC1E56">
      <w:pPr>
        <w:pStyle w:val="Heading2"/>
        <w:jc w:val="both"/>
      </w:pPr>
      <w:r w:rsidRPr="00701912">
        <w:t>Whistleblowing</w:t>
      </w:r>
    </w:p>
    <w:p w14:paraId="5D2D9675" w14:textId="7F439E5D" w:rsidR="00007710" w:rsidRDefault="00007710" w:rsidP="00AC1E56">
      <w:pPr>
        <w:jc w:val="both"/>
      </w:pPr>
      <w:r w:rsidRPr="00701912">
        <w:t xml:space="preserve">The Board has considered arrangements by which staff of the Investment Manager or </w:t>
      </w:r>
      <w:r>
        <w:t xml:space="preserve">Administrator </w:t>
      </w:r>
      <w:r w:rsidRPr="00701912">
        <w:t>may, in confidence, raise concerns within their respective organisations about possible improprieties in matters of financial reporting or other matters. It has concluded that adequate arrangements are in place for the proportionate and independent investigation of such matters and, where necessary, for appropriate follow-up action to be taken within their organisation.</w:t>
      </w:r>
    </w:p>
    <w:p w14:paraId="604D2520" w14:textId="77777777" w:rsidR="00A92341" w:rsidRPr="00811BA1" w:rsidRDefault="00A92341" w:rsidP="00EB7E49">
      <w:pPr>
        <w:pStyle w:val="Bodytext"/>
      </w:pPr>
    </w:p>
    <w:p w14:paraId="48C5AC8A" w14:textId="77777777" w:rsidR="007D0674" w:rsidRPr="00811BA1" w:rsidRDefault="007D0674" w:rsidP="00EB7E49">
      <w:pPr>
        <w:pStyle w:val="Heading2"/>
      </w:pPr>
      <w:r w:rsidRPr="00811BA1">
        <w:t>Prin</w:t>
      </w:r>
      <w:r w:rsidR="001D636F" w:rsidRPr="00811BA1">
        <w:t>cipal Risks and Uncertainties</w:t>
      </w:r>
    </w:p>
    <w:p w14:paraId="62790E16" w14:textId="256DFA6E" w:rsidR="007D0674" w:rsidRPr="00811BA1" w:rsidRDefault="007D0674" w:rsidP="00AC1E56">
      <w:pPr>
        <w:pStyle w:val="Bodytext"/>
        <w:jc w:val="both"/>
      </w:pPr>
      <w:r w:rsidRPr="00811BA1">
        <w:t>The Company’s assets c</w:t>
      </w:r>
      <w:r w:rsidR="001D636F" w:rsidRPr="00811BA1">
        <w:t xml:space="preserve">onsist of investments, through </w:t>
      </w:r>
      <w:r w:rsidRPr="00811BA1">
        <w:t xml:space="preserve">the Partnership, within the global energy </w:t>
      </w:r>
      <w:r w:rsidR="001A1DFA">
        <w:t>industry</w:t>
      </w:r>
      <w:r w:rsidRPr="00811BA1">
        <w:t>, with a particular focus on opportunities in the global exploration and production and midstream energy sub-sectors. Its principal risks are therefore related to market conditions in the energy sector in general, but also the particular circumstances of the businesses in which it is invested through the Partnership. The Investment Manager</w:t>
      </w:r>
      <w:r w:rsidR="001A1DFA">
        <w:t xml:space="preserve"> to the Partnership</w:t>
      </w:r>
      <w:r w:rsidRPr="00811BA1">
        <w:t xml:space="preserve"> seeks to mitigate these risks through active asset management initiatives and carrying out due diligence work on potential targets before entering into any investments.</w:t>
      </w:r>
    </w:p>
    <w:p w14:paraId="591E47AB" w14:textId="77777777" w:rsidR="001D636F" w:rsidRPr="00811BA1" w:rsidRDefault="001D636F" w:rsidP="00AC1E56">
      <w:pPr>
        <w:pStyle w:val="Bodytext"/>
        <w:jc w:val="both"/>
      </w:pPr>
    </w:p>
    <w:p w14:paraId="79B0579D" w14:textId="5DD84097" w:rsidR="007D0674" w:rsidRPr="00811BA1" w:rsidRDefault="007D0674" w:rsidP="00AC1E56">
      <w:pPr>
        <w:pStyle w:val="Bodytext"/>
        <w:jc w:val="both"/>
      </w:pPr>
      <w:r w:rsidRPr="00811BA1">
        <w:t>Each Director is</w:t>
      </w:r>
      <w:r w:rsidR="006E1FD7">
        <w:t xml:space="preserve"> fully</w:t>
      </w:r>
      <w:r w:rsidRPr="00811BA1">
        <w:t xml:space="preserve"> aware of the risks inherent in the Company’s business and understands the importance of identifying, evaluating and monitoring these risks. The Board has adopted procedures and controls that enable it to</w:t>
      </w:r>
      <w:r w:rsidR="003F5074">
        <w:t xml:space="preserve"> carry out a robust assessment of the risks facing the </w:t>
      </w:r>
      <w:r w:rsidR="002F261F">
        <w:t>Company</w:t>
      </w:r>
      <w:r w:rsidR="00B32CCE">
        <w:t>,</w:t>
      </w:r>
      <w:r w:rsidRPr="00811BA1">
        <w:t xml:space="preserve"> manage these risks within acceptable limits and to meet all of its legal and regulatory obligations.</w:t>
      </w:r>
      <w:r w:rsidR="00661D1B">
        <w:t xml:space="preserve"> The Board is committed to upholding and maintaining our zero tolerance towards the criminal facilitation of tax evasion.</w:t>
      </w:r>
    </w:p>
    <w:p w14:paraId="7D1E22D5" w14:textId="77777777" w:rsidR="009C0367" w:rsidRPr="00811BA1" w:rsidRDefault="009C0367" w:rsidP="00AC1E56">
      <w:pPr>
        <w:pStyle w:val="Bodytext"/>
        <w:jc w:val="both"/>
      </w:pPr>
    </w:p>
    <w:p w14:paraId="082B4EE0" w14:textId="68AD6555" w:rsidR="007D0674" w:rsidRPr="00811BA1" w:rsidRDefault="007D0674" w:rsidP="00AC1E56">
      <w:pPr>
        <w:pStyle w:val="Bodytext"/>
        <w:jc w:val="both"/>
      </w:pPr>
      <w:bookmarkStart w:id="21" w:name="_Hlk36931749"/>
      <w:r w:rsidRPr="00811BA1">
        <w:t xml:space="preserve">The Board </w:t>
      </w:r>
      <w:r w:rsidR="006E1FD7">
        <w:t xml:space="preserve">thoroughly </w:t>
      </w:r>
      <w:r w:rsidRPr="00811BA1">
        <w:t>considers the process for identifying, evaluating and managing any significant risks faced by the Company on an ongoing basis and these risks are reported and discussed at Board meetings.</w:t>
      </w:r>
      <w:r w:rsidR="001D254C">
        <w:t xml:space="preserve"> </w:t>
      </w:r>
      <w:r w:rsidR="001D254C" w:rsidRPr="00811BA1">
        <w:t>It ensures that effective controls are in place to mitigate these risks and that a satisfactory compliance regime exists to ensure all applicable local and international laws and regulations are upheld.</w:t>
      </w:r>
      <w:r w:rsidR="002957CC">
        <w:t xml:space="preserve"> </w:t>
      </w:r>
      <w:r w:rsidR="001B77C8">
        <w:t>T</w:t>
      </w:r>
      <w:r w:rsidR="002957CC" w:rsidRPr="006F5FE4">
        <w:rPr>
          <w:rFonts w:eastAsia="Cambria"/>
        </w:rPr>
        <w:t xml:space="preserve">he Board and Investment Manager have been in continuous dialogue regarding the impact of COVID-19 and appropriate disclosures within the Company’s </w:t>
      </w:r>
      <w:r w:rsidR="002957CC">
        <w:rPr>
          <w:rFonts w:eastAsia="Cambria"/>
        </w:rPr>
        <w:t xml:space="preserve">2019 Annual Report and </w:t>
      </w:r>
      <w:r w:rsidR="002957CC" w:rsidRPr="006F5FE4">
        <w:rPr>
          <w:rFonts w:eastAsia="Cambria"/>
        </w:rPr>
        <w:t>Financial Statements</w:t>
      </w:r>
      <w:r w:rsidR="001B77C8">
        <w:rPr>
          <w:rFonts w:eastAsia="Cambria"/>
        </w:rPr>
        <w:t>, including necessary updates to the key areas of risk faced by the Company</w:t>
      </w:r>
      <w:r w:rsidR="001D254C">
        <w:rPr>
          <w:rFonts w:eastAsia="Cambria"/>
        </w:rPr>
        <w:t xml:space="preserve"> as certain risks have been </w:t>
      </w:r>
      <w:r w:rsidR="00D9457E">
        <w:rPr>
          <w:rFonts w:eastAsia="Cambria"/>
        </w:rPr>
        <w:t>elevated in terms of importance for the immediate near-term</w:t>
      </w:r>
      <w:r w:rsidR="001B77C8">
        <w:rPr>
          <w:rFonts w:eastAsia="Cambria"/>
        </w:rPr>
        <w:t xml:space="preserve">. </w:t>
      </w:r>
      <w:r w:rsidR="00D9457E">
        <w:rPr>
          <w:rFonts w:eastAsia="Cambria"/>
        </w:rPr>
        <w:t>With regards to COVID-19, a</w:t>
      </w:r>
      <w:r w:rsidR="001B77C8">
        <w:rPr>
          <w:rFonts w:eastAsia="Cambria"/>
        </w:rPr>
        <w:t xml:space="preserve">n additional component </w:t>
      </w:r>
      <w:r w:rsidR="00D9457E">
        <w:rPr>
          <w:rFonts w:eastAsia="Cambria"/>
        </w:rPr>
        <w:t>within the inherent risk</w:t>
      </w:r>
      <w:r w:rsidR="00D9457E" w:rsidRPr="001B77C8">
        <w:t xml:space="preserve"> </w:t>
      </w:r>
      <w:r w:rsidR="00D9457E" w:rsidRPr="00811BA1">
        <w:t>of the global energy sector</w:t>
      </w:r>
      <w:r w:rsidR="00D9457E" w:rsidDel="00D9457E">
        <w:rPr>
          <w:rFonts w:eastAsia="Cambria"/>
        </w:rPr>
        <w:t xml:space="preserve"> </w:t>
      </w:r>
      <w:r w:rsidR="001B77C8">
        <w:rPr>
          <w:rFonts w:eastAsia="Cambria"/>
        </w:rPr>
        <w:t>has been included below</w:t>
      </w:r>
      <w:r w:rsidR="00D9457E">
        <w:t>, as well as the corresponding measures taken by the Board, through the Management Engagement Committee, and the Investment Manager</w:t>
      </w:r>
      <w:r w:rsidR="00D9457E" w:rsidRPr="00D9457E">
        <w:t xml:space="preserve"> </w:t>
      </w:r>
      <w:r w:rsidR="00D9457E">
        <w:t>to mitigate the impact of this risk</w:t>
      </w:r>
      <w:r w:rsidR="001B77C8">
        <w:rPr>
          <w:rFonts w:eastAsia="Cambria"/>
        </w:rPr>
        <w:t>.</w:t>
      </w:r>
    </w:p>
    <w:bookmarkEnd w:id="21"/>
    <w:p w14:paraId="007DA6D8" w14:textId="77777777" w:rsidR="009C0367" w:rsidRPr="00811BA1" w:rsidRDefault="009C0367" w:rsidP="00AC1E56">
      <w:pPr>
        <w:pStyle w:val="Bodytext"/>
        <w:jc w:val="both"/>
      </w:pPr>
    </w:p>
    <w:p w14:paraId="6F765A2C" w14:textId="6BD66D24" w:rsidR="007D0674" w:rsidRPr="00811BA1" w:rsidRDefault="007D0674" w:rsidP="00AC1E56">
      <w:pPr>
        <w:pStyle w:val="Bodytext"/>
        <w:jc w:val="both"/>
      </w:pPr>
      <w:r w:rsidRPr="00811BA1">
        <w:t>For each material risk, the likelihood and consequence are identified, management controls and frequency of monitoring are confirmed</w:t>
      </w:r>
      <w:r w:rsidR="00DD0715">
        <w:t>,</w:t>
      </w:r>
      <w:r w:rsidRPr="00811BA1">
        <w:t xml:space="preserve"> and results reported and discussed at </w:t>
      </w:r>
      <w:r w:rsidR="00B41A11">
        <w:t xml:space="preserve">the quarterly </w:t>
      </w:r>
      <w:r w:rsidRPr="00811BA1">
        <w:t>Board meetings.</w:t>
      </w:r>
    </w:p>
    <w:p w14:paraId="2A6E428C" w14:textId="77777777" w:rsidR="009C0367" w:rsidRPr="00811BA1" w:rsidRDefault="009C0367" w:rsidP="00AC1E56">
      <w:pPr>
        <w:pStyle w:val="Bodytext"/>
        <w:jc w:val="both"/>
      </w:pPr>
    </w:p>
    <w:p w14:paraId="62FBBDEA" w14:textId="62215E1D" w:rsidR="007D0674" w:rsidRPr="00811BA1" w:rsidRDefault="007D0674" w:rsidP="00AC1E56">
      <w:pPr>
        <w:pStyle w:val="Bodytext"/>
        <w:jc w:val="both"/>
      </w:pPr>
      <w:r w:rsidRPr="00811BA1">
        <w:t>The Company’s principal risk factors are fully discussed in the Prospectus</w:t>
      </w:r>
      <w:r w:rsidR="003314D5">
        <w:t>es</w:t>
      </w:r>
      <w:r w:rsidRPr="00811BA1">
        <w:t>, available on the Company’s website (</w:t>
      </w:r>
      <w:r w:rsidRPr="004C40B6">
        <w:rPr>
          <w:u w:val="single"/>
        </w:rPr>
        <w:t>www.RiverstoneREL.com</w:t>
      </w:r>
      <w:r w:rsidRPr="00811BA1">
        <w:t>) and should be reviewed by Shareholders.</w:t>
      </w:r>
    </w:p>
    <w:p w14:paraId="6EB197AA" w14:textId="77777777" w:rsidR="009C0367" w:rsidRPr="00811BA1" w:rsidRDefault="009C0367" w:rsidP="00AC1E56">
      <w:pPr>
        <w:pStyle w:val="Bodytext"/>
        <w:jc w:val="both"/>
      </w:pPr>
    </w:p>
    <w:p w14:paraId="2E1456E9" w14:textId="046F03C9" w:rsidR="007D0674" w:rsidRPr="00811BA1" w:rsidRDefault="007D0674" w:rsidP="00AC1E56">
      <w:pPr>
        <w:pStyle w:val="Bodytext"/>
        <w:jc w:val="both"/>
      </w:pPr>
      <w:r w:rsidRPr="00811BA1">
        <w:t>The key areas of risk faced by the Company are summarised below:</w:t>
      </w:r>
    </w:p>
    <w:p w14:paraId="5D56EFC0" w14:textId="77777777" w:rsidR="009C0367" w:rsidRPr="00811BA1" w:rsidRDefault="009C0367" w:rsidP="00AC1E56">
      <w:pPr>
        <w:pStyle w:val="Bodytext"/>
        <w:jc w:val="both"/>
      </w:pPr>
    </w:p>
    <w:p w14:paraId="6B38810C" w14:textId="111F951A" w:rsidR="007D0674" w:rsidRPr="00811BA1" w:rsidRDefault="007D0674" w:rsidP="00AC1E56">
      <w:pPr>
        <w:pStyle w:val="Bodytext"/>
        <w:spacing w:after="80"/>
        <w:ind w:left="340" w:hanging="340"/>
        <w:jc w:val="both"/>
      </w:pPr>
      <w:r w:rsidRPr="00811BA1">
        <w:t>1.</w:t>
      </w:r>
      <w:r w:rsidRPr="00811BA1">
        <w:tab/>
        <w:t xml:space="preserve">The Company </w:t>
      </w:r>
      <w:r w:rsidR="008E674F">
        <w:t xml:space="preserve">initially </w:t>
      </w:r>
      <w:r w:rsidRPr="00811BA1">
        <w:t>intend</w:t>
      </w:r>
      <w:r w:rsidR="008E674F">
        <w:t>ed</w:t>
      </w:r>
      <w:r w:rsidRPr="00811BA1">
        <w:t xml:space="preserve"> to only invest in the global energy sector, with a particular focus on oil and gas exploration and production, and midstream investments, which expose</w:t>
      </w:r>
      <w:r w:rsidR="008E674F">
        <w:t>d</w:t>
      </w:r>
      <w:r w:rsidRPr="00811BA1">
        <w:t xml:space="preserve"> it to concentration risk.</w:t>
      </w:r>
      <w:r w:rsidR="008E674F">
        <w:t xml:space="preserve">  Some other investments have been made too.</w:t>
      </w:r>
    </w:p>
    <w:p w14:paraId="71BBA391" w14:textId="03A7B07C" w:rsidR="007D0674" w:rsidRPr="00811BA1" w:rsidRDefault="007D0674" w:rsidP="00AC1E56">
      <w:pPr>
        <w:pStyle w:val="Bodytext"/>
        <w:spacing w:after="80"/>
        <w:ind w:left="340" w:hanging="340"/>
        <w:jc w:val="both"/>
      </w:pPr>
      <w:r w:rsidRPr="00811BA1">
        <w:lastRenderedPageBreak/>
        <w:t>2.</w:t>
      </w:r>
      <w:r w:rsidRPr="00811BA1">
        <w:tab/>
        <w:t xml:space="preserve">The Ordinary Shares </w:t>
      </w:r>
      <w:r w:rsidR="008E674F">
        <w:t>have</w:t>
      </w:r>
      <w:r w:rsidR="008E674F" w:rsidRPr="00811BA1">
        <w:t xml:space="preserve"> </w:t>
      </w:r>
      <w:r w:rsidRPr="00811BA1">
        <w:t>trade</w:t>
      </w:r>
      <w:r w:rsidR="008E674F">
        <w:t>d</w:t>
      </w:r>
      <w:r w:rsidRPr="00811BA1">
        <w:t xml:space="preserve"> at a </w:t>
      </w:r>
      <w:r w:rsidR="00C63C73">
        <w:t>D</w:t>
      </w:r>
      <w:r w:rsidRPr="00811BA1">
        <w:t>iscount to NAV per Share for reasons including but not limited to: market conditions, liquidity concerns and actual or expected Company performance. As such</w:t>
      </w:r>
      <w:r w:rsidR="00E86A7F">
        <w:t>, there can be</w:t>
      </w:r>
      <w:r w:rsidRPr="00811BA1">
        <w:t xml:space="preserve"> no guarantee that attempts to mitigate such discount will be successful or that the use of discount control mechanisms will be possible, advisable or adopted by the Company.</w:t>
      </w:r>
    </w:p>
    <w:p w14:paraId="467ED568" w14:textId="77777777" w:rsidR="007D0674" w:rsidRPr="00811BA1" w:rsidRDefault="007D0674" w:rsidP="00AC1E56">
      <w:pPr>
        <w:pStyle w:val="Bodytext"/>
        <w:spacing w:after="80"/>
        <w:ind w:left="340" w:hanging="340"/>
        <w:jc w:val="both"/>
      </w:pPr>
      <w:bookmarkStart w:id="22" w:name="_Hlk36930936"/>
      <w:r w:rsidRPr="00811BA1">
        <w:t>3.</w:t>
      </w:r>
      <w:r w:rsidRPr="00811BA1">
        <w:tab/>
        <w:t xml:space="preserve">Investments in the exploration and production and midstream sectors of </w:t>
      </w:r>
      <w:bookmarkStart w:id="23" w:name="_Hlk36928384"/>
      <w:r w:rsidRPr="00811BA1">
        <w:t xml:space="preserve">the global energy sector </w:t>
      </w:r>
      <w:bookmarkEnd w:id="23"/>
      <w:r w:rsidRPr="00811BA1">
        <w:t>involve a degree of inherent risk.</w:t>
      </w:r>
    </w:p>
    <w:bookmarkEnd w:id="22"/>
    <w:p w14:paraId="1ACD4307" w14:textId="672B9F86" w:rsidR="00F3022B" w:rsidRPr="00811BA1" w:rsidRDefault="00F3022B" w:rsidP="00AC1E56">
      <w:pPr>
        <w:pStyle w:val="Bodytext"/>
        <w:numPr>
          <w:ilvl w:val="0"/>
          <w:numId w:val="8"/>
        </w:numPr>
        <w:spacing w:after="80"/>
        <w:ind w:left="680" w:hanging="340"/>
        <w:jc w:val="both"/>
      </w:pPr>
      <w:r w:rsidRPr="00811BA1">
        <w:t>The countries in which the Company invests may be exposed to geopolitical risks.</w:t>
      </w:r>
    </w:p>
    <w:p w14:paraId="0ACDC7A2" w14:textId="1C861EA2" w:rsidR="007D0674" w:rsidRPr="00811BA1" w:rsidRDefault="007D0674" w:rsidP="00AC1E56">
      <w:pPr>
        <w:pStyle w:val="Bodytext"/>
        <w:numPr>
          <w:ilvl w:val="0"/>
          <w:numId w:val="8"/>
        </w:numPr>
        <w:spacing w:after="80"/>
        <w:ind w:left="680" w:hanging="340"/>
        <w:jc w:val="both"/>
      </w:pPr>
      <w:r w:rsidRPr="00811BA1">
        <w:t>The change in the price of oil could</w:t>
      </w:r>
      <w:r w:rsidR="00F3022B" w:rsidRPr="00811BA1">
        <w:t xml:space="preserve"> adversely</w:t>
      </w:r>
      <w:r w:rsidRPr="00811BA1">
        <w:t xml:space="preserve"> affect the investment valuations through the public market trading and transaction comparables, the discounted cash flow rates, and potentially limit exit opportunities.</w:t>
      </w:r>
    </w:p>
    <w:p w14:paraId="52B67048" w14:textId="3BFE6C1F" w:rsidR="00F3022B" w:rsidRPr="00811BA1" w:rsidRDefault="00F3022B" w:rsidP="00AC1E56">
      <w:pPr>
        <w:pStyle w:val="Bodytext"/>
        <w:numPr>
          <w:ilvl w:val="0"/>
          <w:numId w:val="8"/>
        </w:numPr>
        <w:spacing w:after="80"/>
        <w:ind w:left="680" w:hanging="340"/>
        <w:jc w:val="both"/>
      </w:pPr>
      <w:r w:rsidRPr="00811BA1">
        <w:t>A change in interest rates could adversely affect efficient access to debt as a source of capital for both portfolio investments and potential buyers of portfolio investments.</w:t>
      </w:r>
    </w:p>
    <w:p w14:paraId="137044F5" w14:textId="77777777" w:rsidR="007D0674" w:rsidRPr="00811BA1" w:rsidRDefault="007D0674" w:rsidP="00AC1E56">
      <w:pPr>
        <w:pStyle w:val="Bodytext"/>
        <w:numPr>
          <w:ilvl w:val="0"/>
          <w:numId w:val="8"/>
        </w:numPr>
        <w:spacing w:after="80"/>
        <w:ind w:left="680" w:hanging="340"/>
        <w:jc w:val="both"/>
      </w:pPr>
      <w:r w:rsidRPr="00811BA1">
        <w:t>The regulatory and tax environment of the Company’s target investments is potentially subject to change, which</w:t>
      </w:r>
      <w:r w:rsidR="009C0367" w:rsidRPr="00811BA1">
        <w:t xml:space="preserve"> may adversely affect the value </w:t>
      </w:r>
      <w:r w:rsidRPr="00811BA1">
        <w:t>or liquidity of investments held by the Company or its ability to obtain leverage.</w:t>
      </w:r>
    </w:p>
    <w:p w14:paraId="551219D5" w14:textId="77777777" w:rsidR="007D0674" w:rsidRPr="00811BA1" w:rsidRDefault="007D0674" w:rsidP="00AC1E56">
      <w:pPr>
        <w:pStyle w:val="Bodytext"/>
        <w:numPr>
          <w:ilvl w:val="0"/>
          <w:numId w:val="8"/>
        </w:numPr>
        <w:spacing w:after="80"/>
        <w:ind w:left="680" w:hanging="340"/>
        <w:jc w:val="both"/>
      </w:pPr>
      <w:r w:rsidRPr="00811BA1">
        <w:t>The Company will be exposed to increased risk by investing in build-up and early-stage investments that have little or no operating history and are comparably more vulnerable to financial failure than more established companies. The investor should be aware there can be no assurance that losses generated by these types of entities will be offset by gains (if any) realised on the Company’s other investments.</w:t>
      </w:r>
    </w:p>
    <w:p w14:paraId="3275EE60" w14:textId="77777777" w:rsidR="007D0674" w:rsidRPr="00811BA1" w:rsidRDefault="007D0674" w:rsidP="00AC1E56">
      <w:pPr>
        <w:pStyle w:val="Bodytext"/>
        <w:numPr>
          <w:ilvl w:val="0"/>
          <w:numId w:val="8"/>
        </w:numPr>
        <w:spacing w:after="80"/>
        <w:ind w:left="680" w:hanging="340"/>
        <w:jc w:val="both"/>
      </w:pPr>
      <w:r w:rsidRPr="00811BA1">
        <w:t>An investment’s requirements for additional capital may require the Company to invest more capital than it had originally planned or result in the dilution of the Company’s investment or a decrease in the value of that investment.</w:t>
      </w:r>
    </w:p>
    <w:p w14:paraId="172C69DC" w14:textId="003AE6B1" w:rsidR="00B73437" w:rsidRDefault="00F3022B" w:rsidP="00AC1E56">
      <w:pPr>
        <w:pStyle w:val="Bodytext"/>
        <w:numPr>
          <w:ilvl w:val="0"/>
          <w:numId w:val="8"/>
        </w:numPr>
        <w:spacing w:after="80"/>
        <w:ind w:left="680" w:hanging="340"/>
        <w:jc w:val="both"/>
      </w:pPr>
      <w:r w:rsidRPr="00811BA1">
        <w:t xml:space="preserve">The Company may not have sufficient </w:t>
      </w:r>
      <w:r w:rsidR="00BF3C6A">
        <w:t>“</w:t>
      </w:r>
      <w:r w:rsidRPr="00811BA1">
        <w:t>dry powder</w:t>
      </w:r>
      <w:r w:rsidR="00BF3C6A">
        <w:t>”</w:t>
      </w:r>
      <w:r w:rsidRPr="00811BA1">
        <w:t xml:space="preserve"> to participate in all investment opportunities presented.</w:t>
      </w:r>
    </w:p>
    <w:p w14:paraId="0DFDC2B4" w14:textId="4D03BD19" w:rsidR="005B3BE9" w:rsidRDefault="00DA4AA9" w:rsidP="00AC1E56">
      <w:pPr>
        <w:pStyle w:val="Bodytext"/>
        <w:numPr>
          <w:ilvl w:val="0"/>
          <w:numId w:val="8"/>
        </w:numPr>
        <w:spacing w:after="80"/>
        <w:ind w:left="680" w:hanging="340"/>
        <w:jc w:val="both"/>
      </w:pPr>
      <w:r>
        <w:t xml:space="preserve">Current </w:t>
      </w:r>
      <w:r w:rsidR="00DD1E67">
        <w:t>r</w:t>
      </w:r>
      <w:r w:rsidR="00503D09">
        <w:t xml:space="preserve">egulations </w:t>
      </w:r>
      <w:r w:rsidR="005B3BE9" w:rsidRPr="005B3BE9">
        <w:t>require SIFIs, specifically large banks, to hold sufficient capital as a buffer against trading losses, or CAR / CRAR. Since commodities are more volatile / risky in the current market, it could strip large banks of commodity trading operations to alleviate the capital required to maintain their CAR / CRAR. This could in turn impact the commodity prices and therefore the value of REL’s portfolio companies.</w:t>
      </w:r>
    </w:p>
    <w:p w14:paraId="157F1734" w14:textId="31F0F743" w:rsidR="005B3BE9" w:rsidRDefault="005B3BE9" w:rsidP="00AC1E56">
      <w:pPr>
        <w:pStyle w:val="Bodytext"/>
        <w:numPr>
          <w:ilvl w:val="0"/>
          <w:numId w:val="8"/>
        </w:numPr>
        <w:spacing w:after="80"/>
        <w:ind w:left="680" w:hanging="340"/>
        <w:jc w:val="both"/>
      </w:pPr>
      <w:r w:rsidRPr="005B3BE9">
        <w:t>REL's portfolio companies operate in a hazardous industry, which is highly regulated by safety and health laws. Failure to provide a safe working environment may result in harm to employees and local communities. Governments may force closure of facilities or refuse future drilling right applications.</w:t>
      </w:r>
    </w:p>
    <w:p w14:paraId="044A9CEF" w14:textId="28384E8F" w:rsidR="008E674F" w:rsidRDefault="008E674F" w:rsidP="00AC1E56">
      <w:pPr>
        <w:pStyle w:val="Bodytext"/>
        <w:numPr>
          <w:ilvl w:val="0"/>
          <w:numId w:val="8"/>
        </w:numPr>
        <w:spacing w:after="80"/>
        <w:ind w:left="680" w:hanging="340"/>
        <w:jc w:val="both"/>
      </w:pPr>
      <w:r w:rsidRPr="008E674F">
        <w:t>Investor sentiment and the focus on climate change has led to a reduction in demand and change of sentiment towards this sector.</w:t>
      </w:r>
    </w:p>
    <w:p w14:paraId="64DA4137" w14:textId="7C6456F6" w:rsidR="00170540" w:rsidRDefault="00170540" w:rsidP="00AC1E56">
      <w:pPr>
        <w:pStyle w:val="Bodytext"/>
        <w:numPr>
          <w:ilvl w:val="0"/>
          <w:numId w:val="8"/>
        </w:numPr>
        <w:spacing w:after="80"/>
        <w:ind w:left="680" w:hanging="340"/>
        <w:jc w:val="both"/>
      </w:pPr>
      <w:bookmarkStart w:id="24" w:name="_Hlk36928259"/>
      <w:r>
        <w:t>The ongoing coronavirus pandemic has led to reductions in the near-term demand for energy especially within oil and gas, and long-term impacts remain unknown.</w:t>
      </w:r>
      <w:r w:rsidR="00A15A2D">
        <w:t xml:space="preserve"> </w:t>
      </w:r>
    </w:p>
    <w:bookmarkEnd w:id="24"/>
    <w:p w14:paraId="33AEBB79" w14:textId="601F49D9" w:rsidR="001B77C8" w:rsidRDefault="001B77C8" w:rsidP="00AC1E56">
      <w:pPr>
        <w:pStyle w:val="Bodytext"/>
        <w:spacing w:after="80"/>
        <w:jc w:val="both"/>
      </w:pPr>
      <w:r w:rsidRPr="00811BA1">
        <w:t>These inherent risks associated with investments in the global energy sector could result in a material adverse effect on the Company’s performance and the value of Ordinary Shares.</w:t>
      </w:r>
    </w:p>
    <w:p w14:paraId="0376E8F0" w14:textId="271FF6D7" w:rsidR="00EA04D1" w:rsidRDefault="00EA04D1" w:rsidP="00AC1E56">
      <w:pPr>
        <w:pStyle w:val="Bodytext"/>
        <w:spacing w:after="80"/>
        <w:ind w:left="360" w:hanging="360"/>
        <w:jc w:val="both"/>
      </w:pPr>
      <w:r>
        <w:t>4.</w:t>
      </w:r>
      <w:r>
        <w:tab/>
      </w:r>
      <w:r w:rsidRPr="00EA04D1">
        <w:t xml:space="preserve">It may </w:t>
      </w:r>
      <w:r w:rsidRPr="00A53241">
        <w:t>be difficult</w:t>
      </w:r>
      <w:r w:rsidR="00A53241" w:rsidRPr="00A53241">
        <w:t xml:space="preserve"> for</w:t>
      </w:r>
      <w:r w:rsidRPr="00A53241">
        <w:t xml:space="preserve"> the Company</w:t>
      </w:r>
      <w:r w:rsidRPr="00EA04D1">
        <w:t xml:space="preserve"> to terminate its </w:t>
      </w:r>
      <w:r w:rsidR="00C95290">
        <w:t>I</w:t>
      </w:r>
      <w:r w:rsidRPr="00EA04D1">
        <w:t xml:space="preserve">nvestment </w:t>
      </w:r>
      <w:r w:rsidR="00C95290">
        <w:t>M</w:t>
      </w:r>
      <w:r w:rsidRPr="00EA04D1">
        <w:t xml:space="preserve">anagement </w:t>
      </w:r>
      <w:r w:rsidR="00C95290">
        <w:t>A</w:t>
      </w:r>
      <w:r w:rsidRPr="00EA04D1">
        <w:t xml:space="preserve">greement without making significant payments, including if a </w:t>
      </w:r>
      <w:r w:rsidR="00C95290">
        <w:t>D</w:t>
      </w:r>
      <w:r w:rsidRPr="00EA04D1">
        <w:t xml:space="preserve">iscontinuation </w:t>
      </w:r>
      <w:r w:rsidR="00C95290">
        <w:t>R</w:t>
      </w:r>
      <w:r w:rsidRPr="00EA04D1">
        <w:t xml:space="preserve">esolution were to be proposed and passed by </w:t>
      </w:r>
      <w:r w:rsidR="00C95290">
        <w:t>S</w:t>
      </w:r>
      <w:r w:rsidRPr="00EA04D1">
        <w:t xml:space="preserve">hareholders following the Company’s seventh anniversary or if the Company was otherwise wound up.  Further, the </w:t>
      </w:r>
      <w:r w:rsidR="00C95290">
        <w:t>I</w:t>
      </w:r>
      <w:r w:rsidRPr="00EA04D1">
        <w:t xml:space="preserve">nvestment </w:t>
      </w:r>
      <w:r w:rsidR="00C95290">
        <w:t>M</w:t>
      </w:r>
      <w:r w:rsidRPr="00EA04D1">
        <w:t xml:space="preserve">anagement </w:t>
      </w:r>
      <w:r w:rsidR="00C95290">
        <w:t>A</w:t>
      </w:r>
      <w:r w:rsidRPr="00EA04D1">
        <w:t>greement does not provide for the Company to terminate the agreement on notice without specific cause, and poor investment performance, the departure of key Riverstone executives or a change of control of Riverstone do not constitute cause for these purposes.</w:t>
      </w:r>
    </w:p>
    <w:p w14:paraId="718B21BB" w14:textId="532A34B3" w:rsidR="00EA04D1" w:rsidRDefault="00EA04D1" w:rsidP="00AC1E56">
      <w:pPr>
        <w:pStyle w:val="Bodytext"/>
        <w:spacing w:after="80"/>
        <w:ind w:left="360" w:hanging="360"/>
        <w:jc w:val="both"/>
      </w:pPr>
      <w:r>
        <w:t>5.</w:t>
      </w:r>
      <w:r>
        <w:tab/>
      </w:r>
      <w:r w:rsidRPr="00EA04D1">
        <w:t xml:space="preserve">Affiliates of the </w:t>
      </w:r>
      <w:r w:rsidR="00DD3616">
        <w:t>I</w:t>
      </w:r>
      <w:r w:rsidRPr="00EA04D1">
        <w:t xml:space="preserve">nvestment </w:t>
      </w:r>
      <w:r w:rsidR="00DD3616">
        <w:t>M</w:t>
      </w:r>
      <w:r w:rsidRPr="00EA04D1">
        <w:t xml:space="preserve">anager and the Company's </w:t>
      </w:r>
      <w:r w:rsidR="00DD3616">
        <w:t>C</w:t>
      </w:r>
      <w:r w:rsidRPr="00EA04D1">
        <w:t xml:space="preserve">ornerstone </w:t>
      </w:r>
      <w:r w:rsidR="00DD3616">
        <w:t>I</w:t>
      </w:r>
      <w:r w:rsidRPr="00EA04D1">
        <w:t xml:space="preserve">nvestors would be entitled to vote on any </w:t>
      </w:r>
      <w:r w:rsidR="00DD3616">
        <w:t>D</w:t>
      </w:r>
      <w:r w:rsidRPr="00EA04D1">
        <w:t xml:space="preserve">iscontinuation </w:t>
      </w:r>
      <w:r w:rsidR="00DD3616">
        <w:t>R</w:t>
      </w:r>
      <w:r w:rsidRPr="00EA04D1">
        <w:t xml:space="preserve">esolution that may be proposed.  As the </w:t>
      </w:r>
      <w:r w:rsidR="00DD3616">
        <w:t>I</w:t>
      </w:r>
      <w:r w:rsidRPr="00EA04D1">
        <w:t xml:space="preserve">nvestment </w:t>
      </w:r>
      <w:r w:rsidR="00DD3616">
        <w:t>M</w:t>
      </w:r>
      <w:r w:rsidRPr="00EA04D1">
        <w:t xml:space="preserve">anager and its affiliates (and, indirectly, the </w:t>
      </w:r>
      <w:r w:rsidR="00DD3616">
        <w:t>C</w:t>
      </w:r>
      <w:r w:rsidRPr="00EA04D1">
        <w:t xml:space="preserve">ornerstone </w:t>
      </w:r>
      <w:r w:rsidR="00DD3616">
        <w:t>I</w:t>
      </w:r>
      <w:r w:rsidRPr="00EA04D1">
        <w:t>nvestors) receive fees from the Company, they will most probably be incentivised to vote against such resolution.</w:t>
      </w:r>
      <w:r w:rsidR="00C344BF">
        <w:t xml:space="preserve"> R</w:t>
      </w:r>
      <w:r w:rsidR="00B26A04">
        <w:t>iverstone</w:t>
      </w:r>
      <w:r w:rsidR="00C344BF">
        <w:t xml:space="preserve"> and </w:t>
      </w:r>
      <w:r w:rsidR="00E7104F">
        <w:t xml:space="preserve">the Company’s </w:t>
      </w:r>
      <w:r w:rsidR="00C344BF">
        <w:t>Cornerstone Investors</w:t>
      </w:r>
      <w:r w:rsidR="00E7104F">
        <w:t>,</w:t>
      </w:r>
      <w:r w:rsidR="00C344BF">
        <w:t xml:space="preserve"> in aggregate</w:t>
      </w:r>
      <w:r w:rsidR="00E7104F">
        <w:t>,</w:t>
      </w:r>
      <w:r w:rsidR="00C344BF">
        <w:t xml:space="preserve"> own </w:t>
      </w:r>
      <w:r w:rsidR="008E674F">
        <w:t>48.8</w:t>
      </w:r>
      <w:r w:rsidR="00C344BF">
        <w:t xml:space="preserve"> per cent. of outstanding</w:t>
      </w:r>
      <w:r w:rsidR="00E7104F">
        <w:t xml:space="preserve"> Ordinary Shares</w:t>
      </w:r>
      <w:r w:rsidR="00C344BF">
        <w:t xml:space="preserve">. </w:t>
      </w:r>
    </w:p>
    <w:p w14:paraId="6F5C74E2" w14:textId="2FF6E16B" w:rsidR="00EA04D1" w:rsidRDefault="00EA04D1" w:rsidP="00AC1E56">
      <w:pPr>
        <w:pStyle w:val="Bodytext"/>
        <w:spacing w:after="80"/>
        <w:ind w:left="360" w:hanging="360"/>
        <w:jc w:val="both"/>
      </w:pPr>
      <w:r>
        <w:t>6.</w:t>
      </w:r>
      <w:r>
        <w:tab/>
      </w:r>
      <w:r w:rsidRPr="00EA04D1">
        <w:t>Differences in the investment time horizons and fee provisions between the Company and the private funds managed by Riverstone may create conflicts regarding the allocation of investment opportunities and holding periods between the Company and those funds, in particular as a result of step-downs in fees payable by a private fund part way through its duration.</w:t>
      </w:r>
    </w:p>
    <w:p w14:paraId="2D32882F" w14:textId="4D15628E" w:rsidR="008E674F" w:rsidRDefault="008E674F" w:rsidP="00AC1E56">
      <w:pPr>
        <w:pStyle w:val="Bodytext"/>
        <w:spacing w:after="80"/>
        <w:ind w:left="360" w:hanging="360"/>
        <w:jc w:val="both"/>
      </w:pPr>
      <w:r>
        <w:t xml:space="preserve">7. </w:t>
      </w:r>
      <w:r>
        <w:tab/>
      </w:r>
      <w:r w:rsidRPr="008E674F">
        <w:t>Climate change and the transition to a lower carbon economy could possibly reduce demand for the Company’s existing investments and limit future growth opportunities. General sentiment may affect investor appetite and hence lead to a depression of the share price.</w:t>
      </w:r>
    </w:p>
    <w:p w14:paraId="74BF5FF5" w14:textId="6CD137BB" w:rsidR="001A7D42" w:rsidRDefault="001A7D42" w:rsidP="00AC1E56">
      <w:pPr>
        <w:pStyle w:val="Bodytext"/>
        <w:jc w:val="both"/>
      </w:pPr>
    </w:p>
    <w:p w14:paraId="7D917AE8" w14:textId="613DD129" w:rsidR="001A7D42" w:rsidRPr="00C34ADB" w:rsidRDefault="001A7D42" w:rsidP="00AC1E56">
      <w:pPr>
        <w:jc w:val="both"/>
        <w:rPr>
          <w:lang w:val="en-US"/>
        </w:rPr>
      </w:pPr>
      <w:r w:rsidRPr="001A7D42">
        <w:rPr>
          <w:lang w:val="en-US"/>
        </w:rPr>
        <w:lastRenderedPageBreak/>
        <w:t>The Company (as with all companies) continues to be exposed to external cyber-security threats. The Company recognises the increased incidence of cyber-security threats and has recently reviewed its policies, procedures and defences to mitigate associated risks, as well as those of the Investment Manager, Administrator and key service providers</w:t>
      </w:r>
      <w:r w:rsidR="003057FA">
        <w:rPr>
          <w:lang w:val="en-US"/>
        </w:rPr>
        <w:t>;</w:t>
      </w:r>
      <w:r w:rsidRPr="001A7D42">
        <w:rPr>
          <w:lang w:val="en-US"/>
        </w:rPr>
        <w:t xml:space="preserve"> engaging market-leading specialists where appropriate. We continually develop our IT infrastructure, and monitor those of the Investment Manager, Administrator and key service providers, to ensure the Company is resilient to existing and emerging threats.</w:t>
      </w:r>
    </w:p>
    <w:p w14:paraId="584E8563" w14:textId="77777777" w:rsidR="009C0367" w:rsidRPr="00811BA1" w:rsidRDefault="009C0367" w:rsidP="00AC1E56">
      <w:pPr>
        <w:pStyle w:val="Bodytext"/>
        <w:jc w:val="both"/>
      </w:pPr>
    </w:p>
    <w:p w14:paraId="57600C6B" w14:textId="4C0EF650" w:rsidR="007D0674" w:rsidRDefault="007D0674" w:rsidP="00AC1E56">
      <w:pPr>
        <w:pStyle w:val="Bodytext"/>
        <w:jc w:val="both"/>
      </w:pPr>
      <w:r w:rsidRPr="00811BA1">
        <w:t>The above key risks are mitigated and managed by the Board through continual review, policy setting and updating of the Company’s risk matrix at each Audit Committee Meeting to ensure that procedures are in place with the intention of minimising the impact of the above mentioned risks. The Board relies on periodic reports provided by the Investment Manager and Administrator regarding risks that the Company faces. When required, experts will be employed to gather information, including tax advisors, legal advisors, and environmental advisors.</w:t>
      </w:r>
    </w:p>
    <w:p w14:paraId="750C4708" w14:textId="730DF44A" w:rsidR="009C4C2D" w:rsidRPr="002337A8" w:rsidRDefault="009C4C2D" w:rsidP="00AC1E56">
      <w:pPr>
        <w:pStyle w:val="Bodytext"/>
        <w:jc w:val="both"/>
      </w:pPr>
    </w:p>
    <w:p w14:paraId="7961BAC8" w14:textId="35478D42" w:rsidR="009C4C2D" w:rsidRPr="002337A8" w:rsidRDefault="009C4C2D" w:rsidP="00AC1E56">
      <w:pPr>
        <w:pStyle w:val="Bodytext"/>
        <w:jc w:val="both"/>
      </w:pPr>
      <w:r w:rsidRPr="009C0964">
        <w:t xml:space="preserve">The Company’s Management Engagement Committee requested and received updates from REL’s key service providers, including the Investment Manager, regarding their response to COVID-19, including an update on their respective business continuity plans. </w:t>
      </w:r>
      <w:bookmarkStart w:id="25" w:name="_Hlk36932138"/>
      <w:r w:rsidRPr="009C0964">
        <w:t>The Investment Manager activated its business continuity plan and its regular working pattern has changed to remote working, though all staff are continuing to assume their day-to-day responsibilities remotely. There has been regular communication with its employees, as well as its investors. In addition, the Investment Manager’s partners are hosting weekly calls on potential investment opportunities in this new environment (caused by COVID and OPEC+ news), so that Riverstone can best position the portfolio for the future. The Investment Manager has contacted its portfolio companies to make sure that they have the appropriate plans and resources in place to prioritize the health and safety of their employees, as well as to assess supply chain disruptions and ensure the normal operations of our businesses.</w:t>
      </w:r>
      <w:bookmarkEnd w:id="25"/>
    </w:p>
    <w:p w14:paraId="69BA735A" w14:textId="77777777" w:rsidR="00917837" w:rsidRPr="00811BA1" w:rsidRDefault="00917837" w:rsidP="00AC1E56">
      <w:pPr>
        <w:pStyle w:val="Bodytext"/>
        <w:jc w:val="both"/>
      </w:pPr>
    </w:p>
    <w:p w14:paraId="352161AB" w14:textId="6051E5DE" w:rsidR="007D0674" w:rsidRPr="00811BA1" w:rsidRDefault="007D0674" w:rsidP="00AC1E56">
      <w:pPr>
        <w:pStyle w:val="Bodytext"/>
        <w:jc w:val="both"/>
      </w:pPr>
      <w:r w:rsidRPr="00811BA1">
        <w:t xml:space="preserve">The Company’s financial instrument risks are discussed in Note </w:t>
      </w:r>
      <w:r w:rsidR="00505043" w:rsidRPr="00811BA1">
        <w:t>1</w:t>
      </w:r>
      <w:r w:rsidR="00066FAC">
        <w:t>1</w:t>
      </w:r>
      <w:r w:rsidR="00505043" w:rsidRPr="00811BA1">
        <w:t xml:space="preserve"> </w:t>
      </w:r>
      <w:r w:rsidRPr="00811BA1">
        <w:t>to the Financial Statements.</w:t>
      </w:r>
    </w:p>
    <w:p w14:paraId="5CACBF0D" w14:textId="77777777" w:rsidR="009C0367" w:rsidRPr="00811BA1" w:rsidRDefault="009C0367" w:rsidP="00AC1E56">
      <w:pPr>
        <w:pStyle w:val="Bodytext"/>
        <w:jc w:val="both"/>
      </w:pPr>
    </w:p>
    <w:p w14:paraId="6A2A3F12" w14:textId="77777777" w:rsidR="007D0674" w:rsidRPr="00811BA1" w:rsidRDefault="007D0674" w:rsidP="00AC1E56">
      <w:pPr>
        <w:pStyle w:val="Bodytext"/>
        <w:jc w:val="both"/>
      </w:pPr>
      <w:r w:rsidRPr="00811BA1">
        <w:t>By order of the Board</w:t>
      </w:r>
    </w:p>
    <w:p w14:paraId="4D70D44E" w14:textId="77777777" w:rsidR="007D0674" w:rsidRPr="00811BA1" w:rsidRDefault="007D0674" w:rsidP="00EB7E49">
      <w:pPr>
        <w:pStyle w:val="Bodytext"/>
      </w:pPr>
    </w:p>
    <w:p w14:paraId="3D79E703" w14:textId="77777777" w:rsidR="00F77900" w:rsidRDefault="00F77900" w:rsidP="00EB7E49">
      <w:pPr>
        <w:pStyle w:val="Bodytext"/>
        <w:rPr>
          <w:b/>
        </w:rPr>
      </w:pPr>
      <w:r w:rsidRPr="00811BA1">
        <w:rPr>
          <w:b/>
        </w:rPr>
        <w:t>Richard Hayden</w:t>
      </w:r>
      <w:r w:rsidRPr="00811BA1" w:rsidDel="00F77900">
        <w:rPr>
          <w:b/>
        </w:rPr>
        <w:t xml:space="preserve"> </w:t>
      </w:r>
    </w:p>
    <w:p w14:paraId="5BF638A4" w14:textId="08A0250D" w:rsidR="007D0674" w:rsidRPr="00811BA1" w:rsidRDefault="007D0674" w:rsidP="00EB7E49">
      <w:pPr>
        <w:pStyle w:val="Bodytext"/>
        <w:rPr>
          <w:i/>
        </w:rPr>
      </w:pPr>
      <w:r w:rsidRPr="00811BA1">
        <w:rPr>
          <w:i/>
        </w:rPr>
        <w:t>Chairman</w:t>
      </w:r>
    </w:p>
    <w:p w14:paraId="0FE7D71A" w14:textId="542A863F" w:rsidR="009C0367" w:rsidRDefault="005B1414" w:rsidP="00EB7E49">
      <w:pPr>
        <w:pStyle w:val="Bodytext"/>
      </w:pPr>
      <w:r>
        <w:t>22</w:t>
      </w:r>
      <w:r w:rsidR="00400EEA">
        <w:t xml:space="preserve"> </w:t>
      </w:r>
      <w:r w:rsidR="003A097B">
        <w:t xml:space="preserve">April </w:t>
      </w:r>
      <w:r w:rsidR="007D0674" w:rsidRPr="00811BA1">
        <w:t>20</w:t>
      </w:r>
      <w:r w:rsidR="007F6490">
        <w:t>20</w:t>
      </w:r>
    </w:p>
    <w:p w14:paraId="4DF41287" w14:textId="77777777" w:rsidR="0059449A" w:rsidRDefault="0059449A" w:rsidP="00EB7E49">
      <w:pPr>
        <w:pStyle w:val="Bodytext"/>
      </w:pPr>
    </w:p>
    <w:p w14:paraId="2777A494" w14:textId="77777777" w:rsidR="0059449A" w:rsidRPr="00811BA1" w:rsidRDefault="0059449A" w:rsidP="00EB7E49">
      <w:pPr>
        <w:pStyle w:val="Bodytext"/>
      </w:pPr>
    </w:p>
    <w:p w14:paraId="7D7A9E8A" w14:textId="57B5A7A9" w:rsidR="00C54F24" w:rsidRPr="00811BA1" w:rsidRDefault="003F3CC3" w:rsidP="0059449A">
      <w:pPr>
        <w:pStyle w:val="Heading1"/>
        <w:spacing w:before="0"/>
      </w:pPr>
      <w:r w:rsidRPr="00811BA1">
        <w:t>R</w:t>
      </w:r>
      <w:r w:rsidR="00C54F24" w:rsidRPr="00811BA1">
        <w:t>eport of the Audit Committee</w:t>
      </w:r>
    </w:p>
    <w:p w14:paraId="64211322" w14:textId="77777777" w:rsidR="00C54F24" w:rsidRPr="00811BA1" w:rsidRDefault="00C54F24" w:rsidP="00EB7E49">
      <w:pPr>
        <w:pStyle w:val="Bodytext"/>
      </w:pPr>
    </w:p>
    <w:p w14:paraId="63E7FB0E" w14:textId="3844DA6E" w:rsidR="00C54F24" w:rsidRPr="00811BA1" w:rsidRDefault="00C54F24" w:rsidP="001C5C59">
      <w:pPr>
        <w:pStyle w:val="Bodytext"/>
        <w:jc w:val="both"/>
      </w:pPr>
      <w:r w:rsidRPr="00811BA1">
        <w:t xml:space="preserve">The Audit Committee, chaired by Mr </w:t>
      </w:r>
      <w:r w:rsidR="00D15FFE">
        <w:t>Firth</w:t>
      </w:r>
      <w:r w:rsidRPr="00811BA1">
        <w:t>, operates within clearly defined terms of reference</w:t>
      </w:r>
      <w:r w:rsidR="00B41A11">
        <w:t>,</w:t>
      </w:r>
      <w:r w:rsidRPr="00811BA1">
        <w:t xml:space="preserve"> which are available from the Company’s website</w:t>
      </w:r>
      <w:r w:rsidR="00FE5B0E" w:rsidRPr="00811BA1">
        <w:t xml:space="preserve"> </w:t>
      </w:r>
      <w:r w:rsidR="005E5D6F" w:rsidRPr="00CF64AD">
        <w:t>www.RiverstoneREL.com</w:t>
      </w:r>
      <w:r w:rsidR="00B41A11">
        <w:rPr>
          <w:rStyle w:val="Hyperlink"/>
        </w:rPr>
        <w:t>,</w:t>
      </w:r>
      <w:r w:rsidR="005E5D6F" w:rsidRPr="00811BA1">
        <w:t xml:space="preserve"> </w:t>
      </w:r>
      <w:r w:rsidRPr="00811BA1">
        <w:t xml:space="preserve">and include all matters indicated by Disclosure </w:t>
      </w:r>
      <w:r w:rsidR="00184565">
        <w:t xml:space="preserve">Guidance </w:t>
      </w:r>
      <w:r w:rsidRPr="00811BA1">
        <w:t xml:space="preserve">and Transparency Rule 7.1, the AIC Code and the </w:t>
      </w:r>
      <w:r w:rsidR="005463E7">
        <w:t>UK</w:t>
      </w:r>
      <w:r w:rsidRPr="00811BA1">
        <w:t xml:space="preserve"> Code. Its other members are </w:t>
      </w:r>
      <w:r w:rsidR="00C009FD" w:rsidRPr="00811BA1">
        <w:t>Mr Barker</w:t>
      </w:r>
      <w:r w:rsidR="00355861">
        <w:t xml:space="preserve">, </w:t>
      </w:r>
      <w:r w:rsidR="00C009FD">
        <w:t>Mr Hayden</w:t>
      </w:r>
      <w:r w:rsidR="00D15FFE">
        <w:t xml:space="preserve">, </w:t>
      </w:r>
      <w:r w:rsidR="00C009FD">
        <w:t xml:space="preserve">Mr Thompson </w:t>
      </w:r>
      <w:r w:rsidRPr="00811BA1">
        <w:t xml:space="preserve">and </w:t>
      </w:r>
      <w:r w:rsidR="00C009FD">
        <w:t>Mrs Whittet</w:t>
      </w:r>
      <w:r w:rsidR="007664F1" w:rsidRPr="00811BA1">
        <w:t>.</w:t>
      </w:r>
      <w:r w:rsidRPr="00811BA1">
        <w:t xml:space="preserve"> Members of the Audit Committee must be independent of the Company’s external auditor and Investment Manager.</w:t>
      </w:r>
      <w:r w:rsidR="00395226">
        <w:t xml:space="preserve"> </w:t>
      </w:r>
      <w:r w:rsidRPr="00811BA1">
        <w:t xml:space="preserve">The Audit Committee will meet no less than three times in a year, and at such other times as the Audit Committee </w:t>
      </w:r>
      <w:r w:rsidR="00EE5721">
        <w:t>C</w:t>
      </w:r>
      <w:r w:rsidR="00EE5721" w:rsidRPr="00811BA1">
        <w:t xml:space="preserve">hairman </w:t>
      </w:r>
      <w:r w:rsidRPr="00811BA1">
        <w:t>shall require, and will meet the external auditor at least once a year.</w:t>
      </w:r>
    </w:p>
    <w:p w14:paraId="55974404" w14:textId="77777777" w:rsidR="00C54F24" w:rsidRPr="00811BA1" w:rsidRDefault="00C54F24" w:rsidP="001C5C59">
      <w:pPr>
        <w:pStyle w:val="Bodytext"/>
        <w:jc w:val="both"/>
      </w:pPr>
    </w:p>
    <w:p w14:paraId="271937EE" w14:textId="235D5D39" w:rsidR="00C54F24" w:rsidRPr="00913682" w:rsidRDefault="006C2813" w:rsidP="001C5C59">
      <w:pPr>
        <w:autoSpaceDE w:val="0"/>
        <w:autoSpaceDN w:val="0"/>
        <w:adjustRightInd w:val="0"/>
        <w:jc w:val="both"/>
      </w:pPr>
      <w:r w:rsidRPr="006C2813">
        <w:t>The Committee members have considerable financial and business</w:t>
      </w:r>
      <w:r>
        <w:t xml:space="preserve"> </w:t>
      </w:r>
      <w:r w:rsidRPr="006C2813">
        <w:t>experience and the Board has determined that the membership</w:t>
      </w:r>
      <w:r w:rsidR="001F791D">
        <w:t>,</w:t>
      </w:r>
      <w:r>
        <w:t xml:space="preserve"> </w:t>
      </w:r>
      <w:r w:rsidRPr="006C2813">
        <w:t>as a whole</w:t>
      </w:r>
      <w:r w:rsidR="001F791D">
        <w:t>,</w:t>
      </w:r>
      <w:r w:rsidRPr="006C2813">
        <w:t xml:space="preserve"> has sufficient recent and relevant</w:t>
      </w:r>
      <w:r>
        <w:t xml:space="preserve"> </w:t>
      </w:r>
      <w:r w:rsidRPr="006C2813">
        <w:t>sector and financial</w:t>
      </w:r>
      <w:r>
        <w:t xml:space="preserve"> </w:t>
      </w:r>
      <w:r w:rsidRPr="006C2813">
        <w:t>experience to discharge its responsibilities and that at least</w:t>
      </w:r>
      <w:r>
        <w:t xml:space="preserve"> </w:t>
      </w:r>
      <w:r w:rsidRPr="006C2813">
        <w:t xml:space="preserve">one member has </w:t>
      </w:r>
      <w:r>
        <w:t>c</w:t>
      </w:r>
      <w:r w:rsidRPr="006C2813">
        <w:t xml:space="preserve">ompetence in accounting or auditing </w:t>
      </w:r>
      <w:r w:rsidR="00C54F24" w:rsidRPr="00913682">
        <w:t>having a background as a chartered accountant.</w:t>
      </w:r>
    </w:p>
    <w:p w14:paraId="11286EAC" w14:textId="77777777" w:rsidR="00C54F24" w:rsidRPr="00811BA1" w:rsidRDefault="00C54F24" w:rsidP="00EB7E49">
      <w:pPr>
        <w:pStyle w:val="Bodytext"/>
      </w:pPr>
    </w:p>
    <w:p w14:paraId="572A70DC" w14:textId="77777777" w:rsidR="00C54F24" w:rsidRPr="00811BA1" w:rsidRDefault="00C54F24" w:rsidP="00EB7E49">
      <w:pPr>
        <w:pStyle w:val="Heading2"/>
      </w:pPr>
      <w:r w:rsidRPr="00811BA1">
        <w:t>Responsibilities</w:t>
      </w:r>
    </w:p>
    <w:p w14:paraId="2281F269" w14:textId="0415889D" w:rsidR="00283734" w:rsidRDefault="00C54F24" w:rsidP="001C5C59">
      <w:pPr>
        <w:pStyle w:val="Bodytext"/>
        <w:spacing w:after="80"/>
        <w:jc w:val="both"/>
      </w:pPr>
      <w:r w:rsidRPr="00811BA1">
        <w:t>The main duties of the Audit Committee are:</w:t>
      </w:r>
      <w:r w:rsidR="00283734" w:rsidRPr="00283734">
        <w:t xml:space="preserve"> </w:t>
      </w:r>
    </w:p>
    <w:p w14:paraId="1E5F45D3" w14:textId="741AF6E7" w:rsidR="00C54F24" w:rsidRPr="00811BA1" w:rsidRDefault="00283734" w:rsidP="001C5C59">
      <w:pPr>
        <w:pStyle w:val="Bodytext"/>
        <w:numPr>
          <w:ilvl w:val="0"/>
          <w:numId w:val="9"/>
        </w:numPr>
        <w:spacing w:after="80"/>
        <w:ind w:left="340" w:hanging="340"/>
        <w:jc w:val="both"/>
      </w:pPr>
      <w:r w:rsidRPr="00283734">
        <w:t xml:space="preserve">to monitor the integrity of the Company’s </w:t>
      </w:r>
      <w:r w:rsidR="00E80D62">
        <w:t>F</w:t>
      </w:r>
      <w:r w:rsidRPr="00283734">
        <w:t xml:space="preserve">inancial </w:t>
      </w:r>
      <w:r w:rsidR="00E80D62">
        <w:t>S</w:t>
      </w:r>
      <w:r w:rsidRPr="00283734">
        <w:t>tatements and regulatory announcements relating to its financial</w:t>
      </w:r>
      <w:r>
        <w:t xml:space="preserve"> </w:t>
      </w:r>
      <w:r w:rsidRPr="00283734">
        <w:t>performance and review significant financial reporting judgements;</w:t>
      </w:r>
    </w:p>
    <w:p w14:paraId="48066C1F" w14:textId="71CFC47C" w:rsidR="00C54F24" w:rsidRPr="00811BA1" w:rsidRDefault="00371490" w:rsidP="001C5C59">
      <w:pPr>
        <w:pStyle w:val="Bodytext"/>
        <w:numPr>
          <w:ilvl w:val="0"/>
          <w:numId w:val="9"/>
        </w:numPr>
        <w:spacing w:after="80"/>
        <w:ind w:left="340" w:hanging="340"/>
        <w:jc w:val="both"/>
      </w:pPr>
      <w:r>
        <w:t xml:space="preserve">to </w:t>
      </w:r>
      <w:r w:rsidR="00C54F24" w:rsidRPr="00811BA1">
        <w:t>report to the Board on the appropriateness of the Company’s accounting policies and practices;</w:t>
      </w:r>
    </w:p>
    <w:p w14:paraId="396EAB24" w14:textId="7C8F1E82" w:rsidR="00C54F24" w:rsidRPr="00811BA1" w:rsidRDefault="00371490" w:rsidP="001C5C59">
      <w:pPr>
        <w:pStyle w:val="Bodytext"/>
        <w:numPr>
          <w:ilvl w:val="0"/>
          <w:numId w:val="9"/>
        </w:numPr>
        <w:spacing w:after="80"/>
        <w:ind w:left="340" w:hanging="340"/>
        <w:jc w:val="both"/>
      </w:pPr>
      <w:r>
        <w:t xml:space="preserve">to </w:t>
      </w:r>
      <w:r w:rsidR="00C54F24" w:rsidRPr="00811BA1">
        <w:t xml:space="preserve">review the valuations of the Company’s investments prepared by the Investment Manager, and </w:t>
      </w:r>
      <w:r>
        <w:t xml:space="preserve">provide </w:t>
      </w:r>
      <w:r w:rsidR="00C54F24" w:rsidRPr="00811BA1">
        <w:t>a recommendation to the Board on the valuation of the Company’s investments;</w:t>
      </w:r>
    </w:p>
    <w:p w14:paraId="2687EC99" w14:textId="497EE019" w:rsidR="00283734" w:rsidRDefault="00283734" w:rsidP="001C5C59">
      <w:pPr>
        <w:pStyle w:val="Bodytext"/>
        <w:numPr>
          <w:ilvl w:val="0"/>
          <w:numId w:val="9"/>
        </w:numPr>
        <w:spacing w:after="80"/>
        <w:ind w:left="340" w:hanging="340"/>
        <w:jc w:val="both"/>
      </w:pPr>
      <w:r w:rsidRPr="00283734">
        <w:t>to oversee the relationship with the external auditors, including agreeing their remune</w:t>
      </w:r>
      <w:r>
        <w:t>ration and terms of engagement,</w:t>
      </w:r>
      <w:r w:rsidR="00371490">
        <w:t xml:space="preserve"> </w:t>
      </w:r>
      <w:r w:rsidRPr="00283734">
        <w:t>monitoring their independence, objectivity and effectiveness, ensuring that policy surrounding their engagement to</w:t>
      </w:r>
      <w:r>
        <w:t xml:space="preserve"> </w:t>
      </w:r>
      <w:r w:rsidRPr="00283734">
        <w:t>provide non-audit services is appropriately applied, and making recommendations to the Board on their appointment,</w:t>
      </w:r>
      <w:r w:rsidR="00371490">
        <w:t xml:space="preserve"> </w:t>
      </w:r>
      <w:r w:rsidRPr="00283734">
        <w:t xml:space="preserve">reappointment or removal, for it to put to the </w:t>
      </w:r>
      <w:r w:rsidR="00B1088B">
        <w:t>S</w:t>
      </w:r>
      <w:r w:rsidRPr="00283734">
        <w:t>har</w:t>
      </w:r>
      <w:r>
        <w:t xml:space="preserve">eholders in general meeting; </w:t>
      </w:r>
    </w:p>
    <w:p w14:paraId="6D6F5353" w14:textId="0F845BDB" w:rsidR="00C54F24" w:rsidRPr="00811BA1" w:rsidRDefault="00371490" w:rsidP="001C5C59">
      <w:pPr>
        <w:pStyle w:val="Bodytext"/>
        <w:numPr>
          <w:ilvl w:val="0"/>
          <w:numId w:val="9"/>
        </w:numPr>
        <w:spacing w:after="80"/>
        <w:ind w:left="340" w:hanging="340"/>
        <w:jc w:val="both"/>
      </w:pPr>
      <w:r>
        <w:lastRenderedPageBreak/>
        <w:t>to monitor</w:t>
      </w:r>
      <w:r w:rsidR="00A943BB">
        <w:t xml:space="preserve"> and </w:t>
      </w:r>
      <w:r w:rsidR="00C54F24" w:rsidRPr="00811BA1">
        <w:t>consider annually whether there is a need for the Company to have its own internal audit function;</w:t>
      </w:r>
    </w:p>
    <w:p w14:paraId="7A327302" w14:textId="7FDF2248" w:rsidR="00283734" w:rsidRDefault="00283734" w:rsidP="001C5C59">
      <w:pPr>
        <w:pStyle w:val="Bodytext"/>
        <w:numPr>
          <w:ilvl w:val="0"/>
          <w:numId w:val="9"/>
        </w:numPr>
        <w:spacing w:after="80"/>
        <w:ind w:left="340" w:hanging="340"/>
        <w:jc w:val="both"/>
      </w:pPr>
      <w:r w:rsidRPr="00283734">
        <w:t>to keep under review the effectiveness of the Company’s internal controls, including financial controls and risk</w:t>
      </w:r>
      <w:r w:rsidR="007345F1">
        <w:t xml:space="preserve"> </w:t>
      </w:r>
      <w:r w:rsidRPr="00283734">
        <w:t>management systems;</w:t>
      </w:r>
    </w:p>
    <w:p w14:paraId="169260EE" w14:textId="591AFDDB" w:rsidR="00283734" w:rsidRDefault="00371490" w:rsidP="001C5C59">
      <w:pPr>
        <w:pStyle w:val="Bodytext"/>
        <w:numPr>
          <w:ilvl w:val="0"/>
          <w:numId w:val="9"/>
        </w:numPr>
        <w:spacing w:after="80"/>
        <w:ind w:left="340" w:hanging="340"/>
        <w:jc w:val="both"/>
      </w:pPr>
      <w:r>
        <w:t xml:space="preserve">to </w:t>
      </w:r>
      <w:r w:rsidR="00C54F24" w:rsidRPr="00811BA1">
        <w:t xml:space="preserve">review and consider the </w:t>
      </w:r>
      <w:r w:rsidR="009F41F3">
        <w:t>UK</w:t>
      </w:r>
      <w:r w:rsidR="00C54F24" w:rsidRPr="00811BA1">
        <w:t xml:space="preserve"> Code, the AIC Code, the GFSC Code, the AIC Guidance on Audit Committees and the Stewardship Code</w:t>
      </w:r>
      <w:r w:rsidR="00283734">
        <w:t>; and</w:t>
      </w:r>
    </w:p>
    <w:p w14:paraId="1A6AF9AE" w14:textId="12716024" w:rsidR="00283734" w:rsidRPr="00811BA1" w:rsidRDefault="00283734" w:rsidP="00373A46">
      <w:pPr>
        <w:pStyle w:val="Bodytext"/>
        <w:numPr>
          <w:ilvl w:val="0"/>
          <w:numId w:val="9"/>
        </w:numPr>
        <w:spacing w:after="80"/>
        <w:ind w:left="340" w:hanging="340"/>
        <w:jc w:val="both"/>
      </w:pPr>
      <w:r w:rsidRPr="00283734">
        <w:t>to report to the Board on how it has discharged its responsibilities.</w:t>
      </w:r>
    </w:p>
    <w:p w14:paraId="7EBA8BC9" w14:textId="77777777" w:rsidR="00C54F24" w:rsidRPr="00811BA1" w:rsidRDefault="00C54F24" w:rsidP="001C5C59">
      <w:pPr>
        <w:pStyle w:val="Bodytext"/>
        <w:jc w:val="both"/>
      </w:pPr>
    </w:p>
    <w:p w14:paraId="559196BA" w14:textId="5241AC54" w:rsidR="00C54F24" w:rsidRPr="00811BA1" w:rsidRDefault="00C54F24" w:rsidP="001C5C59">
      <w:pPr>
        <w:pStyle w:val="Bodytext"/>
        <w:jc w:val="both"/>
      </w:pPr>
      <w:r w:rsidRPr="00811BA1">
        <w:t>The Audit Committee is aware that</w:t>
      </w:r>
      <w:r w:rsidR="009D5570">
        <w:t xml:space="preserve"> </w:t>
      </w:r>
      <w:r w:rsidRPr="00811BA1">
        <w:t>the Annual Report</w:t>
      </w:r>
      <w:r w:rsidR="00825EA0">
        <w:t xml:space="preserve"> </w:t>
      </w:r>
      <w:r w:rsidR="00DC507F">
        <w:t>is</w:t>
      </w:r>
      <w:r w:rsidRPr="00811BA1">
        <w:t xml:space="preserve"> not subject to formal statutory audit, including the Chairman’s Statement and the Investment Manager’s Report. Financial information in these sections is reviewed by the Audit Committee.</w:t>
      </w:r>
    </w:p>
    <w:p w14:paraId="4D504F63" w14:textId="77777777" w:rsidR="00C54F24" w:rsidRPr="00811BA1" w:rsidRDefault="00C54F24" w:rsidP="001C5C59">
      <w:pPr>
        <w:pStyle w:val="Bodytext"/>
        <w:jc w:val="both"/>
      </w:pPr>
    </w:p>
    <w:p w14:paraId="1D025F6F" w14:textId="0A9C867E" w:rsidR="00C54F24" w:rsidRPr="00811BA1" w:rsidRDefault="00C54F24" w:rsidP="001C5C59">
      <w:pPr>
        <w:pStyle w:val="Bodytext"/>
        <w:jc w:val="both"/>
      </w:pPr>
      <w:r w:rsidRPr="00811BA1">
        <w:t>The Audit Committee is required to report its findings to the Board, identifying any matters on which it considers that action or improvement is needed, and make recommendations on the steps to be taken.</w:t>
      </w:r>
    </w:p>
    <w:p w14:paraId="7F13F053" w14:textId="77777777" w:rsidR="00C54F24" w:rsidRPr="00811BA1" w:rsidRDefault="00C54F24" w:rsidP="001C5C59">
      <w:pPr>
        <w:pStyle w:val="Bodytext"/>
        <w:jc w:val="both"/>
      </w:pPr>
    </w:p>
    <w:p w14:paraId="3AF79989" w14:textId="3611C202" w:rsidR="00C54F24" w:rsidRPr="00811BA1" w:rsidRDefault="00C54F24" w:rsidP="001C5C59">
      <w:pPr>
        <w:pStyle w:val="Bodytext"/>
        <w:jc w:val="both"/>
      </w:pPr>
      <w:r w:rsidRPr="00811BA1">
        <w:t xml:space="preserve">The external auditor is invited to attend the Audit Committee meetings at which the </w:t>
      </w:r>
      <w:r w:rsidR="006A09DA" w:rsidRPr="00811BA1">
        <w:t>A</w:t>
      </w:r>
      <w:r w:rsidRPr="00811BA1">
        <w:t xml:space="preserve">nnual </w:t>
      </w:r>
      <w:r w:rsidR="006A09DA" w:rsidRPr="00811BA1">
        <w:t xml:space="preserve">Report </w:t>
      </w:r>
      <w:r w:rsidRPr="00811BA1">
        <w:t xml:space="preserve">and </w:t>
      </w:r>
      <w:r w:rsidR="006A09DA" w:rsidRPr="00811BA1">
        <w:t>I</w:t>
      </w:r>
      <w:r w:rsidRPr="00811BA1">
        <w:t xml:space="preserve">nterim Financial </w:t>
      </w:r>
      <w:r w:rsidR="006A09DA" w:rsidRPr="00811BA1">
        <w:t xml:space="preserve">Report </w:t>
      </w:r>
      <w:r w:rsidRPr="00811BA1">
        <w:t>are considered and at which they have the opportunity to meet with the Committee without representatives of the Investment Manager or Administrator being present at least once per year.</w:t>
      </w:r>
    </w:p>
    <w:p w14:paraId="47CA0080" w14:textId="77777777" w:rsidR="00C54F24" w:rsidRPr="00811BA1" w:rsidRDefault="00C54F24" w:rsidP="00EB7E49">
      <w:pPr>
        <w:pStyle w:val="Bodytext"/>
      </w:pPr>
    </w:p>
    <w:p w14:paraId="2B81FF46" w14:textId="5467778E" w:rsidR="00C54F24" w:rsidRPr="00811BA1" w:rsidRDefault="00C54F24" w:rsidP="00EB7E49">
      <w:pPr>
        <w:pStyle w:val="Heading2"/>
      </w:pPr>
      <w:r w:rsidRPr="00811BA1">
        <w:t>Financial Reporting</w:t>
      </w:r>
    </w:p>
    <w:p w14:paraId="352AF2ED" w14:textId="77777777" w:rsidR="00C54F24" w:rsidRPr="00811BA1" w:rsidRDefault="00C54F24" w:rsidP="001C5C59">
      <w:pPr>
        <w:pStyle w:val="Bodytext"/>
        <w:spacing w:after="80"/>
        <w:jc w:val="both"/>
      </w:pPr>
      <w:r w:rsidRPr="00811BA1">
        <w:t>The primary role of the Audit Committee in relation to financial reporting is to review with the Administrator, Investment Manager and the external auditor and report to the Board on the appropriateness of the Annual Report and Financial Statements and Interim Financial Report, concentrating on, amongst other matters:</w:t>
      </w:r>
    </w:p>
    <w:p w14:paraId="4BB64769" w14:textId="77777777" w:rsidR="00C54F24" w:rsidRPr="00811BA1" w:rsidRDefault="00C54F24" w:rsidP="001C5C59">
      <w:pPr>
        <w:pStyle w:val="Bodytext"/>
        <w:numPr>
          <w:ilvl w:val="0"/>
          <w:numId w:val="10"/>
        </w:numPr>
        <w:spacing w:after="80"/>
        <w:ind w:left="340" w:hanging="340"/>
        <w:jc w:val="both"/>
      </w:pPr>
      <w:r w:rsidRPr="00811BA1">
        <w:t>the quality and acceptability of accounting policies and practices;</w:t>
      </w:r>
    </w:p>
    <w:p w14:paraId="2ADE74C4" w14:textId="77777777" w:rsidR="00C54F24" w:rsidRPr="00811BA1" w:rsidRDefault="00C54F24" w:rsidP="001C5C59">
      <w:pPr>
        <w:pStyle w:val="Bodytext"/>
        <w:numPr>
          <w:ilvl w:val="0"/>
          <w:numId w:val="10"/>
        </w:numPr>
        <w:spacing w:after="80"/>
        <w:ind w:left="340" w:hanging="340"/>
        <w:jc w:val="both"/>
      </w:pPr>
      <w:r w:rsidRPr="00811BA1">
        <w:t>the clarity of the disclosures and compliance with financial reporting standards and relevant financial and governance reporting requirements;</w:t>
      </w:r>
    </w:p>
    <w:p w14:paraId="33325314" w14:textId="49FD618C" w:rsidR="00C54F24" w:rsidRPr="00811BA1" w:rsidRDefault="00C54F24" w:rsidP="001C5C59">
      <w:pPr>
        <w:pStyle w:val="Bodytext"/>
        <w:numPr>
          <w:ilvl w:val="0"/>
          <w:numId w:val="10"/>
        </w:numPr>
        <w:spacing w:after="80"/>
        <w:ind w:left="340" w:hanging="340"/>
        <w:jc w:val="both"/>
      </w:pPr>
      <w:r w:rsidRPr="00811BA1">
        <w:t>material areas in which significant judgements have been applied or there has been discussion with the external auditor</w:t>
      </w:r>
      <w:r w:rsidR="002C4CB6">
        <w:t xml:space="preserve"> including going concern and viability statement</w:t>
      </w:r>
      <w:r w:rsidRPr="00811BA1">
        <w:t>;</w:t>
      </w:r>
    </w:p>
    <w:p w14:paraId="2CA9F1DF" w14:textId="77777777" w:rsidR="00C54F24" w:rsidRPr="00811BA1" w:rsidRDefault="00C54F24" w:rsidP="001C5C59">
      <w:pPr>
        <w:pStyle w:val="Bodytext"/>
        <w:numPr>
          <w:ilvl w:val="0"/>
          <w:numId w:val="10"/>
        </w:numPr>
        <w:spacing w:after="80"/>
        <w:ind w:left="340" w:hanging="340"/>
        <w:jc w:val="both"/>
      </w:pPr>
      <w:r w:rsidRPr="00811BA1">
        <w:t>whether the Annual Report and Financial Statements, taken as a whole, is fair, balanced and understandable and provides the information necessary for Shareholders to assess the Company’s performance, business model and strategy; and</w:t>
      </w:r>
    </w:p>
    <w:p w14:paraId="0EB0B60E" w14:textId="77777777" w:rsidR="00C54F24" w:rsidRPr="00811BA1" w:rsidRDefault="00C54F24" w:rsidP="001C5C59">
      <w:pPr>
        <w:pStyle w:val="Bodytext"/>
        <w:numPr>
          <w:ilvl w:val="0"/>
          <w:numId w:val="10"/>
        </w:numPr>
        <w:ind w:left="340" w:hanging="340"/>
        <w:jc w:val="both"/>
      </w:pPr>
      <w:r w:rsidRPr="00811BA1">
        <w:t>any correspondence from regulators in relation to our financial reporting.</w:t>
      </w:r>
    </w:p>
    <w:p w14:paraId="2C44F9D9" w14:textId="77777777" w:rsidR="00C54F24" w:rsidRDefault="00C54F24" w:rsidP="001C5C59">
      <w:pPr>
        <w:pStyle w:val="Bodytext"/>
        <w:jc w:val="both"/>
      </w:pPr>
    </w:p>
    <w:p w14:paraId="6D31CD99" w14:textId="77777777" w:rsidR="00C54F24" w:rsidRPr="00811BA1" w:rsidRDefault="00C54F24" w:rsidP="001C5C59">
      <w:pPr>
        <w:pStyle w:val="Bodytext"/>
        <w:jc w:val="both"/>
      </w:pPr>
      <w:r w:rsidRPr="00811BA1">
        <w:t>To aid its review, the Audit Committee considers reports from the Administrator and Investment Manager and also reports from the external auditor on the outcomes of their half-year review and annual audit. The Audit Committee supports Ernst and Young LLP in displaying the necessary professional scepticism their role requires.</w:t>
      </w:r>
    </w:p>
    <w:p w14:paraId="2AA969A2" w14:textId="77777777" w:rsidR="00C54F24" w:rsidRPr="00811BA1" w:rsidRDefault="00C54F24" w:rsidP="001C5C59">
      <w:pPr>
        <w:pStyle w:val="Bodytext"/>
        <w:jc w:val="both"/>
      </w:pPr>
    </w:p>
    <w:p w14:paraId="404639DA" w14:textId="77777777" w:rsidR="00C54F24" w:rsidRPr="00811BA1" w:rsidRDefault="00C54F24" w:rsidP="00EB7E49">
      <w:pPr>
        <w:pStyle w:val="Heading2"/>
      </w:pPr>
      <w:r w:rsidRPr="00811BA1">
        <w:t>Meetings</w:t>
      </w:r>
    </w:p>
    <w:p w14:paraId="61263D68" w14:textId="7E6CFBCB" w:rsidR="00C54F24" w:rsidRPr="00811BA1" w:rsidRDefault="00C54F24" w:rsidP="001C5C59">
      <w:pPr>
        <w:pStyle w:val="Bodytext"/>
        <w:spacing w:after="80"/>
        <w:jc w:val="both"/>
      </w:pPr>
      <w:r w:rsidRPr="00811BA1">
        <w:t>During the year ended 31 December 201</w:t>
      </w:r>
      <w:r w:rsidR="002A6B68">
        <w:t>9</w:t>
      </w:r>
      <w:r w:rsidRPr="00811BA1">
        <w:t>, the Audit Committee met formally</w:t>
      </w:r>
      <w:r w:rsidR="00825EA0">
        <w:t xml:space="preserve"> </w:t>
      </w:r>
      <w:r w:rsidR="00273BEE">
        <w:t>four</w:t>
      </w:r>
      <w:r w:rsidRPr="00811BA1">
        <w:t xml:space="preserve"> times and maintained ongoing liaison and discussion between the external auditor and the </w:t>
      </w:r>
      <w:r w:rsidR="00EE5721">
        <w:t>C</w:t>
      </w:r>
      <w:r w:rsidR="00EE5721" w:rsidRPr="00811BA1">
        <w:t>hair</w:t>
      </w:r>
      <w:r w:rsidR="00EE5721">
        <w:t>man</w:t>
      </w:r>
      <w:r w:rsidR="00EE5721" w:rsidRPr="00811BA1">
        <w:t xml:space="preserve"> </w:t>
      </w:r>
      <w:r w:rsidRPr="00811BA1">
        <w:t xml:space="preserve">of the Audit Committee with regards to the audit approach and the identified risks. </w:t>
      </w:r>
      <w:r w:rsidR="00987595">
        <w:rPr>
          <w:szCs w:val="22"/>
        </w:rPr>
        <w:t>Additional ad hoc meetings or informal discussions have been convened at other times during the year as the Committee determined appropriate</w:t>
      </w:r>
      <w:r w:rsidR="00987595">
        <w:t xml:space="preserve">. </w:t>
      </w:r>
      <w:r w:rsidRPr="00811BA1">
        <w:t>The Audit Committee has met on</w:t>
      </w:r>
      <w:r w:rsidR="009D4A2B">
        <w:t xml:space="preserve"> </w:t>
      </w:r>
      <w:r w:rsidR="00893B6A">
        <w:t>two</w:t>
      </w:r>
      <w:r w:rsidRPr="00811BA1">
        <w:t xml:space="preserve"> occasion</w:t>
      </w:r>
      <w:r w:rsidR="00893B6A">
        <w:t>s</w:t>
      </w:r>
      <w:r w:rsidRPr="00811BA1">
        <w:t xml:space="preserve"> since the year</w:t>
      </w:r>
      <w:r w:rsidR="002F75DD">
        <w:t>-</w:t>
      </w:r>
      <w:r w:rsidRPr="00811BA1">
        <w:t xml:space="preserve">end through to the date of this report on </w:t>
      </w:r>
      <w:r w:rsidR="00106581" w:rsidRPr="00106581">
        <w:t xml:space="preserve">25 February </w:t>
      </w:r>
      <w:r w:rsidRPr="00811BA1">
        <w:t>20</w:t>
      </w:r>
      <w:r w:rsidR="007F6490">
        <w:t>20</w:t>
      </w:r>
      <w:r w:rsidR="00893B6A">
        <w:t xml:space="preserve"> and </w:t>
      </w:r>
      <w:r w:rsidR="005B1414">
        <w:t>22</w:t>
      </w:r>
      <w:r w:rsidR="00893B6A">
        <w:t xml:space="preserve"> April 2020</w:t>
      </w:r>
      <w:r w:rsidRPr="00811BA1">
        <w:t>. The matters discussed at those meetings include:</w:t>
      </w:r>
    </w:p>
    <w:p w14:paraId="130E9720" w14:textId="19B4FA4C" w:rsidR="00C54F24" w:rsidRPr="00811BA1" w:rsidRDefault="00FE5B0E" w:rsidP="001C5C59">
      <w:pPr>
        <w:pStyle w:val="Bodytext"/>
        <w:numPr>
          <w:ilvl w:val="0"/>
          <w:numId w:val="11"/>
        </w:numPr>
        <w:spacing w:after="80"/>
        <w:ind w:left="340" w:hanging="340"/>
        <w:jc w:val="both"/>
      </w:pPr>
      <w:r w:rsidRPr="00811BA1">
        <w:t>review</w:t>
      </w:r>
      <w:r w:rsidR="00C54F24" w:rsidRPr="00811BA1">
        <w:t xml:space="preserve"> of</w:t>
      </w:r>
      <w:r w:rsidR="00E50CC2">
        <w:t xml:space="preserve"> the terms of reference of the a</w:t>
      </w:r>
      <w:r w:rsidR="00C54F24" w:rsidRPr="00811BA1">
        <w:t xml:space="preserve">udit </w:t>
      </w:r>
      <w:r w:rsidR="00E50CC2">
        <w:t>c</w:t>
      </w:r>
      <w:r w:rsidR="00C54F24" w:rsidRPr="00811BA1">
        <w:t>ommittee for approval by the Board;</w:t>
      </w:r>
    </w:p>
    <w:p w14:paraId="31C86005" w14:textId="00C82DF4" w:rsidR="00C54F24" w:rsidRPr="00811BA1" w:rsidRDefault="00C54F24" w:rsidP="001C5C59">
      <w:pPr>
        <w:pStyle w:val="Bodytext"/>
        <w:numPr>
          <w:ilvl w:val="0"/>
          <w:numId w:val="11"/>
        </w:numPr>
        <w:spacing w:after="80"/>
        <w:ind w:left="340" w:hanging="340"/>
        <w:jc w:val="both"/>
      </w:pPr>
      <w:r w:rsidRPr="00811BA1">
        <w:t xml:space="preserve">review of the accounting policies and format of the </w:t>
      </w:r>
      <w:r w:rsidR="002F261F">
        <w:t>F</w:t>
      </w:r>
      <w:r w:rsidR="002F261F" w:rsidRPr="00811BA1">
        <w:t xml:space="preserve">inancial </w:t>
      </w:r>
      <w:r w:rsidR="002F261F">
        <w:t>S</w:t>
      </w:r>
      <w:r w:rsidR="002F261F" w:rsidRPr="00811BA1">
        <w:t>tatements</w:t>
      </w:r>
      <w:r w:rsidRPr="00811BA1">
        <w:t>;</w:t>
      </w:r>
    </w:p>
    <w:p w14:paraId="6F187EE6" w14:textId="77777777" w:rsidR="00C54F24" w:rsidRPr="00811BA1" w:rsidRDefault="00C54F24" w:rsidP="001C5C59">
      <w:pPr>
        <w:pStyle w:val="Bodytext"/>
        <w:numPr>
          <w:ilvl w:val="0"/>
          <w:numId w:val="11"/>
        </w:numPr>
        <w:spacing w:after="80"/>
        <w:ind w:left="340" w:hanging="340"/>
        <w:jc w:val="both"/>
      </w:pPr>
      <w:r w:rsidRPr="00811BA1">
        <w:t>review and approval of the audit plan of the external auditor;</w:t>
      </w:r>
    </w:p>
    <w:p w14:paraId="19C92AA7" w14:textId="77777777" w:rsidR="00C54F24" w:rsidRPr="00811BA1" w:rsidRDefault="00C54F24" w:rsidP="001C5C59">
      <w:pPr>
        <w:pStyle w:val="Bodytext"/>
        <w:numPr>
          <w:ilvl w:val="0"/>
          <w:numId w:val="11"/>
        </w:numPr>
        <w:spacing w:after="80"/>
        <w:ind w:left="340" w:hanging="340"/>
        <w:jc w:val="both"/>
      </w:pPr>
      <w:r w:rsidRPr="00811BA1">
        <w:t>discussion and approval of the fee for the external audit;</w:t>
      </w:r>
    </w:p>
    <w:p w14:paraId="55760E20" w14:textId="77777777" w:rsidR="00C54F24" w:rsidRPr="00811BA1" w:rsidRDefault="00C54F24" w:rsidP="001C5C59">
      <w:pPr>
        <w:pStyle w:val="Bodytext"/>
        <w:numPr>
          <w:ilvl w:val="0"/>
          <w:numId w:val="11"/>
        </w:numPr>
        <w:spacing w:after="80"/>
        <w:ind w:left="340" w:hanging="340"/>
        <w:jc w:val="both"/>
      </w:pPr>
      <w:r w:rsidRPr="00811BA1">
        <w:t>detailed review of the valuations of the Company’s investment portfolio and recommendation for approval by the Board;</w:t>
      </w:r>
    </w:p>
    <w:p w14:paraId="2D08CA14" w14:textId="086097D2" w:rsidR="00C54F24" w:rsidRDefault="00C54F24" w:rsidP="001C5C59">
      <w:pPr>
        <w:pStyle w:val="Bodytext"/>
        <w:numPr>
          <w:ilvl w:val="0"/>
          <w:numId w:val="11"/>
        </w:numPr>
        <w:spacing w:after="80"/>
        <w:ind w:left="340" w:hanging="340"/>
        <w:jc w:val="both"/>
      </w:pPr>
      <w:r w:rsidRPr="00811BA1">
        <w:t xml:space="preserve">detailed review of the Annual Report and Financial Statements, Interim Financial Report and </w:t>
      </w:r>
      <w:r w:rsidR="00274F01" w:rsidRPr="00811BA1">
        <w:t>quarterly p</w:t>
      </w:r>
      <w:r w:rsidR="00FE5B0E" w:rsidRPr="00811BA1">
        <w:t xml:space="preserve">ortfolio </w:t>
      </w:r>
      <w:r w:rsidR="00274F01" w:rsidRPr="00811BA1">
        <w:t>v</w:t>
      </w:r>
      <w:r w:rsidR="00FE5B0E" w:rsidRPr="00811BA1">
        <w:t>aluations</w:t>
      </w:r>
      <w:r w:rsidRPr="00811BA1">
        <w:t>, and recommendation for approval by the Board;</w:t>
      </w:r>
    </w:p>
    <w:p w14:paraId="0FD8B0A3" w14:textId="4D17F8D7" w:rsidR="00E215DF" w:rsidRPr="00811BA1" w:rsidRDefault="00E215DF" w:rsidP="001C5C59">
      <w:pPr>
        <w:pStyle w:val="Bodytext"/>
        <w:numPr>
          <w:ilvl w:val="0"/>
          <w:numId w:val="11"/>
        </w:numPr>
        <w:spacing w:after="80"/>
        <w:ind w:left="340" w:hanging="340"/>
        <w:jc w:val="both"/>
      </w:pPr>
      <w:r>
        <w:t>assessment of the independence of the external auditor;</w:t>
      </w:r>
    </w:p>
    <w:p w14:paraId="453D1CAF" w14:textId="1534A4F3" w:rsidR="00C54F24" w:rsidRPr="00811BA1" w:rsidRDefault="00C54F24" w:rsidP="001C5C59">
      <w:pPr>
        <w:pStyle w:val="Bodytext"/>
        <w:numPr>
          <w:ilvl w:val="0"/>
          <w:numId w:val="11"/>
        </w:numPr>
        <w:spacing w:after="80"/>
        <w:ind w:left="340" w:hanging="340"/>
        <w:jc w:val="both"/>
      </w:pPr>
      <w:r w:rsidRPr="00811BA1">
        <w:t>assessment of the effectiveness of the external audit process as described below;</w:t>
      </w:r>
    </w:p>
    <w:p w14:paraId="0608530D" w14:textId="7B20AFFC" w:rsidR="00987595" w:rsidRDefault="00C54F24" w:rsidP="001C5C59">
      <w:pPr>
        <w:pStyle w:val="Bodytext"/>
        <w:numPr>
          <w:ilvl w:val="0"/>
          <w:numId w:val="11"/>
        </w:numPr>
        <w:spacing w:after="80"/>
        <w:ind w:left="346" w:hanging="346"/>
        <w:jc w:val="both"/>
      </w:pPr>
      <w:r w:rsidRPr="00811BA1">
        <w:t>review of the Company’s key risks and internal controls</w:t>
      </w:r>
      <w:r w:rsidR="00987595">
        <w:t>;</w:t>
      </w:r>
    </w:p>
    <w:p w14:paraId="27A4DF8B" w14:textId="77777777" w:rsidR="00987595" w:rsidRDefault="00987595" w:rsidP="001C5C59">
      <w:pPr>
        <w:pStyle w:val="Bodytext"/>
        <w:numPr>
          <w:ilvl w:val="0"/>
          <w:numId w:val="11"/>
        </w:numPr>
        <w:spacing w:after="80"/>
        <w:ind w:left="346" w:hanging="346"/>
        <w:jc w:val="both"/>
      </w:pPr>
      <w:r>
        <w:t>consideration of going concern applicability;</w:t>
      </w:r>
    </w:p>
    <w:p w14:paraId="68DA5EAD" w14:textId="77777777" w:rsidR="00987595" w:rsidRDefault="00987595" w:rsidP="001C5C59">
      <w:pPr>
        <w:pStyle w:val="Bodytext"/>
        <w:numPr>
          <w:ilvl w:val="0"/>
          <w:numId w:val="11"/>
        </w:numPr>
        <w:spacing w:after="80"/>
        <w:ind w:left="346" w:hanging="346"/>
        <w:jc w:val="both"/>
      </w:pPr>
      <w:r>
        <w:lastRenderedPageBreak/>
        <w:t>focus on ESG;</w:t>
      </w:r>
    </w:p>
    <w:p w14:paraId="4354FBE7" w14:textId="6F8F0023" w:rsidR="00987595" w:rsidRDefault="00987595" w:rsidP="001C5C59">
      <w:pPr>
        <w:pStyle w:val="Bodytext"/>
        <w:numPr>
          <w:ilvl w:val="0"/>
          <w:numId w:val="11"/>
        </w:numPr>
        <w:spacing w:after="80"/>
        <w:ind w:left="346" w:hanging="346"/>
        <w:jc w:val="both"/>
      </w:pPr>
      <w:r>
        <w:t>application of change to sensitivity analysis following Ernst &amp; Young LLP’s recommendation; and</w:t>
      </w:r>
    </w:p>
    <w:p w14:paraId="548240FC" w14:textId="2EC3D03E" w:rsidR="00C54F24" w:rsidRPr="00811BA1" w:rsidRDefault="00987595" w:rsidP="001C5C59">
      <w:pPr>
        <w:pStyle w:val="Bodytext"/>
        <w:numPr>
          <w:ilvl w:val="0"/>
          <w:numId w:val="11"/>
        </w:numPr>
        <w:ind w:left="340" w:hanging="340"/>
        <w:jc w:val="both"/>
      </w:pPr>
      <w:r>
        <w:t>application of any IFRS changes</w:t>
      </w:r>
      <w:r w:rsidR="00C54F24" w:rsidRPr="00811BA1">
        <w:t>.</w:t>
      </w:r>
    </w:p>
    <w:p w14:paraId="2403F477" w14:textId="77777777" w:rsidR="00C54F24" w:rsidRPr="00811BA1" w:rsidRDefault="00C54F24" w:rsidP="001C5C59">
      <w:pPr>
        <w:pStyle w:val="Bodytext"/>
        <w:jc w:val="both"/>
      </w:pPr>
    </w:p>
    <w:p w14:paraId="46C648CE" w14:textId="76C4F907" w:rsidR="00C54F24" w:rsidRPr="00811BA1" w:rsidRDefault="00C54F24" w:rsidP="00EB7E49">
      <w:pPr>
        <w:pStyle w:val="Heading2"/>
      </w:pPr>
      <w:r w:rsidRPr="00811BA1">
        <w:t>S</w:t>
      </w:r>
      <w:r w:rsidR="002B2C9F" w:rsidRPr="00811BA1">
        <w:t>ignificant Areas of Judgement</w:t>
      </w:r>
      <w:r w:rsidR="00EA71CD">
        <w:t xml:space="preserve"> Considered by the Audit Committee</w:t>
      </w:r>
    </w:p>
    <w:p w14:paraId="3FE3DCEE" w14:textId="28F211FC" w:rsidR="00C54F24" w:rsidRPr="00811BA1" w:rsidRDefault="00C54F24" w:rsidP="001C5C59">
      <w:pPr>
        <w:pStyle w:val="Bodytext"/>
        <w:jc w:val="both"/>
      </w:pPr>
      <w:r w:rsidRPr="00811BA1">
        <w:t>The Audit Committee has determined that a key risk of misstatement of the Company’s Financial Statements relates to the valuation of the investment in the Partnership at fair value through profit or loss, in the context of the judgements necessary to evaluate market values of the</w:t>
      </w:r>
      <w:r w:rsidR="009D5570">
        <w:t xml:space="preserve"> underlying investments held through</w:t>
      </w:r>
      <w:r w:rsidRPr="00811BA1">
        <w:t xml:space="preserve"> the Partnership.</w:t>
      </w:r>
    </w:p>
    <w:p w14:paraId="239F64FD" w14:textId="77777777" w:rsidR="002B2C9F" w:rsidRPr="00811BA1" w:rsidRDefault="002B2C9F" w:rsidP="001C5C59">
      <w:pPr>
        <w:pStyle w:val="Bodytext"/>
        <w:jc w:val="both"/>
      </w:pPr>
    </w:p>
    <w:p w14:paraId="34F1FF2C" w14:textId="5EFF6018" w:rsidR="00C54F24" w:rsidRPr="00811BA1" w:rsidRDefault="00C54F24" w:rsidP="001C5C59">
      <w:pPr>
        <w:pStyle w:val="Bodytext"/>
        <w:jc w:val="both"/>
      </w:pPr>
      <w:r w:rsidRPr="00811BA1">
        <w:t>The Directors have considered whether any discount or premium should be applied to the net asset value of the Partnership</w:t>
      </w:r>
      <w:r w:rsidR="00894E75">
        <w:t xml:space="preserve">, which is based on the fair value of its </w:t>
      </w:r>
      <w:r w:rsidR="00A1471A">
        <w:t xml:space="preserve">underlying </w:t>
      </w:r>
      <w:r w:rsidR="009D5570">
        <w:t>investments</w:t>
      </w:r>
      <w:r w:rsidRPr="00811BA1">
        <w:t>. In view of the Company’s investment in the Partnership and the nature of the Partnership’s assets, no adjustment to the net asset value of the Partnership has been made</w:t>
      </w:r>
      <w:r w:rsidR="00C64109" w:rsidRPr="00811BA1">
        <w:t>, as this is deemed equivalent to fair value.</w:t>
      </w:r>
      <w:r w:rsidR="001D3FB2">
        <w:t xml:space="preserve"> </w:t>
      </w:r>
    </w:p>
    <w:p w14:paraId="42D71CD7" w14:textId="77777777" w:rsidR="002B2C9F" w:rsidRPr="00811BA1" w:rsidRDefault="002B2C9F" w:rsidP="001C5C59">
      <w:pPr>
        <w:pStyle w:val="Bodytext"/>
        <w:jc w:val="both"/>
      </w:pPr>
    </w:p>
    <w:p w14:paraId="5310A023" w14:textId="41AE20EE" w:rsidR="00D6215E" w:rsidRPr="00225B15" w:rsidRDefault="00225B15" w:rsidP="001C5C59">
      <w:pPr>
        <w:pStyle w:val="Bodytext"/>
        <w:jc w:val="both"/>
      </w:pPr>
      <w:r w:rsidRPr="00811BA1">
        <w:t xml:space="preserve">The Audit Committee reviews, considers and, if thought appropriate, recommends for the purposes of the Company’s </w:t>
      </w:r>
      <w:r>
        <w:t>F</w:t>
      </w:r>
      <w:r w:rsidRPr="00811BA1">
        <w:t xml:space="preserve">inancial </w:t>
      </w:r>
      <w:r>
        <w:t>S</w:t>
      </w:r>
      <w:r w:rsidRPr="00811BA1">
        <w:t xml:space="preserve">tatements, valuations prepared by the Investment Manager in respect of the </w:t>
      </w:r>
      <w:r>
        <w:t>investments of the Partnership.</w:t>
      </w:r>
      <w:r w:rsidR="00496939">
        <w:t xml:space="preserve"> </w:t>
      </w:r>
      <w:r w:rsidR="00832F5A" w:rsidRPr="00811BA1">
        <w:rPr>
          <w:lang w:val="en-US"/>
        </w:rPr>
        <w:t>As outlined in Note 6 to the Financial Statements, the total carrying value of the investment in the Partnership at fair value through profit or loss at 31 December 201</w:t>
      </w:r>
      <w:r w:rsidR="002A6B68">
        <w:rPr>
          <w:lang w:val="en-US"/>
        </w:rPr>
        <w:t>9</w:t>
      </w:r>
      <w:r w:rsidR="00832F5A" w:rsidRPr="00811BA1">
        <w:rPr>
          <w:lang w:val="en-US"/>
        </w:rPr>
        <w:t xml:space="preserve"> was </w:t>
      </w:r>
      <w:r w:rsidR="007A6F82" w:rsidRPr="00811BA1">
        <w:rPr>
          <w:lang w:val="en-US"/>
        </w:rPr>
        <w:t>$</w:t>
      </w:r>
      <w:r w:rsidR="00106581">
        <w:t>773</w:t>
      </w:r>
      <w:r w:rsidR="00336ABC">
        <w:t xml:space="preserve"> </w:t>
      </w:r>
      <w:r w:rsidR="00832F5A" w:rsidRPr="00811BA1">
        <w:rPr>
          <w:lang w:val="en-US"/>
        </w:rPr>
        <w:t>million</w:t>
      </w:r>
      <w:r w:rsidR="007F641A" w:rsidRPr="00811BA1">
        <w:rPr>
          <w:lang w:val="en-US"/>
        </w:rPr>
        <w:t xml:space="preserve"> (31 December 201</w:t>
      </w:r>
      <w:r w:rsidR="002A6B68">
        <w:rPr>
          <w:lang w:val="en-US"/>
        </w:rPr>
        <w:t>8</w:t>
      </w:r>
      <w:r w:rsidR="007F641A" w:rsidRPr="00811BA1">
        <w:rPr>
          <w:lang w:val="en-US"/>
        </w:rPr>
        <w:t>: $</w:t>
      </w:r>
      <w:r w:rsidR="00823086">
        <w:rPr>
          <w:lang w:val="en-US"/>
        </w:rPr>
        <w:t>1,</w:t>
      </w:r>
      <w:r w:rsidR="002A6B68">
        <w:rPr>
          <w:lang w:val="en-US"/>
        </w:rPr>
        <w:t>429</w:t>
      </w:r>
      <w:r w:rsidR="00823086">
        <w:t xml:space="preserve"> </w:t>
      </w:r>
      <w:r w:rsidR="007F641A" w:rsidRPr="00811BA1">
        <w:rPr>
          <w:lang w:val="en-US"/>
        </w:rPr>
        <w:t>million</w:t>
      </w:r>
      <w:r w:rsidR="00E07C8A" w:rsidRPr="00811BA1">
        <w:rPr>
          <w:lang w:val="en-US"/>
        </w:rPr>
        <w:t>)</w:t>
      </w:r>
      <w:r w:rsidR="00832F5A" w:rsidRPr="00811BA1">
        <w:rPr>
          <w:lang w:val="en-US"/>
        </w:rPr>
        <w:t xml:space="preserve">. Market quotations are not available for this financial asset such that the value of the Company’s investment is based on the value of the Company’s limited partner capital account with the Partnership, which itself is based on the value of the Partnership’s investments as determined by the Investment Manager, along with the cash and fixed deposits held. The valuation for each individual investment held by the Partnership is determined by reference to common industry valuation techniques, including comparable public market valuation, comparable merger and acquisition transaction valuation, and discounted cash flow valuation, as detailed in the Investment Manager’s </w:t>
      </w:r>
      <w:r w:rsidR="00644C77">
        <w:rPr>
          <w:lang w:val="en-US"/>
        </w:rPr>
        <w:t>R</w:t>
      </w:r>
      <w:r w:rsidR="00644C77" w:rsidRPr="00811BA1">
        <w:rPr>
          <w:lang w:val="en-US"/>
        </w:rPr>
        <w:t xml:space="preserve">eport </w:t>
      </w:r>
      <w:r w:rsidR="006C46E8">
        <w:t>and Note 5 to the Financial Statements</w:t>
      </w:r>
      <w:r w:rsidR="00B93A82" w:rsidRPr="00811BA1">
        <w:t xml:space="preserve">. </w:t>
      </w:r>
    </w:p>
    <w:p w14:paraId="0212E77D" w14:textId="77777777" w:rsidR="00D6215E" w:rsidRDefault="00D6215E" w:rsidP="001C5C59">
      <w:pPr>
        <w:pStyle w:val="Bodytext"/>
        <w:jc w:val="both"/>
      </w:pPr>
    </w:p>
    <w:p w14:paraId="1B74016B" w14:textId="2CF2834E" w:rsidR="00C54F24" w:rsidRPr="00811BA1" w:rsidRDefault="00C54F24" w:rsidP="001C5C59">
      <w:pPr>
        <w:pStyle w:val="Bodytext"/>
        <w:jc w:val="both"/>
      </w:pPr>
      <w:r w:rsidRPr="00EB14C7">
        <w:t xml:space="preserve">The valuation process and </w:t>
      </w:r>
      <w:r w:rsidRPr="00EA1655">
        <w:t xml:space="preserve">methodology was discussed with the Investment Manager and with the external auditor at </w:t>
      </w:r>
      <w:r w:rsidR="006D3E0A" w:rsidRPr="00EA1655">
        <w:t xml:space="preserve">the </w:t>
      </w:r>
      <w:r w:rsidRPr="00EA1655">
        <w:t>Audit Committee meeting</w:t>
      </w:r>
      <w:r w:rsidR="006D3E0A" w:rsidRPr="00EA1655">
        <w:t>s</w:t>
      </w:r>
      <w:r w:rsidRPr="00EA1655">
        <w:t xml:space="preserve"> held on </w:t>
      </w:r>
      <w:r w:rsidR="00106581">
        <w:t>29 October 2019</w:t>
      </w:r>
      <w:r w:rsidR="006D3E0A" w:rsidRPr="00EA1655">
        <w:t xml:space="preserve"> and </w:t>
      </w:r>
      <w:r w:rsidR="00106581">
        <w:t>25 February 2020</w:t>
      </w:r>
      <w:r w:rsidRPr="00EA1655">
        <w:t>. The</w:t>
      </w:r>
      <w:r w:rsidRPr="00811BA1">
        <w:t xml:space="preserve"> Investment Manager has carried out a valuation quarterly and provided a detailed valuation report to the Company at each quarter.</w:t>
      </w:r>
    </w:p>
    <w:p w14:paraId="0CCE7CAA" w14:textId="77777777" w:rsidR="00E07C8A" w:rsidRPr="00811BA1" w:rsidRDefault="00E07C8A" w:rsidP="001C5C59">
      <w:pPr>
        <w:pStyle w:val="Bodytext"/>
        <w:jc w:val="both"/>
      </w:pPr>
    </w:p>
    <w:p w14:paraId="4C673871" w14:textId="22C01A3C" w:rsidR="00C54F24" w:rsidRPr="00811BA1" w:rsidRDefault="00C54F24" w:rsidP="001C5C59">
      <w:pPr>
        <w:pStyle w:val="Bodytext"/>
        <w:jc w:val="both"/>
      </w:pPr>
      <w:r w:rsidRPr="00811BA1">
        <w:t xml:space="preserve">The Audit Committee reviewed the Investment Manager’s </w:t>
      </w:r>
      <w:r w:rsidR="00332065">
        <w:t>R</w:t>
      </w:r>
      <w:r w:rsidR="00332065" w:rsidRPr="00811BA1">
        <w:t>eport</w:t>
      </w:r>
      <w:r w:rsidRPr="00811BA1">
        <w:t>.</w:t>
      </w:r>
    </w:p>
    <w:p w14:paraId="560EAEFE" w14:textId="77777777" w:rsidR="00D571C2" w:rsidRDefault="00D571C2" w:rsidP="001C5C59">
      <w:pPr>
        <w:pStyle w:val="Bodytext"/>
        <w:jc w:val="both"/>
        <w:rPr>
          <w:lang w:val="en-US"/>
        </w:rPr>
      </w:pPr>
    </w:p>
    <w:p w14:paraId="4BD8D634" w14:textId="7D7D01C2" w:rsidR="00621AE9" w:rsidRDefault="00C54F24" w:rsidP="001C5C59">
      <w:pPr>
        <w:pStyle w:val="Bodytext"/>
        <w:jc w:val="both"/>
        <w:rPr>
          <w:lang w:val="en-US"/>
        </w:rPr>
      </w:pPr>
      <w:r w:rsidRPr="00526D54">
        <w:rPr>
          <w:lang w:val="en-US"/>
        </w:rPr>
        <w:t xml:space="preserve">The external auditor explained the results of their </w:t>
      </w:r>
      <w:r w:rsidR="001720C7">
        <w:rPr>
          <w:lang w:val="en-US"/>
        </w:rPr>
        <w:t>audit work on</w:t>
      </w:r>
      <w:r w:rsidRPr="00526D54">
        <w:rPr>
          <w:lang w:val="en-US"/>
        </w:rPr>
        <w:t xml:space="preserve"> valuations</w:t>
      </w:r>
      <w:r w:rsidR="00150F6F">
        <w:rPr>
          <w:lang w:val="en-US"/>
        </w:rPr>
        <w:t>.</w:t>
      </w:r>
      <w:r w:rsidRPr="00526D54">
        <w:rPr>
          <w:lang w:val="en-US"/>
        </w:rPr>
        <w:t xml:space="preserve"> </w:t>
      </w:r>
      <w:r w:rsidR="001720C7">
        <w:rPr>
          <w:lang w:val="en-US"/>
        </w:rPr>
        <w:t>T</w:t>
      </w:r>
      <w:r w:rsidRPr="00526D54">
        <w:rPr>
          <w:lang w:val="en-US"/>
        </w:rPr>
        <w:t>here were no adjustments proposed that were material in the context of the Annual Report and Financial Statements as a whole.</w:t>
      </w:r>
    </w:p>
    <w:p w14:paraId="4EA8F854" w14:textId="77777777" w:rsidR="00621AE9" w:rsidRDefault="00621AE9" w:rsidP="001C5C59">
      <w:pPr>
        <w:pStyle w:val="Bodytext"/>
        <w:jc w:val="both"/>
        <w:rPr>
          <w:lang w:val="en-US"/>
        </w:rPr>
      </w:pPr>
    </w:p>
    <w:p w14:paraId="21030B17" w14:textId="5751C9B9" w:rsidR="00881689" w:rsidRPr="00881689" w:rsidRDefault="00881689" w:rsidP="00881689">
      <w:pPr>
        <w:autoSpaceDE w:val="0"/>
        <w:autoSpaceDN w:val="0"/>
        <w:adjustRightInd w:val="0"/>
        <w:spacing w:after="120"/>
        <w:rPr>
          <w:b/>
          <w:bCs/>
          <w:sz w:val="22"/>
          <w:szCs w:val="22"/>
        </w:rPr>
      </w:pPr>
      <w:bookmarkStart w:id="26" w:name="_Hlk36933685"/>
      <w:r w:rsidRPr="00881689">
        <w:rPr>
          <w:b/>
          <w:bCs/>
          <w:sz w:val="22"/>
          <w:szCs w:val="22"/>
        </w:rPr>
        <w:t>Going Concern</w:t>
      </w:r>
    </w:p>
    <w:p w14:paraId="208C38ED" w14:textId="4264DCC1" w:rsidR="00246B8C" w:rsidRDefault="001B579F" w:rsidP="001C5C59">
      <w:pPr>
        <w:autoSpaceDE w:val="0"/>
        <w:autoSpaceDN w:val="0"/>
        <w:adjustRightInd w:val="0"/>
        <w:jc w:val="both"/>
      </w:pPr>
      <w:r>
        <w:t>The Audit Committee ha</w:t>
      </w:r>
      <w:r w:rsidR="0084507F">
        <w:t>s</w:t>
      </w:r>
      <w:r>
        <w:t xml:space="preserve"> reviewe</w:t>
      </w:r>
      <w:r w:rsidR="003A6332">
        <w:t xml:space="preserve">d the appropriateness of preparing the </w:t>
      </w:r>
      <w:r w:rsidR="00444E65">
        <w:t>F</w:t>
      </w:r>
      <w:r w:rsidR="003A6332">
        <w:t xml:space="preserve">inancial </w:t>
      </w:r>
      <w:r w:rsidR="00444E65">
        <w:t>S</w:t>
      </w:r>
      <w:r w:rsidR="003A6332">
        <w:t>tatements on a</w:t>
      </w:r>
      <w:r>
        <w:t xml:space="preserve"> </w:t>
      </w:r>
      <w:r w:rsidRPr="001B579F">
        <w:t xml:space="preserve">going concern </w:t>
      </w:r>
      <w:r w:rsidR="003A6332">
        <w:t>basis</w:t>
      </w:r>
      <w:r w:rsidR="002337A8">
        <w:t>.</w:t>
      </w:r>
      <w:r w:rsidR="002337A8" w:rsidRPr="002337A8">
        <w:t xml:space="preserve"> </w:t>
      </w:r>
      <w:r w:rsidR="002337A8">
        <w:t>I</w:t>
      </w:r>
      <w:r w:rsidR="002337A8" w:rsidRPr="0028468D">
        <w:t>n the context of the uncertain outcome of the D</w:t>
      </w:r>
      <w:r w:rsidR="002337A8">
        <w:t xml:space="preserve">iscontinuation Resolution </w:t>
      </w:r>
      <w:r w:rsidR="00BF4E59">
        <w:t>V</w:t>
      </w:r>
      <w:r w:rsidR="002337A8">
        <w:t>ote in Q4 2020,</w:t>
      </w:r>
      <w:r w:rsidR="002337A8" w:rsidRPr="0028468D">
        <w:t xml:space="preserve"> </w:t>
      </w:r>
      <w:r w:rsidR="002337A8">
        <w:t xml:space="preserve">and the recent </w:t>
      </w:r>
      <w:r w:rsidR="002337A8" w:rsidRPr="0028468D">
        <w:t xml:space="preserve">oil </w:t>
      </w:r>
      <w:r w:rsidR="002337A8">
        <w:t>and</w:t>
      </w:r>
      <w:r w:rsidR="002337A8" w:rsidRPr="0028468D">
        <w:t xml:space="preserve"> gas market decline and C</w:t>
      </w:r>
      <w:r w:rsidR="002337A8">
        <w:t>OVID</w:t>
      </w:r>
      <w:r w:rsidR="002337A8" w:rsidRPr="0028468D">
        <w:t>-19</w:t>
      </w:r>
      <w:r w:rsidR="002337A8">
        <w:t>, there is a material uncertainty which casts significant doubt over the ability of the Company to continue as a Going Concern. However, the</w:t>
      </w:r>
      <w:r w:rsidR="002337A8" w:rsidRPr="00B40DF1">
        <w:t xml:space="preserve"> </w:t>
      </w:r>
      <w:r w:rsidR="002337A8">
        <w:t>Financial Statements have been prepared on a going concern basis for the reasons set out below and as the Audit Committee has recommended to the</w:t>
      </w:r>
      <w:r w:rsidR="002337A8" w:rsidRPr="00811BA1">
        <w:t xml:space="preserve"> Directors </w:t>
      </w:r>
      <w:r w:rsidR="002337A8">
        <w:t>that they</w:t>
      </w:r>
      <w:r w:rsidR="000036A3">
        <w:t xml:space="preserve"> should</w:t>
      </w:r>
      <w:r w:rsidR="002337A8">
        <w:t xml:space="preserve"> </w:t>
      </w:r>
      <w:r w:rsidR="002337A8" w:rsidRPr="00811BA1">
        <w:t>have a reasonable expectation that the Company ha</w:t>
      </w:r>
      <w:r w:rsidR="002337A8">
        <w:t>s</w:t>
      </w:r>
      <w:r w:rsidR="002337A8" w:rsidRPr="00811BA1">
        <w:t xml:space="preserve"> adequate resources to continue in operational existence for the foreseeable future</w:t>
      </w:r>
      <w:r w:rsidR="00C64F1C">
        <w:t xml:space="preserve"> (see Going Concern section of the Report of the Directors for further detail)</w:t>
      </w:r>
      <w:r w:rsidR="002337A8">
        <w:t xml:space="preserve">. In reaching this recommendation, the </w:t>
      </w:r>
      <w:r w:rsidR="006664DB">
        <w:t xml:space="preserve">Audit Committee </w:t>
      </w:r>
      <w:r w:rsidR="002337A8" w:rsidRPr="00811BA1">
        <w:t>ha</w:t>
      </w:r>
      <w:r w:rsidR="006664DB">
        <w:t>s</w:t>
      </w:r>
      <w:r w:rsidR="002337A8" w:rsidRPr="00B40DF1">
        <w:t xml:space="preserve"> </w:t>
      </w:r>
      <w:r w:rsidR="002337A8" w:rsidRPr="00811BA1">
        <w:t>considered the risks that could impact the Company’s liquidity over the next 12 months</w:t>
      </w:r>
      <w:r w:rsidR="002337A8">
        <w:t xml:space="preserve"> from the date of approval of the Financial Statements, as well as taken into account the following </w:t>
      </w:r>
      <w:r w:rsidR="00A11CF8">
        <w:t>five</w:t>
      </w:r>
      <w:r w:rsidR="002337A8">
        <w:t xml:space="preserve"> key considerations, which are discussed further below</w:t>
      </w:r>
      <w:r w:rsidR="005A2BAC">
        <w:t xml:space="preserve">: </w:t>
      </w:r>
    </w:p>
    <w:p w14:paraId="0342FDE9" w14:textId="77777777" w:rsidR="00246B8C" w:rsidRDefault="00246B8C" w:rsidP="001C5C59">
      <w:pPr>
        <w:autoSpaceDE w:val="0"/>
        <w:autoSpaceDN w:val="0"/>
        <w:adjustRightInd w:val="0"/>
        <w:jc w:val="both"/>
      </w:pPr>
    </w:p>
    <w:p w14:paraId="460BD7AA" w14:textId="6F7797BB" w:rsidR="00246B8C" w:rsidRDefault="00246B8C" w:rsidP="001C5C59">
      <w:pPr>
        <w:pStyle w:val="ListParagraph"/>
        <w:numPr>
          <w:ilvl w:val="0"/>
          <w:numId w:val="32"/>
        </w:numPr>
        <w:autoSpaceDE w:val="0"/>
        <w:autoSpaceDN w:val="0"/>
        <w:adjustRightInd w:val="0"/>
        <w:jc w:val="both"/>
      </w:pPr>
      <w:r>
        <w:t>A</w:t>
      </w:r>
      <w:r w:rsidR="005A2BAC">
        <w:t>vailable liquid resources versus expected liabilities of the Company over the next twelve months</w:t>
      </w:r>
      <w:r w:rsidR="00444E65">
        <w:t>;</w:t>
      </w:r>
    </w:p>
    <w:p w14:paraId="6EA95D56" w14:textId="7B008CED" w:rsidR="00246B8C" w:rsidRDefault="00246B8C" w:rsidP="001C5C59">
      <w:pPr>
        <w:pStyle w:val="ListParagraph"/>
        <w:numPr>
          <w:ilvl w:val="0"/>
          <w:numId w:val="32"/>
        </w:numPr>
        <w:autoSpaceDE w:val="0"/>
        <w:autoSpaceDN w:val="0"/>
        <w:adjustRightInd w:val="0"/>
        <w:jc w:val="both"/>
      </w:pPr>
      <w:r>
        <w:t>A</w:t>
      </w:r>
      <w:r w:rsidR="005A2BAC">
        <w:t xml:space="preserve">vailable liquid resources versus </w:t>
      </w:r>
      <w:r w:rsidR="00BF4E59">
        <w:t xml:space="preserve">potential </w:t>
      </w:r>
      <w:r w:rsidR="005A2BAC">
        <w:t>unfunded commitments of the Partnership</w:t>
      </w:r>
      <w:r w:rsidR="00444E65">
        <w:t>;</w:t>
      </w:r>
    </w:p>
    <w:p w14:paraId="131E7D7F" w14:textId="2C8E573F" w:rsidR="00246B8C" w:rsidRDefault="004D6061" w:rsidP="001C5C59">
      <w:pPr>
        <w:pStyle w:val="ListParagraph"/>
        <w:numPr>
          <w:ilvl w:val="0"/>
          <w:numId w:val="32"/>
        </w:numPr>
        <w:autoSpaceDE w:val="0"/>
        <w:autoSpaceDN w:val="0"/>
        <w:adjustRightInd w:val="0"/>
        <w:jc w:val="both"/>
      </w:pPr>
      <w:r>
        <w:t>Discontinuation Resolution</w:t>
      </w:r>
      <w:r w:rsidR="00444E65">
        <w:t>; and</w:t>
      </w:r>
    </w:p>
    <w:p w14:paraId="62523E64" w14:textId="12598020" w:rsidR="00246B8C" w:rsidRDefault="00246B8C" w:rsidP="001C5C59">
      <w:pPr>
        <w:pStyle w:val="ListParagraph"/>
        <w:numPr>
          <w:ilvl w:val="0"/>
          <w:numId w:val="32"/>
        </w:numPr>
        <w:autoSpaceDE w:val="0"/>
        <w:autoSpaceDN w:val="0"/>
        <w:adjustRightInd w:val="0"/>
        <w:jc w:val="both"/>
      </w:pPr>
      <w:r>
        <w:t>D</w:t>
      </w:r>
      <w:r w:rsidR="004D6061">
        <w:t>iscount to NAV of the Company</w:t>
      </w:r>
    </w:p>
    <w:p w14:paraId="0E9517E8" w14:textId="2E4432F4" w:rsidR="001B2829" w:rsidRDefault="001B2829" w:rsidP="001C5C59">
      <w:pPr>
        <w:pStyle w:val="ListParagraph"/>
        <w:numPr>
          <w:ilvl w:val="0"/>
          <w:numId w:val="32"/>
        </w:numPr>
        <w:autoSpaceDE w:val="0"/>
        <w:autoSpaceDN w:val="0"/>
        <w:adjustRightInd w:val="0"/>
        <w:jc w:val="both"/>
      </w:pPr>
      <w:r>
        <w:t>COVID-19</w:t>
      </w:r>
    </w:p>
    <w:p w14:paraId="2EBA8D8E" w14:textId="26E3A5F7" w:rsidR="00246B8C" w:rsidRDefault="00246B8C" w:rsidP="001C5C59">
      <w:pPr>
        <w:autoSpaceDE w:val="0"/>
        <w:autoSpaceDN w:val="0"/>
        <w:adjustRightInd w:val="0"/>
        <w:jc w:val="both"/>
      </w:pPr>
    </w:p>
    <w:p w14:paraId="55F3A6FE" w14:textId="77777777" w:rsidR="002337A8" w:rsidRDefault="002337A8" w:rsidP="001C5C59">
      <w:pPr>
        <w:autoSpaceDE w:val="0"/>
        <w:autoSpaceDN w:val="0"/>
        <w:adjustRightInd w:val="0"/>
        <w:spacing w:after="120"/>
        <w:jc w:val="both"/>
      </w:pPr>
      <w:r>
        <w:rPr>
          <w:i/>
          <w:iCs/>
          <w:u w:val="single"/>
        </w:rPr>
        <w:t xml:space="preserve">1. </w:t>
      </w:r>
      <w:r w:rsidRPr="00871FFB">
        <w:rPr>
          <w:i/>
          <w:iCs/>
          <w:u w:val="single"/>
        </w:rPr>
        <w:t>Available liquid resources versus expected liabilities of the Company over the next twelve months</w:t>
      </w:r>
    </w:p>
    <w:p w14:paraId="7F5A52EF" w14:textId="7F7853D6" w:rsidR="002337A8" w:rsidRPr="005E501E" w:rsidRDefault="002337A8" w:rsidP="001C5C59">
      <w:pPr>
        <w:autoSpaceDE w:val="0"/>
        <w:autoSpaceDN w:val="0"/>
        <w:adjustRightInd w:val="0"/>
        <w:jc w:val="both"/>
      </w:pPr>
      <w:r w:rsidRPr="00811BA1">
        <w:t xml:space="preserve">The </w:t>
      </w:r>
      <w:r>
        <w:t>Audit Committee has recommended to the Directors that they</w:t>
      </w:r>
      <w:r w:rsidR="000036A3">
        <w:t xml:space="preserve"> should</w:t>
      </w:r>
      <w:r w:rsidRPr="00811BA1">
        <w:t xml:space="preserve"> ha</w:t>
      </w:r>
      <w:r>
        <w:t>ve</w:t>
      </w:r>
      <w:r w:rsidRPr="00811BA1">
        <w:t xml:space="preserve"> a reasonable expectation that the Company has adequate resources to continue in </w:t>
      </w:r>
      <w:r w:rsidRPr="00BD7DC4">
        <w:t>operational existence for the next twelve months, as explained below.</w:t>
      </w:r>
      <w:r>
        <w:t xml:space="preserve"> </w:t>
      </w:r>
      <w:r w:rsidRPr="001460DE">
        <w:t xml:space="preserve">The Company retained $11.5 million of cash in the IPO and Placing and Open Offer, and </w:t>
      </w:r>
      <w:r>
        <w:t xml:space="preserve">has </w:t>
      </w:r>
      <w:r w:rsidRPr="001460DE">
        <w:t xml:space="preserve">received </w:t>
      </w:r>
      <w:r>
        <w:t xml:space="preserve">five </w:t>
      </w:r>
      <w:r w:rsidRPr="001460DE">
        <w:t xml:space="preserve">distributions </w:t>
      </w:r>
      <w:r>
        <w:t xml:space="preserve">in </w:t>
      </w:r>
      <w:r w:rsidRPr="005E501E">
        <w:t>aggregate of $</w:t>
      </w:r>
      <w:r>
        <w:t>14.3</w:t>
      </w:r>
      <w:r w:rsidRPr="005E501E">
        <w:t xml:space="preserve"> million from the Partnership cumulatively through </w:t>
      </w:r>
      <w:r>
        <w:t>31 December</w:t>
      </w:r>
      <w:r w:rsidRPr="005E501E">
        <w:t xml:space="preserve"> 2019, of which $</w:t>
      </w:r>
      <w:r>
        <w:t>0.2</w:t>
      </w:r>
      <w:r w:rsidRPr="005E501E">
        <w:t xml:space="preserve"> million remains at 31 December 2019 (31 December 2018: $2.1 million). This cash balance is</w:t>
      </w:r>
      <w:r>
        <w:t xml:space="preserve"> not</w:t>
      </w:r>
      <w:r w:rsidRPr="005E501E">
        <w:t xml:space="preserve"> sufficient to cover the Company’s existing liabilities at 31 December 2019 of $</w:t>
      </w:r>
      <w:r>
        <w:t>1.7</w:t>
      </w:r>
      <w:r w:rsidRPr="005E501E">
        <w:t xml:space="preserve"> million, </w:t>
      </w:r>
      <w:r>
        <w:lastRenderedPageBreak/>
        <w:t>so</w:t>
      </w:r>
      <w:r w:rsidRPr="005E501E">
        <w:t xml:space="preserve"> the Company will require a distribution of $</w:t>
      </w:r>
      <w:r>
        <w:t>5.5</w:t>
      </w:r>
      <w:r w:rsidRPr="005E501E">
        <w:t xml:space="preserve"> million</w:t>
      </w:r>
      <w:r>
        <w:t xml:space="preserve"> </w:t>
      </w:r>
      <w:r w:rsidRPr="005E501E">
        <w:t>to cover</w:t>
      </w:r>
      <w:r>
        <w:t xml:space="preserve"> these liabilities at 31 December 2019 and</w:t>
      </w:r>
      <w:r w:rsidRPr="005E501E">
        <w:t xml:space="preserve"> its forecasted annual expenses for 2020 of approximately $</w:t>
      </w:r>
      <w:r>
        <w:t>4.0</w:t>
      </w:r>
      <w:r w:rsidRPr="005E501E">
        <w:t xml:space="preserve"> million. </w:t>
      </w:r>
      <w:r>
        <w:t>As in prior years, i</w:t>
      </w:r>
      <w:r w:rsidRPr="005E501E">
        <w:t xml:space="preserve">n accordance with the Partnership Agreement, </w:t>
      </w:r>
      <w:r w:rsidR="00327293">
        <w:t xml:space="preserve">if </w:t>
      </w:r>
      <w:r w:rsidRPr="005E501E">
        <w:t>the Company requir</w:t>
      </w:r>
      <w:r w:rsidR="00327293">
        <w:t>es</w:t>
      </w:r>
      <w:r w:rsidRPr="005E501E">
        <w:t xml:space="preserve"> additional funds for working capital, it is entitled to receive another distribution from the Partnership.</w:t>
      </w:r>
      <w:r>
        <w:t xml:space="preserve"> In order to do so, the Company would submit a distribution request approved by the Board to the Partnership, which would then be required to arrange for the payment of the requested amount. Since REL’s inception, the Company has requested and received five distributions from the Partnership for working capital needs. As detailed further in section 2 below, as of the date of this report, the Partnership has available liquid resources in excess of potential unfunded commitments</w:t>
      </w:r>
      <w:r w:rsidR="001B0FA5" w:rsidRPr="001B0FA5">
        <w:t xml:space="preserve"> </w:t>
      </w:r>
      <w:r w:rsidR="001B0FA5">
        <w:t>of $212 million at year end and currently $135 million</w:t>
      </w:r>
      <w:r>
        <w:t>, which enable</w:t>
      </w:r>
      <w:r w:rsidR="001B0FA5">
        <w:t>s</w:t>
      </w:r>
      <w:r>
        <w:t xml:space="preserve"> the Partnership to satisfy the aforementioned $5.5 million distribution </w:t>
      </w:r>
      <w:r w:rsidR="003E158F">
        <w:t xml:space="preserve">requirement </w:t>
      </w:r>
      <w:r>
        <w:t>from the Company.</w:t>
      </w:r>
      <w:r w:rsidR="001B0FA5">
        <w:t xml:space="preserve"> In Q1 2020, the Company requested and</w:t>
      </w:r>
      <w:r w:rsidR="001B0FA5" w:rsidRPr="002E4628">
        <w:t xml:space="preserve"> </w:t>
      </w:r>
      <w:r w:rsidR="001B0FA5">
        <w:t>received a distribution of $5.0 million from the Partnership for working capital.</w:t>
      </w:r>
    </w:p>
    <w:p w14:paraId="472C93E9" w14:textId="77777777" w:rsidR="002337A8" w:rsidRPr="005E501E" w:rsidRDefault="002337A8" w:rsidP="001C5C59">
      <w:pPr>
        <w:autoSpaceDE w:val="0"/>
        <w:autoSpaceDN w:val="0"/>
        <w:adjustRightInd w:val="0"/>
        <w:jc w:val="both"/>
      </w:pPr>
    </w:p>
    <w:p w14:paraId="14331981" w14:textId="77777777" w:rsidR="002337A8" w:rsidRDefault="002337A8" w:rsidP="001C5C59">
      <w:pPr>
        <w:autoSpaceDE w:val="0"/>
        <w:autoSpaceDN w:val="0"/>
        <w:adjustRightInd w:val="0"/>
        <w:spacing w:after="120"/>
        <w:jc w:val="both"/>
      </w:pPr>
      <w:r>
        <w:rPr>
          <w:i/>
          <w:iCs/>
          <w:u w:val="single"/>
        </w:rPr>
        <w:t xml:space="preserve">2. </w:t>
      </w:r>
      <w:r w:rsidRPr="00871FFB">
        <w:rPr>
          <w:i/>
          <w:iCs/>
          <w:u w:val="single"/>
        </w:rPr>
        <w:t>Available liquid resources versus</w:t>
      </w:r>
      <w:r>
        <w:rPr>
          <w:i/>
          <w:iCs/>
          <w:u w:val="single"/>
        </w:rPr>
        <w:t xml:space="preserve"> potential</w:t>
      </w:r>
      <w:r w:rsidRPr="00871FFB">
        <w:rPr>
          <w:i/>
          <w:iCs/>
          <w:u w:val="single"/>
        </w:rPr>
        <w:t xml:space="preserve"> unfunded commitments of the Partnership</w:t>
      </w:r>
    </w:p>
    <w:p w14:paraId="076624C3" w14:textId="3E076E22" w:rsidR="002337A8" w:rsidRDefault="002337A8" w:rsidP="001C5C59">
      <w:pPr>
        <w:autoSpaceDE w:val="0"/>
        <w:autoSpaceDN w:val="0"/>
        <w:adjustRightInd w:val="0"/>
        <w:jc w:val="both"/>
        <w:rPr>
          <w:rFonts w:ascii="DINCLSLight" w:hAnsi="DINCLSLight" w:cs="DINCLSLight"/>
          <w:color w:val="272626"/>
          <w:sz w:val="18"/>
          <w:szCs w:val="18"/>
        </w:rPr>
      </w:pPr>
      <w:r w:rsidRPr="005E501E">
        <w:t xml:space="preserve">As at 31 December 2019, the Partnership, including its wholly-owned subsidiaries, </w:t>
      </w:r>
      <w:r>
        <w:t xml:space="preserve">REL Cayman Holdings, LP, </w:t>
      </w:r>
      <w:r w:rsidRPr="005E501E">
        <w:t>REL US Corp and REL US Centennial Holdings, LLC, had $</w:t>
      </w:r>
      <w:r>
        <w:t>182</w:t>
      </w:r>
      <w:r w:rsidRPr="005E501E">
        <w:t xml:space="preserve"> million of uninvested funds held as cash and money market fixed deposits (31 December 2018: $135 million), and has no material going concern risk.</w:t>
      </w:r>
      <w:r w:rsidRPr="005E501E">
        <w:rPr>
          <w:rFonts w:ascii="DINCLSLight" w:hAnsi="DINCLSLight" w:cs="DINCLSLight"/>
          <w:color w:val="272626"/>
          <w:sz w:val="18"/>
          <w:szCs w:val="18"/>
        </w:rPr>
        <w:t xml:space="preserve"> </w:t>
      </w:r>
      <w:r w:rsidRPr="00253487">
        <w:t>Th</w:t>
      </w:r>
      <w:r>
        <w:t>is</w:t>
      </w:r>
      <w:r w:rsidRPr="00253487">
        <w:t xml:space="preserve"> </w:t>
      </w:r>
      <w:r>
        <w:t>amount is</w:t>
      </w:r>
      <w:r w:rsidRPr="00253487">
        <w:t xml:space="preserve"> comprised of $163 million held at the Partnership and $19 million held at REL US Corp. Based on current and cumulative earnings and profit, the distribution of </w:t>
      </w:r>
      <w:r w:rsidR="00F573BD">
        <w:t xml:space="preserve">the $19 million </w:t>
      </w:r>
      <w:r w:rsidRPr="00253487">
        <w:t>cash from REL US Corp to the Partnership for the year ended 31 December 2019 is subject to the U.S. federal tax rate of 30 per cent., or $5.7 million as of 31 December 2019.</w:t>
      </w:r>
      <w:r>
        <w:t xml:space="preserve"> </w:t>
      </w:r>
      <w:r w:rsidRPr="004A19B6">
        <w:t xml:space="preserve">In Q1 2020, </w:t>
      </w:r>
      <w:r>
        <w:t xml:space="preserve">the Company, through the Partnership, received </w:t>
      </w:r>
      <w:r w:rsidRPr="004A19B6">
        <w:t>$23 million</w:t>
      </w:r>
      <w:r>
        <w:t xml:space="preserve"> of proceeds</w:t>
      </w:r>
      <w:r w:rsidRPr="004A19B6">
        <w:t xml:space="preserve"> upon closing of the</w:t>
      </w:r>
      <w:r>
        <w:t xml:space="preserve"> Aleph</w:t>
      </w:r>
      <w:r w:rsidR="00A11CF8">
        <w:t xml:space="preserve"> Midstream</w:t>
      </w:r>
      <w:r>
        <w:t xml:space="preserve"> investment</w:t>
      </w:r>
      <w:r w:rsidRPr="004A19B6">
        <w:t xml:space="preserve"> winddown</w:t>
      </w:r>
      <w:r>
        <w:t>, as well as proceeds of $8 million from the partial realisation of Ridgebury H3 LLC and $7 million from the sale of Castex Energy 2014 LLC</w:t>
      </w:r>
      <w:r w:rsidRPr="004A19B6">
        <w:t>, which</w:t>
      </w:r>
      <w:r>
        <w:t>, in aggregate,</w:t>
      </w:r>
      <w:r w:rsidRPr="004A19B6">
        <w:t xml:space="preserve"> brought the </w:t>
      </w:r>
      <w:r w:rsidR="001F5046">
        <w:t xml:space="preserve">Partnership’s </w:t>
      </w:r>
      <w:r w:rsidRPr="004A19B6">
        <w:t>uninvested cash balance to $2</w:t>
      </w:r>
      <w:r>
        <w:t>07</w:t>
      </w:r>
      <w:r w:rsidRPr="004A19B6">
        <w:t xml:space="preserve"> million</w:t>
      </w:r>
      <w:r>
        <w:t xml:space="preserve"> after funding $7 million to Onyx Power, distributing $5 million of the aforementioned request to the Company and paying </w:t>
      </w:r>
      <w:r w:rsidR="00407D9F">
        <w:t>$1.2 million</w:t>
      </w:r>
      <w:r>
        <w:t xml:space="preserve"> of the 31 December 2019 </w:t>
      </w:r>
      <w:r w:rsidR="00407D9F">
        <w:t>M</w:t>
      </w:r>
      <w:r>
        <w:t xml:space="preserve">anagement </w:t>
      </w:r>
      <w:r w:rsidR="00407D9F">
        <w:t>F</w:t>
      </w:r>
      <w:r>
        <w:t>ee</w:t>
      </w:r>
      <w:r w:rsidR="00407D9F">
        <w:t xml:space="preserve"> of $2.4 million</w:t>
      </w:r>
      <w:r w:rsidRPr="004A19B6">
        <w:t xml:space="preserve">. </w:t>
      </w:r>
      <w:r>
        <w:t xml:space="preserve">In January 2020, the Company announced that its Management Engagement Committee and the Investment Manager had agreed amendments to the terms on which the Company is required to pay a performance allocation. </w:t>
      </w:r>
      <w:r w:rsidRPr="00B72208">
        <w:rPr>
          <w:rFonts w:eastAsia="Calibri"/>
          <w:lang w:val="en-US"/>
        </w:rPr>
        <w:t>In accordance with the</w:t>
      </w:r>
      <w:r>
        <w:rPr>
          <w:rFonts w:eastAsia="Calibri"/>
          <w:lang w:val="en-US"/>
        </w:rPr>
        <w:t xml:space="preserve"> </w:t>
      </w:r>
      <w:r w:rsidRPr="00B72208">
        <w:rPr>
          <w:rFonts w:eastAsia="Calibri"/>
          <w:lang w:val="en-US"/>
        </w:rPr>
        <w:t xml:space="preserve">revised terms, REL did not meet the </w:t>
      </w:r>
      <w:r>
        <w:rPr>
          <w:rFonts w:eastAsia="Calibri"/>
          <w:lang w:val="en-US"/>
        </w:rPr>
        <w:t>portfolio level c</w:t>
      </w:r>
      <w:r w:rsidRPr="00B72208">
        <w:rPr>
          <w:rFonts w:eastAsia="Calibri"/>
          <w:lang w:val="en-US"/>
        </w:rPr>
        <w:t xml:space="preserve">ost </w:t>
      </w:r>
      <w:r>
        <w:rPr>
          <w:rFonts w:eastAsia="Calibri"/>
          <w:lang w:val="en-US"/>
        </w:rPr>
        <w:t>b</w:t>
      </w:r>
      <w:r w:rsidRPr="00B72208">
        <w:rPr>
          <w:rFonts w:eastAsia="Calibri"/>
          <w:lang w:val="en-US"/>
        </w:rPr>
        <w:t>enchmark at 31 Dec</w:t>
      </w:r>
      <w:r>
        <w:rPr>
          <w:rFonts w:eastAsia="Calibri"/>
          <w:lang w:val="en-US"/>
        </w:rPr>
        <w:t>ember</w:t>
      </w:r>
      <w:r w:rsidRPr="00B72208">
        <w:rPr>
          <w:rFonts w:eastAsia="Calibri"/>
          <w:lang w:val="en-US"/>
        </w:rPr>
        <w:t xml:space="preserve"> 2019; therefore, any unreali</w:t>
      </w:r>
      <w:r>
        <w:rPr>
          <w:rFonts w:eastAsia="Calibri"/>
          <w:lang w:val="en-US"/>
        </w:rPr>
        <w:t>s</w:t>
      </w:r>
      <w:r w:rsidRPr="00B72208">
        <w:rPr>
          <w:rFonts w:eastAsia="Calibri"/>
          <w:lang w:val="en-US"/>
        </w:rPr>
        <w:t>ed performance allocation has been deferred. If the</w:t>
      </w:r>
      <w:r>
        <w:rPr>
          <w:rFonts w:eastAsia="Calibri"/>
          <w:lang w:val="en-US"/>
        </w:rPr>
        <w:t>se</w:t>
      </w:r>
      <w:r w:rsidRPr="00B72208">
        <w:rPr>
          <w:rFonts w:eastAsia="Calibri"/>
          <w:lang w:val="en-US"/>
        </w:rPr>
        <w:t xml:space="preserve"> changes had not been accepted, then the </w:t>
      </w:r>
      <w:r>
        <w:rPr>
          <w:rFonts w:eastAsia="Calibri"/>
          <w:lang w:val="en-US"/>
        </w:rPr>
        <w:t>accrued</w:t>
      </w:r>
      <w:r w:rsidRPr="00B72208">
        <w:rPr>
          <w:rFonts w:eastAsia="Calibri"/>
          <w:lang w:val="en-US"/>
        </w:rPr>
        <w:t xml:space="preserve"> GP Performance Allocation would have been $8.5 million as of 31 Dec</w:t>
      </w:r>
      <w:r>
        <w:rPr>
          <w:rFonts w:eastAsia="Calibri"/>
          <w:lang w:val="en-US"/>
        </w:rPr>
        <w:t>ember</w:t>
      </w:r>
      <w:r w:rsidRPr="00B72208">
        <w:rPr>
          <w:rFonts w:eastAsia="Calibri"/>
          <w:lang w:val="en-US"/>
        </w:rPr>
        <w:t xml:space="preserve"> 2019.</w:t>
      </w:r>
    </w:p>
    <w:p w14:paraId="749CF779" w14:textId="77777777" w:rsidR="002337A8" w:rsidRDefault="002337A8" w:rsidP="001C5C59">
      <w:pPr>
        <w:autoSpaceDE w:val="0"/>
        <w:autoSpaceDN w:val="0"/>
        <w:adjustRightInd w:val="0"/>
        <w:jc w:val="both"/>
        <w:rPr>
          <w:rFonts w:ascii="DINCLSLight" w:hAnsi="DINCLSLight" w:cs="DINCLSLight"/>
          <w:color w:val="272626"/>
          <w:sz w:val="18"/>
          <w:szCs w:val="18"/>
        </w:rPr>
      </w:pPr>
    </w:p>
    <w:p w14:paraId="44CEC45C" w14:textId="6640D987" w:rsidR="002337A8" w:rsidRDefault="002337A8" w:rsidP="001C5C59">
      <w:pPr>
        <w:autoSpaceDE w:val="0"/>
        <w:autoSpaceDN w:val="0"/>
        <w:adjustRightInd w:val="0"/>
        <w:jc w:val="both"/>
      </w:pPr>
      <w:r w:rsidRPr="005E501E">
        <w:t>Although the Company’s</w:t>
      </w:r>
      <w:r>
        <w:t xml:space="preserve"> </w:t>
      </w:r>
      <w:r w:rsidR="00F579AC">
        <w:t xml:space="preserve">potential </w:t>
      </w:r>
      <w:r>
        <w:t>unfunded</w:t>
      </w:r>
      <w:r w:rsidRPr="005E501E">
        <w:t xml:space="preserve"> commitments</w:t>
      </w:r>
      <w:r>
        <w:t xml:space="preserve"> of $212 million as at 31 December 2019 (31 December 2018: $156 million)</w:t>
      </w:r>
      <w:r w:rsidRPr="005E501E">
        <w:t>, through the Partnership, exceed</w:t>
      </w:r>
      <w:r>
        <w:t>ed</w:t>
      </w:r>
      <w:r w:rsidRPr="005E501E">
        <w:t xml:space="preserve"> its available liquid resources</w:t>
      </w:r>
      <w:r w:rsidRPr="00620175">
        <w:t xml:space="preserve"> </w:t>
      </w:r>
      <w:r>
        <w:t>as at 31 December 2019</w:t>
      </w:r>
      <w:r w:rsidRPr="005E501E">
        <w:t xml:space="preserve">, </w:t>
      </w:r>
      <w:r w:rsidRPr="004A19B6">
        <w:t>the</w:t>
      </w:r>
      <w:r>
        <w:t xml:space="preserve"> withdrawal of the</w:t>
      </w:r>
      <w:r w:rsidRPr="004A19B6">
        <w:t xml:space="preserve"> commitment to Aleph Midstream </w:t>
      </w:r>
      <w:r>
        <w:t>in Q1 2020</w:t>
      </w:r>
      <w:r w:rsidRPr="004A19B6">
        <w:t xml:space="preserve"> brought the </w:t>
      </w:r>
      <w:r>
        <w:t>potential</w:t>
      </w:r>
      <w:r w:rsidRPr="004A19B6">
        <w:t xml:space="preserve"> unfunded commitments</w:t>
      </w:r>
      <w:r>
        <w:t xml:space="preserve"> down</w:t>
      </w:r>
      <w:r w:rsidRPr="004A19B6">
        <w:t xml:space="preserve"> to $135 million</w:t>
      </w:r>
      <w:r>
        <w:t>.</w:t>
      </w:r>
      <w:r w:rsidRPr="005E501E">
        <w:t xml:space="preserve"> </w:t>
      </w:r>
      <w:r>
        <w:t>Therefore, as of the date of this report, the Company, through the Partnership, has available liquid resources in excess of potential unfunded commitments, which enable</w:t>
      </w:r>
      <w:r w:rsidR="001B0FA5">
        <w:t>s</w:t>
      </w:r>
      <w:r>
        <w:t xml:space="preserve"> the Partnership to satisfy the aforementioned $5.5 million distribution </w:t>
      </w:r>
      <w:r w:rsidR="001B0FA5">
        <w:t xml:space="preserve">requirement </w:t>
      </w:r>
      <w:r>
        <w:t xml:space="preserve">from the Company. </w:t>
      </w:r>
      <w:r w:rsidR="001B0FA5">
        <w:t>In Q1 2020, the Company requested and</w:t>
      </w:r>
      <w:r w:rsidR="001B0FA5" w:rsidRPr="002E4628">
        <w:t xml:space="preserve"> </w:t>
      </w:r>
      <w:r w:rsidR="001B0FA5">
        <w:t xml:space="preserve">received a distribution of $5.0 million from the Partnership for working capital. </w:t>
      </w:r>
      <w:r>
        <w:t xml:space="preserve">Further, </w:t>
      </w:r>
      <w:r w:rsidRPr="005E501E">
        <w:t xml:space="preserve">it is not expected that all commitments will be drawn due to a variety of factors, such as </w:t>
      </w:r>
      <w:r>
        <w:t xml:space="preserve">the ability for the commitment to be reduced and/or cancelled by </w:t>
      </w:r>
      <w:r w:rsidRPr="00AA3ED9">
        <w:t>the Investment Manager</w:t>
      </w:r>
      <w:r>
        <w:t xml:space="preserve"> with consideration from the Board, the present market conditions do not warrant presently further capital expenditure as the returns would not be incrementally positive,</w:t>
      </w:r>
      <w:r w:rsidRPr="005010B5">
        <w:t xml:space="preserve"> </w:t>
      </w:r>
      <w:r w:rsidRPr="005E501E">
        <w:t>a portfolio company being sold earlier than anticipated or a targeted investment opportunity changing or disappearing.</w:t>
      </w:r>
    </w:p>
    <w:p w14:paraId="4B4FCA5F" w14:textId="77777777" w:rsidR="002337A8" w:rsidRDefault="002337A8" w:rsidP="001C5C59">
      <w:pPr>
        <w:autoSpaceDE w:val="0"/>
        <w:autoSpaceDN w:val="0"/>
        <w:adjustRightInd w:val="0"/>
        <w:jc w:val="both"/>
      </w:pPr>
    </w:p>
    <w:p w14:paraId="4F138D41" w14:textId="20E18089" w:rsidR="002337A8" w:rsidRDefault="002337A8" w:rsidP="001C5C59">
      <w:pPr>
        <w:autoSpaceDE w:val="0"/>
        <w:autoSpaceDN w:val="0"/>
        <w:adjustRightInd w:val="0"/>
        <w:jc w:val="both"/>
      </w:pPr>
      <w:r>
        <w:t>As at 31 December 2019, the Company, through the Partnership, has realised eight investments for $559 million of gross proceeds on invested capital of $387 million, respectively in aggregate, resulting in an average Gross MOIC of approximately 1.44x. The initial commitments to these eight investments were in excess of $664 million, so approximately 58 per cent. had been funded before realisation.</w:t>
      </w:r>
      <w:r w:rsidRPr="005010B5">
        <w:t xml:space="preserve"> </w:t>
      </w:r>
      <w:r w:rsidRPr="005E501E">
        <w:t>In addition, the board of each underlying portfolio company, more often than not</w:t>
      </w:r>
      <w:r>
        <w:t xml:space="preserve"> are</w:t>
      </w:r>
      <w:r w:rsidRPr="005E501E">
        <w:t xml:space="preserve"> controlled by Riverstone, </w:t>
      </w:r>
      <w:r>
        <w:t xml:space="preserve">which </w:t>
      </w:r>
      <w:r w:rsidRPr="005E501E">
        <w:t>has discretion over whether or not that capital is ultimately invested. Moreover, REL’s arrangements with Riverstone allow</w:t>
      </w:r>
      <w:r>
        <w:t xml:space="preserve"> the Company’s</w:t>
      </w:r>
      <w:r w:rsidRPr="005E501E">
        <w:t xml:space="preserve"> </w:t>
      </w:r>
      <w:r w:rsidR="00F579AC">
        <w:t xml:space="preserve">potential </w:t>
      </w:r>
      <w:r w:rsidRPr="005E501E">
        <w:t xml:space="preserve">unfunded commitments </w:t>
      </w:r>
      <w:r w:rsidRPr="00081323">
        <w:t xml:space="preserve">to be </w:t>
      </w:r>
      <w:r>
        <w:t>reduced and/or cancelled</w:t>
      </w:r>
      <w:r w:rsidRPr="00081323">
        <w:t xml:space="preserve"> by the Investment Manager with consideration from the Board</w:t>
      </w:r>
      <w:r>
        <w:t>, although this has yet to happen</w:t>
      </w:r>
      <w:r w:rsidRPr="00081323">
        <w:t>.</w:t>
      </w:r>
    </w:p>
    <w:p w14:paraId="3C1EE249" w14:textId="77777777" w:rsidR="002337A8" w:rsidRDefault="002337A8" w:rsidP="001C5C59">
      <w:pPr>
        <w:autoSpaceDE w:val="0"/>
        <w:autoSpaceDN w:val="0"/>
        <w:adjustRightInd w:val="0"/>
        <w:jc w:val="both"/>
      </w:pPr>
    </w:p>
    <w:p w14:paraId="07DBE509" w14:textId="77777777" w:rsidR="002337A8" w:rsidRDefault="002337A8" w:rsidP="001C5C59">
      <w:pPr>
        <w:spacing w:after="120"/>
        <w:jc w:val="both"/>
      </w:pPr>
      <w:r>
        <w:rPr>
          <w:i/>
          <w:iCs/>
          <w:u w:val="single"/>
        </w:rPr>
        <w:t xml:space="preserve">3. </w:t>
      </w:r>
      <w:r w:rsidRPr="00871FFB">
        <w:rPr>
          <w:i/>
          <w:iCs/>
          <w:u w:val="single"/>
        </w:rPr>
        <w:t>Discontinuation Resolution</w:t>
      </w:r>
    </w:p>
    <w:p w14:paraId="19EE4DEF" w14:textId="73638591" w:rsidR="002337A8" w:rsidRDefault="00CE568B" w:rsidP="001C5C59">
      <w:pPr>
        <w:spacing w:after="210" w:line="264" w:lineRule="auto"/>
        <w:jc w:val="both"/>
      </w:pPr>
      <w:r>
        <w:t>T</w:t>
      </w:r>
      <w:r w:rsidR="002337A8">
        <w:t>he Company's Articles of Incorporation provide that if, on 29 October 2020 (the seventh anniversary of the Company's London listing), both of the following are true:</w:t>
      </w:r>
    </w:p>
    <w:p w14:paraId="66307E1F" w14:textId="77777777" w:rsidR="002337A8" w:rsidRDefault="002337A8" w:rsidP="001C5C59">
      <w:pPr>
        <w:numPr>
          <w:ilvl w:val="0"/>
          <w:numId w:val="22"/>
        </w:numPr>
        <w:spacing w:after="210" w:line="264" w:lineRule="auto"/>
        <w:ind w:left="360"/>
        <w:jc w:val="both"/>
        <w:rPr>
          <w:rFonts w:eastAsia="Cambria"/>
        </w:rPr>
      </w:pPr>
      <w:r>
        <w:t>the trading price for the Company's ordinary shares has not at any time exceeded £14.70 (initially £15.00, subject to adjustments for dividends, stock splits or consolidations and below NAV equity issuances); and</w:t>
      </w:r>
    </w:p>
    <w:p w14:paraId="6D636338" w14:textId="77777777" w:rsidR="002337A8" w:rsidRDefault="002337A8" w:rsidP="001C5C59">
      <w:pPr>
        <w:numPr>
          <w:ilvl w:val="0"/>
          <w:numId w:val="22"/>
        </w:numPr>
        <w:spacing w:after="210" w:line="264" w:lineRule="auto"/>
        <w:ind w:left="360"/>
        <w:jc w:val="both"/>
        <w:rPr>
          <w:rFonts w:eastAsia="Cambria"/>
        </w:rPr>
      </w:pPr>
      <w:r>
        <w:t>a gross IRR of 8 per cent. has not been achieved on the Company's capital, calculated by reference to the prevailing valuation or sale proceeds achieved on each of the Company's investments from the date of the initial investment or commitment of capital to that investment and prior to the deduction of fees or taxes,</w:t>
      </w:r>
      <w:r>
        <w:rPr>
          <w:rFonts w:eastAsia="Cambria"/>
        </w:rPr>
        <w:t xml:space="preserve"> </w:t>
      </w:r>
    </w:p>
    <w:p w14:paraId="2B32EEBC" w14:textId="4C080369" w:rsidR="00E72D25" w:rsidRDefault="002337A8" w:rsidP="001C5C59">
      <w:pPr>
        <w:widowControl w:val="0"/>
        <w:jc w:val="both"/>
      </w:pPr>
      <w:r>
        <w:lastRenderedPageBreak/>
        <w:t>then a special resolution must be proposed to the Company's Shareholders to discontinue the Company ("Discontinuation Resolution").  Both tests must be triggered for the requirement to propose a Discontinuation Resolution to apply.  If a Discontinuation Resolution is proposed to Shareholders and passed (which requires 75 per cent.</w:t>
      </w:r>
      <w:r w:rsidR="00CE568B">
        <w:t xml:space="preserve"> of votes cast in favour</w:t>
      </w:r>
      <w:r>
        <w:t>), the Company will be liquidated. With an all time high trading price of £13.70 and Gross IRR of approximately -6 per cent. as at 31 December 2019, both tests have not yet been met, so the Board has assumed for the purposes of this going concern and viability statement that the Discontinuation Resolution is likely to be required to be proposed to Shareholders.</w:t>
      </w:r>
    </w:p>
    <w:p w14:paraId="23A4BE03" w14:textId="77777777" w:rsidR="00E72D25" w:rsidRDefault="00E72D25" w:rsidP="001C5C59">
      <w:pPr>
        <w:widowControl w:val="0"/>
        <w:jc w:val="both"/>
      </w:pPr>
    </w:p>
    <w:p w14:paraId="18E25422" w14:textId="46352730" w:rsidR="002337A8" w:rsidRPr="00E72D25" w:rsidRDefault="00E72D25" w:rsidP="001C5C59">
      <w:pPr>
        <w:jc w:val="both"/>
        <w:rPr>
          <w:rFonts w:ascii="Times New Roman" w:hAnsi="Times New Roman" w:cs="Times New Roman"/>
          <w:sz w:val="24"/>
          <w:szCs w:val="24"/>
          <w:lang w:val="en-US"/>
        </w:rPr>
      </w:pPr>
      <w:r>
        <w:t xml:space="preserve">The Investment Manager and Cornerstone Investors have 8.35 per cent. and 40.4 per cent., respectively, of the votes and can block approval. Given the Investment Manager has indicated that it will not vote for the resolution, in March 2020, the Investment Manager contacted </w:t>
      </w:r>
      <w:r w:rsidR="00BF4E59">
        <w:t xml:space="preserve">one of </w:t>
      </w:r>
      <w:r>
        <w:t>the Cornerstone Investor</w:t>
      </w:r>
      <w:r w:rsidR="00BF4E59">
        <w:t>s</w:t>
      </w:r>
      <w:r>
        <w:t xml:space="preserve"> </w:t>
      </w:r>
      <w:r w:rsidR="00DB2271">
        <w:t>regarding its voting intentions in respect of the</w:t>
      </w:r>
      <w:r>
        <w:t xml:space="preserve"> Discontinuation Resolution</w:t>
      </w:r>
      <w:r w:rsidR="00F601A7">
        <w:t>,</w:t>
      </w:r>
      <w:r>
        <w:t xml:space="preserve"> </w:t>
      </w:r>
      <w:r w:rsidR="00DB2271">
        <w:t>but did not receive a firm indication. No Cornerstone Investor has</w:t>
      </w:r>
      <w:r w:rsidR="00327293">
        <w:t xml:space="preserve"> yet</w:t>
      </w:r>
      <w:r w:rsidR="00DB2271">
        <w:t xml:space="preserve"> expressed how</w:t>
      </w:r>
      <w:r w:rsidR="00327293">
        <w:t xml:space="preserve"> it would intend to</w:t>
      </w:r>
      <w:r w:rsidR="00DB2271">
        <w:t xml:space="preserve"> vote</w:t>
      </w:r>
      <w:r w:rsidR="00327293">
        <w:t xml:space="preserve"> on the Discontinuation Resolution Vote</w:t>
      </w:r>
      <w:r w:rsidR="00DB2271">
        <w:t>.</w:t>
      </w:r>
    </w:p>
    <w:p w14:paraId="3DC24856" w14:textId="77777777" w:rsidR="002337A8" w:rsidRDefault="002337A8" w:rsidP="001C5C59">
      <w:pPr>
        <w:autoSpaceDE w:val="0"/>
        <w:autoSpaceDN w:val="0"/>
        <w:adjustRightInd w:val="0"/>
        <w:jc w:val="both"/>
      </w:pPr>
    </w:p>
    <w:p w14:paraId="615DD69E" w14:textId="7DF0634D" w:rsidR="002337A8" w:rsidRDefault="00E72D25" w:rsidP="001C5C59">
      <w:pPr>
        <w:autoSpaceDE w:val="0"/>
        <w:autoSpaceDN w:val="0"/>
        <w:adjustRightInd w:val="0"/>
        <w:jc w:val="both"/>
      </w:pPr>
      <w:bookmarkStart w:id="27" w:name="_Hlk37664759"/>
      <w:r>
        <w:t>However, t</w:t>
      </w:r>
      <w:r w:rsidR="002337A8" w:rsidRPr="00C81A2A">
        <w:t xml:space="preserve">he </w:t>
      </w:r>
      <w:r w:rsidR="00CE568B">
        <w:t xml:space="preserve">understanding of the </w:t>
      </w:r>
      <w:r w:rsidR="002337A8" w:rsidRPr="00C81A2A">
        <w:t xml:space="preserve">Investment Manager </w:t>
      </w:r>
      <w:r>
        <w:t xml:space="preserve">is </w:t>
      </w:r>
      <w:r w:rsidR="002337A8" w:rsidRPr="00C81A2A">
        <w:t xml:space="preserve">for a </w:t>
      </w:r>
      <w:r w:rsidR="002337A8">
        <w:t>non-Cornerstone Investor</w:t>
      </w:r>
      <w:r w:rsidR="002337A8" w:rsidRPr="00C81A2A">
        <w:t xml:space="preserve"> shareholder</w:t>
      </w:r>
      <w:r w:rsidR="002337A8">
        <w:t xml:space="preserve"> of REL</w:t>
      </w:r>
      <w:r w:rsidR="002337A8" w:rsidRPr="00C81A2A">
        <w:t xml:space="preserve"> to vote against the Discontinuation Resolution </w:t>
      </w:r>
      <w:bookmarkEnd w:id="27"/>
      <w:r w:rsidR="002337A8" w:rsidRPr="00C81A2A">
        <w:t>because</w:t>
      </w:r>
      <w:r w:rsidR="002337A8" w:rsidRPr="00D70BE5">
        <w:t xml:space="preserve"> </w:t>
      </w:r>
      <w:r w:rsidR="002337A8">
        <w:t xml:space="preserve">of the opportunity to continue to develop the </w:t>
      </w:r>
      <w:r w:rsidR="002337A8">
        <w:rPr>
          <w:rFonts w:eastAsia="Calibri"/>
          <w:lang w:val="en-US"/>
        </w:rPr>
        <w:t>modified investment program</w:t>
      </w:r>
      <w:r w:rsidR="00407D9F">
        <w:rPr>
          <w:rFonts w:eastAsia="Calibri"/>
          <w:lang w:val="en-US"/>
        </w:rPr>
        <w:t>me</w:t>
      </w:r>
      <w:r w:rsidR="002337A8">
        <w:rPr>
          <w:rFonts w:eastAsia="Calibri"/>
          <w:lang w:val="en-US"/>
        </w:rPr>
        <w:t xml:space="preserve"> started </w:t>
      </w:r>
      <w:r w:rsidR="00F43CA1">
        <w:rPr>
          <w:rFonts w:eastAsia="Calibri"/>
          <w:lang w:val="en-US"/>
        </w:rPr>
        <w:t xml:space="preserve">in </w:t>
      </w:r>
      <w:r w:rsidR="002337A8">
        <w:rPr>
          <w:rFonts w:eastAsia="Calibri"/>
          <w:lang w:val="en-US"/>
        </w:rPr>
        <w:t>2019, which could avail opportunistic transactions during the current market conditions</w:t>
      </w:r>
      <w:r w:rsidR="002337A8">
        <w:t>. Additionally,</w:t>
      </w:r>
      <w:r w:rsidR="002337A8" w:rsidRPr="00C81A2A">
        <w:t xml:space="preserve"> if </w:t>
      </w:r>
      <w:r w:rsidR="002337A8">
        <w:t>the Discontinuation Resolution</w:t>
      </w:r>
      <w:r w:rsidR="002337A8" w:rsidRPr="00C81A2A">
        <w:t xml:space="preserve"> were to pass, then the following adverse consequences for REL would occur:</w:t>
      </w:r>
    </w:p>
    <w:p w14:paraId="7BF57019" w14:textId="77777777" w:rsidR="00A05ABA" w:rsidRDefault="00A05ABA" w:rsidP="001C5C59">
      <w:pPr>
        <w:autoSpaceDE w:val="0"/>
        <w:autoSpaceDN w:val="0"/>
        <w:adjustRightInd w:val="0"/>
        <w:jc w:val="both"/>
      </w:pPr>
    </w:p>
    <w:p w14:paraId="67FF6142" w14:textId="03976287" w:rsidR="002337A8" w:rsidRDefault="00A05ABA" w:rsidP="001C5C59">
      <w:pPr>
        <w:autoSpaceDE w:val="0"/>
        <w:autoSpaceDN w:val="0"/>
        <w:adjustRightInd w:val="0"/>
        <w:jc w:val="both"/>
      </w:pPr>
      <w:r>
        <w:t>3.</w:t>
      </w:r>
      <w:r w:rsidR="002337A8" w:rsidRPr="00C81A2A">
        <w:t xml:space="preserve">1) </w:t>
      </w:r>
      <w:r w:rsidR="002337A8">
        <w:t>T</w:t>
      </w:r>
      <w:r w:rsidR="002337A8" w:rsidRPr="00C81A2A">
        <w:t>he Investment Manager</w:t>
      </w:r>
      <w:r w:rsidR="002337A8">
        <w:t xml:space="preserve"> and Cornerstone Investors</w:t>
      </w:r>
      <w:r w:rsidR="002337A8" w:rsidRPr="00C81A2A">
        <w:t xml:space="preserve"> would</w:t>
      </w:r>
      <w:r w:rsidR="002337A8">
        <w:t xml:space="preserve"> share (83 per cent. / 17 per cent.)</w:t>
      </w:r>
      <w:r w:rsidR="002337A8" w:rsidRPr="00C81A2A">
        <w:t xml:space="preserve">  a lump sum payment of 20x the previous quarter’s </w:t>
      </w:r>
      <w:r w:rsidR="00407D9F">
        <w:t>M</w:t>
      </w:r>
      <w:r w:rsidR="002337A8" w:rsidRPr="00C81A2A">
        <w:t xml:space="preserve">anagement </w:t>
      </w:r>
      <w:r w:rsidR="00407D9F">
        <w:t>F</w:t>
      </w:r>
      <w:r w:rsidR="002337A8" w:rsidRPr="00C81A2A">
        <w:t>ee</w:t>
      </w:r>
      <w:r w:rsidR="002337A8">
        <w:t>. Based on the NAV at 31 December 2019, this would total approximately $57.9 million. Although the NAV at 30 September 2020 is likely to be lower given current global conditions, the amount due will still be a significant percentage of the NAV</w:t>
      </w:r>
      <w:r w:rsidR="002337A8" w:rsidRPr="00AC031C">
        <w:t>;</w:t>
      </w:r>
    </w:p>
    <w:p w14:paraId="00DB58A7" w14:textId="77777777" w:rsidR="00A05ABA" w:rsidRDefault="00A05ABA" w:rsidP="001C5C59">
      <w:pPr>
        <w:autoSpaceDE w:val="0"/>
        <w:autoSpaceDN w:val="0"/>
        <w:adjustRightInd w:val="0"/>
        <w:jc w:val="both"/>
      </w:pPr>
    </w:p>
    <w:p w14:paraId="67C1A5E0" w14:textId="5F8780BB" w:rsidR="002337A8" w:rsidRDefault="00A05ABA" w:rsidP="001C5C59">
      <w:pPr>
        <w:autoSpaceDE w:val="0"/>
        <w:autoSpaceDN w:val="0"/>
        <w:adjustRightInd w:val="0"/>
        <w:jc w:val="both"/>
      </w:pPr>
      <w:r>
        <w:t>3.</w:t>
      </w:r>
      <w:r w:rsidR="00EF5867">
        <w:t>2</w:t>
      </w:r>
      <w:r w:rsidR="002337A8" w:rsidRPr="00AC031C">
        <w:t xml:space="preserve">) </w:t>
      </w:r>
      <w:r w:rsidR="002337A8">
        <w:t>T</w:t>
      </w:r>
      <w:r w:rsidR="002337A8" w:rsidRPr="00AC031C">
        <w:t xml:space="preserve">he Company’s investments held through the Partnership </w:t>
      </w:r>
      <w:r w:rsidR="002337A8">
        <w:t>c</w:t>
      </w:r>
      <w:r w:rsidR="002337A8" w:rsidRPr="00AC031C">
        <w:t>ould be</w:t>
      </w:r>
      <w:r w:rsidR="002337A8" w:rsidRPr="00C81A2A">
        <w:t xml:space="preserve"> made available for</w:t>
      </w:r>
      <w:r w:rsidR="002337A8">
        <w:t xml:space="preserve"> secondary</w:t>
      </w:r>
      <w:r w:rsidR="002337A8" w:rsidRPr="00C81A2A">
        <w:t xml:space="preserve"> sale, likely at a large discount to current fair market value, which is representative of REL’s minority ownership</w:t>
      </w:r>
      <w:r w:rsidR="002337A8">
        <w:t>. Alternatively, the investments could be held and participate in the future sales by the Private Riverstone Funds, which could lessen any cash discount</w:t>
      </w:r>
      <w:r w:rsidR="002337A8" w:rsidRPr="00C81A2A">
        <w:t>; and</w:t>
      </w:r>
    </w:p>
    <w:p w14:paraId="54DE78D2" w14:textId="77777777" w:rsidR="00A05ABA" w:rsidRDefault="00A05ABA" w:rsidP="001C5C59">
      <w:pPr>
        <w:autoSpaceDE w:val="0"/>
        <w:autoSpaceDN w:val="0"/>
        <w:adjustRightInd w:val="0"/>
        <w:jc w:val="both"/>
      </w:pPr>
    </w:p>
    <w:p w14:paraId="0B0569A1" w14:textId="6C6281CA" w:rsidR="002337A8" w:rsidRDefault="00A05ABA" w:rsidP="001C5C59">
      <w:pPr>
        <w:autoSpaceDE w:val="0"/>
        <w:autoSpaceDN w:val="0"/>
        <w:adjustRightInd w:val="0"/>
        <w:jc w:val="both"/>
      </w:pPr>
      <w:r>
        <w:t>3.</w:t>
      </w:r>
      <w:r w:rsidR="00EF5867">
        <w:t>3</w:t>
      </w:r>
      <w:r w:rsidR="002337A8" w:rsidRPr="00C81A2A">
        <w:t xml:space="preserve">) </w:t>
      </w:r>
      <w:r w:rsidR="002337A8">
        <w:t>T</w:t>
      </w:r>
      <w:r w:rsidR="002337A8" w:rsidRPr="00C81A2A">
        <w:t xml:space="preserve">he lock-up of </w:t>
      </w:r>
      <w:r w:rsidR="002337A8">
        <w:t xml:space="preserve">listed </w:t>
      </w:r>
      <w:r w:rsidR="002337A8" w:rsidRPr="00C81A2A">
        <w:t xml:space="preserve">shares impeding </w:t>
      </w:r>
      <w:r w:rsidR="002337A8">
        <w:t>S</w:t>
      </w:r>
      <w:r w:rsidR="002337A8" w:rsidRPr="00C81A2A">
        <w:t>hareholders’ liquidity.</w:t>
      </w:r>
    </w:p>
    <w:p w14:paraId="210414F9" w14:textId="77777777" w:rsidR="002337A8" w:rsidRDefault="002337A8" w:rsidP="001C5C59">
      <w:pPr>
        <w:autoSpaceDE w:val="0"/>
        <w:autoSpaceDN w:val="0"/>
        <w:adjustRightInd w:val="0"/>
        <w:jc w:val="both"/>
      </w:pPr>
    </w:p>
    <w:p w14:paraId="34A54FBA" w14:textId="77777777" w:rsidR="002337A8" w:rsidRDefault="002337A8" w:rsidP="001C5C59">
      <w:pPr>
        <w:widowControl w:val="0"/>
        <w:spacing w:after="120"/>
        <w:jc w:val="both"/>
      </w:pPr>
      <w:r>
        <w:rPr>
          <w:i/>
          <w:iCs/>
          <w:u w:val="single"/>
        </w:rPr>
        <w:t xml:space="preserve">4. </w:t>
      </w:r>
      <w:r w:rsidRPr="00DC3D5C">
        <w:rPr>
          <w:i/>
          <w:iCs/>
          <w:u w:val="single"/>
        </w:rPr>
        <w:t>Discount to NAV of the Company</w:t>
      </w:r>
    </w:p>
    <w:p w14:paraId="44F0600C" w14:textId="30F49D5A" w:rsidR="002337A8" w:rsidRPr="003677FC" w:rsidRDefault="002337A8" w:rsidP="001C5C59">
      <w:pPr>
        <w:widowControl w:val="0"/>
        <w:jc w:val="both"/>
      </w:pPr>
      <w:r w:rsidRPr="003677FC">
        <w:t>Since its inception, the Company’s trading discount to NAV percentage has remained consistent with a population of comparable publicly</w:t>
      </w:r>
      <w:r w:rsidRPr="003677FC">
        <w:rPr>
          <w:rFonts w:ascii="Cambria Math" w:hAnsi="Cambria Math" w:cs="Cambria Math"/>
        </w:rPr>
        <w:t>‐</w:t>
      </w:r>
      <w:r w:rsidRPr="003677FC">
        <w:t xml:space="preserve">traded PE funds as their life to date average trading discount percentages are 17.7 per cent. and 20.1 per cent., respectively. However, from December 2015 to January 2016 and November 2018 to December 2018, as well as </w:t>
      </w:r>
      <w:r w:rsidR="001B0FA5">
        <w:t xml:space="preserve">from </w:t>
      </w:r>
      <w:r w:rsidRPr="003677FC">
        <w:t>December 2019</w:t>
      </w:r>
      <w:r w:rsidR="001B0FA5">
        <w:t xml:space="preserve"> to the present</w:t>
      </w:r>
      <w:r w:rsidRPr="003677FC">
        <w:t>, declines in the price of oil adversely impacted the market sentiment for oil companies, which resulted in the Company’s trading discount percentage increasing at a faster rate than the population of comparable publicly-traded PE funds, as it is solely invested in the global energy</w:t>
      </w:r>
      <w:r>
        <w:t xml:space="preserve"> industry across all</w:t>
      </w:r>
      <w:r w:rsidRPr="003677FC">
        <w:t xml:space="preserve"> sector</w:t>
      </w:r>
      <w:r>
        <w:t>s</w:t>
      </w:r>
      <w:r w:rsidRPr="003677FC">
        <w:t>. The Company’s trading discount to NAV percentage at 31 December 2019 spiked to 43.</w:t>
      </w:r>
      <w:r>
        <w:t>8</w:t>
      </w:r>
      <w:r w:rsidRPr="003677FC">
        <w:t xml:space="preserve"> per cent.</w:t>
      </w:r>
      <w:bookmarkStart w:id="28" w:name="_Hlk36582896"/>
      <w:r w:rsidR="001C2A75" w:rsidRPr="001C2A75">
        <w:t xml:space="preserve"> (or 57.4 per cent. on a cash-adjusted basis)</w:t>
      </w:r>
      <w:bookmarkEnd w:id="28"/>
      <w:r w:rsidRPr="003677FC">
        <w:t xml:space="preserve"> because the Company’s price per share decline of 60 per cent. outpaced the decrease in the Company’s NAV per share of over 45 per cent. for the year ended 31 December 2019. From year-end through the date of this </w:t>
      </w:r>
      <w:r>
        <w:t>report</w:t>
      </w:r>
      <w:r w:rsidRPr="003677FC">
        <w:t>, the Company’s trading discount has continued to increase due to the further decline in the Company’s share price</w:t>
      </w:r>
      <w:r>
        <w:t xml:space="preserve"> and </w:t>
      </w:r>
      <w:r w:rsidR="009C0964">
        <w:t>was</w:t>
      </w:r>
      <w:r>
        <w:t xml:space="preserve"> 81.1 per cent.</w:t>
      </w:r>
      <w:r w:rsidRPr="003677FC">
        <w:t xml:space="preserve"> </w:t>
      </w:r>
      <w:r w:rsidR="00F579AC">
        <w:t>as of 31 March 2020</w:t>
      </w:r>
      <w:r w:rsidR="001C2A75">
        <w:t xml:space="preserve"> </w:t>
      </w:r>
      <w:r w:rsidR="001C2A75" w:rsidRPr="001C2A75">
        <w:t>(or 106.2 per cent. on a cash-adjusted basis)</w:t>
      </w:r>
      <w:r w:rsidR="00F579AC">
        <w:t>.</w:t>
      </w:r>
    </w:p>
    <w:p w14:paraId="54A17F27" w14:textId="77777777" w:rsidR="002337A8" w:rsidRPr="003677FC" w:rsidRDefault="002337A8" w:rsidP="001C5C59">
      <w:pPr>
        <w:widowControl w:val="0"/>
        <w:jc w:val="both"/>
      </w:pPr>
    </w:p>
    <w:p w14:paraId="5297F05B" w14:textId="7C0D7D53" w:rsidR="002337A8" w:rsidRDefault="002337A8" w:rsidP="001C5C59">
      <w:pPr>
        <w:widowControl w:val="0"/>
        <w:jc w:val="both"/>
      </w:pPr>
      <w:r w:rsidRPr="003677FC">
        <w:t xml:space="preserve">The Board, with consultation of the Investment Manager, regularly monitors the Company’s trading discount percentage and, when possible, executes corporate actions aimed at managing it, such as the Tender Offer share repurchase in November 2018, which attributed to a 1.5 per cent. increase in the Company’s NAV, and partially offset the increase of the trading discount percentage. </w:t>
      </w:r>
      <w:r w:rsidRPr="00986B39">
        <w:t xml:space="preserve">The Board continues to discuss various corporate actions, but nothing has been determined as at the date of this report. </w:t>
      </w:r>
      <w:r w:rsidRPr="003677FC">
        <w:t>If the aforementioned Discontinuation Resolution receives the required 75 per cent. of votes cast</w:t>
      </w:r>
      <w:r w:rsidR="000A54C5">
        <w:t xml:space="preserve"> in favour</w:t>
      </w:r>
      <w:r w:rsidRPr="003677FC">
        <w:t xml:space="preserve">, any potential decrease in the trading discount percentage will be significantly reduced by the lump sum </w:t>
      </w:r>
      <w:r w:rsidR="00407D9F">
        <w:t>M</w:t>
      </w:r>
      <w:r w:rsidRPr="003677FC">
        <w:t xml:space="preserve">anagement </w:t>
      </w:r>
      <w:r w:rsidR="00407D9F">
        <w:t>F</w:t>
      </w:r>
      <w:r w:rsidRPr="003677FC">
        <w:t>ee</w:t>
      </w:r>
      <w:r w:rsidRPr="00986B39">
        <w:rPr>
          <w:rFonts w:ascii="Calibri" w:hAnsi="Calibri" w:cs="Calibri"/>
        </w:rPr>
        <w:t xml:space="preserve"> </w:t>
      </w:r>
      <w:r w:rsidRPr="00986B39">
        <w:t>payment</w:t>
      </w:r>
      <w:r w:rsidRPr="003677FC">
        <w:t xml:space="preserve"> owed to the Investment Manager</w:t>
      </w:r>
      <w:r>
        <w:t>, as well as</w:t>
      </w:r>
      <w:r w:rsidRPr="003677FC">
        <w:t xml:space="preserve"> the inherent discount to the current fair value of the Company’s investments.</w:t>
      </w:r>
    </w:p>
    <w:p w14:paraId="35652893" w14:textId="77777777" w:rsidR="00B51B76" w:rsidRDefault="00B51B76" w:rsidP="001C5C59">
      <w:pPr>
        <w:jc w:val="both"/>
        <w:rPr>
          <w:rFonts w:eastAsia="Cambria"/>
          <w:i/>
          <w:iCs/>
          <w:u w:val="single"/>
        </w:rPr>
      </w:pPr>
    </w:p>
    <w:p w14:paraId="29ECB032" w14:textId="1E7D598B" w:rsidR="002337A8" w:rsidRPr="00CB6181" w:rsidRDefault="001B2829" w:rsidP="001C5C59">
      <w:pPr>
        <w:jc w:val="both"/>
        <w:rPr>
          <w:rFonts w:eastAsia="Cambria"/>
          <w:i/>
          <w:iCs/>
          <w:u w:val="single"/>
        </w:rPr>
      </w:pPr>
      <w:r>
        <w:rPr>
          <w:rFonts w:eastAsia="Cambria"/>
          <w:i/>
          <w:iCs/>
          <w:u w:val="single"/>
        </w:rPr>
        <w:t xml:space="preserve">5. </w:t>
      </w:r>
      <w:r w:rsidR="002337A8" w:rsidRPr="00CB6181">
        <w:rPr>
          <w:rFonts w:eastAsia="Cambria"/>
          <w:i/>
          <w:iCs/>
          <w:u w:val="single"/>
        </w:rPr>
        <w:t>COVID-19</w:t>
      </w:r>
    </w:p>
    <w:p w14:paraId="78303F88" w14:textId="77777777" w:rsidR="002337A8" w:rsidRDefault="002337A8" w:rsidP="001C5C59">
      <w:pPr>
        <w:jc w:val="both"/>
        <w:rPr>
          <w:rFonts w:eastAsia="Cambria"/>
        </w:rPr>
      </w:pPr>
      <w:r w:rsidRPr="006F5FE4">
        <w:rPr>
          <w:rFonts w:eastAsia="Cambria"/>
        </w:rPr>
        <w:t xml:space="preserve">The Board and Investment Manager have been in continuous dialogue regarding the impact of COVID-19 and appropriate disclosures within the Company’s </w:t>
      </w:r>
      <w:r>
        <w:rPr>
          <w:rFonts w:eastAsia="Cambria"/>
        </w:rPr>
        <w:t xml:space="preserve">2019 Annual Report and </w:t>
      </w:r>
      <w:r w:rsidRPr="006F5FE4">
        <w:rPr>
          <w:rFonts w:eastAsia="Cambria"/>
        </w:rPr>
        <w:t>Financial Statements</w:t>
      </w:r>
      <w:r>
        <w:rPr>
          <w:rFonts w:eastAsia="Cambria"/>
        </w:rPr>
        <w:t>,</w:t>
      </w:r>
      <w:r w:rsidRPr="006F5FE4">
        <w:rPr>
          <w:rFonts w:eastAsia="Cambria"/>
        </w:rPr>
        <w:t xml:space="preserve"> given that it's an evolving situation.</w:t>
      </w:r>
      <w:r>
        <w:rPr>
          <w:rFonts w:eastAsia="Cambria"/>
        </w:rPr>
        <w:t xml:space="preserve"> </w:t>
      </w:r>
      <w:r w:rsidRPr="006F5FE4">
        <w:rPr>
          <w:rFonts w:eastAsia="Cambria"/>
        </w:rPr>
        <w:t>The Company’s Management Engagement Committee requested and received updates from REL’s key service providers, including the Investment Manager, regarding the</w:t>
      </w:r>
      <w:r>
        <w:rPr>
          <w:rFonts w:eastAsia="Cambria"/>
        </w:rPr>
        <w:t>ir response to COVID-19, including an update on their</w:t>
      </w:r>
      <w:r w:rsidRPr="006F5FE4">
        <w:rPr>
          <w:rFonts w:eastAsia="Cambria"/>
        </w:rPr>
        <w:t xml:space="preserve"> respective business continuity plans.</w:t>
      </w:r>
    </w:p>
    <w:p w14:paraId="6E024EA5" w14:textId="77777777" w:rsidR="002337A8" w:rsidRDefault="002337A8" w:rsidP="001C5C59">
      <w:pPr>
        <w:jc w:val="both"/>
        <w:rPr>
          <w:rFonts w:eastAsia="Cambria"/>
        </w:rPr>
      </w:pPr>
    </w:p>
    <w:p w14:paraId="0662B1F3" w14:textId="69901516" w:rsidR="002337A8" w:rsidRPr="008D3D15" w:rsidRDefault="002337A8" w:rsidP="001C5C59">
      <w:pPr>
        <w:autoSpaceDE w:val="0"/>
        <w:autoSpaceDN w:val="0"/>
        <w:adjustRightInd w:val="0"/>
        <w:jc w:val="both"/>
        <w:rPr>
          <w:rFonts w:eastAsia="Cambria"/>
        </w:rPr>
      </w:pPr>
      <w:r w:rsidRPr="006F5FE4">
        <w:rPr>
          <w:rFonts w:eastAsia="Cambria"/>
        </w:rPr>
        <w:t>The Investment Manager activat</w:t>
      </w:r>
      <w:r>
        <w:rPr>
          <w:rFonts w:eastAsia="Cambria"/>
        </w:rPr>
        <w:t>ed</w:t>
      </w:r>
      <w:r w:rsidRPr="006F5FE4">
        <w:rPr>
          <w:rFonts w:eastAsia="Cambria"/>
        </w:rPr>
        <w:t xml:space="preserve"> its business continuity plan</w:t>
      </w:r>
      <w:r>
        <w:rPr>
          <w:rFonts w:eastAsia="Cambria"/>
        </w:rPr>
        <w:t xml:space="preserve"> and its </w:t>
      </w:r>
      <w:r>
        <w:t>regular working pattern has changed to remote working, though all staff are continuing to assume their day-to-day responsibilities remotely.</w:t>
      </w:r>
      <w:r>
        <w:rPr>
          <w:rFonts w:eastAsia="Cambria"/>
        </w:rPr>
        <w:t xml:space="preserve"> There</w:t>
      </w:r>
      <w:r w:rsidRPr="006F5FE4">
        <w:rPr>
          <w:rFonts w:eastAsia="Cambria"/>
        </w:rPr>
        <w:t xml:space="preserve"> has </w:t>
      </w:r>
      <w:r w:rsidRPr="006F5FE4">
        <w:rPr>
          <w:rFonts w:eastAsia="Cambria"/>
        </w:rPr>
        <w:lastRenderedPageBreak/>
        <w:t>been regular communication with its employees</w:t>
      </w:r>
      <w:r>
        <w:rPr>
          <w:rFonts w:eastAsia="Cambria"/>
        </w:rPr>
        <w:t xml:space="preserve">, as well as its investors. </w:t>
      </w:r>
      <w:r>
        <w:t xml:space="preserve">In addition, the Investment Manager’s partners are hosting weekly calls on potential investment opportunities in this new environment (caused by COVID and OPEC+ news), so that Riverstone can best position the portfolio for the future. </w:t>
      </w:r>
      <w:r>
        <w:rPr>
          <w:rFonts w:eastAsia="Cambria"/>
        </w:rPr>
        <w:t>The Investment Manager has contacted its</w:t>
      </w:r>
      <w:r w:rsidRPr="006F5FE4">
        <w:rPr>
          <w:rFonts w:eastAsia="Cambria"/>
        </w:rPr>
        <w:t xml:space="preserve"> portfolio companies </w:t>
      </w:r>
      <w:r w:rsidRPr="008D3D15">
        <w:rPr>
          <w:rFonts w:eastAsia="Cambria"/>
        </w:rPr>
        <w:t>to make sure that they have the appropriate plans and resources in place to prioritize the health and safety of their employees, as well as to assess supply chain disruptions and ensure the normal operations of our businesses</w:t>
      </w:r>
      <w:r w:rsidRPr="006F5FE4">
        <w:rPr>
          <w:rFonts w:eastAsia="Cambria"/>
        </w:rPr>
        <w:t>.</w:t>
      </w:r>
    </w:p>
    <w:p w14:paraId="37C68546" w14:textId="77777777" w:rsidR="002337A8" w:rsidRPr="008D3D15" w:rsidRDefault="002337A8" w:rsidP="001C5C59">
      <w:pPr>
        <w:autoSpaceDE w:val="0"/>
        <w:autoSpaceDN w:val="0"/>
        <w:adjustRightInd w:val="0"/>
        <w:jc w:val="both"/>
        <w:rPr>
          <w:rFonts w:eastAsia="Cambria"/>
        </w:rPr>
      </w:pPr>
    </w:p>
    <w:p w14:paraId="7C02B100" w14:textId="539D49CF" w:rsidR="001B579F" w:rsidRPr="008D3D15" w:rsidRDefault="00B45158" w:rsidP="001C5C59">
      <w:pPr>
        <w:autoSpaceDE w:val="0"/>
        <w:autoSpaceDN w:val="0"/>
        <w:adjustRightInd w:val="0"/>
        <w:jc w:val="both"/>
        <w:rPr>
          <w:rFonts w:eastAsia="Cambria"/>
        </w:rPr>
      </w:pPr>
      <w:r w:rsidRPr="008D3D15">
        <w:rPr>
          <w:rFonts w:eastAsia="Cambria"/>
        </w:rPr>
        <w:t xml:space="preserve">Cognisant that the future Discontinuation </w:t>
      </w:r>
      <w:r w:rsidR="0028468D" w:rsidRPr="008D3D15">
        <w:rPr>
          <w:rFonts w:eastAsia="Cambria"/>
        </w:rPr>
        <w:t>Resolution</w:t>
      </w:r>
      <w:r w:rsidR="00893B6A" w:rsidRPr="008D3D15">
        <w:rPr>
          <w:rFonts w:eastAsia="Cambria"/>
        </w:rPr>
        <w:t xml:space="preserve"> </w:t>
      </w:r>
      <w:r w:rsidR="00BF4E59" w:rsidRPr="008D3D15">
        <w:rPr>
          <w:rFonts w:eastAsia="Cambria"/>
        </w:rPr>
        <w:t>V</w:t>
      </w:r>
      <w:r w:rsidR="00893B6A" w:rsidRPr="008D3D15">
        <w:rPr>
          <w:rFonts w:eastAsia="Cambria"/>
        </w:rPr>
        <w:t>ote</w:t>
      </w:r>
      <w:r w:rsidR="001B1331" w:rsidRPr="008D3D15">
        <w:rPr>
          <w:rFonts w:eastAsia="Cambria"/>
        </w:rPr>
        <w:t xml:space="preserve">, </w:t>
      </w:r>
      <w:r w:rsidR="006664DB" w:rsidRPr="008D3D15">
        <w:rPr>
          <w:rFonts w:eastAsia="Cambria"/>
        </w:rPr>
        <w:t>and</w:t>
      </w:r>
      <w:r w:rsidR="001B1331" w:rsidRPr="008D3D15">
        <w:rPr>
          <w:rFonts w:eastAsia="Cambria"/>
        </w:rPr>
        <w:t xml:space="preserve"> the recent oil and gas market decline and COVID-19,</w:t>
      </w:r>
      <w:r w:rsidRPr="008D3D15">
        <w:rPr>
          <w:rFonts w:eastAsia="Cambria"/>
        </w:rPr>
        <w:t xml:space="preserve"> creates a material uncertainty, f</w:t>
      </w:r>
      <w:r w:rsidR="001B579F" w:rsidRPr="008D3D15">
        <w:rPr>
          <w:rFonts w:eastAsia="Cambria"/>
        </w:rPr>
        <w:t xml:space="preserve">ollowing this review and a discussion of the sensitivities, we confirmed </w:t>
      </w:r>
      <w:r w:rsidR="001B1331" w:rsidRPr="008D3D15">
        <w:rPr>
          <w:rFonts w:eastAsia="Cambria"/>
        </w:rPr>
        <w:t xml:space="preserve">to the Directors </w:t>
      </w:r>
      <w:r w:rsidR="001B579F" w:rsidRPr="008D3D15">
        <w:rPr>
          <w:rFonts w:eastAsia="Cambria"/>
        </w:rPr>
        <w:t xml:space="preserve">that it continues to be appropriate to follow the going concern basis of accounting in the </w:t>
      </w:r>
      <w:r w:rsidR="00E80D62" w:rsidRPr="008D3D15">
        <w:rPr>
          <w:rFonts w:eastAsia="Cambria"/>
        </w:rPr>
        <w:t>F</w:t>
      </w:r>
      <w:r w:rsidR="001B579F" w:rsidRPr="008D3D15">
        <w:rPr>
          <w:rFonts w:eastAsia="Cambria"/>
        </w:rPr>
        <w:t xml:space="preserve">inancial </w:t>
      </w:r>
      <w:r w:rsidR="00E80D62" w:rsidRPr="008D3D15">
        <w:rPr>
          <w:rFonts w:eastAsia="Cambria"/>
        </w:rPr>
        <w:t>S</w:t>
      </w:r>
      <w:r w:rsidR="001B579F" w:rsidRPr="008D3D15">
        <w:rPr>
          <w:rFonts w:eastAsia="Cambria"/>
        </w:rPr>
        <w:t>tatements.</w:t>
      </w:r>
      <w:r w:rsidR="001B1331" w:rsidRPr="008D3D15">
        <w:rPr>
          <w:rFonts w:eastAsia="Cambria"/>
        </w:rPr>
        <w:t xml:space="preserve"> As of the date of this report, the Partnership has available liquid resources of $207 million, which are in excess of potential unfunded commitments of $135 million and the liabilities at 31 December 2019 and forecasted annual expenses for the foreseeable future.</w:t>
      </w:r>
    </w:p>
    <w:p w14:paraId="442AB192" w14:textId="3A7CE125" w:rsidR="001B579F" w:rsidRPr="008D3D15" w:rsidRDefault="001B579F" w:rsidP="00EB7E49">
      <w:pPr>
        <w:pStyle w:val="Bodytext"/>
        <w:rPr>
          <w:rFonts w:eastAsia="Cambria"/>
        </w:rPr>
      </w:pPr>
    </w:p>
    <w:p w14:paraId="63D61E02" w14:textId="1970EC5C" w:rsidR="009C0964" w:rsidRPr="00881689" w:rsidRDefault="009C0964" w:rsidP="00881689">
      <w:pPr>
        <w:spacing w:after="120"/>
        <w:jc w:val="both"/>
        <w:rPr>
          <w:rFonts w:eastAsia="Cambria"/>
          <w:b/>
          <w:bCs/>
          <w:sz w:val="22"/>
          <w:szCs w:val="22"/>
          <w:u w:val="single"/>
        </w:rPr>
      </w:pPr>
      <w:r w:rsidRPr="00881689">
        <w:rPr>
          <w:rFonts w:eastAsia="Cambria"/>
          <w:b/>
          <w:bCs/>
          <w:sz w:val="22"/>
          <w:szCs w:val="22"/>
          <w:u w:val="single"/>
        </w:rPr>
        <w:t>Viabilit</w:t>
      </w:r>
      <w:r w:rsidR="00982ACF" w:rsidRPr="00881689">
        <w:rPr>
          <w:rFonts w:eastAsia="Cambria"/>
          <w:b/>
          <w:bCs/>
          <w:sz w:val="22"/>
          <w:szCs w:val="22"/>
          <w:u w:val="single"/>
        </w:rPr>
        <w:t>y</w:t>
      </w:r>
    </w:p>
    <w:p w14:paraId="72A74741" w14:textId="35EBB596" w:rsidR="002337A8" w:rsidRPr="008D3D15" w:rsidRDefault="001B579F" w:rsidP="00E528D2">
      <w:pPr>
        <w:autoSpaceDE w:val="0"/>
        <w:autoSpaceDN w:val="0"/>
        <w:adjustRightInd w:val="0"/>
        <w:jc w:val="both"/>
        <w:rPr>
          <w:rFonts w:eastAsia="Cambria"/>
        </w:rPr>
      </w:pPr>
      <w:r w:rsidRPr="008D3D15">
        <w:rPr>
          <w:rFonts w:eastAsia="Cambria"/>
        </w:rPr>
        <w:t>For the Viability Statement</w:t>
      </w:r>
      <w:r w:rsidR="008B56BB" w:rsidRPr="008D3D15">
        <w:rPr>
          <w:rFonts w:eastAsia="Cambria"/>
        </w:rPr>
        <w:t>,</w:t>
      </w:r>
      <w:r w:rsidRPr="008D3D15">
        <w:rPr>
          <w:rFonts w:eastAsia="Cambria"/>
        </w:rPr>
        <w:t xml:space="preserve"> the Audit Committee endorsed the selection of a three year time horizon as a basis for the statement and the approach to its development</w:t>
      </w:r>
      <w:r w:rsidR="00B51B76" w:rsidRPr="008D3D15">
        <w:rPr>
          <w:rFonts w:eastAsia="Cambria"/>
        </w:rPr>
        <w:t>, as it was determined to be an appropriate timeframe based on the historical investment cycle of the Company’s investments, through the Partnership, and its financial planning processes</w:t>
      </w:r>
      <w:r w:rsidRPr="008D3D15">
        <w:rPr>
          <w:rFonts w:eastAsia="Cambria"/>
        </w:rPr>
        <w:t>.</w:t>
      </w:r>
      <w:r w:rsidR="002337A8" w:rsidRPr="008D3D15">
        <w:rPr>
          <w:rFonts w:eastAsia="Cambria"/>
        </w:rPr>
        <w:t xml:space="preserve"> On a rolling basis, the </w:t>
      </w:r>
      <w:r w:rsidR="00B51B76" w:rsidRPr="008D3D15">
        <w:rPr>
          <w:rFonts w:eastAsia="Cambria"/>
        </w:rPr>
        <w:t>Audit Committee</w:t>
      </w:r>
      <w:r w:rsidR="002337A8" w:rsidRPr="008D3D15">
        <w:rPr>
          <w:rFonts w:eastAsia="Cambria"/>
        </w:rPr>
        <w:t xml:space="preserve"> evaluate</w:t>
      </w:r>
      <w:r w:rsidR="00B51B76" w:rsidRPr="008D3D15">
        <w:rPr>
          <w:rFonts w:eastAsia="Cambria"/>
        </w:rPr>
        <w:t>s</w:t>
      </w:r>
      <w:r w:rsidR="002337A8" w:rsidRPr="008D3D15">
        <w:rPr>
          <w:rFonts w:eastAsia="Cambria"/>
        </w:rPr>
        <w:t xml:space="preserve"> the outcome of the investments and the Company’s financial position as a whole. While an unprecedented and long-term decline in global oil and gas consumption would threaten the Company’s performance, it would not necessarily threaten its viability.</w:t>
      </w:r>
    </w:p>
    <w:p w14:paraId="16657A95" w14:textId="77777777" w:rsidR="002337A8" w:rsidRPr="008D3D15" w:rsidRDefault="002337A8" w:rsidP="008D3D15">
      <w:pPr>
        <w:autoSpaceDE w:val="0"/>
        <w:autoSpaceDN w:val="0"/>
        <w:adjustRightInd w:val="0"/>
        <w:jc w:val="both"/>
        <w:rPr>
          <w:rFonts w:eastAsia="Cambria"/>
        </w:rPr>
      </w:pPr>
    </w:p>
    <w:p w14:paraId="4E1C643E" w14:textId="234BC184" w:rsidR="002337A8" w:rsidRPr="008D3D15" w:rsidRDefault="002337A8" w:rsidP="008D3D15">
      <w:pPr>
        <w:autoSpaceDE w:val="0"/>
        <w:autoSpaceDN w:val="0"/>
        <w:adjustRightInd w:val="0"/>
        <w:jc w:val="both"/>
        <w:rPr>
          <w:rFonts w:eastAsia="Cambria"/>
        </w:rPr>
      </w:pPr>
      <w:r w:rsidRPr="008D3D15">
        <w:rPr>
          <w:rFonts w:eastAsia="Cambria"/>
        </w:rPr>
        <w:t xml:space="preserve">In support of this </w:t>
      </w:r>
      <w:r w:rsidR="00B51B76" w:rsidRPr="008D3D15">
        <w:rPr>
          <w:rFonts w:eastAsia="Cambria"/>
        </w:rPr>
        <w:t>endorsement</w:t>
      </w:r>
      <w:r w:rsidRPr="008D3D15">
        <w:rPr>
          <w:rFonts w:eastAsia="Cambria"/>
        </w:rPr>
        <w:t xml:space="preserve">, the </w:t>
      </w:r>
      <w:r w:rsidR="00B51B76" w:rsidRPr="008D3D15">
        <w:rPr>
          <w:rFonts w:eastAsia="Cambria"/>
        </w:rPr>
        <w:t>Audit Committee</w:t>
      </w:r>
      <w:r w:rsidRPr="008D3D15">
        <w:rPr>
          <w:rFonts w:eastAsia="Cambria"/>
        </w:rPr>
        <w:t xml:space="preserve"> ha</w:t>
      </w:r>
      <w:r w:rsidR="00B51B76" w:rsidRPr="008D3D15">
        <w:rPr>
          <w:rFonts w:eastAsia="Cambria"/>
        </w:rPr>
        <w:t>s</w:t>
      </w:r>
      <w:r w:rsidRPr="008D3D15">
        <w:rPr>
          <w:rFonts w:eastAsia="Cambria"/>
        </w:rPr>
        <w:t xml:space="preserve"> taken into account all of the principal risks and their mitigation as identified in the Principal Risk and Uncertainties section of the Corporate Governance Report, the nature of the Company's business; including the cash reserves and money market deposits at the Partnership, the potential of its portfolio of investments to generate future income and capital proceeds, and the ability of the Directors to minimise the level of cash outflows, if necessary. The most relevant potential impacts of the identified Principal Risks and Uncertainties on viability were determined to be:</w:t>
      </w:r>
    </w:p>
    <w:p w14:paraId="323E8E9E" w14:textId="77777777" w:rsidR="002337A8" w:rsidRPr="00635377" w:rsidRDefault="002337A8" w:rsidP="00E528D2">
      <w:pPr>
        <w:jc w:val="both"/>
      </w:pPr>
    </w:p>
    <w:p w14:paraId="24F2130D" w14:textId="77777777" w:rsidR="002337A8" w:rsidRDefault="002337A8" w:rsidP="00E528D2">
      <w:pPr>
        <w:pStyle w:val="Bodytext"/>
        <w:numPr>
          <w:ilvl w:val="0"/>
          <w:numId w:val="3"/>
        </w:numPr>
        <w:spacing w:after="80"/>
        <w:ind w:left="340" w:hanging="340"/>
        <w:jc w:val="both"/>
      </w:pPr>
      <w:r>
        <w:t>An investment’s capital requirements may exceed the Company’s ability to provide capital;</w:t>
      </w:r>
    </w:p>
    <w:p w14:paraId="75D1906B" w14:textId="77777777" w:rsidR="002337A8" w:rsidRDefault="002337A8" w:rsidP="00E528D2">
      <w:pPr>
        <w:pStyle w:val="Bodytext"/>
        <w:numPr>
          <w:ilvl w:val="0"/>
          <w:numId w:val="3"/>
        </w:numPr>
        <w:spacing w:after="80"/>
        <w:ind w:left="346" w:hanging="346"/>
        <w:jc w:val="both"/>
      </w:pPr>
      <w:r w:rsidRPr="00811BA1">
        <w:t xml:space="preserve">The Company may not have sufficient </w:t>
      </w:r>
      <w:r>
        <w:t>capital available</w:t>
      </w:r>
      <w:r w:rsidRPr="00811BA1">
        <w:t xml:space="preserve"> to participate in all investment opportunities presented</w:t>
      </w:r>
      <w:r>
        <w:t>; and</w:t>
      </w:r>
    </w:p>
    <w:p w14:paraId="039E49A4" w14:textId="138D0CDB" w:rsidR="002337A8" w:rsidRPr="00923F40" w:rsidRDefault="002337A8" w:rsidP="00E528D2">
      <w:pPr>
        <w:numPr>
          <w:ilvl w:val="0"/>
          <w:numId w:val="3"/>
        </w:numPr>
        <w:spacing w:after="80"/>
        <w:ind w:left="346" w:hanging="346"/>
        <w:jc w:val="both"/>
        <w:rPr>
          <w:rFonts w:eastAsia="Cambria"/>
        </w:rPr>
      </w:pPr>
      <w:r>
        <w:t xml:space="preserve">The Company’s anticipated Discontinuation Resolution in Q4 2020 does receive the required 75 per cent. </w:t>
      </w:r>
      <w:r w:rsidR="000A54C5">
        <w:t xml:space="preserve">of </w:t>
      </w:r>
      <w:r>
        <w:t>votes</w:t>
      </w:r>
      <w:r w:rsidR="000A54C5">
        <w:t xml:space="preserve"> cast</w:t>
      </w:r>
      <w:r>
        <w:t xml:space="preserve"> in favour.</w:t>
      </w:r>
    </w:p>
    <w:p w14:paraId="6A7BDA4A" w14:textId="4131C876" w:rsidR="002337A8" w:rsidRDefault="002337A8" w:rsidP="00E528D2">
      <w:pPr>
        <w:pStyle w:val="Bodytext"/>
        <w:spacing w:after="80"/>
        <w:jc w:val="both"/>
      </w:pPr>
    </w:p>
    <w:p w14:paraId="2C722E30" w14:textId="4DA4512A" w:rsidR="002337A8" w:rsidRPr="008D3D15" w:rsidRDefault="002337A8" w:rsidP="008D3D15">
      <w:pPr>
        <w:autoSpaceDE w:val="0"/>
        <w:autoSpaceDN w:val="0"/>
        <w:adjustRightInd w:val="0"/>
        <w:jc w:val="both"/>
        <w:rPr>
          <w:rFonts w:eastAsia="Cambria"/>
        </w:rPr>
      </w:pPr>
      <w:r w:rsidRPr="008D3D15">
        <w:rPr>
          <w:rFonts w:eastAsia="Cambria"/>
        </w:rPr>
        <w:t xml:space="preserve">Each quarter, the </w:t>
      </w:r>
      <w:r w:rsidR="00B51B76" w:rsidRPr="008D3D15">
        <w:rPr>
          <w:rFonts w:eastAsia="Cambria"/>
        </w:rPr>
        <w:t>Audit Committee</w:t>
      </w:r>
      <w:r w:rsidRPr="008D3D15">
        <w:rPr>
          <w:rFonts w:eastAsia="Cambria"/>
        </w:rPr>
        <w:t xml:space="preserve"> review</w:t>
      </w:r>
      <w:r w:rsidR="00B51B76" w:rsidRPr="008D3D15">
        <w:rPr>
          <w:rFonts w:eastAsia="Cambria"/>
        </w:rPr>
        <w:t>s</w:t>
      </w:r>
      <w:r w:rsidRPr="008D3D15">
        <w:rPr>
          <w:rFonts w:eastAsia="Cambria"/>
        </w:rPr>
        <w:t xml:space="preserve"> threats to the Company’s viability utilising the risk matrix and update as required due to recent developments and/or changes in the global market. The </w:t>
      </w:r>
      <w:r w:rsidR="00B51B76" w:rsidRPr="008D3D15">
        <w:rPr>
          <w:rFonts w:eastAsia="Cambria"/>
        </w:rPr>
        <w:t>Audit Committee</w:t>
      </w:r>
      <w:r w:rsidRPr="008D3D15">
        <w:rPr>
          <w:rFonts w:eastAsia="Cambria"/>
        </w:rPr>
        <w:t xml:space="preserve"> relies on periodic reports provided by the Investment Manager and Administrator regarding risks faced by the Company. When required, experts are utilised to gather relevant and necessary information, regarding tax, legal, and other factors.</w:t>
      </w:r>
    </w:p>
    <w:p w14:paraId="3362B118" w14:textId="77777777" w:rsidR="002337A8" w:rsidRPr="008D3D15" w:rsidRDefault="002337A8" w:rsidP="008D3D15">
      <w:pPr>
        <w:autoSpaceDE w:val="0"/>
        <w:autoSpaceDN w:val="0"/>
        <w:adjustRightInd w:val="0"/>
        <w:jc w:val="both"/>
        <w:rPr>
          <w:rFonts w:eastAsia="Cambria"/>
        </w:rPr>
      </w:pPr>
    </w:p>
    <w:p w14:paraId="6C30AE66" w14:textId="32BE7929" w:rsidR="002337A8" w:rsidRPr="008D3D15" w:rsidRDefault="002337A8" w:rsidP="008D3D15">
      <w:pPr>
        <w:autoSpaceDE w:val="0"/>
        <w:autoSpaceDN w:val="0"/>
        <w:adjustRightInd w:val="0"/>
        <w:jc w:val="both"/>
        <w:rPr>
          <w:rFonts w:eastAsia="Cambria"/>
        </w:rPr>
      </w:pPr>
      <w:r w:rsidRPr="008D3D15">
        <w:rPr>
          <w:rFonts w:eastAsia="Cambria"/>
        </w:rPr>
        <w:t xml:space="preserve">The Investment Manager considers the future cash requirements of the Company before funding portfolio companies. Furthermore, the </w:t>
      </w:r>
      <w:r w:rsidR="00B51B76" w:rsidRPr="008D3D15">
        <w:rPr>
          <w:rFonts w:eastAsia="Cambria"/>
        </w:rPr>
        <w:t>Audit Committee</w:t>
      </w:r>
      <w:r w:rsidRPr="008D3D15">
        <w:rPr>
          <w:rFonts w:eastAsia="Cambria"/>
        </w:rPr>
        <w:t xml:space="preserve"> receives regular updates from the Investment Manager on the Company’s cash position, which allows the </w:t>
      </w:r>
      <w:r w:rsidR="00B51B76" w:rsidRPr="008D3D15">
        <w:rPr>
          <w:rFonts w:eastAsia="Cambria"/>
        </w:rPr>
        <w:t xml:space="preserve">Audit Committee </w:t>
      </w:r>
      <w:r w:rsidRPr="008D3D15">
        <w:rPr>
          <w:rFonts w:eastAsia="Cambria"/>
        </w:rPr>
        <w:t xml:space="preserve">to maintain their fiduciary responsibility to the Shareholders and, if required, limit funding for existing commitments. </w:t>
      </w:r>
    </w:p>
    <w:p w14:paraId="229F603D" w14:textId="77777777" w:rsidR="002337A8" w:rsidRPr="008D3D15" w:rsidRDefault="002337A8" w:rsidP="008D3D15">
      <w:pPr>
        <w:autoSpaceDE w:val="0"/>
        <w:autoSpaceDN w:val="0"/>
        <w:adjustRightInd w:val="0"/>
        <w:jc w:val="both"/>
        <w:rPr>
          <w:rFonts w:eastAsia="Cambria"/>
        </w:rPr>
      </w:pPr>
    </w:p>
    <w:p w14:paraId="573BCE43" w14:textId="2E960F9E" w:rsidR="002337A8" w:rsidRPr="008D3D15" w:rsidRDefault="002337A8" w:rsidP="008D3D15">
      <w:pPr>
        <w:autoSpaceDE w:val="0"/>
        <w:autoSpaceDN w:val="0"/>
        <w:adjustRightInd w:val="0"/>
        <w:jc w:val="both"/>
        <w:rPr>
          <w:rFonts w:eastAsia="Cambria"/>
        </w:rPr>
      </w:pPr>
      <w:r w:rsidRPr="008D3D15">
        <w:rPr>
          <w:rFonts w:eastAsia="Cambria"/>
        </w:rPr>
        <w:t xml:space="preserve">The </w:t>
      </w:r>
      <w:r w:rsidR="00B51B76" w:rsidRPr="008D3D15">
        <w:rPr>
          <w:rFonts w:eastAsia="Cambria"/>
        </w:rPr>
        <w:t xml:space="preserve">Audit Committee </w:t>
      </w:r>
      <w:r w:rsidRPr="008D3D15">
        <w:rPr>
          <w:rFonts w:eastAsia="Cambria"/>
        </w:rPr>
        <w:t xml:space="preserve">considered the Company’s viability over the three year period, based on a working capital model prepared by the Investment Manager. The working capital model forecasts key cash flow drivers such as capital deployment rate, investment returns, Management Fees and operating expenses. In connection with the preparation of the working capital model, capital raises, realisations, and, dividend payments and/or share repurchases were assumed to not occur during the three year period, unless already predetermined. In addition, the </w:t>
      </w:r>
      <w:r w:rsidR="00B51B76" w:rsidRPr="008D3D15">
        <w:rPr>
          <w:rFonts w:eastAsia="Cambria"/>
        </w:rPr>
        <w:t>Audit Committee</w:t>
      </w:r>
      <w:r w:rsidRPr="008D3D15">
        <w:rPr>
          <w:rFonts w:eastAsia="Cambria"/>
        </w:rPr>
        <w:t xml:space="preserve"> reviews credit market availability, but no such financing has been assumed. </w:t>
      </w:r>
    </w:p>
    <w:p w14:paraId="2C64D2D5" w14:textId="77777777" w:rsidR="002337A8" w:rsidRPr="008D3D15" w:rsidRDefault="002337A8" w:rsidP="008D3D15">
      <w:pPr>
        <w:autoSpaceDE w:val="0"/>
        <w:autoSpaceDN w:val="0"/>
        <w:adjustRightInd w:val="0"/>
        <w:jc w:val="both"/>
        <w:rPr>
          <w:rFonts w:eastAsia="Cambria"/>
        </w:rPr>
      </w:pPr>
    </w:p>
    <w:p w14:paraId="32F8FDD6" w14:textId="337E13CA" w:rsidR="002337A8" w:rsidRPr="008D3D15" w:rsidRDefault="002337A8" w:rsidP="008D3D15">
      <w:pPr>
        <w:autoSpaceDE w:val="0"/>
        <w:autoSpaceDN w:val="0"/>
        <w:adjustRightInd w:val="0"/>
        <w:jc w:val="both"/>
        <w:rPr>
          <w:rFonts w:eastAsia="Cambria"/>
        </w:rPr>
      </w:pPr>
      <w:r w:rsidRPr="008D3D15">
        <w:rPr>
          <w:rFonts w:eastAsia="Cambria"/>
        </w:rPr>
        <w:t xml:space="preserve">If </w:t>
      </w:r>
      <w:r w:rsidR="001B0FA5" w:rsidRPr="008D3D15">
        <w:rPr>
          <w:rFonts w:eastAsia="Cambria"/>
        </w:rPr>
        <w:t xml:space="preserve">all </w:t>
      </w:r>
      <w:r w:rsidRPr="008D3D15">
        <w:rPr>
          <w:rFonts w:eastAsia="Cambria"/>
        </w:rPr>
        <w:t>factors apart from capital deployment rate remain constant, accelerating the capital deployment rate</w:t>
      </w:r>
      <w:r w:rsidR="008C47A8" w:rsidRPr="008D3D15">
        <w:rPr>
          <w:rFonts w:eastAsia="Cambria"/>
        </w:rPr>
        <w:t xml:space="preserve"> </w:t>
      </w:r>
      <w:r w:rsidR="001B0FA5" w:rsidRPr="008D3D15">
        <w:rPr>
          <w:rFonts w:eastAsia="Cambria"/>
        </w:rPr>
        <w:t>(</w:t>
      </w:r>
      <w:r w:rsidR="008C47A8" w:rsidRPr="008D3D15">
        <w:rPr>
          <w:rFonts w:eastAsia="Cambria"/>
        </w:rPr>
        <w:t>which is the most critical aspect of the Company’s operations</w:t>
      </w:r>
      <w:r w:rsidR="001B0FA5" w:rsidRPr="008D3D15">
        <w:rPr>
          <w:rFonts w:eastAsia="Cambria"/>
        </w:rPr>
        <w:t>)</w:t>
      </w:r>
      <w:r w:rsidRPr="008D3D15">
        <w:rPr>
          <w:rFonts w:eastAsia="Cambria"/>
        </w:rPr>
        <w:t xml:space="preserve"> by approximately 75 per cent., from 36 months to 9 months, in a worst case scenario, would result in the Company being able to preserve its ability to maintain sufficient working capital for the three year period.</w:t>
      </w:r>
    </w:p>
    <w:p w14:paraId="152EC706" w14:textId="77777777" w:rsidR="002337A8" w:rsidRPr="008D3D15" w:rsidRDefault="002337A8" w:rsidP="008D3D15">
      <w:pPr>
        <w:autoSpaceDE w:val="0"/>
        <w:autoSpaceDN w:val="0"/>
        <w:adjustRightInd w:val="0"/>
        <w:jc w:val="both"/>
        <w:rPr>
          <w:rFonts w:eastAsia="Cambria"/>
        </w:rPr>
      </w:pPr>
    </w:p>
    <w:p w14:paraId="3E95E136" w14:textId="7146E7F5" w:rsidR="002337A8" w:rsidRPr="008D3D15" w:rsidRDefault="002337A8" w:rsidP="008D3D15">
      <w:pPr>
        <w:autoSpaceDE w:val="0"/>
        <w:autoSpaceDN w:val="0"/>
        <w:adjustRightInd w:val="0"/>
        <w:jc w:val="both"/>
        <w:rPr>
          <w:rFonts w:eastAsia="Cambria"/>
        </w:rPr>
      </w:pPr>
      <w:r w:rsidRPr="008D3D15">
        <w:rPr>
          <w:rFonts w:eastAsia="Cambria"/>
        </w:rPr>
        <w:t xml:space="preserve">As the </w:t>
      </w:r>
      <w:r w:rsidR="00B51B76" w:rsidRPr="008D3D15">
        <w:rPr>
          <w:rFonts w:eastAsia="Cambria"/>
        </w:rPr>
        <w:t>Audit Committee</w:t>
      </w:r>
      <w:r w:rsidRPr="008D3D15">
        <w:rPr>
          <w:rFonts w:eastAsia="Cambria"/>
        </w:rPr>
        <w:t xml:space="preserve"> has assumed for the purposes of this viability statement that the Discontinuation Resolution is likely to be required to be proposed to Shareholders and the direction of the EGM vote is not known at this time, there is a material uncertainty. If the Discontinuation Resolution is proposed to </w:t>
      </w:r>
      <w:r w:rsidRPr="008D3D15">
        <w:rPr>
          <w:rFonts w:eastAsia="Cambria"/>
        </w:rPr>
        <w:lastRenderedPageBreak/>
        <w:t>Shareholders and passed (which requires 75 per cent. approval of those Shareholders that vote their shares), the Company will be liquidated.</w:t>
      </w:r>
    </w:p>
    <w:p w14:paraId="16ED98A8" w14:textId="77777777" w:rsidR="002337A8" w:rsidRPr="008D3D15" w:rsidRDefault="002337A8" w:rsidP="008D3D15">
      <w:pPr>
        <w:autoSpaceDE w:val="0"/>
        <w:autoSpaceDN w:val="0"/>
        <w:adjustRightInd w:val="0"/>
        <w:jc w:val="both"/>
        <w:rPr>
          <w:rFonts w:eastAsia="Cambria"/>
        </w:rPr>
      </w:pPr>
    </w:p>
    <w:p w14:paraId="103CE17F" w14:textId="2F65401C" w:rsidR="002337A8" w:rsidRPr="008D3D15" w:rsidRDefault="002337A8" w:rsidP="00E528D2">
      <w:pPr>
        <w:autoSpaceDE w:val="0"/>
        <w:autoSpaceDN w:val="0"/>
        <w:adjustRightInd w:val="0"/>
        <w:jc w:val="both"/>
        <w:rPr>
          <w:rFonts w:eastAsia="Cambria"/>
        </w:rPr>
      </w:pPr>
      <w:r w:rsidRPr="008D3D15">
        <w:rPr>
          <w:rFonts w:eastAsia="Cambria"/>
        </w:rPr>
        <w:t xml:space="preserve">Since the commodity price downturn began over five years ago in late 2014, REL has endured an especially difficult market environment for energy. Recently, these have included a trifecta of challenges: excess supply, demand destruction due to coronavirus and </w:t>
      </w:r>
      <w:r w:rsidR="001A15A1" w:rsidRPr="008D3D15">
        <w:rPr>
          <w:rFonts w:eastAsia="Cambria"/>
        </w:rPr>
        <w:t xml:space="preserve">only </w:t>
      </w:r>
      <w:r w:rsidRPr="008D3D15">
        <w:rPr>
          <w:rFonts w:eastAsia="Cambria"/>
        </w:rPr>
        <w:t xml:space="preserve">episodic access to capital markets. In 2019, REL and its management teams focussed on driving efficiencies and managing liquidity to maintain financial flexibility. However, despite the portfolio’s operational performance in 2019, the Company is actively evaluating the best path forward for REL’s investments in light of the unprecedented events that have recently occurred. With significant growth and liquidity challenges anticipated, the Company is preparing for material reductions in spending and drilling activity across the portfolio. The next few months will undoubtedly represent a tough period for the portfolio, and REL is working hard to prioritize its investments to plan for continued uncertainty in the market. However, on the assumption the Discontinuation Resolution is not passed, and based on the aforementioned procedures and the existing internal controls of the Company and Investment Manager, the </w:t>
      </w:r>
      <w:r w:rsidR="00B51B76" w:rsidRPr="008D3D15">
        <w:rPr>
          <w:rFonts w:eastAsia="Cambria"/>
        </w:rPr>
        <w:t>Audit Committee</w:t>
      </w:r>
      <w:r w:rsidRPr="008D3D15">
        <w:rPr>
          <w:rFonts w:eastAsia="Cambria"/>
        </w:rPr>
        <w:t xml:space="preserve"> has </w:t>
      </w:r>
      <w:r w:rsidR="00122CDB" w:rsidRPr="008D3D15">
        <w:rPr>
          <w:rFonts w:eastAsia="Cambria"/>
        </w:rPr>
        <w:t>recommended to the Board that they should have</w:t>
      </w:r>
      <w:r w:rsidRPr="008D3D15">
        <w:rPr>
          <w:rFonts w:eastAsia="Cambria"/>
        </w:rPr>
        <w:t xml:space="preserve"> a reasonable expectation that the Company will be able to continue in operation and meet its liabilities as they fall due over the three-year period of the assessment.</w:t>
      </w:r>
      <w:bookmarkEnd w:id="26"/>
    </w:p>
    <w:p w14:paraId="798AED9E" w14:textId="77777777" w:rsidR="001B579F" w:rsidRPr="00811BA1" w:rsidRDefault="001B579F" w:rsidP="00EB7E49">
      <w:pPr>
        <w:pStyle w:val="Bodytext"/>
      </w:pPr>
    </w:p>
    <w:p w14:paraId="3BC43A26" w14:textId="77777777" w:rsidR="00C54F24" w:rsidRPr="00811BA1" w:rsidRDefault="00570801" w:rsidP="00EB7E49">
      <w:pPr>
        <w:pStyle w:val="Heading2"/>
      </w:pPr>
      <w:r w:rsidRPr="00811BA1">
        <w:t>Risk Management</w:t>
      </w:r>
    </w:p>
    <w:p w14:paraId="71F79FAA" w14:textId="0690D25A" w:rsidR="00C54F24" w:rsidRDefault="00F33D2A" w:rsidP="00E528D2">
      <w:pPr>
        <w:autoSpaceDE w:val="0"/>
        <w:autoSpaceDN w:val="0"/>
        <w:adjustRightInd w:val="0"/>
        <w:jc w:val="both"/>
        <w:rPr>
          <w:lang w:val="en-US"/>
        </w:rPr>
      </w:pPr>
      <w:r w:rsidRPr="00D5715F">
        <w:rPr>
          <w:lang w:val="en-US"/>
        </w:rPr>
        <w:t>The Board is accountable for carrying</w:t>
      </w:r>
      <w:r w:rsidR="00115B19" w:rsidRPr="00D5715F">
        <w:rPr>
          <w:lang w:val="en-US"/>
        </w:rPr>
        <w:t xml:space="preserve"> </w:t>
      </w:r>
      <w:r w:rsidRPr="00D5715F">
        <w:rPr>
          <w:lang w:val="en-US"/>
        </w:rPr>
        <w:t>out a robust assessment of the principal</w:t>
      </w:r>
      <w:r w:rsidR="00115B19" w:rsidRPr="00D5715F">
        <w:rPr>
          <w:lang w:val="en-US"/>
        </w:rPr>
        <w:t xml:space="preserve"> </w:t>
      </w:r>
      <w:r w:rsidRPr="00D5715F">
        <w:rPr>
          <w:lang w:val="en-US"/>
        </w:rPr>
        <w:t>risks facing the Company, including those</w:t>
      </w:r>
      <w:r w:rsidR="00D5715F">
        <w:rPr>
          <w:lang w:val="en-US"/>
        </w:rPr>
        <w:t xml:space="preserve"> </w:t>
      </w:r>
      <w:r w:rsidRPr="00D5715F">
        <w:rPr>
          <w:lang w:val="en-US"/>
        </w:rPr>
        <w:t>threatening its business model, future</w:t>
      </w:r>
      <w:r w:rsidR="00115B19" w:rsidRPr="00D5715F">
        <w:rPr>
          <w:lang w:val="en-US"/>
        </w:rPr>
        <w:t xml:space="preserve"> </w:t>
      </w:r>
      <w:r w:rsidRPr="00D5715F">
        <w:rPr>
          <w:lang w:val="en-US"/>
        </w:rPr>
        <w:t>performance, solvency and liquidity.</w:t>
      </w:r>
      <w:r w:rsidR="00115B19" w:rsidRPr="00D5715F">
        <w:rPr>
          <w:lang w:val="en-US"/>
        </w:rPr>
        <w:t xml:space="preserve"> </w:t>
      </w:r>
      <w:r w:rsidRPr="00D5715F">
        <w:rPr>
          <w:lang w:val="en-US"/>
        </w:rPr>
        <w:t>On behalf of the Board, the Audit</w:t>
      </w:r>
      <w:r w:rsidR="00115B19" w:rsidRPr="00D5715F">
        <w:rPr>
          <w:lang w:val="en-US"/>
        </w:rPr>
        <w:t xml:space="preserve"> </w:t>
      </w:r>
      <w:r w:rsidR="00D5715F">
        <w:rPr>
          <w:lang w:val="en-US"/>
        </w:rPr>
        <w:t>Committee reviews the eff</w:t>
      </w:r>
      <w:r w:rsidRPr="00D5715F">
        <w:rPr>
          <w:lang w:val="en-US"/>
        </w:rPr>
        <w:t>ectiveness</w:t>
      </w:r>
      <w:r w:rsidR="00115B19" w:rsidRPr="00D5715F">
        <w:rPr>
          <w:lang w:val="en-US"/>
        </w:rPr>
        <w:t xml:space="preserve"> </w:t>
      </w:r>
      <w:r w:rsidRPr="00D5715F">
        <w:rPr>
          <w:lang w:val="en-US"/>
        </w:rPr>
        <w:t>of the Company’s risk management processes.</w:t>
      </w:r>
      <w:r w:rsidR="00496939">
        <w:rPr>
          <w:lang w:val="en-US"/>
        </w:rPr>
        <w:t xml:space="preserve"> </w:t>
      </w:r>
      <w:r w:rsidR="00C54F24" w:rsidRPr="00D5715F">
        <w:rPr>
          <w:lang w:val="en-US"/>
        </w:rPr>
        <w:t>The Company’s risk assessment process and the way in which significant business risks are managed is a key area of focus for the Audit Committee. The work of the Audit Committee was driven primarily by the Company’s assessment of its principal risks and un</w:t>
      </w:r>
      <w:r w:rsidR="00570801" w:rsidRPr="00D5715F">
        <w:rPr>
          <w:lang w:val="en-US"/>
        </w:rPr>
        <w:t xml:space="preserve">certainties as set </w:t>
      </w:r>
      <w:r w:rsidR="00C54F24" w:rsidRPr="00D5715F">
        <w:rPr>
          <w:lang w:val="en-US"/>
        </w:rPr>
        <w:t>out in the Corporate Governance Report. The Audit Committee receives reports from the Investment Manager and Administrator on the Company’s risk evaluation process and reviews changes to significant risks identified.</w:t>
      </w:r>
    </w:p>
    <w:p w14:paraId="7CE289AE" w14:textId="19C8C0E3" w:rsidR="00C34ADB" w:rsidRDefault="00C34ADB" w:rsidP="00EB7E49">
      <w:pPr>
        <w:autoSpaceDE w:val="0"/>
        <w:autoSpaceDN w:val="0"/>
        <w:adjustRightInd w:val="0"/>
        <w:rPr>
          <w:lang w:val="en-US"/>
        </w:rPr>
      </w:pPr>
    </w:p>
    <w:p w14:paraId="192A4F8D" w14:textId="77777777" w:rsidR="00C54F24" w:rsidRPr="00811BA1" w:rsidRDefault="00570801" w:rsidP="00EB7E49">
      <w:pPr>
        <w:pStyle w:val="Heading2"/>
      </w:pPr>
      <w:r w:rsidRPr="00811BA1">
        <w:t>Internal Audit</w:t>
      </w:r>
    </w:p>
    <w:p w14:paraId="073A8D2C" w14:textId="77777777" w:rsidR="00C54F24" w:rsidRPr="00811BA1" w:rsidRDefault="00C54F24" w:rsidP="00E528D2">
      <w:pPr>
        <w:pStyle w:val="Bodytext"/>
        <w:jc w:val="both"/>
      </w:pPr>
      <w:r w:rsidRPr="00811BA1">
        <w:t>The Audit Committee shall consider at least once a year whether or not there is a need for an internal audit function. Currently, the Audit Committee does not consider there to be a need for an internal audit function, given that there are no employees in the Company and all outsourced functions are with parties who have their own internal controls and procedures.</w:t>
      </w:r>
    </w:p>
    <w:p w14:paraId="6C468642" w14:textId="77777777" w:rsidR="00570801" w:rsidRPr="00811BA1" w:rsidRDefault="00570801" w:rsidP="00EB7E49">
      <w:pPr>
        <w:pStyle w:val="Bodytext"/>
      </w:pPr>
    </w:p>
    <w:p w14:paraId="6899716F" w14:textId="77777777" w:rsidR="00C54F24" w:rsidRPr="00811BA1" w:rsidRDefault="00570801" w:rsidP="00EB7E49">
      <w:pPr>
        <w:pStyle w:val="Heading2"/>
      </w:pPr>
      <w:r w:rsidRPr="00811BA1">
        <w:t>External Audit</w:t>
      </w:r>
    </w:p>
    <w:p w14:paraId="61A1990C" w14:textId="20C3A777" w:rsidR="00C54F24" w:rsidRPr="00811BA1" w:rsidRDefault="00C54F24" w:rsidP="00E528D2">
      <w:pPr>
        <w:pStyle w:val="Bodytext"/>
        <w:jc w:val="both"/>
      </w:pPr>
      <w:r w:rsidRPr="00811BA1">
        <w:t xml:space="preserve">Ernst &amp; Young LLP has been the Company’s external auditor since the Company’s incorporation. This is the </w:t>
      </w:r>
      <w:r w:rsidR="00A908AC">
        <w:t>seventh</w:t>
      </w:r>
      <w:r w:rsidR="00A908AC" w:rsidRPr="00811BA1">
        <w:t xml:space="preserve"> </w:t>
      </w:r>
      <w:r w:rsidRPr="00811BA1">
        <w:t>year of audit.</w:t>
      </w:r>
    </w:p>
    <w:p w14:paraId="0F794684" w14:textId="77777777" w:rsidR="00570801" w:rsidRPr="00811BA1" w:rsidRDefault="00570801" w:rsidP="00E528D2">
      <w:pPr>
        <w:pStyle w:val="Bodytext"/>
        <w:jc w:val="both"/>
      </w:pPr>
    </w:p>
    <w:p w14:paraId="041145B6" w14:textId="3C0280CA" w:rsidR="00392676" w:rsidRDefault="00C54F24" w:rsidP="00E528D2">
      <w:pPr>
        <w:pStyle w:val="Bodytext"/>
        <w:jc w:val="both"/>
      </w:pPr>
      <w:r w:rsidRPr="00811BA1">
        <w:t xml:space="preserve">The external </w:t>
      </w:r>
      <w:r w:rsidRPr="00EA1655">
        <w:t xml:space="preserve">auditor is required to rotate the audit partner every five years. </w:t>
      </w:r>
      <w:r w:rsidR="007924CE" w:rsidRPr="00EA1655">
        <w:t xml:space="preserve">The current </w:t>
      </w:r>
      <w:r w:rsidR="00963863" w:rsidRPr="00EA1655">
        <w:t>Ernst &amp; Young</w:t>
      </w:r>
      <w:r w:rsidR="00B45158">
        <w:t xml:space="preserve"> LLP</w:t>
      </w:r>
      <w:r w:rsidR="007010E1" w:rsidRPr="00EA1655">
        <w:t xml:space="preserve"> lead audit partner, </w:t>
      </w:r>
      <w:r w:rsidR="00EA1655">
        <w:t>David Moore</w:t>
      </w:r>
      <w:r w:rsidR="007924CE" w:rsidRPr="00EA1655">
        <w:t>, started his tenure in 201</w:t>
      </w:r>
      <w:r w:rsidR="00EA1655" w:rsidRPr="00EA1655">
        <w:t>8</w:t>
      </w:r>
      <w:r w:rsidR="007924CE" w:rsidRPr="00EA1655">
        <w:t xml:space="preserve"> and his current rotation will end with the audit of </w:t>
      </w:r>
      <w:r w:rsidR="004D463C" w:rsidRPr="00EA1655">
        <w:t>th</w:t>
      </w:r>
      <w:r w:rsidR="00F47850" w:rsidRPr="00EA1655">
        <w:t>e 20</w:t>
      </w:r>
      <w:r w:rsidR="00EA1655" w:rsidRPr="00EA1655">
        <w:t>22</w:t>
      </w:r>
      <w:r w:rsidR="00F47850" w:rsidRPr="00EA1655">
        <w:t xml:space="preserve"> </w:t>
      </w:r>
      <w:r w:rsidR="007924CE" w:rsidRPr="00EA1655">
        <w:t>Annual R</w:t>
      </w:r>
      <w:r w:rsidR="00963863" w:rsidRPr="00EA1655">
        <w:t>eport and Financial Statements.</w:t>
      </w:r>
      <w:r w:rsidR="002858F0">
        <w:t xml:space="preserve"> </w:t>
      </w:r>
      <w:r w:rsidRPr="00811BA1">
        <w:t>There are no contractual obligations restricting the choice of external auditor and the Company will put the audit services contract out to tender at least every ten years</w:t>
      </w:r>
      <w:r w:rsidR="00570801" w:rsidRPr="00811BA1">
        <w:t>.</w:t>
      </w:r>
      <w:r w:rsidR="001B4EFE" w:rsidRPr="00811BA1">
        <w:t xml:space="preserve"> </w:t>
      </w:r>
      <w:r w:rsidRPr="00811BA1">
        <w:t xml:space="preserve">Under Companies Law, the reappointment of the external auditor is subject to Shareholder approval at the Annual General Meeting. </w:t>
      </w:r>
    </w:p>
    <w:p w14:paraId="56164442" w14:textId="77777777" w:rsidR="00392676" w:rsidRDefault="00392676" w:rsidP="00E528D2">
      <w:pPr>
        <w:pStyle w:val="Bodytext"/>
        <w:jc w:val="both"/>
      </w:pPr>
    </w:p>
    <w:p w14:paraId="3A92F1AC" w14:textId="05458AC4" w:rsidR="00C54F24" w:rsidRPr="00811BA1" w:rsidRDefault="00392676" w:rsidP="00E528D2">
      <w:pPr>
        <w:autoSpaceDE w:val="0"/>
        <w:autoSpaceDN w:val="0"/>
        <w:adjustRightInd w:val="0"/>
        <w:jc w:val="both"/>
      </w:pPr>
      <w:r w:rsidRPr="00392676">
        <w:t xml:space="preserve">The Audit Committee assessed the qualifications, expertise and resources, and independence of the external auditor as well as the effectiveness of the audit process. This review covered all aspects of the audit service provided by </w:t>
      </w:r>
      <w:r w:rsidR="00987595">
        <w:t>Ernst &amp; Young LLP</w:t>
      </w:r>
      <w:r w:rsidRPr="00392676">
        <w:t>, including obtaining a report on the audit firm’s own internal quality control procedures and consideration of the audit firm’s annual transparency reports in line with the UK Code. The Audit Committee also approved the external audit terms of engagement and remuneration. During 201</w:t>
      </w:r>
      <w:r w:rsidR="00987595">
        <w:t>9,</w:t>
      </w:r>
      <w:r w:rsidRPr="00392676">
        <w:t xml:space="preserve"> the Committee held private meetings with the external auditor. The Audit Committee Chairman also maintained regular contact with the audit partner throughout the year. These meetings provide an opportunity for open dialogue with the external auditor without management being present. Matters discussed included the auditor’s assessment of significant financial risks and the performance of management in addressing these risks, the auditor’s opinion of management’s role in fulfilling obligations for the maintenance of internal controls, the transparency and responsiveness of interactions with management, confirmation that no restrictions have been placed on them by management, maintaining the independence of the audit, and how they have exercised professional challenge.</w:t>
      </w:r>
      <w:r w:rsidRPr="00811BA1">
        <w:t xml:space="preserve"> </w:t>
      </w:r>
      <w:r w:rsidR="00C54F24" w:rsidRPr="00811BA1">
        <w:t>The Audit Committee will continue to monitor the performance of the external auditor on an annual basis and will consider their independence and objectivity, taking account of appropriate guidelines.</w:t>
      </w:r>
      <w:r w:rsidR="007924CE">
        <w:t xml:space="preserve"> In addition, the Committee Chairman will continue to maintain regular contact with the lead audit partner outside the formal Committee meeting schedule, n</w:t>
      </w:r>
      <w:r w:rsidR="001A046A">
        <w:t>ot only to discuss formal agenda items for upcoming meetings, but also to review any other significant matters.</w:t>
      </w:r>
      <w:r w:rsidR="00987595">
        <w:t xml:space="preserve"> The Audit Committee challenged the valuation conclusion by E</w:t>
      </w:r>
      <w:r w:rsidR="00893B6A">
        <w:t xml:space="preserve">rnst &amp; </w:t>
      </w:r>
      <w:r w:rsidR="00987595">
        <w:t>Y</w:t>
      </w:r>
      <w:r w:rsidR="00893B6A">
        <w:t>oung LLP</w:t>
      </w:r>
      <w:r w:rsidR="00987595">
        <w:t xml:space="preserve"> and explained the appropriateness of the range of valuation and the result </w:t>
      </w:r>
      <w:r w:rsidR="00987595">
        <w:lastRenderedPageBreak/>
        <w:t xml:space="preserve">upon NAV. Members of the Audit Committee also sat in </w:t>
      </w:r>
      <w:r w:rsidR="000743E2">
        <w:t xml:space="preserve">on </w:t>
      </w:r>
      <w:r w:rsidR="00987595">
        <w:t xml:space="preserve">the </w:t>
      </w:r>
      <w:r w:rsidR="000743E2">
        <w:t xml:space="preserve">valuation </w:t>
      </w:r>
      <w:r w:rsidR="00987595">
        <w:t>meeting</w:t>
      </w:r>
      <w:r w:rsidR="000743E2">
        <w:t>s</w:t>
      </w:r>
      <w:r w:rsidR="00987595">
        <w:t xml:space="preserve"> between the Investment Manager and </w:t>
      </w:r>
      <w:r w:rsidR="000743E2">
        <w:t>external auditor.</w:t>
      </w:r>
    </w:p>
    <w:p w14:paraId="39DE310E" w14:textId="77777777" w:rsidR="00570801" w:rsidRPr="00811BA1" w:rsidRDefault="00570801" w:rsidP="00E528D2">
      <w:pPr>
        <w:pStyle w:val="Bodytext"/>
        <w:jc w:val="both"/>
      </w:pPr>
    </w:p>
    <w:p w14:paraId="34B40507" w14:textId="4980B997" w:rsidR="00E07C8A" w:rsidRPr="00811BA1" w:rsidRDefault="00C54F24" w:rsidP="00E528D2">
      <w:pPr>
        <w:pStyle w:val="Bodytext"/>
        <w:jc w:val="both"/>
      </w:pPr>
      <w:r w:rsidRPr="00811BA1">
        <w:t>The Audit Committee reviews the scope and results of the audit, its cost effectiveness and the independence and objectivity of the external auditor, with particular regard to the level of non-audit fees.</w:t>
      </w:r>
      <w:r w:rsidR="0051653F">
        <w:t xml:space="preserve"> The Audit Committee is also monitoring developments, in this regard, with respect to the Crown Dependencies’ Audit Rules and Guidance.  </w:t>
      </w:r>
      <w:r w:rsidRPr="00811BA1">
        <w:t xml:space="preserve">Notwithstanding such services the Audit Committee considers Ernst &amp; Young LLP to be independent of the Company and that the provision of such non-audit services is not a threat to the objectivity and independence of the conduct of the audit. </w:t>
      </w:r>
    </w:p>
    <w:p w14:paraId="61B0E14D" w14:textId="77777777" w:rsidR="00E07C8A" w:rsidRPr="00811BA1" w:rsidRDefault="00E07C8A" w:rsidP="00E528D2">
      <w:pPr>
        <w:pStyle w:val="Bodytext"/>
        <w:jc w:val="both"/>
      </w:pPr>
    </w:p>
    <w:p w14:paraId="2D85574B" w14:textId="143F7648" w:rsidR="00C54F24" w:rsidRPr="00811BA1" w:rsidRDefault="00C54F24" w:rsidP="00E528D2">
      <w:pPr>
        <w:autoSpaceDE w:val="0"/>
        <w:autoSpaceDN w:val="0"/>
        <w:adjustRightInd w:val="0"/>
        <w:jc w:val="both"/>
      </w:pPr>
      <w:r w:rsidRPr="00811BA1">
        <w:t>To further safeguard the objectivity and independence of the external audi</w:t>
      </w:r>
      <w:r w:rsidR="00801526" w:rsidRPr="00811BA1">
        <w:t xml:space="preserve">tor from becoming compromised, </w:t>
      </w:r>
      <w:r w:rsidRPr="00811BA1">
        <w:t>the Audit Committee has a formal policy governing the engagement of the external auditor to provide non-audit services. This precludes Ernst &amp; Young LLP from providing certain services such as valuation work or the provision of accounting services and also sets a</w:t>
      </w:r>
      <w:r w:rsidR="00AB0E3C">
        <w:t xml:space="preserve"> </w:t>
      </w:r>
      <w:r w:rsidRPr="00811BA1">
        <w:t>presumption that Ernst &amp; Young LLP should only be engaged for non-audit services where Ernst &amp; Young LLP are best placed to provide the non-audit service for example, the interim review</w:t>
      </w:r>
      <w:r w:rsidR="006C46E8">
        <w:t xml:space="preserve"> and reporting accountant</w:t>
      </w:r>
      <w:r w:rsidRPr="00811BA1">
        <w:t xml:space="preserve"> service</w:t>
      </w:r>
      <w:r w:rsidR="006C46E8">
        <w:t>s</w:t>
      </w:r>
      <w:r w:rsidRPr="00811BA1">
        <w:t xml:space="preserve">. Note </w:t>
      </w:r>
      <w:r w:rsidR="00505043" w:rsidRPr="00811BA1">
        <w:t>1</w:t>
      </w:r>
      <w:r w:rsidR="00BF1AFA">
        <w:t>4</w:t>
      </w:r>
      <w:r w:rsidR="00505043" w:rsidRPr="00811BA1">
        <w:t xml:space="preserve"> </w:t>
      </w:r>
      <w:r w:rsidRPr="00811BA1">
        <w:t>details services provided by Ernst &amp; Young LLP.</w:t>
      </w:r>
      <w:r w:rsidR="00392676" w:rsidRPr="00392676">
        <w:rPr>
          <w:rFonts w:ascii="DINOT-Light" w:hAnsi="DINOT-Light" w:cs="DINOT-Light"/>
          <w:sz w:val="18"/>
          <w:szCs w:val="18"/>
        </w:rPr>
        <w:t xml:space="preserve"> </w:t>
      </w:r>
      <w:r w:rsidR="00392676" w:rsidRPr="00392676">
        <w:t xml:space="preserve">In addition to processes put in place to ensure segregation of audit and non-audit roles, </w:t>
      </w:r>
      <w:r w:rsidR="00987595">
        <w:t>Ernst &amp; Young LLP</w:t>
      </w:r>
      <w:r w:rsidR="00392676" w:rsidRPr="00392676">
        <w:t xml:space="preserve"> is required, as part of the assurance process in relation to the audit, to confirm to the Committee that it has both the appropriate independence and the objectivity to allow it to continue to serve the members of the Company. This confirmation is received every six months and no matters of concern were identified by the Committee.</w:t>
      </w:r>
    </w:p>
    <w:p w14:paraId="6F7298C2" w14:textId="77777777" w:rsidR="00801526" w:rsidRPr="00811BA1" w:rsidRDefault="00801526" w:rsidP="00E528D2">
      <w:pPr>
        <w:pStyle w:val="Bodytext"/>
        <w:jc w:val="both"/>
      </w:pPr>
    </w:p>
    <w:p w14:paraId="1A5B3361" w14:textId="77777777" w:rsidR="00C54F24" w:rsidRPr="00811BA1" w:rsidRDefault="00C54F24" w:rsidP="00E528D2">
      <w:pPr>
        <w:pStyle w:val="Bodytext"/>
        <w:spacing w:after="80"/>
        <w:jc w:val="both"/>
      </w:pPr>
      <w:r w:rsidRPr="00811BA1">
        <w:t>To fulfil its responsibility regarding the independence of the external auditor, the Audit Committee considers:</w:t>
      </w:r>
    </w:p>
    <w:p w14:paraId="37CECF1B" w14:textId="77777777" w:rsidR="00C54F24" w:rsidRPr="00811BA1" w:rsidRDefault="00C54F24" w:rsidP="00E528D2">
      <w:pPr>
        <w:pStyle w:val="Bodytext"/>
        <w:numPr>
          <w:ilvl w:val="0"/>
          <w:numId w:val="12"/>
        </w:numPr>
        <w:spacing w:after="80"/>
        <w:ind w:left="340" w:hanging="340"/>
        <w:jc w:val="both"/>
      </w:pPr>
      <w:r w:rsidRPr="00811BA1">
        <w:t>discussions with or reports from the external auditor describing its arrangements to identify, report and manage any conflicts of interest; and</w:t>
      </w:r>
    </w:p>
    <w:p w14:paraId="13EC017F" w14:textId="77777777" w:rsidR="00C54F24" w:rsidRPr="00811BA1" w:rsidRDefault="00C54F24" w:rsidP="00E528D2">
      <w:pPr>
        <w:pStyle w:val="Bodytext"/>
        <w:numPr>
          <w:ilvl w:val="0"/>
          <w:numId w:val="12"/>
        </w:numPr>
        <w:ind w:left="340" w:hanging="340"/>
        <w:jc w:val="both"/>
      </w:pPr>
      <w:r w:rsidRPr="00811BA1">
        <w:t>the extent of non-audit services provided by the external auditor.</w:t>
      </w:r>
    </w:p>
    <w:p w14:paraId="600231F0" w14:textId="77777777" w:rsidR="00801526" w:rsidRPr="00811BA1" w:rsidRDefault="00801526" w:rsidP="00E528D2">
      <w:pPr>
        <w:pStyle w:val="Bodytext"/>
        <w:jc w:val="both"/>
      </w:pPr>
    </w:p>
    <w:p w14:paraId="4F42A4FF" w14:textId="77777777" w:rsidR="00C54F24" w:rsidRPr="00811BA1" w:rsidRDefault="00C54F24" w:rsidP="00E528D2">
      <w:pPr>
        <w:pStyle w:val="Bodytext"/>
        <w:spacing w:after="80"/>
        <w:jc w:val="both"/>
      </w:pPr>
      <w:r w:rsidRPr="00811BA1">
        <w:t>To assess the effectiveness of the external auditor, the committee reviews:</w:t>
      </w:r>
    </w:p>
    <w:p w14:paraId="4AC09830" w14:textId="77777777" w:rsidR="00C54F24" w:rsidRPr="00811BA1" w:rsidRDefault="00C54F24" w:rsidP="00E528D2">
      <w:pPr>
        <w:pStyle w:val="Bodytext"/>
        <w:numPr>
          <w:ilvl w:val="0"/>
          <w:numId w:val="13"/>
        </w:numPr>
        <w:spacing w:after="80"/>
        <w:ind w:left="340" w:hanging="340"/>
        <w:jc w:val="both"/>
      </w:pPr>
      <w:r w:rsidRPr="00811BA1">
        <w:t>the external auditor’s fulfilment of the agreed audit plan and variations from it;</w:t>
      </w:r>
    </w:p>
    <w:p w14:paraId="599B4333" w14:textId="77777777" w:rsidR="00C54F24" w:rsidRPr="00811BA1" w:rsidRDefault="00C54F24" w:rsidP="00E528D2">
      <w:pPr>
        <w:pStyle w:val="Bodytext"/>
        <w:numPr>
          <w:ilvl w:val="0"/>
          <w:numId w:val="13"/>
        </w:numPr>
        <w:spacing w:after="80"/>
        <w:ind w:left="340" w:hanging="340"/>
        <w:jc w:val="both"/>
      </w:pPr>
      <w:r w:rsidRPr="00811BA1">
        <w:t>discussions or reports highlighting the major issues that arose during the course of the audit; and</w:t>
      </w:r>
    </w:p>
    <w:p w14:paraId="346DEC98" w14:textId="77777777" w:rsidR="00C54F24" w:rsidRPr="00811BA1" w:rsidRDefault="00C54F24" w:rsidP="00E528D2">
      <w:pPr>
        <w:pStyle w:val="Bodytext"/>
        <w:numPr>
          <w:ilvl w:val="0"/>
          <w:numId w:val="13"/>
        </w:numPr>
        <w:ind w:left="340" w:hanging="340"/>
        <w:jc w:val="both"/>
      </w:pPr>
      <w:r w:rsidRPr="00811BA1">
        <w:t>feedback from other service providers evaluating the performance of the audit team.</w:t>
      </w:r>
    </w:p>
    <w:p w14:paraId="4E4E3D6D" w14:textId="77777777" w:rsidR="00726958" w:rsidRDefault="00726958" w:rsidP="00E528D2">
      <w:pPr>
        <w:pStyle w:val="Bodytext"/>
        <w:jc w:val="both"/>
      </w:pPr>
    </w:p>
    <w:p w14:paraId="26FDB3C9" w14:textId="7F21E054" w:rsidR="00C54F24" w:rsidRPr="00081323" w:rsidRDefault="00C54F24" w:rsidP="00E528D2">
      <w:pPr>
        <w:pStyle w:val="Bodytext"/>
        <w:jc w:val="both"/>
      </w:pPr>
      <w:r w:rsidRPr="00811BA1">
        <w:t xml:space="preserve">The Audit Committee is satisfied with Ernst &amp; Young LLP’s effectiveness and independence as external auditor having considered the degree of diligence and professional scepticism demonstrated by them. Having carried out the review described above and having </w:t>
      </w:r>
      <w:r w:rsidRPr="00EA1655">
        <w:t xml:space="preserve">satisfied itself that the external auditor remains independent and effective, the Audit Committee has recommended to the Board that Ernst &amp; Young LLP be reappointed as external auditor for the year ending 31 December </w:t>
      </w:r>
      <w:r w:rsidR="002646F2" w:rsidRPr="00EA1655">
        <w:t>20</w:t>
      </w:r>
      <w:r w:rsidR="003B6A80">
        <w:t>20</w:t>
      </w:r>
      <w:r w:rsidRPr="00EA1655">
        <w:t>.</w:t>
      </w:r>
    </w:p>
    <w:p w14:paraId="6A54C445" w14:textId="77777777" w:rsidR="004A295B" w:rsidRPr="00081323" w:rsidRDefault="004A295B" w:rsidP="00E528D2">
      <w:pPr>
        <w:pStyle w:val="Bodytext"/>
        <w:jc w:val="both"/>
      </w:pPr>
    </w:p>
    <w:p w14:paraId="565F6368" w14:textId="0287512E" w:rsidR="00E07C8A" w:rsidRPr="00811BA1" w:rsidRDefault="00E07C8A" w:rsidP="00E528D2">
      <w:pPr>
        <w:pStyle w:val="Bodytext"/>
        <w:jc w:val="both"/>
      </w:pPr>
      <w:r w:rsidRPr="00EA1655">
        <w:t xml:space="preserve">The Audit Committee has provided the Board with its recommendation to the Shareholders on the re-appointment of Ernst &amp; Young LLP as external auditor for the year ending 31 December </w:t>
      </w:r>
      <w:r w:rsidR="002646F2" w:rsidRPr="00EA1655">
        <w:t>20</w:t>
      </w:r>
      <w:r w:rsidR="003B6A80">
        <w:t>20</w:t>
      </w:r>
      <w:r w:rsidRPr="00EA1655">
        <w:t>. Accordingly</w:t>
      </w:r>
      <w:r w:rsidR="00DE1DBB" w:rsidRPr="00EA1655">
        <w:t>,</w:t>
      </w:r>
      <w:r w:rsidRPr="00EA1655">
        <w:t xml:space="preserve"> a resolution proposing the reappointment of Ernst &amp; Young LLP as our external auditor will be put to Shareholders at the Annual General Meeting.</w:t>
      </w:r>
    </w:p>
    <w:p w14:paraId="0F915B11" w14:textId="77777777" w:rsidR="00E07C8A" w:rsidRPr="00811BA1" w:rsidRDefault="00E07C8A" w:rsidP="00E528D2">
      <w:pPr>
        <w:pStyle w:val="Bodytext"/>
        <w:jc w:val="both"/>
      </w:pPr>
    </w:p>
    <w:p w14:paraId="505FFEB3" w14:textId="77777777" w:rsidR="00C54F24" w:rsidRPr="00811BA1" w:rsidRDefault="00C54F24" w:rsidP="00E528D2">
      <w:pPr>
        <w:pStyle w:val="Bodytext"/>
        <w:jc w:val="both"/>
      </w:pPr>
      <w:r w:rsidRPr="00811BA1">
        <w:t>On behalf of the Audit Committee</w:t>
      </w:r>
    </w:p>
    <w:p w14:paraId="0DBAF412" w14:textId="77777777" w:rsidR="00C54F24" w:rsidRPr="00811BA1" w:rsidRDefault="00C54F24" w:rsidP="00E528D2">
      <w:pPr>
        <w:pStyle w:val="Bodytext"/>
        <w:jc w:val="both"/>
      </w:pPr>
    </w:p>
    <w:p w14:paraId="3C8C931E" w14:textId="77777777" w:rsidR="00D15FFE" w:rsidRDefault="00D15FFE" w:rsidP="00EB7E49">
      <w:pPr>
        <w:pStyle w:val="Bodytext"/>
        <w:rPr>
          <w:b/>
        </w:rPr>
      </w:pPr>
      <w:r>
        <w:rPr>
          <w:b/>
        </w:rPr>
        <w:t>Patrick Firth</w:t>
      </w:r>
      <w:r w:rsidRPr="00811BA1" w:rsidDel="00D15FFE">
        <w:rPr>
          <w:b/>
        </w:rPr>
        <w:t xml:space="preserve"> </w:t>
      </w:r>
    </w:p>
    <w:p w14:paraId="72506D2D" w14:textId="77F4AFED" w:rsidR="00C54F24" w:rsidRPr="00811BA1" w:rsidRDefault="00C54F24" w:rsidP="00EB7E49">
      <w:pPr>
        <w:pStyle w:val="Bodytext"/>
        <w:rPr>
          <w:i/>
        </w:rPr>
      </w:pPr>
      <w:r w:rsidRPr="00811BA1">
        <w:rPr>
          <w:i/>
        </w:rPr>
        <w:t>Chairman of the Audit Committee</w:t>
      </w:r>
    </w:p>
    <w:p w14:paraId="47D17B8E" w14:textId="46982D2E" w:rsidR="00E528D2" w:rsidRPr="00811BA1" w:rsidRDefault="005B1414" w:rsidP="00EB7E49">
      <w:pPr>
        <w:pStyle w:val="Bodytext"/>
      </w:pPr>
      <w:r>
        <w:t>22</w:t>
      </w:r>
      <w:r w:rsidR="00400EEA">
        <w:t xml:space="preserve"> </w:t>
      </w:r>
      <w:r w:rsidR="003A097B">
        <w:t xml:space="preserve">April </w:t>
      </w:r>
      <w:r w:rsidR="00C54F24" w:rsidRPr="00811BA1">
        <w:t>20</w:t>
      </w:r>
      <w:r w:rsidR="003B6A80">
        <w:t>20</w:t>
      </w:r>
    </w:p>
    <w:p w14:paraId="2F0E0245" w14:textId="4416E7C6" w:rsidR="00801526" w:rsidRDefault="00801526" w:rsidP="00EB7E49">
      <w:pPr>
        <w:pStyle w:val="Bodytext"/>
      </w:pPr>
    </w:p>
    <w:p w14:paraId="5F2B2E37" w14:textId="77777777" w:rsidR="007F6490" w:rsidRPr="00811BA1" w:rsidRDefault="007F6490" w:rsidP="00EB7E49">
      <w:pPr>
        <w:pStyle w:val="Bodytext"/>
      </w:pPr>
    </w:p>
    <w:p w14:paraId="5B134E62" w14:textId="374CA2E9" w:rsidR="000C2CBB" w:rsidRPr="00EA1655" w:rsidRDefault="000C2CBB" w:rsidP="00EB7E49">
      <w:pPr>
        <w:pStyle w:val="EYAppendixHeading2"/>
        <w:rPr>
          <w:rFonts w:ascii="Arial" w:hAnsi="Arial"/>
          <w:sz w:val="30"/>
          <w:szCs w:val="30"/>
        </w:rPr>
      </w:pPr>
      <w:bookmarkStart w:id="29" w:name="_Toc369795820"/>
      <w:bookmarkEnd w:id="29"/>
      <w:r w:rsidRPr="00EA1655">
        <w:rPr>
          <w:rFonts w:ascii="Arial" w:hAnsi="Arial"/>
          <w:sz w:val="30"/>
          <w:szCs w:val="30"/>
        </w:rPr>
        <w:t>INDEPENDENT AUDITOR’S REPORT TO THE MEMBERS OF RIVERSTONE ENERGY LIMITED</w:t>
      </w:r>
    </w:p>
    <w:p w14:paraId="2FBC3579" w14:textId="77777777" w:rsidR="004F4C11" w:rsidRPr="00EA1655" w:rsidRDefault="004F4C11" w:rsidP="004F4C11">
      <w:pPr>
        <w:pStyle w:val="EYBulletedtext1"/>
        <w:numPr>
          <w:ilvl w:val="0"/>
          <w:numId w:val="0"/>
        </w:numPr>
        <w:tabs>
          <w:tab w:val="left" w:pos="720"/>
        </w:tabs>
        <w:spacing w:before="120" w:after="120"/>
        <w:rPr>
          <w:rFonts w:cs="Arial"/>
          <w:b/>
        </w:rPr>
      </w:pPr>
      <w:r w:rsidRPr="00EA1655">
        <w:rPr>
          <w:rFonts w:cs="Arial"/>
          <w:b/>
        </w:rPr>
        <w:t>INDEPENDENT AUDITOR’S REPORT TO THE MEMBERS OF RIVERSTONE ENERGY LIMITED</w:t>
      </w:r>
    </w:p>
    <w:p w14:paraId="42771AD7" w14:textId="77777777" w:rsidR="005B1414" w:rsidRPr="00AA349F" w:rsidRDefault="005B1414" w:rsidP="005B1414">
      <w:pPr>
        <w:pStyle w:val="EYHeading2"/>
        <w:rPr>
          <w:rFonts w:cs="Arial"/>
          <w:sz w:val="20"/>
          <w:szCs w:val="20"/>
        </w:rPr>
      </w:pPr>
      <w:r w:rsidRPr="00AA349F">
        <w:rPr>
          <w:rFonts w:cs="Arial"/>
          <w:sz w:val="20"/>
          <w:szCs w:val="20"/>
        </w:rPr>
        <w:t>Opinion</w:t>
      </w:r>
    </w:p>
    <w:p w14:paraId="6E4D7841" w14:textId="77777777" w:rsidR="005B1414" w:rsidRPr="00AA349F" w:rsidRDefault="005B1414" w:rsidP="00E528D2">
      <w:pPr>
        <w:pStyle w:val="EYBulletedtext1"/>
        <w:numPr>
          <w:ilvl w:val="0"/>
          <w:numId w:val="0"/>
        </w:numPr>
        <w:spacing w:before="120" w:after="120"/>
        <w:jc w:val="both"/>
        <w:rPr>
          <w:rFonts w:eastAsia="Swiss721BT-Roman" w:cs="Arial"/>
        </w:rPr>
      </w:pPr>
      <w:r w:rsidRPr="00AA349F">
        <w:rPr>
          <w:rFonts w:eastAsia="Swiss721BT-Roman" w:cs="Arial"/>
        </w:rPr>
        <w:t xml:space="preserve">We have audited the Financial Statements of </w:t>
      </w:r>
      <w:r w:rsidRPr="00AA349F">
        <w:rPr>
          <w:rFonts w:cs="Arial"/>
        </w:rPr>
        <w:t>Riverstone Energy Limited</w:t>
      </w:r>
      <w:r w:rsidRPr="00AA349F">
        <w:rPr>
          <w:rFonts w:eastAsia="Swiss721BT-Roman" w:cs="Arial"/>
        </w:rPr>
        <w:t xml:space="preserve"> (the ‘Company’) for the year ended 31 December 201</w:t>
      </w:r>
      <w:r>
        <w:rPr>
          <w:rFonts w:eastAsia="Swiss721BT-Roman" w:cs="Arial"/>
        </w:rPr>
        <w:t>9</w:t>
      </w:r>
      <w:r w:rsidRPr="00AA349F">
        <w:rPr>
          <w:rFonts w:eastAsia="Swiss721BT-Roman" w:cs="Arial"/>
        </w:rPr>
        <w:t xml:space="preserve"> which comprise the Statement of Financial Position, the Statement of Comprehensive Income, the Statement of Changes in Equity, the Statement of Cash Flows</w:t>
      </w:r>
      <w:r w:rsidRPr="00AA349F">
        <w:rPr>
          <w:rFonts w:eastAsia="Swiss721BT-Roman" w:cs="Arial"/>
          <w:b/>
        </w:rPr>
        <w:t xml:space="preserve"> </w:t>
      </w:r>
      <w:r w:rsidRPr="00AA349F">
        <w:rPr>
          <w:rFonts w:eastAsia="Swiss721BT-Roman" w:cs="Arial"/>
        </w:rPr>
        <w:t xml:space="preserve">and the related </w:t>
      </w:r>
      <w:r w:rsidRPr="006A2FE8">
        <w:rPr>
          <w:rFonts w:eastAsia="Swiss721BT-Roman" w:cs="Arial"/>
        </w:rPr>
        <w:t>notes 1 to 16, including</w:t>
      </w:r>
      <w:r w:rsidRPr="00AA349F">
        <w:rPr>
          <w:rFonts w:eastAsia="Swiss721BT-Roman" w:cs="Arial"/>
        </w:rPr>
        <w:t xml:space="preserve"> a summary of significant accounting policies. The financial reporting framework that has been applied in their preparation is applicable law and International Financial Reporting Standards as adopted by the European Union (‘IFRS’).</w:t>
      </w:r>
    </w:p>
    <w:p w14:paraId="2D0B40C3" w14:textId="77777777" w:rsidR="005B1414" w:rsidRPr="00AA349F" w:rsidRDefault="005B1414" w:rsidP="00E528D2">
      <w:pPr>
        <w:pStyle w:val="EYBulletedtext1"/>
        <w:numPr>
          <w:ilvl w:val="0"/>
          <w:numId w:val="0"/>
        </w:numPr>
        <w:spacing w:before="120" w:after="120"/>
        <w:jc w:val="both"/>
        <w:rPr>
          <w:rFonts w:eastAsia="Swiss721BT-Roman" w:cs="Arial"/>
        </w:rPr>
      </w:pPr>
      <w:r w:rsidRPr="00AA349F">
        <w:rPr>
          <w:rFonts w:eastAsia="Swiss721BT-Roman" w:cs="Arial"/>
        </w:rPr>
        <w:lastRenderedPageBreak/>
        <w:t xml:space="preserve">In our opinion, the Financial Statements:  </w:t>
      </w:r>
    </w:p>
    <w:p w14:paraId="23C04917" w14:textId="77777777" w:rsidR="005B1414" w:rsidRPr="00AA349F" w:rsidRDefault="005B1414" w:rsidP="00E528D2">
      <w:pPr>
        <w:pStyle w:val="EYBulletedtext1"/>
        <w:numPr>
          <w:ilvl w:val="0"/>
          <w:numId w:val="39"/>
        </w:numPr>
        <w:spacing w:before="120" w:after="120"/>
        <w:jc w:val="both"/>
        <w:rPr>
          <w:rFonts w:cs="Arial"/>
        </w:rPr>
      </w:pPr>
      <w:r w:rsidRPr="00AA349F">
        <w:rPr>
          <w:rFonts w:cs="Arial"/>
        </w:rPr>
        <w:t>give a true and fair view of the state of the Company’s affairs as at 31 December 201</w:t>
      </w:r>
      <w:r>
        <w:rPr>
          <w:rFonts w:cs="Arial"/>
        </w:rPr>
        <w:t>9</w:t>
      </w:r>
      <w:r w:rsidRPr="00AA349F">
        <w:rPr>
          <w:rFonts w:cs="Arial"/>
        </w:rPr>
        <w:t xml:space="preserve"> and of its </w:t>
      </w:r>
      <w:r w:rsidRPr="0086477D">
        <w:rPr>
          <w:rFonts w:cs="Arial"/>
        </w:rPr>
        <w:t>loss f</w:t>
      </w:r>
      <w:r w:rsidRPr="00AA349F">
        <w:rPr>
          <w:rFonts w:cs="Arial"/>
        </w:rPr>
        <w:t>or the year then ended;</w:t>
      </w:r>
    </w:p>
    <w:p w14:paraId="22C0BF70" w14:textId="77777777" w:rsidR="005B1414" w:rsidRPr="00AA349F" w:rsidRDefault="005B1414" w:rsidP="00E528D2">
      <w:pPr>
        <w:pStyle w:val="EYBulletedtext1"/>
        <w:numPr>
          <w:ilvl w:val="0"/>
          <w:numId w:val="39"/>
        </w:numPr>
        <w:spacing w:before="120" w:after="120"/>
        <w:jc w:val="both"/>
        <w:rPr>
          <w:rFonts w:eastAsia="Swiss721BT-Roman" w:cs="Arial"/>
        </w:rPr>
      </w:pPr>
      <w:r w:rsidRPr="00AA349F">
        <w:rPr>
          <w:rFonts w:eastAsia="Swiss721BT-Roman" w:cs="Arial"/>
        </w:rPr>
        <w:t>have been properly prepared in accordance with IFRS; and</w:t>
      </w:r>
    </w:p>
    <w:p w14:paraId="577CFB7C" w14:textId="77777777" w:rsidR="005B1414" w:rsidRPr="00AA349F" w:rsidRDefault="005B1414" w:rsidP="00E528D2">
      <w:pPr>
        <w:pStyle w:val="EYBulletedtext1"/>
        <w:numPr>
          <w:ilvl w:val="0"/>
          <w:numId w:val="39"/>
        </w:numPr>
        <w:spacing w:before="120" w:after="120"/>
        <w:jc w:val="both"/>
        <w:rPr>
          <w:rFonts w:eastAsia="Swiss721BT-Roman" w:cs="Arial"/>
        </w:rPr>
      </w:pPr>
      <w:r w:rsidRPr="00AA349F">
        <w:rPr>
          <w:rFonts w:eastAsia="Swiss721BT-Roman" w:cs="Arial"/>
        </w:rPr>
        <w:t>have been properly prepared in accordance with the requirements of the Companies (Guernsey) Law, 2008.</w:t>
      </w:r>
    </w:p>
    <w:p w14:paraId="70C8AF0B" w14:textId="77777777" w:rsidR="005B1414" w:rsidRPr="00AA349F" w:rsidRDefault="005B1414" w:rsidP="00E528D2">
      <w:pPr>
        <w:pStyle w:val="EYHeading2"/>
        <w:jc w:val="both"/>
        <w:rPr>
          <w:rFonts w:cs="Arial"/>
          <w:sz w:val="20"/>
          <w:szCs w:val="20"/>
        </w:rPr>
      </w:pPr>
      <w:r w:rsidRPr="00AA349F">
        <w:rPr>
          <w:rFonts w:cs="Arial"/>
          <w:sz w:val="20"/>
          <w:szCs w:val="20"/>
        </w:rPr>
        <w:t xml:space="preserve">Basis for opinion </w:t>
      </w:r>
    </w:p>
    <w:p w14:paraId="5DF02185" w14:textId="77777777" w:rsidR="005B1414" w:rsidRPr="00AA349F" w:rsidRDefault="005B1414" w:rsidP="00E528D2">
      <w:pPr>
        <w:pStyle w:val="EYBodytextwithparaspace"/>
        <w:spacing w:before="120" w:after="120"/>
        <w:jc w:val="both"/>
        <w:rPr>
          <w:rFonts w:cs="Arial"/>
        </w:rPr>
      </w:pPr>
      <w:r w:rsidRPr="00AA349F">
        <w:rPr>
          <w:rFonts w:cs="Arial"/>
        </w:rPr>
        <w:t>We conducted our audit in accordance with International Standards on Auditing (UK) (‘ISAs (UK)’) and applicable law. Our responsibilities under those standards are further described in the “</w:t>
      </w:r>
      <w:r w:rsidRPr="00AA349F">
        <w:rPr>
          <w:rFonts w:cs="Arial"/>
          <w:iCs/>
        </w:rPr>
        <w:t>Auditor’s responsibilities for the audit of the Financial Statements”</w:t>
      </w:r>
      <w:r w:rsidRPr="00AA349F">
        <w:rPr>
          <w:rFonts w:cs="Arial"/>
        </w:rPr>
        <w:t xml:space="preserve"> section of our report below. We are independent of the Company in accordance with the ethical requirements that are relevant to our audit of the Financial Statements, including the FRC’s Ethical Standard as applied to listed entities, and we have fulfilled our other ethical responsibilities in accordance with these requirements. </w:t>
      </w:r>
    </w:p>
    <w:p w14:paraId="6042D424" w14:textId="77777777" w:rsidR="005B1414" w:rsidRDefault="005B1414" w:rsidP="00E528D2">
      <w:pPr>
        <w:pStyle w:val="EYBodytextwithparaspace"/>
        <w:spacing w:before="120" w:after="120"/>
        <w:jc w:val="both"/>
        <w:rPr>
          <w:rFonts w:cs="Arial"/>
        </w:rPr>
      </w:pPr>
      <w:r w:rsidRPr="00AA349F">
        <w:rPr>
          <w:rFonts w:cs="Arial"/>
        </w:rPr>
        <w:t>We believe that the audit evidence we have obtained is sufficient and appropriate to provide a basis for our opinion.</w:t>
      </w:r>
    </w:p>
    <w:p w14:paraId="7ED14756" w14:textId="77777777" w:rsidR="005B1414" w:rsidRPr="00E30241" w:rsidRDefault="005B1414" w:rsidP="00E528D2">
      <w:pPr>
        <w:pStyle w:val="EYBodytextwithparaspace"/>
        <w:spacing w:before="120" w:after="120"/>
        <w:jc w:val="both"/>
        <w:rPr>
          <w:rFonts w:cs="Arial"/>
          <w:b/>
        </w:rPr>
      </w:pPr>
      <w:bookmarkStart w:id="30" w:name="_Hlk37684467"/>
      <w:bookmarkStart w:id="31" w:name="_Hlk38010459"/>
      <w:r w:rsidRPr="00E30241">
        <w:rPr>
          <w:rFonts w:cs="Arial"/>
          <w:b/>
        </w:rPr>
        <w:t xml:space="preserve">Material uncertainty related to </w:t>
      </w:r>
      <w:r>
        <w:rPr>
          <w:rFonts w:cs="Arial"/>
          <w:b/>
        </w:rPr>
        <w:t>g</w:t>
      </w:r>
      <w:r w:rsidRPr="00E30241">
        <w:rPr>
          <w:rFonts w:cs="Arial"/>
          <w:b/>
        </w:rPr>
        <w:t xml:space="preserve">oing </w:t>
      </w:r>
      <w:r>
        <w:rPr>
          <w:rFonts w:cs="Arial"/>
          <w:b/>
        </w:rPr>
        <w:t>c</w:t>
      </w:r>
      <w:r w:rsidRPr="00E30241">
        <w:rPr>
          <w:rFonts w:cs="Arial"/>
          <w:b/>
        </w:rPr>
        <w:t>oncern</w:t>
      </w:r>
    </w:p>
    <w:bookmarkEnd w:id="30"/>
    <w:p w14:paraId="3DAA9B6A" w14:textId="77777777" w:rsidR="005B1414" w:rsidRDefault="005B1414" w:rsidP="00E528D2">
      <w:pPr>
        <w:pStyle w:val="EYBodytextwithparaspace"/>
        <w:spacing w:before="120" w:after="120"/>
        <w:jc w:val="both"/>
        <w:rPr>
          <w:rFonts w:cs="Arial"/>
        </w:rPr>
      </w:pPr>
      <w:r w:rsidRPr="00E30241">
        <w:rPr>
          <w:rFonts w:cs="Arial"/>
        </w:rPr>
        <w:t xml:space="preserve">We draw </w:t>
      </w:r>
      <w:r>
        <w:rPr>
          <w:rFonts w:cs="Arial"/>
        </w:rPr>
        <w:t xml:space="preserve">your </w:t>
      </w:r>
      <w:r w:rsidRPr="00E30241">
        <w:rPr>
          <w:rFonts w:cs="Arial"/>
        </w:rPr>
        <w:t xml:space="preserve">attention to Note 3 in the Financial Statements, which </w:t>
      </w:r>
      <w:r>
        <w:rPr>
          <w:rFonts w:cs="Arial"/>
        </w:rPr>
        <w:t xml:space="preserve">states that there </w:t>
      </w:r>
      <w:r w:rsidRPr="00E30241">
        <w:rPr>
          <w:rFonts w:cs="Arial"/>
        </w:rPr>
        <w:t>is a material uncertainty in relation to the outcome of the</w:t>
      </w:r>
      <w:r>
        <w:rPr>
          <w:rFonts w:cs="Arial"/>
        </w:rPr>
        <w:t xml:space="preserve"> </w:t>
      </w:r>
      <w:r w:rsidRPr="00E30241">
        <w:rPr>
          <w:rFonts w:cs="Arial"/>
        </w:rPr>
        <w:t xml:space="preserve">Discontinuation Vote </w:t>
      </w:r>
      <w:r>
        <w:rPr>
          <w:rFonts w:cs="Arial"/>
        </w:rPr>
        <w:t xml:space="preserve">expected </w:t>
      </w:r>
      <w:r w:rsidRPr="00E30241">
        <w:rPr>
          <w:rFonts w:cs="Arial"/>
        </w:rPr>
        <w:t>to be held in November 2020 and</w:t>
      </w:r>
      <w:r>
        <w:rPr>
          <w:rFonts w:cs="Arial"/>
        </w:rPr>
        <w:t xml:space="preserve"> the duration and extent of the COVID-19 pandemic on oil and gas prices, which </w:t>
      </w:r>
      <w:r w:rsidRPr="0056113A">
        <w:rPr>
          <w:rFonts w:cs="Arial"/>
        </w:rPr>
        <w:t>casts significant doubt over the ability of the Company to continue as a Going Concern.</w:t>
      </w:r>
      <w:r>
        <w:rPr>
          <w:rFonts w:cs="Arial"/>
        </w:rPr>
        <w:t xml:space="preserve"> </w:t>
      </w:r>
      <w:r w:rsidRPr="001B59B5">
        <w:rPr>
          <w:rFonts w:cs="Arial"/>
        </w:rPr>
        <w:t>The financial statements do not include any adjustments that might result from the outcome of th</w:t>
      </w:r>
      <w:r>
        <w:rPr>
          <w:rFonts w:cs="Arial"/>
        </w:rPr>
        <w:t>ese</w:t>
      </w:r>
      <w:r w:rsidRPr="001B59B5">
        <w:rPr>
          <w:rFonts w:cs="Arial"/>
        </w:rPr>
        <w:t xml:space="preserve"> uncertaint</w:t>
      </w:r>
      <w:r>
        <w:rPr>
          <w:rFonts w:cs="Arial"/>
        </w:rPr>
        <w:t>ies.</w:t>
      </w:r>
    </w:p>
    <w:p w14:paraId="5518FE02" w14:textId="77777777" w:rsidR="005B1414" w:rsidRPr="00FA233E" w:rsidRDefault="005B1414" w:rsidP="00E528D2">
      <w:pPr>
        <w:spacing w:before="120" w:after="120"/>
        <w:jc w:val="both"/>
      </w:pPr>
      <w:r w:rsidRPr="00FA233E">
        <w:t>We describe below how our audit responded to the risk relating to going concern:</w:t>
      </w:r>
    </w:p>
    <w:p w14:paraId="3AD57E06" w14:textId="77777777" w:rsidR="005B1414" w:rsidRDefault="005B1414" w:rsidP="00E528D2">
      <w:pPr>
        <w:pStyle w:val="ListParagraph"/>
        <w:numPr>
          <w:ilvl w:val="0"/>
          <w:numId w:val="41"/>
        </w:numPr>
        <w:spacing w:before="120" w:after="120"/>
        <w:ind w:left="567" w:hanging="425"/>
        <w:contextualSpacing w:val="0"/>
        <w:jc w:val="both"/>
      </w:pPr>
      <w:r w:rsidRPr="00FA233E">
        <w:t xml:space="preserve">The audit engagement partner increased </w:t>
      </w:r>
      <w:r>
        <w:t>his</w:t>
      </w:r>
      <w:r w:rsidRPr="00FA233E">
        <w:t xml:space="preserve"> time directing and supervising the audit procedures on going concern;</w:t>
      </w:r>
    </w:p>
    <w:p w14:paraId="2B508A37" w14:textId="77777777" w:rsidR="005B1414" w:rsidRPr="001F73C0" w:rsidRDefault="005B1414" w:rsidP="00E528D2">
      <w:pPr>
        <w:pStyle w:val="ListParagraph"/>
        <w:numPr>
          <w:ilvl w:val="0"/>
          <w:numId w:val="41"/>
        </w:numPr>
        <w:spacing w:before="120" w:after="120"/>
        <w:ind w:left="567" w:hanging="425"/>
        <w:contextualSpacing w:val="0"/>
        <w:jc w:val="both"/>
      </w:pPr>
      <w:r>
        <w:t>We a</w:t>
      </w:r>
      <w:r w:rsidRPr="001F73C0">
        <w:t>ssessed the determination made by the Board of Directors of the Company and the Investment Manager that the Company is a going concern</w:t>
      </w:r>
      <w:r>
        <w:t xml:space="preserve"> and the appropriateness of the financial statements to be prepared on a going concern basis</w:t>
      </w:r>
      <w:r w:rsidRPr="001F73C0">
        <w:t>;</w:t>
      </w:r>
    </w:p>
    <w:p w14:paraId="4BD3383F" w14:textId="77777777" w:rsidR="005B1414" w:rsidRPr="00FA233E" w:rsidRDefault="005B1414" w:rsidP="00E528D2">
      <w:pPr>
        <w:pStyle w:val="ListParagraph"/>
        <w:numPr>
          <w:ilvl w:val="0"/>
          <w:numId w:val="41"/>
        </w:numPr>
        <w:spacing w:before="120" w:after="120"/>
        <w:ind w:left="567" w:hanging="425"/>
        <w:contextualSpacing w:val="0"/>
        <w:jc w:val="both"/>
      </w:pPr>
      <w:r w:rsidRPr="00FA233E">
        <w:t>We obtained the cash flow forecasts and sensitivities prepared by management and tested for arithmetical accuracy of the models;</w:t>
      </w:r>
    </w:p>
    <w:p w14:paraId="0121A1AE" w14:textId="77777777" w:rsidR="005B1414" w:rsidRDefault="005B1414" w:rsidP="00E528D2">
      <w:pPr>
        <w:pStyle w:val="ListParagraph"/>
        <w:numPr>
          <w:ilvl w:val="0"/>
          <w:numId w:val="41"/>
        </w:numPr>
        <w:spacing w:before="120" w:after="120"/>
        <w:ind w:left="567" w:hanging="425"/>
        <w:contextualSpacing w:val="0"/>
        <w:jc w:val="both"/>
      </w:pPr>
      <w:r w:rsidRPr="00FA233E">
        <w:t xml:space="preserve">We challenged the appropriateness of management’s forecasts by assessing historical forecasting accuracy, challenging management’s consideration of downside sensitivity analysis including Management’s scenario to reflect its expectation of the impact of </w:t>
      </w:r>
      <w:r>
        <w:t xml:space="preserve">the discontinuation vote, </w:t>
      </w:r>
      <w:r w:rsidRPr="00FA233E">
        <w:t xml:space="preserve">COVID-19 </w:t>
      </w:r>
      <w:r>
        <w:t xml:space="preserve">and oil and gas prices volatility, </w:t>
      </w:r>
      <w:r w:rsidRPr="00FA233E">
        <w:t>and applying further sensitivities to understand the impact on liquidity</w:t>
      </w:r>
      <w:r>
        <w:t xml:space="preserve"> of the Company</w:t>
      </w:r>
      <w:r w:rsidRPr="00FA233E">
        <w:t>;</w:t>
      </w:r>
    </w:p>
    <w:p w14:paraId="02444D0F" w14:textId="77777777" w:rsidR="005B1414" w:rsidRPr="00FA233E" w:rsidRDefault="005B1414" w:rsidP="00E528D2">
      <w:pPr>
        <w:pStyle w:val="ListParagraph"/>
        <w:numPr>
          <w:ilvl w:val="0"/>
          <w:numId w:val="41"/>
        </w:numPr>
        <w:spacing w:before="120" w:after="120"/>
        <w:ind w:left="567" w:hanging="425"/>
        <w:contextualSpacing w:val="0"/>
        <w:jc w:val="both"/>
      </w:pPr>
      <w:r>
        <w:t>We a</w:t>
      </w:r>
      <w:r w:rsidRPr="001F73C0">
        <w:t xml:space="preserve">ssessed whether </w:t>
      </w:r>
      <w:r>
        <w:t xml:space="preserve">available funds compared to </w:t>
      </w:r>
      <w:r w:rsidRPr="001F73C0">
        <w:t>commitment</w:t>
      </w:r>
      <w:r>
        <w:t>s</w:t>
      </w:r>
      <w:r w:rsidRPr="001F73C0">
        <w:t xml:space="preserve"> made to underlying investments</w:t>
      </w:r>
      <w:r>
        <w:t xml:space="preserve"> at year end</w:t>
      </w:r>
      <w:r w:rsidRPr="001F73C0">
        <w:t>, taking account of the existing arrangements with the Partnership, cast significant doubt over the going concern status of the Company;</w:t>
      </w:r>
      <w:r>
        <w:t xml:space="preserve"> and</w:t>
      </w:r>
    </w:p>
    <w:p w14:paraId="114CD873" w14:textId="77777777" w:rsidR="005B1414" w:rsidRDefault="005B1414" w:rsidP="00E528D2">
      <w:pPr>
        <w:pStyle w:val="ListParagraph"/>
        <w:numPr>
          <w:ilvl w:val="0"/>
          <w:numId w:val="41"/>
        </w:numPr>
        <w:spacing w:before="120" w:after="120"/>
        <w:ind w:left="567" w:hanging="425"/>
        <w:contextualSpacing w:val="0"/>
        <w:jc w:val="both"/>
      </w:pPr>
      <w:r w:rsidRPr="00FA233E">
        <w:t>We assessed the disclosures in the Annual Report</w:t>
      </w:r>
      <w:r>
        <w:t xml:space="preserve"> and Financial Statements</w:t>
      </w:r>
      <w:r w:rsidRPr="00FA233E">
        <w:t xml:space="preserve"> relating to going concern, including the material uncertainties, to ensure they were fair, balanced and understandable and in compliance with IAS1.</w:t>
      </w:r>
    </w:p>
    <w:p w14:paraId="4C1861E5" w14:textId="241A8C40" w:rsidR="005B1414" w:rsidRDefault="005B1414" w:rsidP="00E528D2">
      <w:pPr>
        <w:pStyle w:val="EYBodytextwithparaspace"/>
        <w:spacing w:before="120" w:after="120"/>
        <w:jc w:val="both"/>
        <w:rPr>
          <w:rFonts w:cs="Arial"/>
        </w:rPr>
      </w:pPr>
      <w:r w:rsidRPr="00FA233E">
        <w:rPr>
          <w:rFonts w:cs="Arial"/>
        </w:rPr>
        <w:t>We draw attention to the viability statement in the Annual Report, which indicates that</w:t>
      </w:r>
      <w:r w:rsidRPr="0065227B">
        <w:rPr>
          <w:rFonts w:cs="Arial"/>
        </w:rPr>
        <w:t xml:space="preserve"> the </w:t>
      </w:r>
      <w:r w:rsidRPr="001C4518">
        <w:rPr>
          <w:rFonts w:cs="Arial"/>
        </w:rPr>
        <w:t>assumptions to the statement of viability are that the discontinuation vote is not passed</w:t>
      </w:r>
      <w:r>
        <w:rPr>
          <w:rFonts w:cs="Arial"/>
        </w:rPr>
        <w:t>,</w:t>
      </w:r>
      <w:r w:rsidRPr="001C4518">
        <w:rPr>
          <w:rFonts w:cs="Arial"/>
        </w:rPr>
        <w:t xml:space="preserve"> and</w:t>
      </w:r>
      <w:r>
        <w:rPr>
          <w:rFonts w:cs="Arial"/>
        </w:rPr>
        <w:t xml:space="preserve"> any</w:t>
      </w:r>
      <w:r w:rsidRPr="001C4518">
        <w:rPr>
          <w:rFonts w:cs="Arial"/>
        </w:rPr>
        <w:t xml:space="preserve"> </w:t>
      </w:r>
      <w:r w:rsidRPr="00AD55E8">
        <w:rPr>
          <w:rFonts w:cs="Arial"/>
        </w:rPr>
        <w:t>long-term decline in global oil and gas consumption</w:t>
      </w:r>
      <w:r>
        <w:rPr>
          <w:rFonts w:cs="Arial"/>
        </w:rPr>
        <w:t>,</w:t>
      </w:r>
      <w:r w:rsidRPr="001C4518">
        <w:rPr>
          <w:rFonts w:cs="Arial"/>
        </w:rPr>
        <w:t xml:space="preserve"> will not result </w:t>
      </w:r>
      <w:r>
        <w:rPr>
          <w:rFonts w:cs="Arial"/>
        </w:rPr>
        <w:t>in</w:t>
      </w:r>
      <w:r w:rsidRPr="001C4518">
        <w:rPr>
          <w:rFonts w:cs="Arial"/>
        </w:rPr>
        <w:t xml:space="preserve"> the Company </w:t>
      </w:r>
      <w:r>
        <w:rPr>
          <w:rFonts w:cs="Arial"/>
        </w:rPr>
        <w:t>being in</w:t>
      </w:r>
      <w:r w:rsidRPr="001C4518">
        <w:rPr>
          <w:rFonts w:cs="Arial"/>
        </w:rPr>
        <w:t xml:space="preserve"> financial distress</w:t>
      </w:r>
      <w:r>
        <w:rPr>
          <w:rFonts w:cs="Arial"/>
        </w:rPr>
        <w:t>. T</w:t>
      </w:r>
      <w:r w:rsidRPr="00FA233E">
        <w:rPr>
          <w:rFonts w:cs="Arial"/>
        </w:rPr>
        <w:t>he Directors consider that the material uncertainties referred to in respect of going concern may cast significant doubt over the future viability of th</w:t>
      </w:r>
      <w:r>
        <w:rPr>
          <w:rFonts w:cs="Arial"/>
        </w:rPr>
        <w:t xml:space="preserve">e </w:t>
      </w:r>
      <w:r w:rsidRPr="00FA233E">
        <w:rPr>
          <w:rFonts w:cs="Arial"/>
        </w:rPr>
        <w:t>Company</w:t>
      </w:r>
      <w:r>
        <w:rPr>
          <w:rFonts w:cs="Arial"/>
        </w:rPr>
        <w:t xml:space="preserve"> should these not be correct.</w:t>
      </w:r>
      <w:r w:rsidRPr="00FA233E">
        <w:rPr>
          <w:rFonts w:cs="Arial"/>
        </w:rPr>
        <w:t xml:space="preserve"> </w:t>
      </w:r>
    </w:p>
    <w:p w14:paraId="5E705C87" w14:textId="77777777" w:rsidR="005B1414" w:rsidRDefault="005B1414" w:rsidP="00E528D2">
      <w:pPr>
        <w:pStyle w:val="EYBodytextwithparaspace"/>
        <w:spacing w:before="120" w:after="120"/>
        <w:jc w:val="both"/>
        <w:rPr>
          <w:rFonts w:cs="Arial"/>
          <w:highlight w:val="yellow"/>
        </w:rPr>
      </w:pPr>
      <w:r w:rsidRPr="00E30241">
        <w:rPr>
          <w:rFonts w:cs="Arial"/>
        </w:rPr>
        <w:t>Our opinion is not modified in respect of th</w:t>
      </w:r>
      <w:r>
        <w:rPr>
          <w:rFonts w:cs="Arial"/>
        </w:rPr>
        <w:t>is</w:t>
      </w:r>
      <w:r w:rsidRPr="00E30241">
        <w:rPr>
          <w:rFonts w:cs="Arial"/>
        </w:rPr>
        <w:t xml:space="preserve"> matter.</w:t>
      </w:r>
    </w:p>
    <w:bookmarkEnd w:id="31"/>
    <w:p w14:paraId="179A9065" w14:textId="77777777" w:rsidR="005B1414" w:rsidRPr="00AA349F" w:rsidRDefault="005B1414" w:rsidP="00E528D2">
      <w:pPr>
        <w:pStyle w:val="EYHeading2"/>
        <w:jc w:val="both"/>
        <w:rPr>
          <w:rFonts w:cs="Arial"/>
          <w:sz w:val="20"/>
          <w:szCs w:val="20"/>
        </w:rPr>
      </w:pPr>
      <w:r w:rsidRPr="00AA349F">
        <w:rPr>
          <w:rFonts w:cs="Arial"/>
          <w:sz w:val="20"/>
          <w:szCs w:val="20"/>
        </w:rPr>
        <w:t>Conclusions relating to principal risks, going concern and viability statement</w:t>
      </w:r>
    </w:p>
    <w:p w14:paraId="1FA23501" w14:textId="77777777" w:rsidR="005B1414" w:rsidRPr="00AA349F" w:rsidRDefault="005B1414" w:rsidP="00E528D2">
      <w:pPr>
        <w:pStyle w:val="EYBodytextwithparaspace"/>
        <w:spacing w:before="120" w:after="120"/>
        <w:jc w:val="both"/>
        <w:rPr>
          <w:rFonts w:cs="Arial"/>
        </w:rPr>
      </w:pPr>
      <w:r w:rsidRPr="003A1BAF">
        <w:rPr>
          <w:rFonts w:cs="Arial"/>
        </w:rPr>
        <w:t>Aside from the impact of the matters disclosed in the material uncertainty related to going concern section</w:t>
      </w:r>
      <w:r>
        <w:rPr>
          <w:rFonts w:cs="Arial"/>
        </w:rPr>
        <w:t>, w</w:t>
      </w:r>
      <w:r w:rsidRPr="00AA349F">
        <w:rPr>
          <w:rFonts w:cs="Arial"/>
        </w:rPr>
        <w:t>e have nothing to report in respect of the following information in the Annual Report, in relation to which the ISAs (UK) require us to report to you whether we have anything material to add or draw attention to:</w:t>
      </w:r>
    </w:p>
    <w:p w14:paraId="2CD837B0" w14:textId="30ED22F9" w:rsidR="005B1414" w:rsidRPr="00055C4D" w:rsidRDefault="005B1414" w:rsidP="00055C4D">
      <w:pPr>
        <w:pStyle w:val="EYBodytextwithparaspace"/>
        <w:numPr>
          <w:ilvl w:val="0"/>
          <w:numId w:val="43"/>
        </w:numPr>
        <w:spacing w:before="120" w:after="120"/>
        <w:ind w:left="426" w:hanging="426"/>
        <w:jc w:val="both"/>
        <w:rPr>
          <w:rFonts w:cs="Arial"/>
        </w:rPr>
      </w:pPr>
      <w:r w:rsidRPr="00055C4D">
        <w:rPr>
          <w:rFonts w:cs="Arial"/>
        </w:rPr>
        <w:t>the disclosures in the Annual Report that describe the principal risks and explain how they are being managed or mitigated;</w:t>
      </w:r>
    </w:p>
    <w:p w14:paraId="7DDD29FC" w14:textId="68BD3ED1" w:rsidR="005B1414" w:rsidRPr="00055C4D" w:rsidRDefault="005B1414" w:rsidP="00055C4D">
      <w:pPr>
        <w:pStyle w:val="EYBodytextwithparaspace"/>
        <w:numPr>
          <w:ilvl w:val="0"/>
          <w:numId w:val="43"/>
        </w:numPr>
        <w:spacing w:before="120" w:after="120"/>
        <w:ind w:left="426" w:hanging="426"/>
        <w:jc w:val="both"/>
        <w:rPr>
          <w:rFonts w:cs="Arial"/>
        </w:rPr>
      </w:pPr>
      <w:r w:rsidRPr="00055C4D">
        <w:rPr>
          <w:rFonts w:cs="Arial"/>
        </w:rPr>
        <w:lastRenderedPageBreak/>
        <w:t>the Directors’ confirmation in the Annual Report that they have carried out a robust assessment of the principal risks facing the entity, including those that would threaten its business model, future performance, solvency or liquidity;</w:t>
      </w:r>
    </w:p>
    <w:p w14:paraId="28A09A97" w14:textId="77777777" w:rsidR="005B1414" w:rsidRPr="00055C4D" w:rsidRDefault="005B1414" w:rsidP="00055C4D">
      <w:pPr>
        <w:pStyle w:val="EYBodytextwithparaspace"/>
        <w:numPr>
          <w:ilvl w:val="0"/>
          <w:numId w:val="43"/>
        </w:numPr>
        <w:spacing w:before="120" w:after="120"/>
        <w:ind w:left="426" w:hanging="426"/>
        <w:jc w:val="both"/>
        <w:rPr>
          <w:rFonts w:cs="Arial"/>
        </w:rPr>
      </w:pPr>
      <w:r w:rsidRPr="00055C4D">
        <w:rPr>
          <w:rFonts w:cs="Arial"/>
        </w:rPr>
        <w:t xml:space="preserve">whether the Directors’ statement in relation to going concern and their assessment of the prospects of the Company required under the Listing Rules is materially inconsistent with our knowledge obtained in the audit; or </w:t>
      </w:r>
    </w:p>
    <w:p w14:paraId="34575804" w14:textId="55596463" w:rsidR="005B1414" w:rsidRPr="00055C4D" w:rsidRDefault="005B1414" w:rsidP="00055C4D">
      <w:pPr>
        <w:pStyle w:val="EYBodytextwithparaspace"/>
        <w:numPr>
          <w:ilvl w:val="0"/>
          <w:numId w:val="43"/>
        </w:numPr>
        <w:spacing w:before="120" w:after="120"/>
        <w:ind w:left="426" w:hanging="426"/>
        <w:jc w:val="both"/>
        <w:rPr>
          <w:rFonts w:cs="Arial"/>
        </w:rPr>
      </w:pPr>
      <w:r w:rsidRPr="00055C4D">
        <w:rPr>
          <w:rFonts w:cs="Arial"/>
        </w:rPr>
        <w:t>the Directors’ explanation in the Annual Report as to how they have assessed the prospects of the entity, over what period they have done so and why they consider that period to be appropriate, and their statement as to whether they have a reasonable expectation that the entity will be able to continue in operation and meet its liabilities as they fall due over the period of their assessment, including any related disclosures drawing attention to any necessary qualifications or assumptions.</w:t>
      </w:r>
    </w:p>
    <w:p w14:paraId="15D85E08" w14:textId="77777777" w:rsidR="005B1414" w:rsidRPr="00AA349F" w:rsidRDefault="005B1414" w:rsidP="00E528D2">
      <w:pPr>
        <w:pStyle w:val="EYBulletedtext1"/>
        <w:numPr>
          <w:ilvl w:val="0"/>
          <w:numId w:val="0"/>
        </w:numPr>
        <w:spacing w:before="120" w:after="120"/>
        <w:jc w:val="both"/>
        <w:rPr>
          <w:rFonts w:cs="Arial"/>
          <w:b/>
        </w:rPr>
      </w:pPr>
      <w:r w:rsidRPr="00AA349F">
        <w:rPr>
          <w:rFonts w:cs="Arial"/>
          <w:b/>
        </w:rPr>
        <w:t>Overview of our audit approach</w:t>
      </w:r>
    </w:p>
    <w:p w14:paraId="289C24CF" w14:textId="77777777" w:rsidR="005B1414" w:rsidRPr="00AA349F" w:rsidRDefault="005B1414" w:rsidP="00E528D2">
      <w:pPr>
        <w:pStyle w:val="EYAppendiceBodytext"/>
        <w:spacing w:before="120" w:after="120"/>
        <w:jc w:val="both"/>
        <w:rPr>
          <w:rFonts w:ascii="Arial" w:hAnsi="Arial"/>
          <w:i/>
        </w:rPr>
      </w:pPr>
      <w:r w:rsidRPr="00AA349F">
        <w:rPr>
          <w:rFonts w:ascii="Arial" w:hAnsi="Arial"/>
          <w:i/>
        </w:rPr>
        <w:t>Key audit matters:</w:t>
      </w:r>
    </w:p>
    <w:p w14:paraId="093CF31E" w14:textId="77777777" w:rsidR="005B1414" w:rsidRPr="000E682E" w:rsidDel="005E59D0" w:rsidRDefault="005B1414" w:rsidP="00E528D2">
      <w:pPr>
        <w:pStyle w:val="EYBulletedText10"/>
        <w:numPr>
          <w:ilvl w:val="0"/>
          <w:numId w:val="0"/>
        </w:numPr>
        <w:spacing w:before="120" w:after="120"/>
        <w:jc w:val="both"/>
        <w:rPr>
          <w:rFonts w:ascii="Arial" w:hAnsi="Arial"/>
          <w:sz w:val="20"/>
        </w:rPr>
      </w:pPr>
      <w:r w:rsidRPr="000E682E">
        <w:rPr>
          <w:rFonts w:ascii="Arial" w:hAnsi="Arial"/>
          <w:sz w:val="20"/>
        </w:rPr>
        <w:t xml:space="preserve">We have determined that misstatement or </w:t>
      </w:r>
      <w:r w:rsidRPr="000E682E" w:rsidDel="005E59D0">
        <w:rPr>
          <w:rFonts w:ascii="Arial" w:hAnsi="Arial"/>
          <w:sz w:val="20"/>
        </w:rPr>
        <w:t>manipulation of the valuation of the Company’s investment</w:t>
      </w:r>
      <w:r w:rsidRPr="000E682E">
        <w:rPr>
          <w:rFonts w:ascii="Arial" w:hAnsi="Arial"/>
          <w:sz w:val="20"/>
        </w:rPr>
        <w:t xml:space="preserve"> in Riverstone Energy Investment Partnership, L.P. (“the Partnership”) is the only key audit matter for the current year</w:t>
      </w:r>
      <w:r w:rsidRPr="000E682E" w:rsidDel="005E59D0">
        <w:rPr>
          <w:rFonts w:ascii="Arial" w:hAnsi="Arial"/>
          <w:sz w:val="20"/>
        </w:rPr>
        <w:t>.</w:t>
      </w:r>
    </w:p>
    <w:p w14:paraId="0247782E" w14:textId="77777777" w:rsidR="005B1414" w:rsidRPr="00AA349F" w:rsidDel="005E59D0" w:rsidRDefault="005B1414" w:rsidP="00E528D2">
      <w:pPr>
        <w:pStyle w:val="EYAppendiceBodytext"/>
        <w:spacing w:before="120" w:after="120"/>
        <w:jc w:val="both"/>
        <w:rPr>
          <w:rFonts w:ascii="Arial" w:hAnsi="Arial"/>
          <w:i/>
        </w:rPr>
      </w:pPr>
      <w:r w:rsidRPr="00AA349F" w:rsidDel="005E59D0">
        <w:rPr>
          <w:rFonts w:ascii="Arial" w:hAnsi="Arial"/>
          <w:i/>
        </w:rPr>
        <w:t>Audit scope:</w:t>
      </w:r>
    </w:p>
    <w:p w14:paraId="0ADA2B9F" w14:textId="77777777" w:rsidR="005B1414" w:rsidRPr="000E682E" w:rsidDel="005E59D0" w:rsidRDefault="005B1414" w:rsidP="000E682E">
      <w:pPr>
        <w:pStyle w:val="EYBulletedText10"/>
        <w:numPr>
          <w:ilvl w:val="0"/>
          <w:numId w:val="0"/>
        </w:numPr>
        <w:spacing w:before="120" w:after="120"/>
        <w:jc w:val="both"/>
        <w:rPr>
          <w:rFonts w:ascii="Arial" w:hAnsi="Arial"/>
          <w:sz w:val="20"/>
        </w:rPr>
      </w:pPr>
      <w:r w:rsidRPr="000E682E" w:rsidDel="005E59D0">
        <w:rPr>
          <w:rFonts w:ascii="Arial" w:hAnsi="Arial"/>
          <w:sz w:val="20"/>
        </w:rPr>
        <w:t xml:space="preserve">We have audited the Financial Statements of Riverstone Energy Limited for the year ended 31 December </w:t>
      </w:r>
      <w:r w:rsidRPr="000E682E">
        <w:rPr>
          <w:rFonts w:ascii="Arial" w:hAnsi="Arial"/>
          <w:sz w:val="20"/>
        </w:rPr>
        <w:t>2019</w:t>
      </w:r>
      <w:r w:rsidRPr="000E682E" w:rsidDel="005E59D0">
        <w:rPr>
          <w:rFonts w:ascii="Arial" w:hAnsi="Arial"/>
          <w:sz w:val="20"/>
        </w:rPr>
        <w:t>.</w:t>
      </w:r>
    </w:p>
    <w:p w14:paraId="6EC81AFF" w14:textId="77777777" w:rsidR="005B1414" w:rsidRPr="000E682E" w:rsidDel="005E59D0" w:rsidRDefault="005B1414" w:rsidP="000E682E">
      <w:pPr>
        <w:pStyle w:val="EYBulletedText10"/>
        <w:numPr>
          <w:ilvl w:val="0"/>
          <w:numId w:val="0"/>
        </w:numPr>
        <w:spacing w:before="120" w:after="120"/>
        <w:jc w:val="both"/>
        <w:rPr>
          <w:rFonts w:ascii="Arial" w:hAnsi="Arial"/>
          <w:sz w:val="20"/>
        </w:rPr>
      </w:pPr>
      <w:r w:rsidRPr="000E682E" w:rsidDel="005E59D0">
        <w:rPr>
          <w:rFonts w:ascii="Arial" w:hAnsi="Arial"/>
          <w:sz w:val="20"/>
        </w:rPr>
        <w:t>The audit was led from Guernsey. The audit team included individuals from the Guernsey</w:t>
      </w:r>
      <w:r w:rsidRPr="000E682E">
        <w:rPr>
          <w:rFonts w:ascii="Arial" w:hAnsi="Arial"/>
          <w:sz w:val="20"/>
        </w:rPr>
        <w:t xml:space="preserve"> and </w:t>
      </w:r>
      <w:r w:rsidRPr="000E682E" w:rsidDel="005E59D0">
        <w:rPr>
          <w:rFonts w:ascii="Arial" w:hAnsi="Arial"/>
          <w:sz w:val="20"/>
        </w:rPr>
        <w:t>New York office</w:t>
      </w:r>
      <w:r w:rsidRPr="000E682E">
        <w:rPr>
          <w:rFonts w:ascii="Arial" w:hAnsi="Arial"/>
          <w:sz w:val="20"/>
        </w:rPr>
        <w:t>s</w:t>
      </w:r>
      <w:r w:rsidRPr="000E682E" w:rsidDel="005E59D0">
        <w:rPr>
          <w:rFonts w:ascii="Arial" w:hAnsi="Arial"/>
          <w:sz w:val="20"/>
        </w:rPr>
        <w:t xml:space="preserve"> of Ernst &amp; Young LLP</w:t>
      </w:r>
      <w:r w:rsidRPr="000E682E">
        <w:rPr>
          <w:rFonts w:ascii="Arial" w:hAnsi="Arial"/>
          <w:sz w:val="20"/>
        </w:rPr>
        <w:t xml:space="preserve"> and </w:t>
      </w:r>
      <w:r w:rsidRPr="000E682E" w:rsidDel="005E59D0">
        <w:rPr>
          <w:rFonts w:ascii="Arial" w:hAnsi="Arial"/>
          <w:sz w:val="20"/>
        </w:rPr>
        <w:t>operated as an integrated audit team.</w:t>
      </w:r>
      <w:r w:rsidRPr="000E682E">
        <w:rPr>
          <w:rFonts w:ascii="Arial" w:hAnsi="Arial"/>
          <w:sz w:val="20"/>
        </w:rPr>
        <w:t xml:space="preserve"> In addition, we engaged</w:t>
      </w:r>
      <w:r w:rsidRPr="000E682E" w:rsidDel="005E59D0">
        <w:rPr>
          <w:rFonts w:ascii="Arial" w:hAnsi="Arial"/>
          <w:sz w:val="20"/>
        </w:rPr>
        <w:t xml:space="preserve"> </w:t>
      </w:r>
      <w:r w:rsidRPr="000E682E">
        <w:rPr>
          <w:rFonts w:ascii="Arial" w:hAnsi="Arial"/>
          <w:sz w:val="20"/>
        </w:rPr>
        <w:t xml:space="preserve">our </w:t>
      </w:r>
      <w:r w:rsidRPr="000E682E" w:rsidDel="005E59D0">
        <w:rPr>
          <w:rFonts w:ascii="Arial" w:hAnsi="Arial"/>
          <w:sz w:val="20"/>
        </w:rPr>
        <w:t>oil and gas industry valuation</w:t>
      </w:r>
      <w:r w:rsidRPr="000E682E">
        <w:rPr>
          <w:rFonts w:ascii="Arial" w:hAnsi="Arial"/>
          <w:sz w:val="20"/>
        </w:rPr>
        <w:t xml:space="preserve"> specialists</w:t>
      </w:r>
      <w:r w:rsidRPr="000E682E" w:rsidDel="005E59D0">
        <w:rPr>
          <w:rFonts w:ascii="Arial" w:hAnsi="Arial"/>
          <w:sz w:val="20"/>
        </w:rPr>
        <w:t xml:space="preserve"> from the Houston office of Ernst &amp; Young in the U.S. </w:t>
      </w:r>
      <w:r w:rsidRPr="000E682E">
        <w:rPr>
          <w:rFonts w:ascii="Arial" w:hAnsi="Arial"/>
          <w:sz w:val="20"/>
        </w:rPr>
        <w:t>who assisted us in auditing the valuation of unquoted investments. The scope of their work was consistent with the prior year. The audit partner and senior members of the engagement team from the Guernsey office, together with members of the team from New York and valuation specialists from Houston, visited the Investment Manager’s offices in New York and held discussions with, and assessed the work performed by, the Investment Manager who were responsible for valuing the investments held through the Partnership on behalf of the Board of Directors.</w:t>
      </w:r>
    </w:p>
    <w:p w14:paraId="0DC0AE3A" w14:textId="77777777" w:rsidR="005B1414" w:rsidRPr="00AA349F" w:rsidRDefault="005B1414" w:rsidP="00E528D2">
      <w:pPr>
        <w:pStyle w:val="EYAppendiceBodytext"/>
        <w:spacing w:before="120" w:after="120"/>
        <w:jc w:val="both"/>
        <w:rPr>
          <w:rFonts w:ascii="Arial" w:hAnsi="Arial"/>
          <w:i/>
        </w:rPr>
      </w:pPr>
      <w:r w:rsidRPr="00AA349F">
        <w:rPr>
          <w:rFonts w:ascii="Arial" w:hAnsi="Arial"/>
          <w:i/>
        </w:rPr>
        <w:t>Materiality:</w:t>
      </w:r>
    </w:p>
    <w:p w14:paraId="33E8AC88" w14:textId="77777777" w:rsidR="005B1414" w:rsidRPr="00AA349F" w:rsidRDefault="005B1414" w:rsidP="00E528D2">
      <w:pPr>
        <w:pStyle w:val="EYBulletedtext1"/>
        <w:numPr>
          <w:ilvl w:val="0"/>
          <w:numId w:val="0"/>
        </w:numPr>
        <w:spacing w:before="120" w:after="120"/>
        <w:jc w:val="both"/>
        <w:rPr>
          <w:rFonts w:cs="Arial"/>
          <w:b/>
        </w:rPr>
      </w:pPr>
      <w:r w:rsidRPr="00AA349F">
        <w:rPr>
          <w:rFonts w:cs="Arial"/>
          <w:bCs/>
        </w:rPr>
        <w:t>Our</w:t>
      </w:r>
      <w:r w:rsidRPr="00AA349F" w:rsidDel="005E59D0">
        <w:rPr>
          <w:rFonts w:cs="Arial"/>
          <w:bCs/>
        </w:rPr>
        <w:t xml:space="preserve"> materiality </w:t>
      </w:r>
      <w:r w:rsidRPr="0086477D">
        <w:rPr>
          <w:rFonts w:cs="Arial"/>
          <w:bCs/>
        </w:rPr>
        <w:t>was</w:t>
      </w:r>
      <w:r w:rsidRPr="0086477D" w:rsidDel="005E59D0">
        <w:rPr>
          <w:rFonts w:cs="Arial"/>
          <w:bCs/>
        </w:rPr>
        <w:t xml:space="preserve"> $</w:t>
      </w:r>
      <w:r w:rsidRPr="0086477D">
        <w:rPr>
          <w:rFonts w:cs="Arial"/>
          <w:bCs/>
        </w:rPr>
        <w:t>15.4</w:t>
      </w:r>
      <w:r w:rsidRPr="0086477D" w:rsidDel="005E59D0">
        <w:rPr>
          <w:rFonts w:cs="Arial"/>
          <w:bCs/>
        </w:rPr>
        <w:t xml:space="preserve"> millio</w:t>
      </w:r>
      <w:r w:rsidRPr="00211B5A" w:rsidDel="005E59D0">
        <w:rPr>
          <w:rFonts w:cs="Arial"/>
          <w:bCs/>
        </w:rPr>
        <w:t>n</w:t>
      </w:r>
      <w:r w:rsidRPr="00AA349F" w:rsidDel="005E59D0">
        <w:rPr>
          <w:rFonts w:cs="Arial"/>
          <w:bCs/>
        </w:rPr>
        <w:t xml:space="preserve"> (201</w:t>
      </w:r>
      <w:r>
        <w:rPr>
          <w:rFonts w:cs="Arial"/>
          <w:bCs/>
        </w:rPr>
        <w:t>8</w:t>
      </w:r>
      <w:r w:rsidRPr="00AA349F" w:rsidDel="005E59D0">
        <w:rPr>
          <w:rFonts w:cs="Arial"/>
          <w:bCs/>
        </w:rPr>
        <w:t>: $</w:t>
      </w:r>
      <w:r>
        <w:rPr>
          <w:rFonts w:cs="Arial"/>
          <w:bCs/>
        </w:rPr>
        <w:t>28.6</w:t>
      </w:r>
      <w:r w:rsidRPr="00AA349F" w:rsidDel="005E59D0">
        <w:rPr>
          <w:rFonts w:cs="Arial"/>
          <w:bCs/>
        </w:rPr>
        <w:t xml:space="preserve"> million), which is approximately 2 per cent. of equity.</w:t>
      </w:r>
    </w:p>
    <w:p w14:paraId="002F9F7F" w14:textId="77777777" w:rsidR="005B1414" w:rsidRPr="0038478F" w:rsidRDefault="005B1414" w:rsidP="00E528D2">
      <w:pPr>
        <w:pStyle w:val="EYBulletedtext1"/>
        <w:numPr>
          <w:ilvl w:val="0"/>
          <w:numId w:val="0"/>
        </w:numPr>
        <w:spacing w:before="120" w:after="120"/>
        <w:jc w:val="both"/>
        <w:rPr>
          <w:rFonts w:cs="Arial"/>
          <w:b/>
        </w:rPr>
      </w:pPr>
      <w:r w:rsidRPr="00AA349F">
        <w:rPr>
          <w:rFonts w:cs="Arial"/>
          <w:b/>
        </w:rPr>
        <w:t>Key audit matters</w:t>
      </w:r>
    </w:p>
    <w:p w14:paraId="3E06868E" w14:textId="77777777" w:rsidR="005B1414" w:rsidRPr="00F23ECE" w:rsidRDefault="005B1414" w:rsidP="00E528D2">
      <w:pPr>
        <w:autoSpaceDE w:val="0"/>
        <w:autoSpaceDN w:val="0"/>
        <w:adjustRightInd w:val="0"/>
        <w:spacing w:before="120" w:after="120"/>
        <w:jc w:val="both"/>
      </w:pPr>
      <w:r w:rsidRPr="00F23ECE">
        <w:t xml:space="preserve">Key audit matters are those matters that, in our professional judgment, were of most significance in our audit of the </w:t>
      </w:r>
      <w:r>
        <w:t>F</w:t>
      </w:r>
      <w:r w:rsidRPr="00F23ECE">
        <w:t xml:space="preserve">inancial </w:t>
      </w:r>
      <w:r>
        <w:t>S</w:t>
      </w:r>
      <w:r w:rsidRPr="00F23ECE">
        <w:t xml:space="preserve">tatements of the current </w:t>
      </w:r>
      <w:r>
        <w:t>year</w:t>
      </w:r>
      <w:r w:rsidRPr="00F23ECE">
        <w:t xml:space="preserve">. In addition to the matters described in the </w:t>
      </w:r>
      <w:r>
        <w:t>‘</w:t>
      </w:r>
      <w:r w:rsidRPr="00F23ECE">
        <w:rPr>
          <w:i/>
        </w:rPr>
        <w:t>Material Uncertainty Related to Going Concern</w:t>
      </w:r>
      <w:r>
        <w:rPr>
          <w:i/>
        </w:rPr>
        <w:t>’</w:t>
      </w:r>
      <w:r w:rsidRPr="00F23ECE">
        <w:rPr>
          <w:i/>
        </w:rPr>
        <w:t xml:space="preserve"> </w:t>
      </w:r>
      <w:r w:rsidRPr="0038478F">
        <w:t>section,</w:t>
      </w:r>
      <w:r w:rsidRPr="00F23ECE">
        <w:t xml:space="preserve"> we have determined the matter</w:t>
      </w:r>
      <w:r>
        <w:t>s</w:t>
      </w:r>
      <w:r w:rsidRPr="00F23ECE">
        <w:t xml:space="preserve"> described below to be the key audit matter</w:t>
      </w:r>
      <w:r>
        <w:t>s</w:t>
      </w:r>
      <w:r w:rsidRPr="00F23ECE">
        <w:t xml:space="preserve"> to be communicated in our report. These matters were addressed in the context of our audit of the financial statements as a whole, and in forming our opinion thereon, and we do not provide a separate opinion on these matters. For each matter below, our description of how our audit addressed the matter is provided in that context.</w:t>
      </w:r>
    </w:p>
    <w:p w14:paraId="1B64D101" w14:textId="77777777" w:rsidR="005B1414" w:rsidRPr="00AA349F" w:rsidRDefault="005B1414" w:rsidP="00E528D2">
      <w:pPr>
        <w:autoSpaceDE w:val="0"/>
        <w:autoSpaceDN w:val="0"/>
        <w:adjustRightInd w:val="0"/>
        <w:spacing w:before="120" w:after="120"/>
        <w:jc w:val="both"/>
      </w:pPr>
      <w:r w:rsidRPr="00F23ECE">
        <w:t xml:space="preserve">We have fulfilled the responsibilities described in the Auditor’s responsibilities for the audit of the </w:t>
      </w:r>
      <w:r>
        <w:t>F</w:t>
      </w:r>
      <w:r w:rsidRPr="00F23ECE">
        <w:t xml:space="preserve">inancial </w:t>
      </w:r>
      <w:r>
        <w:t>S</w:t>
      </w:r>
      <w:r w:rsidRPr="00F23ECE">
        <w:t xml:space="preserve">tatements section of our report, including in relation to these matters. Accordingly, our audit included the performance of procedures designed to respond to our assessment of the risks of material misstatement of the </w:t>
      </w:r>
      <w:r>
        <w:t>F</w:t>
      </w:r>
      <w:r w:rsidRPr="00F23ECE">
        <w:t xml:space="preserve">inancial </w:t>
      </w:r>
      <w:r>
        <w:t>S</w:t>
      </w:r>
      <w:r w:rsidRPr="00F23ECE">
        <w:t>tatements. The results of our audit procedures, including the procedures performed to address the matters below,</w:t>
      </w:r>
      <w:r>
        <w:t xml:space="preserve"> </w:t>
      </w:r>
      <w:r w:rsidRPr="00F23ECE">
        <w:t xml:space="preserve">provide the basis for our audit opinion on the accompanying </w:t>
      </w:r>
      <w:r>
        <w:t>F</w:t>
      </w:r>
      <w:r w:rsidRPr="00F23ECE">
        <w:t xml:space="preserve">inancial </w:t>
      </w:r>
      <w:r>
        <w:t>S</w:t>
      </w:r>
      <w:r w:rsidRPr="00F23ECE">
        <w:t>tatements.</w:t>
      </w:r>
    </w:p>
    <w:tbl>
      <w:tblPr>
        <w:tblStyle w:val="TableGrid"/>
        <w:tblW w:w="10060" w:type="dxa"/>
        <w:tblLayout w:type="fixed"/>
        <w:tblLook w:val="04A0" w:firstRow="1" w:lastRow="0" w:firstColumn="1" w:lastColumn="0" w:noHBand="0" w:noVBand="1"/>
      </w:tblPr>
      <w:tblGrid>
        <w:gridCol w:w="2830"/>
        <w:gridCol w:w="4395"/>
        <w:gridCol w:w="2835"/>
      </w:tblGrid>
      <w:tr w:rsidR="005B1414" w:rsidRPr="00AA349F" w14:paraId="6DA4535D" w14:textId="77777777" w:rsidTr="005B1414">
        <w:trPr>
          <w:tblHeader/>
        </w:trPr>
        <w:tc>
          <w:tcPr>
            <w:tcW w:w="2830" w:type="dxa"/>
            <w:vAlign w:val="center"/>
          </w:tcPr>
          <w:p w14:paraId="05B2C5F2" w14:textId="77777777" w:rsidR="005B1414" w:rsidRPr="00AA349F" w:rsidRDefault="005B1414" w:rsidP="005B1414">
            <w:pPr>
              <w:autoSpaceDE w:val="0"/>
              <w:autoSpaceDN w:val="0"/>
              <w:adjustRightInd w:val="0"/>
              <w:spacing w:before="60" w:after="60"/>
              <w:rPr>
                <w:b/>
                <w:sz w:val="18"/>
              </w:rPr>
            </w:pPr>
            <w:r w:rsidRPr="00AA349F">
              <w:rPr>
                <w:b/>
                <w:sz w:val="18"/>
              </w:rPr>
              <w:t>Risk</w:t>
            </w:r>
          </w:p>
        </w:tc>
        <w:tc>
          <w:tcPr>
            <w:tcW w:w="4395" w:type="dxa"/>
            <w:vAlign w:val="center"/>
          </w:tcPr>
          <w:p w14:paraId="36607955" w14:textId="77777777" w:rsidR="005B1414" w:rsidRPr="00AA349F" w:rsidRDefault="005B1414" w:rsidP="005B1414">
            <w:pPr>
              <w:autoSpaceDE w:val="0"/>
              <w:autoSpaceDN w:val="0"/>
              <w:adjustRightInd w:val="0"/>
              <w:spacing w:before="60" w:after="60"/>
              <w:rPr>
                <w:b/>
                <w:sz w:val="18"/>
              </w:rPr>
            </w:pPr>
            <w:r w:rsidRPr="00AA349F">
              <w:rPr>
                <w:b/>
                <w:sz w:val="18"/>
              </w:rPr>
              <w:t>Our response to the risk</w:t>
            </w:r>
          </w:p>
        </w:tc>
        <w:tc>
          <w:tcPr>
            <w:tcW w:w="2835" w:type="dxa"/>
            <w:vAlign w:val="center"/>
          </w:tcPr>
          <w:p w14:paraId="2E1B6FFF" w14:textId="77777777" w:rsidR="005B1414" w:rsidRPr="00AA349F" w:rsidRDefault="005B1414" w:rsidP="005B1414">
            <w:pPr>
              <w:autoSpaceDE w:val="0"/>
              <w:autoSpaceDN w:val="0"/>
              <w:adjustRightInd w:val="0"/>
              <w:spacing w:before="60" w:after="60"/>
              <w:rPr>
                <w:b/>
                <w:sz w:val="18"/>
              </w:rPr>
            </w:pPr>
            <w:r w:rsidRPr="00AA349F">
              <w:rPr>
                <w:b/>
                <w:sz w:val="18"/>
              </w:rPr>
              <w:t xml:space="preserve">Key observations communicated to the Audit Committee </w:t>
            </w:r>
          </w:p>
        </w:tc>
      </w:tr>
      <w:tr w:rsidR="005B1414" w:rsidRPr="00AA349F" w14:paraId="7BEC84FA" w14:textId="77777777" w:rsidTr="005B1414">
        <w:tc>
          <w:tcPr>
            <w:tcW w:w="2830" w:type="dxa"/>
          </w:tcPr>
          <w:p w14:paraId="541F0CCC" w14:textId="77777777" w:rsidR="005B1414" w:rsidRPr="00AA349F" w:rsidRDefault="005B1414" w:rsidP="005B1414">
            <w:pPr>
              <w:spacing w:before="60" w:after="60"/>
              <w:rPr>
                <w:b/>
                <w:sz w:val="18"/>
              </w:rPr>
            </w:pPr>
            <w:r w:rsidRPr="00AA349F">
              <w:rPr>
                <w:b/>
                <w:sz w:val="18"/>
              </w:rPr>
              <w:t xml:space="preserve">Misstatement or manipulation of the valuation of the Company’s investment in the </w:t>
            </w:r>
            <w:r w:rsidRPr="0086477D">
              <w:rPr>
                <w:b/>
                <w:sz w:val="18"/>
              </w:rPr>
              <w:t xml:space="preserve">Partnership ($772 </w:t>
            </w:r>
            <w:r w:rsidRPr="00AA349F">
              <w:rPr>
                <w:b/>
                <w:sz w:val="18"/>
              </w:rPr>
              <w:t>million; 201</w:t>
            </w:r>
            <w:r>
              <w:rPr>
                <w:b/>
                <w:sz w:val="18"/>
              </w:rPr>
              <w:t>8</w:t>
            </w:r>
            <w:r w:rsidRPr="00AA349F">
              <w:rPr>
                <w:b/>
                <w:sz w:val="18"/>
              </w:rPr>
              <w:t xml:space="preserve"> $1,429 million)</w:t>
            </w:r>
          </w:p>
          <w:p w14:paraId="463ACB3F" w14:textId="70EC0B4B" w:rsidR="005B1414" w:rsidRDefault="005B1414" w:rsidP="005B1414">
            <w:pPr>
              <w:spacing w:before="60" w:after="60"/>
              <w:rPr>
                <w:sz w:val="18"/>
              </w:rPr>
            </w:pPr>
            <w:r w:rsidRPr="00AA349F">
              <w:rPr>
                <w:sz w:val="18"/>
              </w:rPr>
              <w:t xml:space="preserve">The fair value of the Company’s investment in the Partnership is based on the Net Asset Value of the Partnership which, in turn, is based on the fair values of its net assets including the underlying investments held by the Partnership through the </w:t>
            </w:r>
            <w:r w:rsidRPr="00AA349F">
              <w:rPr>
                <w:sz w:val="18"/>
              </w:rPr>
              <w:lastRenderedPageBreak/>
              <w:t xml:space="preserve">investment structures. Most of the underlying investments, are level three investments as defined in the IFRS hierarchy. Valuing such investments requires significant judgement and </w:t>
            </w:r>
            <w:r w:rsidRPr="0086477D">
              <w:rPr>
                <w:sz w:val="18"/>
              </w:rPr>
              <w:t xml:space="preserve">estimation as explained in </w:t>
            </w:r>
            <w:r w:rsidRPr="006A2FE8">
              <w:rPr>
                <w:sz w:val="18"/>
              </w:rPr>
              <w:t>Note 3 to</w:t>
            </w:r>
            <w:r w:rsidRPr="00AA349F">
              <w:rPr>
                <w:sz w:val="18"/>
              </w:rPr>
              <w:t xml:space="preserve"> the Financial Statements and in the Audit Committee Report. It also requires significant industry expertise. </w:t>
            </w:r>
          </w:p>
          <w:p w14:paraId="58940142" w14:textId="77777777" w:rsidR="005B1414" w:rsidRDefault="005B1414" w:rsidP="005B1414">
            <w:pPr>
              <w:autoSpaceDE w:val="0"/>
              <w:autoSpaceDN w:val="0"/>
              <w:adjustRightInd w:val="0"/>
              <w:spacing w:before="60" w:after="60"/>
              <w:rPr>
                <w:sz w:val="18"/>
              </w:rPr>
            </w:pPr>
            <w:r w:rsidRPr="00CB2BF6">
              <w:rPr>
                <w:sz w:val="18"/>
              </w:rPr>
              <w:t>The values of unquoted investments may be misstated due to the application of inappropriate methodologies or inputs to the valuations, discounts / premiums applied at the Riverstone Energy Investment Partnership, L.P. (“the underlying Partnership”) level and/or inappropriate judgmental factors</w:t>
            </w:r>
            <w:r>
              <w:rPr>
                <w:sz w:val="18"/>
              </w:rPr>
              <w:t>.</w:t>
            </w:r>
            <w:r w:rsidRPr="00CB2BF6" w:rsidDel="00CB2BF6">
              <w:rPr>
                <w:sz w:val="18"/>
              </w:rPr>
              <w:t xml:space="preserve"> </w:t>
            </w:r>
          </w:p>
          <w:p w14:paraId="410124DB" w14:textId="77777777" w:rsidR="005B1414" w:rsidRPr="00AA349F" w:rsidRDefault="005B1414" w:rsidP="005B1414">
            <w:pPr>
              <w:autoSpaceDE w:val="0"/>
              <w:autoSpaceDN w:val="0"/>
              <w:adjustRightInd w:val="0"/>
              <w:spacing w:before="60" w:after="60"/>
              <w:rPr>
                <w:sz w:val="18"/>
              </w:rPr>
            </w:pPr>
            <w:r w:rsidRPr="004B4845">
              <w:rPr>
                <w:sz w:val="18"/>
              </w:rPr>
              <w:t>There is also a risk that proper adjustments are not made in the fair value calculations for the effects that tax and General Partner performance allocation will have on realised and unrealised gains of underlying investments.</w:t>
            </w:r>
          </w:p>
        </w:tc>
        <w:tc>
          <w:tcPr>
            <w:tcW w:w="4395" w:type="dxa"/>
            <w:shd w:val="clear" w:color="auto" w:fill="auto"/>
          </w:tcPr>
          <w:p w14:paraId="63EFC444" w14:textId="77777777" w:rsidR="005B1414" w:rsidRPr="003905CC"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lastRenderedPageBreak/>
              <w:t>We identified the risk that the values of unquoted investments (held through Riverstone Energy Investment Partnership, L.P. (“the Partnership”)</w:t>
            </w:r>
            <w:r>
              <w:rPr>
                <w:rFonts w:ascii="Arial" w:hAnsi="Arial"/>
                <w:sz w:val="18"/>
              </w:rPr>
              <w:t>)</w:t>
            </w:r>
            <w:r w:rsidRPr="003905CC">
              <w:rPr>
                <w:rFonts w:ascii="Arial" w:hAnsi="Arial"/>
                <w:sz w:val="18"/>
              </w:rPr>
              <w:t xml:space="preserve"> may be misstated due to the application of inappropriate methodologies or inputs to the valuations and/or inappropriate judgmental factors. </w:t>
            </w:r>
          </w:p>
          <w:p w14:paraId="00495553" w14:textId="77777777" w:rsidR="005B1414" w:rsidRPr="003905CC" w:rsidRDefault="005B1414" w:rsidP="005B1414">
            <w:pPr>
              <w:pStyle w:val="EYAppendiceBodytext"/>
              <w:spacing w:before="60" w:after="60"/>
              <w:ind w:left="35"/>
              <w:rPr>
                <w:rFonts w:ascii="Arial" w:hAnsi="Arial"/>
                <w:sz w:val="18"/>
              </w:rPr>
            </w:pPr>
            <w:r w:rsidRPr="003905CC">
              <w:rPr>
                <w:rFonts w:ascii="Arial" w:hAnsi="Arial"/>
                <w:sz w:val="18"/>
              </w:rPr>
              <w:t>Our audit procedures consisted of:</w:t>
            </w:r>
          </w:p>
          <w:p w14:paraId="185B04DB" w14:textId="77777777" w:rsidR="005B1414" w:rsidRPr="003905CC"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t xml:space="preserve">Updating and confirming our understanding of the Company’s processes and methodologies, including the use of industry specific measures, and policies for valuing investments held by </w:t>
            </w:r>
            <w:r w:rsidRPr="003905CC">
              <w:rPr>
                <w:rFonts w:ascii="Arial" w:hAnsi="Arial"/>
                <w:sz w:val="18"/>
              </w:rPr>
              <w:lastRenderedPageBreak/>
              <w:t>Riverstone Energy Investment Partnership, L.P. (“the Partnership”);</w:t>
            </w:r>
          </w:p>
          <w:p w14:paraId="76D605C5" w14:textId="77777777" w:rsidR="005B1414"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t>Obtaining and inspecting the valuation papers and supporting data to assess whether the data used is appropriate and relevant, and discussing these with the Investment Manager to evaluate whether the fair value of the Company’s investment in the Partnership approximates to the net asset value of the Partnership, challenging the assumptions made by the Investment Manager and Board of Directors of the Company;</w:t>
            </w:r>
          </w:p>
          <w:p w14:paraId="0BA85854" w14:textId="77777777" w:rsidR="005B1414" w:rsidRPr="003905CC"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t xml:space="preserve">Attending fair value discussions in relation to 30 September and 31 December 2019 valuations. These included the Investment Manager, EY Guernsey and EY New York audit teams, and the EY Houston VBM team; </w:t>
            </w:r>
          </w:p>
          <w:p w14:paraId="54513AA6" w14:textId="77777777" w:rsidR="005B1414" w:rsidRPr="003905CC"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t>Vouching valuation inputs that do not require specialist knowledge to independent sources and testing the arithmetical accuracy of the Company’s calculations;</w:t>
            </w:r>
          </w:p>
          <w:p w14:paraId="4B43CB9E" w14:textId="77777777" w:rsidR="005B1414" w:rsidRPr="003905CC"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t>For a sample of investments, engaging EY Houston as valuation specialists to:</w:t>
            </w:r>
          </w:p>
          <w:p w14:paraId="02E75A06" w14:textId="77777777" w:rsidR="005B1414" w:rsidRPr="003905CC" w:rsidRDefault="005B1414" w:rsidP="005B1414">
            <w:pPr>
              <w:pStyle w:val="EYAppendiceBodytext"/>
              <w:numPr>
                <w:ilvl w:val="0"/>
                <w:numId w:val="40"/>
              </w:numPr>
              <w:spacing w:before="60" w:after="60"/>
              <w:ind w:left="602" w:hanging="283"/>
              <w:rPr>
                <w:rFonts w:ascii="Arial" w:hAnsi="Arial"/>
                <w:sz w:val="18"/>
              </w:rPr>
            </w:pPr>
            <w:r w:rsidRPr="003905CC">
              <w:rPr>
                <w:rFonts w:ascii="Arial" w:hAnsi="Arial"/>
                <w:sz w:val="18"/>
              </w:rPr>
              <w:t>use their knowledge of the market to corroborate and challenge the Investment Manager’s mark, and their related judgements and valuation inputs including discount rates, forward oil price, production values and recent relevant transaction data;</w:t>
            </w:r>
          </w:p>
          <w:p w14:paraId="007541B2" w14:textId="77777777" w:rsidR="005B1414" w:rsidRPr="003905CC" w:rsidRDefault="005B1414" w:rsidP="005B1414">
            <w:pPr>
              <w:pStyle w:val="EYAppendiceBodytext"/>
              <w:numPr>
                <w:ilvl w:val="0"/>
                <w:numId w:val="40"/>
              </w:numPr>
              <w:spacing w:before="60" w:after="60"/>
              <w:ind w:left="602" w:hanging="283"/>
              <w:rPr>
                <w:rFonts w:ascii="Arial" w:hAnsi="Arial"/>
                <w:sz w:val="18"/>
              </w:rPr>
            </w:pPr>
            <w:r w:rsidRPr="003905CC">
              <w:rPr>
                <w:rFonts w:ascii="Arial" w:hAnsi="Arial"/>
                <w:sz w:val="18"/>
              </w:rPr>
              <w:t>assist us to determine whether the methodologies used to value investments were in accordance with methods, particularly those specific to the industry, usually used by market participants; and</w:t>
            </w:r>
          </w:p>
          <w:p w14:paraId="2D65EEE8" w14:textId="77777777" w:rsidR="005B1414" w:rsidRPr="003905CC" w:rsidRDefault="005B1414" w:rsidP="005B1414">
            <w:pPr>
              <w:pStyle w:val="EYAppendiceBodytext"/>
              <w:numPr>
                <w:ilvl w:val="0"/>
                <w:numId w:val="40"/>
              </w:numPr>
              <w:spacing w:before="60" w:after="60"/>
              <w:ind w:left="602" w:hanging="283"/>
              <w:rPr>
                <w:rFonts w:ascii="Arial" w:hAnsi="Arial"/>
                <w:sz w:val="18"/>
              </w:rPr>
            </w:pPr>
            <w:r w:rsidRPr="003905CC">
              <w:rPr>
                <w:rFonts w:ascii="Arial" w:hAnsi="Arial"/>
                <w:sz w:val="18"/>
              </w:rPr>
              <w:t>perform procedures to assess whether, in light of market data, the fair values of certain recently acquired investments continue to approximate to their consideration paid.</w:t>
            </w:r>
          </w:p>
          <w:p w14:paraId="3A8B0F52" w14:textId="77777777" w:rsidR="005B1414" w:rsidRPr="003905CC"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t xml:space="preserve">Updating our previous discussions with the Investment Manager with respect to the qualitative factors and other information used to value investments; </w:t>
            </w:r>
          </w:p>
          <w:p w14:paraId="03D789B5" w14:textId="77777777" w:rsidR="005B1414" w:rsidRPr="003905CC"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t>Performing roll forward procedures to capture fair value changes between 30 September and 31 December 2019, with specific focus on changes in macro factors such as oil prices, geopolitical events and company specific events;</w:t>
            </w:r>
          </w:p>
          <w:p w14:paraId="7ECA9681" w14:textId="77777777" w:rsidR="005B1414" w:rsidRPr="003905CC"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t xml:space="preserve">Assessing levels of taxation and performance fee/incentive accruals in investment valuations; </w:t>
            </w:r>
          </w:p>
          <w:p w14:paraId="3CFCC415" w14:textId="77777777" w:rsidR="005B1414" w:rsidRPr="003905CC"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t xml:space="preserve">Reporting to the Audit Committee on the calibration of investment valuations against EY’s ranges and comment on those ranges against other market participants. In addition, </w:t>
            </w:r>
            <w:r>
              <w:rPr>
                <w:rFonts w:ascii="Arial" w:hAnsi="Arial"/>
                <w:sz w:val="18"/>
              </w:rPr>
              <w:t xml:space="preserve">we </w:t>
            </w:r>
            <w:r w:rsidRPr="003905CC">
              <w:rPr>
                <w:rFonts w:ascii="Arial" w:hAnsi="Arial"/>
                <w:sz w:val="18"/>
              </w:rPr>
              <w:t>comment</w:t>
            </w:r>
            <w:r>
              <w:rPr>
                <w:rFonts w:ascii="Arial" w:hAnsi="Arial"/>
                <w:sz w:val="18"/>
              </w:rPr>
              <w:t>ed</w:t>
            </w:r>
            <w:r w:rsidRPr="003905CC">
              <w:rPr>
                <w:rFonts w:ascii="Arial" w:hAnsi="Arial"/>
                <w:sz w:val="18"/>
              </w:rPr>
              <w:t xml:space="preserve"> on any specific movements of valuation marks in those ranges’ vs prior periods; and</w:t>
            </w:r>
          </w:p>
          <w:p w14:paraId="47FB1ECA" w14:textId="77777777" w:rsidR="005B1414" w:rsidRPr="00AA349F" w:rsidRDefault="005B1414" w:rsidP="005B1414">
            <w:pPr>
              <w:pStyle w:val="EYAppendiceBodytext"/>
              <w:numPr>
                <w:ilvl w:val="0"/>
                <w:numId w:val="40"/>
              </w:numPr>
              <w:spacing w:before="60" w:after="60"/>
              <w:ind w:left="319" w:hanging="284"/>
              <w:rPr>
                <w:rFonts w:ascii="Arial" w:hAnsi="Arial"/>
                <w:sz w:val="18"/>
              </w:rPr>
            </w:pPr>
            <w:r w:rsidRPr="003905CC">
              <w:rPr>
                <w:rFonts w:ascii="Arial" w:hAnsi="Arial"/>
                <w:sz w:val="18"/>
              </w:rPr>
              <w:t>Identifying the key unobservable inputs to valuations and reviewing and assessing the reasonableness of the sensitivity workings and disclosures, comparing the Investment Adviser’s position with EY’s range of acceptable inputs.</w:t>
            </w:r>
          </w:p>
        </w:tc>
        <w:tc>
          <w:tcPr>
            <w:tcW w:w="2835" w:type="dxa"/>
            <w:shd w:val="clear" w:color="auto" w:fill="auto"/>
          </w:tcPr>
          <w:p w14:paraId="07D8F7F7" w14:textId="77777777" w:rsidR="005B1414" w:rsidRPr="0038478F" w:rsidRDefault="005B1414" w:rsidP="005B1414">
            <w:pPr>
              <w:autoSpaceDE w:val="0"/>
              <w:autoSpaceDN w:val="0"/>
              <w:adjustRightInd w:val="0"/>
              <w:spacing w:before="60" w:after="60"/>
              <w:rPr>
                <w:sz w:val="18"/>
              </w:rPr>
            </w:pPr>
            <w:r w:rsidRPr="0038478F">
              <w:rPr>
                <w:sz w:val="18"/>
              </w:rPr>
              <w:lastRenderedPageBreak/>
              <w:t>We reported to the Audit Committee that overall there were no material matters arising from our audit work on the valuation of the Company’s investment in the Partnership that we wished to bring to their attention.</w:t>
            </w:r>
          </w:p>
          <w:p w14:paraId="29AD6445" w14:textId="77777777" w:rsidR="005B1414" w:rsidRPr="00AA349F" w:rsidRDefault="005B1414" w:rsidP="005B1414">
            <w:pPr>
              <w:autoSpaceDE w:val="0"/>
              <w:autoSpaceDN w:val="0"/>
              <w:adjustRightInd w:val="0"/>
              <w:spacing w:before="60" w:after="60"/>
              <w:rPr>
                <w:sz w:val="18"/>
              </w:rPr>
            </w:pPr>
          </w:p>
        </w:tc>
      </w:tr>
    </w:tbl>
    <w:p w14:paraId="3DEE0D2B" w14:textId="77777777" w:rsidR="00E528D2" w:rsidRDefault="00E528D2" w:rsidP="005B1414">
      <w:pPr>
        <w:spacing w:before="120" w:after="120"/>
        <w:rPr>
          <w:b/>
        </w:rPr>
      </w:pPr>
    </w:p>
    <w:p w14:paraId="3BB669D3" w14:textId="20C4EE13" w:rsidR="005B1414" w:rsidRPr="00AA349F" w:rsidRDefault="005B1414" w:rsidP="00E528D2">
      <w:pPr>
        <w:spacing w:before="120" w:after="120"/>
        <w:jc w:val="both"/>
        <w:rPr>
          <w:b/>
        </w:rPr>
      </w:pPr>
      <w:r w:rsidRPr="00AA349F">
        <w:rPr>
          <w:b/>
        </w:rPr>
        <w:t>An overview of the scope of our audit</w:t>
      </w:r>
    </w:p>
    <w:p w14:paraId="600698FE" w14:textId="77777777" w:rsidR="005B1414" w:rsidRPr="00AA349F" w:rsidRDefault="005B1414" w:rsidP="00E528D2">
      <w:pPr>
        <w:pStyle w:val="EYBulletedtext1"/>
        <w:numPr>
          <w:ilvl w:val="0"/>
          <w:numId w:val="0"/>
        </w:numPr>
        <w:spacing w:before="120" w:after="120"/>
        <w:ind w:left="425" w:hanging="425"/>
        <w:jc w:val="both"/>
        <w:rPr>
          <w:rFonts w:cs="Arial"/>
          <w:b/>
        </w:rPr>
      </w:pPr>
      <w:r w:rsidRPr="00AA349F">
        <w:rPr>
          <w:rFonts w:cs="Arial"/>
          <w:b/>
        </w:rPr>
        <w:t>Tailoring the scope</w:t>
      </w:r>
    </w:p>
    <w:p w14:paraId="78284434" w14:textId="77777777" w:rsidR="005B1414" w:rsidRPr="00AA349F" w:rsidRDefault="005B1414" w:rsidP="00E528D2">
      <w:pPr>
        <w:pStyle w:val="EYBulletedtext1"/>
        <w:numPr>
          <w:ilvl w:val="0"/>
          <w:numId w:val="0"/>
        </w:numPr>
        <w:tabs>
          <w:tab w:val="left" w:pos="0"/>
        </w:tabs>
        <w:spacing w:before="120" w:after="120"/>
        <w:jc w:val="both"/>
        <w:rPr>
          <w:rFonts w:cs="Arial"/>
        </w:rPr>
      </w:pPr>
      <w:r w:rsidRPr="00AA349F">
        <w:rPr>
          <w:rFonts w:cs="Arial"/>
        </w:rPr>
        <w:t>Our assessment of audit risk, our evaluation of materiality and our allocation of performance materiality determine our audit scope for the Company. This enables us to form an opinion on the Financial Statements. We consider size, risk profile, the organisation of the Company and effectiveness of controls, including controls and changes in the business environment when assessing the level of work to be performed. All audit work was performed directly by the audit engagement team.</w:t>
      </w:r>
    </w:p>
    <w:p w14:paraId="3BCD695D" w14:textId="77777777" w:rsidR="005B1414" w:rsidRPr="00AA349F" w:rsidRDefault="005B1414" w:rsidP="00E528D2">
      <w:pPr>
        <w:pStyle w:val="EYBulletedtext1"/>
        <w:numPr>
          <w:ilvl w:val="0"/>
          <w:numId w:val="0"/>
        </w:numPr>
        <w:spacing w:before="120" w:after="120"/>
        <w:ind w:left="425" w:hanging="425"/>
        <w:jc w:val="both"/>
        <w:rPr>
          <w:rFonts w:cs="Arial"/>
          <w:b/>
        </w:rPr>
      </w:pPr>
      <w:r w:rsidRPr="00AA349F">
        <w:rPr>
          <w:rFonts w:cs="Arial"/>
          <w:b/>
        </w:rPr>
        <w:t>Our application of materiality</w:t>
      </w:r>
    </w:p>
    <w:p w14:paraId="524FF2F8" w14:textId="77777777" w:rsidR="005B1414" w:rsidRPr="00AA349F" w:rsidRDefault="005B1414" w:rsidP="00E528D2">
      <w:pPr>
        <w:pStyle w:val="EYBulletedtext1"/>
        <w:numPr>
          <w:ilvl w:val="0"/>
          <w:numId w:val="0"/>
        </w:numPr>
        <w:spacing w:before="120" w:after="120"/>
        <w:jc w:val="both"/>
        <w:rPr>
          <w:rFonts w:cs="Arial"/>
        </w:rPr>
      </w:pPr>
      <w:r w:rsidRPr="00AA349F">
        <w:rPr>
          <w:rFonts w:cs="Arial"/>
        </w:rPr>
        <w:t xml:space="preserve">We apply the concept of materiality in planning and performing the audit, in evaluating the effect of identified misstatements on the audit and in forming our audit opinion.  </w:t>
      </w:r>
    </w:p>
    <w:p w14:paraId="6028FA4B" w14:textId="77777777" w:rsidR="005B1414" w:rsidRPr="00AA349F" w:rsidRDefault="005B1414" w:rsidP="00E528D2">
      <w:pPr>
        <w:pStyle w:val="EYBulletedtext1"/>
        <w:numPr>
          <w:ilvl w:val="0"/>
          <w:numId w:val="0"/>
        </w:numPr>
        <w:spacing w:before="120" w:after="120"/>
        <w:jc w:val="both"/>
        <w:rPr>
          <w:rFonts w:cs="Arial"/>
          <w:b/>
        </w:rPr>
      </w:pPr>
      <w:r w:rsidRPr="00AA349F">
        <w:rPr>
          <w:rFonts w:cs="Arial"/>
          <w:b/>
        </w:rPr>
        <w:t>Materiality</w:t>
      </w:r>
    </w:p>
    <w:p w14:paraId="1F170629" w14:textId="77777777" w:rsidR="005B1414" w:rsidRPr="00AA349F" w:rsidRDefault="005B1414" w:rsidP="00E528D2">
      <w:pPr>
        <w:pStyle w:val="EYBulletedtext1"/>
        <w:numPr>
          <w:ilvl w:val="0"/>
          <w:numId w:val="0"/>
        </w:numPr>
        <w:spacing w:before="120" w:after="120"/>
        <w:jc w:val="both"/>
        <w:rPr>
          <w:rFonts w:cs="Arial"/>
          <w:i/>
        </w:rPr>
      </w:pPr>
      <w:r w:rsidRPr="00AA349F">
        <w:rPr>
          <w:rFonts w:cs="Arial"/>
          <w:i/>
        </w:rPr>
        <w:t>“Materiality” is the magnitude of omissions or misstatements that, individually or in aggregate, could reasonably be expected to influence the economic decisions of the users of the Financial Statements. Materiality provides a basis for determining the nature and extent of our audit procedures.</w:t>
      </w:r>
    </w:p>
    <w:p w14:paraId="5154107C" w14:textId="77777777" w:rsidR="005B1414" w:rsidRPr="00AA349F" w:rsidRDefault="005B1414" w:rsidP="00E528D2">
      <w:pPr>
        <w:pStyle w:val="EYBulletedtext1"/>
        <w:numPr>
          <w:ilvl w:val="0"/>
          <w:numId w:val="0"/>
        </w:numPr>
        <w:spacing w:before="120" w:after="120"/>
        <w:jc w:val="both"/>
        <w:rPr>
          <w:rFonts w:cs="Arial"/>
        </w:rPr>
      </w:pPr>
      <w:r w:rsidRPr="00AA349F">
        <w:rPr>
          <w:rFonts w:cs="Arial"/>
        </w:rPr>
        <w:t xml:space="preserve">We determined planning materiality for the Company to </w:t>
      </w:r>
      <w:r w:rsidRPr="00117B3F">
        <w:rPr>
          <w:rFonts w:cs="Arial"/>
        </w:rPr>
        <w:t>be $15.4 millio</w:t>
      </w:r>
      <w:r w:rsidRPr="00211B5A">
        <w:rPr>
          <w:rFonts w:cs="Arial"/>
        </w:rPr>
        <w:t>n</w:t>
      </w:r>
      <w:r w:rsidRPr="00AA349F">
        <w:rPr>
          <w:rFonts w:cs="Arial"/>
        </w:rPr>
        <w:t xml:space="preserve"> (201</w:t>
      </w:r>
      <w:r>
        <w:rPr>
          <w:rFonts w:cs="Arial"/>
        </w:rPr>
        <w:t>8</w:t>
      </w:r>
      <w:r w:rsidRPr="00AA349F">
        <w:rPr>
          <w:rFonts w:cs="Arial"/>
        </w:rPr>
        <w:t>: $</w:t>
      </w:r>
      <w:r>
        <w:rPr>
          <w:rFonts w:cs="Arial"/>
        </w:rPr>
        <w:t>28.6</w:t>
      </w:r>
      <w:r w:rsidRPr="00AA349F">
        <w:rPr>
          <w:rFonts w:cs="Arial"/>
        </w:rPr>
        <w:t xml:space="preserve"> million), which is approximately 2 per cent. (201</w:t>
      </w:r>
      <w:r>
        <w:rPr>
          <w:rFonts w:cs="Arial"/>
        </w:rPr>
        <w:t>8</w:t>
      </w:r>
      <w:r w:rsidRPr="00AA349F">
        <w:rPr>
          <w:rFonts w:cs="Arial"/>
        </w:rPr>
        <w:t>: 2 per cent.) of equity. This provided a basis for determining the nature, timing and extent of risk assessment procedures, identifying and assessing the risk of material misstatement and determining the nature, timing and extent of further audit procedures. We used equity as a basis for determining planning materiality because the Company’s primary performance measures for internal and external reporting are based on equity.</w:t>
      </w:r>
    </w:p>
    <w:p w14:paraId="21094ABA" w14:textId="77777777" w:rsidR="005B1414" w:rsidRPr="00AA349F" w:rsidRDefault="005B1414" w:rsidP="00E528D2">
      <w:pPr>
        <w:pStyle w:val="EYBulletedtext1"/>
        <w:numPr>
          <w:ilvl w:val="0"/>
          <w:numId w:val="0"/>
        </w:numPr>
        <w:spacing w:before="120" w:after="120"/>
        <w:jc w:val="both"/>
        <w:rPr>
          <w:rFonts w:cs="Arial"/>
          <w:b/>
        </w:rPr>
      </w:pPr>
      <w:r w:rsidRPr="00AA349F">
        <w:rPr>
          <w:rFonts w:cs="Arial"/>
          <w:b/>
        </w:rPr>
        <w:t>Performance materiality</w:t>
      </w:r>
    </w:p>
    <w:p w14:paraId="7C8487B3" w14:textId="77777777" w:rsidR="005B1414" w:rsidRPr="00AA349F" w:rsidRDefault="005B1414" w:rsidP="00E528D2">
      <w:pPr>
        <w:pStyle w:val="EYBulletedtext1"/>
        <w:numPr>
          <w:ilvl w:val="0"/>
          <w:numId w:val="0"/>
        </w:numPr>
        <w:spacing w:before="120" w:after="120"/>
        <w:jc w:val="both"/>
        <w:rPr>
          <w:rFonts w:cs="Arial"/>
          <w:i/>
        </w:rPr>
      </w:pPr>
      <w:r w:rsidRPr="00AA349F">
        <w:rPr>
          <w:rFonts w:cs="Arial"/>
          <w:i/>
        </w:rPr>
        <w:t>“Performance materiality” is the application of materiality at the individual account or balance level.  It is set at an amount to reduce to an appropriately low level the probability that the aggregate of uncorrected and undetected misstatements exceeds materiality.</w:t>
      </w:r>
    </w:p>
    <w:p w14:paraId="0356DED5" w14:textId="77777777" w:rsidR="005B1414" w:rsidRPr="00AA349F" w:rsidRDefault="005B1414" w:rsidP="00E528D2">
      <w:pPr>
        <w:pStyle w:val="EYBulletedtext1"/>
        <w:numPr>
          <w:ilvl w:val="0"/>
          <w:numId w:val="0"/>
        </w:numPr>
        <w:spacing w:before="120" w:after="120"/>
        <w:jc w:val="both"/>
        <w:rPr>
          <w:rFonts w:cs="Arial"/>
        </w:rPr>
      </w:pPr>
      <w:r w:rsidRPr="00AA349F">
        <w:rPr>
          <w:rFonts w:eastAsiaTheme="minorHAnsi" w:cs="Arial"/>
        </w:rPr>
        <w:t xml:space="preserve">Based on our risk assessments, together with our assessment of the Company’s overall control environment, our judgement was that overall performance materiality (i.e. our tolerance for misstatement in an individual account or balance) for the Company should be 75 per cent. of materiality, </w:t>
      </w:r>
      <w:r w:rsidRPr="00117B3F">
        <w:rPr>
          <w:rFonts w:eastAsiaTheme="minorHAnsi" w:cs="Arial"/>
        </w:rPr>
        <w:t>namely $11.6 millio</w:t>
      </w:r>
      <w:r w:rsidRPr="00211B5A">
        <w:rPr>
          <w:rFonts w:eastAsiaTheme="minorHAnsi" w:cs="Arial"/>
        </w:rPr>
        <w:t>n</w:t>
      </w:r>
      <w:r w:rsidRPr="00AA349F">
        <w:rPr>
          <w:rFonts w:eastAsiaTheme="minorHAnsi" w:cs="Arial"/>
        </w:rPr>
        <w:t xml:space="preserve"> (201</w:t>
      </w:r>
      <w:r>
        <w:rPr>
          <w:rFonts w:eastAsiaTheme="minorHAnsi" w:cs="Arial"/>
        </w:rPr>
        <w:t>8</w:t>
      </w:r>
      <w:r w:rsidRPr="00AA349F">
        <w:rPr>
          <w:rFonts w:eastAsiaTheme="minorHAnsi" w:cs="Arial"/>
        </w:rPr>
        <w:t>: 75 per cent. of materiality, namely $</w:t>
      </w:r>
      <w:r>
        <w:rPr>
          <w:rFonts w:eastAsiaTheme="minorHAnsi" w:cs="Arial"/>
        </w:rPr>
        <w:t>21.</w:t>
      </w:r>
      <w:r w:rsidRPr="00AA349F">
        <w:rPr>
          <w:rFonts w:eastAsiaTheme="minorHAnsi" w:cs="Arial"/>
        </w:rPr>
        <w:t>5 million). Our objective in adopting this approach was to ensure that total uncorrected and undetected audit differences in the Financial Statements did not exceed our materiality level.</w:t>
      </w:r>
    </w:p>
    <w:p w14:paraId="36AF4E26" w14:textId="77777777" w:rsidR="005B1414" w:rsidRPr="00AA349F" w:rsidRDefault="005B1414" w:rsidP="00E528D2">
      <w:pPr>
        <w:pStyle w:val="EYBulletedtext1"/>
        <w:numPr>
          <w:ilvl w:val="0"/>
          <w:numId w:val="0"/>
        </w:numPr>
        <w:spacing w:before="120" w:after="120"/>
        <w:jc w:val="both"/>
        <w:rPr>
          <w:rFonts w:cs="Arial"/>
          <w:b/>
        </w:rPr>
      </w:pPr>
      <w:r w:rsidRPr="00AA349F">
        <w:rPr>
          <w:rFonts w:cs="Arial"/>
          <w:b/>
        </w:rPr>
        <w:t>Reporting threshold</w:t>
      </w:r>
    </w:p>
    <w:p w14:paraId="7E55C731" w14:textId="77777777" w:rsidR="005B1414" w:rsidRPr="00AA349F" w:rsidRDefault="005B1414" w:rsidP="00E528D2">
      <w:pPr>
        <w:pStyle w:val="EYBulletedtext1"/>
        <w:numPr>
          <w:ilvl w:val="0"/>
          <w:numId w:val="0"/>
        </w:numPr>
        <w:spacing w:before="120" w:after="120"/>
        <w:jc w:val="both"/>
        <w:rPr>
          <w:rFonts w:eastAsiaTheme="minorHAnsi" w:cs="Arial"/>
          <w:i/>
        </w:rPr>
      </w:pPr>
      <w:r w:rsidRPr="00AA349F">
        <w:rPr>
          <w:rFonts w:eastAsiaTheme="minorHAnsi" w:cs="Arial"/>
          <w:i/>
        </w:rPr>
        <w:t>“Reporting threshold” is an amount below which identified misstatements are considered as being clearly trivial.</w:t>
      </w:r>
    </w:p>
    <w:p w14:paraId="3BC79644" w14:textId="77777777" w:rsidR="005B1414" w:rsidRPr="00AA349F" w:rsidRDefault="005B1414" w:rsidP="00E528D2">
      <w:pPr>
        <w:pStyle w:val="EYBulletedtext1"/>
        <w:numPr>
          <w:ilvl w:val="0"/>
          <w:numId w:val="0"/>
        </w:numPr>
        <w:spacing w:before="120" w:after="120"/>
        <w:jc w:val="both"/>
        <w:rPr>
          <w:rFonts w:eastAsiaTheme="minorHAnsi" w:cs="Arial"/>
        </w:rPr>
      </w:pPr>
      <w:r w:rsidRPr="00AA349F">
        <w:rPr>
          <w:rFonts w:eastAsiaTheme="minorHAnsi" w:cs="Arial"/>
        </w:rPr>
        <w:t xml:space="preserve">We agreed with the Audit Committee that we would report to them all audit differences in excess of </w:t>
      </w:r>
      <w:r w:rsidRPr="00117B3F">
        <w:rPr>
          <w:rFonts w:eastAsiaTheme="minorHAnsi" w:cs="Arial"/>
        </w:rPr>
        <w:t>$0.8 million (2018: $1.4 million) which is set at 5 per cent. of planning materiality, as well as</w:t>
      </w:r>
      <w:r w:rsidRPr="00AA349F">
        <w:rPr>
          <w:rFonts w:eastAsiaTheme="minorHAnsi" w:cs="Arial"/>
        </w:rPr>
        <w:t xml:space="preserve"> differences below that threshold that, in our view, warranted reporting on qualitative grounds.</w:t>
      </w:r>
      <w:r w:rsidRPr="00AA349F" w:rsidDel="001265AD">
        <w:rPr>
          <w:rFonts w:eastAsiaTheme="minorHAnsi" w:cs="Arial"/>
        </w:rPr>
        <w:t xml:space="preserve"> </w:t>
      </w:r>
    </w:p>
    <w:p w14:paraId="72DC8518" w14:textId="77777777" w:rsidR="005B1414" w:rsidRPr="00AA349F" w:rsidRDefault="005B1414" w:rsidP="00E528D2">
      <w:pPr>
        <w:pStyle w:val="EYBulletedtext1"/>
        <w:numPr>
          <w:ilvl w:val="0"/>
          <w:numId w:val="0"/>
        </w:numPr>
        <w:spacing w:before="120" w:after="120"/>
        <w:jc w:val="both"/>
        <w:rPr>
          <w:rFonts w:eastAsiaTheme="minorHAnsi" w:cs="Arial"/>
        </w:rPr>
      </w:pPr>
      <w:r w:rsidRPr="00AA349F">
        <w:rPr>
          <w:rFonts w:eastAsiaTheme="minorHAnsi" w:cs="Arial"/>
        </w:rPr>
        <w:t>We evaluated any uncorrected misstatements against both the quantitative measures of materiality discussed above and considering other relevant qualitative considerations in forming our opinion.</w:t>
      </w:r>
    </w:p>
    <w:p w14:paraId="10EAD41F" w14:textId="77777777" w:rsidR="005B1414" w:rsidRPr="00AA349F" w:rsidRDefault="005B1414" w:rsidP="00E528D2">
      <w:pPr>
        <w:pStyle w:val="EYBulletedtext1"/>
        <w:numPr>
          <w:ilvl w:val="0"/>
          <w:numId w:val="0"/>
        </w:numPr>
        <w:spacing w:before="120" w:after="120"/>
        <w:jc w:val="both"/>
        <w:rPr>
          <w:rFonts w:cs="Arial"/>
          <w:b/>
        </w:rPr>
      </w:pPr>
      <w:r w:rsidRPr="00AA349F">
        <w:rPr>
          <w:rFonts w:cs="Arial"/>
          <w:b/>
        </w:rPr>
        <w:t xml:space="preserve">Other information </w:t>
      </w:r>
    </w:p>
    <w:p w14:paraId="1BD85A0B" w14:textId="77777777" w:rsidR="005B1414" w:rsidRPr="00AA349F" w:rsidRDefault="005B1414" w:rsidP="000E682E">
      <w:pPr>
        <w:autoSpaceDE w:val="0"/>
        <w:autoSpaceDN w:val="0"/>
        <w:adjustRightInd w:val="0"/>
        <w:spacing w:before="120" w:after="120"/>
        <w:jc w:val="both"/>
      </w:pPr>
      <w:r w:rsidRPr="00AA349F">
        <w:t>The other information comprises the information included in the Annual Report, other than the Financial Statements and our auditor’s report thereon.  The Directors are responsible for the other information.</w:t>
      </w:r>
    </w:p>
    <w:p w14:paraId="560314FD" w14:textId="77777777" w:rsidR="005B1414" w:rsidRPr="00AA349F" w:rsidRDefault="005B1414" w:rsidP="000E682E">
      <w:pPr>
        <w:autoSpaceDE w:val="0"/>
        <w:autoSpaceDN w:val="0"/>
        <w:adjustRightInd w:val="0"/>
        <w:spacing w:before="120" w:after="120"/>
        <w:jc w:val="both"/>
      </w:pPr>
      <w:r w:rsidRPr="00AA349F">
        <w:t xml:space="preserve">Our opinion on the Financial Statements does not cover the other information and, except to the extent otherwise explicitly stated in this report, we do not express any form of assurance conclusion thereon. </w:t>
      </w:r>
    </w:p>
    <w:p w14:paraId="4F490234" w14:textId="77777777" w:rsidR="005B1414" w:rsidRDefault="005B1414" w:rsidP="000E682E">
      <w:pPr>
        <w:autoSpaceDE w:val="0"/>
        <w:autoSpaceDN w:val="0"/>
        <w:adjustRightInd w:val="0"/>
        <w:spacing w:before="120" w:after="120"/>
        <w:jc w:val="both"/>
      </w:pPr>
      <w:r w:rsidRPr="00AA349F">
        <w:t xml:space="preserve">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w:t>
      </w:r>
    </w:p>
    <w:p w14:paraId="3EE66BFE" w14:textId="77777777" w:rsidR="005B1414" w:rsidRPr="00AA349F" w:rsidRDefault="005B1414" w:rsidP="000E682E">
      <w:pPr>
        <w:autoSpaceDE w:val="0"/>
        <w:autoSpaceDN w:val="0"/>
        <w:adjustRightInd w:val="0"/>
        <w:spacing w:before="120" w:after="120"/>
        <w:jc w:val="both"/>
      </w:pPr>
      <w:r w:rsidRPr="00AA349F">
        <w:t>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the other information, we are required to report that fact.</w:t>
      </w:r>
    </w:p>
    <w:p w14:paraId="28C9C6B7" w14:textId="77777777" w:rsidR="005B1414" w:rsidRPr="00AA349F" w:rsidRDefault="005B1414" w:rsidP="00E528D2">
      <w:pPr>
        <w:autoSpaceDE w:val="0"/>
        <w:autoSpaceDN w:val="0"/>
        <w:adjustRightInd w:val="0"/>
        <w:spacing w:before="120" w:after="120"/>
        <w:jc w:val="both"/>
      </w:pPr>
      <w:r w:rsidRPr="00AA349F">
        <w:t>We have nothing to report in this regard.</w:t>
      </w:r>
    </w:p>
    <w:p w14:paraId="5FD93358" w14:textId="77777777" w:rsidR="005B1414" w:rsidRPr="00AA349F" w:rsidRDefault="005B1414" w:rsidP="00E528D2">
      <w:pPr>
        <w:autoSpaceDE w:val="0"/>
        <w:autoSpaceDN w:val="0"/>
        <w:adjustRightInd w:val="0"/>
        <w:spacing w:before="120" w:after="120"/>
        <w:jc w:val="both"/>
      </w:pPr>
      <w:r w:rsidRPr="00AA349F">
        <w:t>In this context, we also have nothing to report regarding our responsibility to specifically address the following items in the other information and to report as uncorrected material misstatements of the other information where we conclude that those items meet the following conditions:</w:t>
      </w:r>
    </w:p>
    <w:p w14:paraId="2A93A125" w14:textId="358A0667" w:rsidR="005B1414" w:rsidRPr="00AA349F" w:rsidRDefault="005B1414" w:rsidP="00E528D2">
      <w:pPr>
        <w:pStyle w:val="Default"/>
        <w:numPr>
          <w:ilvl w:val="0"/>
          <w:numId w:val="38"/>
        </w:numPr>
        <w:spacing w:before="120" w:after="120"/>
        <w:ind w:left="357" w:hanging="357"/>
        <w:jc w:val="both"/>
        <w:rPr>
          <w:sz w:val="20"/>
          <w:szCs w:val="20"/>
        </w:rPr>
      </w:pPr>
      <w:r w:rsidRPr="00AA349F">
        <w:rPr>
          <w:b/>
          <w:bCs/>
          <w:sz w:val="20"/>
          <w:szCs w:val="20"/>
        </w:rPr>
        <w:lastRenderedPageBreak/>
        <w:t xml:space="preserve">Fair, balanced and </w:t>
      </w:r>
      <w:r w:rsidRPr="00AA349F">
        <w:rPr>
          <w:b/>
          <w:bCs/>
          <w:color w:val="auto"/>
          <w:sz w:val="20"/>
          <w:szCs w:val="20"/>
        </w:rPr>
        <w:t>understandable</w:t>
      </w:r>
      <w:r w:rsidR="007B606F">
        <w:rPr>
          <w:b/>
          <w:bCs/>
          <w:color w:val="auto"/>
          <w:sz w:val="20"/>
          <w:szCs w:val="20"/>
        </w:rPr>
        <w:t xml:space="preserve"> </w:t>
      </w:r>
      <w:r w:rsidRPr="00AA349F">
        <w:rPr>
          <w:b/>
          <w:bCs/>
          <w:color w:val="auto"/>
          <w:sz w:val="20"/>
          <w:szCs w:val="20"/>
        </w:rPr>
        <w:t xml:space="preserve">– </w:t>
      </w:r>
      <w:r w:rsidRPr="00AA349F">
        <w:rPr>
          <w:color w:val="auto"/>
          <w:sz w:val="20"/>
          <w:szCs w:val="20"/>
        </w:rPr>
        <w:t xml:space="preserve">the statement given </w:t>
      </w:r>
      <w:r w:rsidRPr="000E682E">
        <w:rPr>
          <w:color w:val="auto"/>
          <w:sz w:val="20"/>
          <w:szCs w:val="20"/>
        </w:rPr>
        <w:t>by the Directors that they consider the Annual Report and Financial Statements taken as a whole is fair, balanced and understandable and provides the information necessary for Shareholders to assess the Company’s performance, business model and strategy, is materially inconsistent with our knowledge obtained in the audit; or</w:t>
      </w:r>
      <w:r w:rsidRPr="00AA349F">
        <w:rPr>
          <w:sz w:val="20"/>
          <w:szCs w:val="20"/>
        </w:rPr>
        <w:t xml:space="preserve"> </w:t>
      </w:r>
    </w:p>
    <w:p w14:paraId="7C99CAAD" w14:textId="5C7D9B4A" w:rsidR="005B1414" w:rsidRPr="00AA349F" w:rsidRDefault="005B1414" w:rsidP="00E528D2">
      <w:pPr>
        <w:pStyle w:val="Default"/>
        <w:numPr>
          <w:ilvl w:val="0"/>
          <w:numId w:val="38"/>
        </w:numPr>
        <w:spacing w:before="120" w:after="120"/>
        <w:ind w:left="357" w:hanging="357"/>
        <w:jc w:val="both"/>
        <w:rPr>
          <w:color w:val="auto"/>
          <w:sz w:val="20"/>
          <w:szCs w:val="20"/>
        </w:rPr>
      </w:pPr>
      <w:r w:rsidRPr="00AA349F">
        <w:rPr>
          <w:b/>
          <w:bCs/>
          <w:sz w:val="20"/>
          <w:szCs w:val="20"/>
        </w:rPr>
        <w:t xml:space="preserve">Audit committee </w:t>
      </w:r>
      <w:r w:rsidRPr="00AA349F">
        <w:rPr>
          <w:b/>
          <w:bCs/>
          <w:color w:val="auto"/>
          <w:sz w:val="20"/>
          <w:szCs w:val="20"/>
        </w:rPr>
        <w:t>reporting</w:t>
      </w:r>
      <w:r w:rsidR="007B606F">
        <w:rPr>
          <w:b/>
          <w:bCs/>
          <w:color w:val="auto"/>
          <w:sz w:val="20"/>
          <w:szCs w:val="20"/>
        </w:rPr>
        <w:t xml:space="preserve"> </w:t>
      </w:r>
      <w:r w:rsidRPr="00AA349F">
        <w:rPr>
          <w:b/>
          <w:bCs/>
          <w:color w:val="auto"/>
          <w:sz w:val="20"/>
          <w:szCs w:val="20"/>
        </w:rPr>
        <w:t xml:space="preserve">– </w:t>
      </w:r>
      <w:r w:rsidRPr="003A1BAF">
        <w:rPr>
          <w:color w:val="auto"/>
          <w:sz w:val="20"/>
          <w:szCs w:val="20"/>
        </w:rPr>
        <w:t>the section describing the work of the audit committee does not appropriately address matters communicated by us to the audit committee</w:t>
      </w:r>
      <w:r w:rsidRPr="00AA349F">
        <w:rPr>
          <w:color w:val="auto"/>
          <w:sz w:val="20"/>
          <w:szCs w:val="20"/>
        </w:rPr>
        <w:t>; or</w:t>
      </w:r>
    </w:p>
    <w:p w14:paraId="33013E91" w14:textId="629C8B33" w:rsidR="005B1414" w:rsidRPr="000E682E" w:rsidRDefault="005B1414" w:rsidP="00E528D2">
      <w:pPr>
        <w:pStyle w:val="Default"/>
        <w:numPr>
          <w:ilvl w:val="0"/>
          <w:numId w:val="38"/>
        </w:numPr>
        <w:spacing w:before="120" w:after="120"/>
        <w:ind w:left="357" w:hanging="357"/>
        <w:jc w:val="both"/>
        <w:rPr>
          <w:color w:val="auto"/>
          <w:sz w:val="20"/>
          <w:szCs w:val="20"/>
        </w:rPr>
      </w:pPr>
      <w:r w:rsidRPr="00AA349F">
        <w:rPr>
          <w:b/>
          <w:bCs/>
          <w:color w:val="auto"/>
          <w:sz w:val="20"/>
          <w:szCs w:val="20"/>
        </w:rPr>
        <w:t>Directors’ statement of compliance with the UK Corporate Governance Code</w:t>
      </w:r>
      <w:r w:rsidR="007B606F">
        <w:rPr>
          <w:b/>
          <w:bCs/>
          <w:color w:val="auto"/>
          <w:sz w:val="20"/>
          <w:szCs w:val="20"/>
        </w:rPr>
        <w:t xml:space="preserve"> </w:t>
      </w:r>
      <w:r w:rsidRPr="00AA349F">
        <w:rPr>
          <w:b/>
          <w:bCs/>
          <w:color w:val="auto"/>
          <w:sz w:val="20"/>
          <w:szCs w:val="20"/>
        </w:rPr>
        <w:t xml:space="preserve">– </w:t>
      </w:r>
      <w:r w:rsidRPr="00AA349F">
        <w:rPr>
          <w:color w:val="auto"/>
          <w:sz w:val="20"/>
          <w:szCs w:val="20"/>
        </w:rPr>
        <w:t xml:space="preserve">the parts of the Directors’ statement </w:t>
      </w:r>
      <w:r w:rsidRPr="000E682E">
        <w:rPr>
          <w:color w:val="auto"/>
          <w:sz w:val="20"/>
          <w:szCs w:val="20"/>
        </w:rPr>
        <w:t>required under the Listing Rules relating to the Company’s compliance with the UK Corporate Governance Code containing provisions specified for review by the auditor in accordance with Listing Rule 9.8.10R(2) do not properly disclose a departure from a relevant provision of the UK Corporate Governance Code.</w:t>
      </w:r>
    </w:p>
    <w:p w14:paraId="51CA13EC" w14:textId="77777777" w:rsidR="005B1414" w:rsidRPr="00AA349F" w:rsidRDefault="005B1414" w:rsidP="007B606F">
      <w:pPr>
        <w:pStyle w:val="EYHeading2"/>
        <w:jc w:val="both"/>
        <w:rPr>
          <w:rFonts w:cs="Arial"/>
          <w:sz w:val="20"/>
          <w:szCs w:val="20"/>
        </w:rPr>
      </w:pPr>
      <w:bookmarkStart w:id="32" w:name="_Hlk1041745"/>
      <w:r w:rsidRPr="00AA349F">
        <w:rPr>
          <w:rFonts w:cs="Arial"/>
          <w:sz w:val="20"/>
          <w:szCs w:val="20"/>
        </w:rPr>
        <w:t>Matters on which we are required to report by exception</w:t>
      </w:r>
    </w:p>
    <w:p w14:paraId="506B1701" w14:textId="77777777" w:rsidR="005B1414" w:rsidRPr="00AA349F" w:rsidRDefault="005B1414" w:rsidP="007B606F">
      <w:pPr>
        <w:autoSpaceDE w:val="0"/>
        <w:autoSpaceDN w:val="0"/>
        <w:adjustRightInd w:val="0"/>
        <w:spacing w:before="120" w:after="120"/>
        <w:jc w:val="both"/>
      </w:pPr>
      <w:r w:rsidRPr="00AA349F">
        <w:t>We have nothing to report in respect of the following matters in relation to which the Companies (Guernsey) Law, 2008 requires us to report to you if, in our opinion:</w:t>
      </w:r>
    </w:p>
    <w:p w14:paraId="375E6C23" w14:textId="77777777" w:rsidR="005B1414" w:rsidRPr="00AA349F" w:rsidRDefault="005B1414" w:rsidP="007B606F">
      <w:pPr>
        <w:pStyle w:val="Default"/>
        <w:numPr>
          <w:ilvl w:val="0"/>
          <w:numId w:val="38"/>
        </w:numPr>
        <w:spacing w:before="120" w:after="120"/>
        <w:ind w:left="357" w:hanging="357"/>
        <w:jc w:val="both"/>
        <w:rPr>
          <w:sz w:val="20"/>
          <w:szCs w:val="20"/>
        </w:rPr>
      </w:pPr>
      <w:r w:rsidRPr="00AA349F">
        <w:rPr>
          <w:sz w:val="20"/>
          <w:szCs w:val="20"/>
        </w:rPr>
        <w:t>proper accounting records have not been kept by the Company; or</w:t>
      </w:r>
    </w:p>
    <w:p w14:paraId="3C674E56" w14:textId="77777777" w:rsidR="005B1414" w:rsidRPr="00AA349F" w:rsidRDefault="005B1414" w:rsidP="007B606F">
      <w:pPr>
        <w:pStyle w:val="Default"/>
        <w:numPr>
          <w:ilvl w:val="0"/>
          <w:numId w:val="38"/>
        </w:numPr>
        <w:spacing w:before="120" w:after="120"/>
        <w:ind w:left="357" w:hanging="357"/>
        <w:jc w:val="both"/>
        <w:rPr>
          <w:sz w:val="20"/>
          <w:szCs w:val="20"/>
        </w:rPr>
      </w:pPr>
      <w:r w:rsidRPr="00AA349F">
        <w:rPr>
          <w:sz w:val="20"/>
          <w:szCs w:val="20"/>
        </w:rPr>
        <w:t>the Financial Statements are not in agreement with the Company’s accounting records and returns; or</w:t>
      </w:r>
    </w:p>
    <w:p w14:paraId="623507FD" w14:textId="77777777" w:rsidR="005B1414" w:rsidRPr="00AA349F" w:rsidRDefault="005B1414" w:rsidP="007B606F">
      <w:pPr>
        <w:pStyle w:val="Default"/>
        <w:numPr>
          <w:ilvl w:val="0"/>
          <w:numId w:val="38"/>
        </w:numPr>
        <w:spacing w:before="120" w:after="120"/>
        <w:ind w:left="357" w:hanging="357"/>
        <w:jc w:val="both"/>
        <w:rPr>
          <w:sz w:val="20"/>
          <w:szCs w:val="20"/>
        </w:rPr>
      </w:pPr>
      <w:r w:rsidRPr="00AA349F">
        <w:rPr>
          <w:sz w:val="20"/>
          <w:szCs w:val="20"/>
        </w:rPr>
        <w:t>we have not received all the information and explanations we require for our audit.</w:t>
      </w:r>
    </w:p>
    <w:bookmarkEnd w:id="32"/>
    <w:p w14:paraId="27807171" w14:textId="77777777" w:rsidR="005B1414" w:rsidRPr="00AA349F" w:rsidRDefault="005B1414" w:rsidP="007B606F">
      <w:pPr>
        <w:pStyle w:val="Default"/>
        <w:spacing w:before="120" w:after="120"/>
        <w:jc w:val="both"/>
        <w:rPr>
          <w:rFonts w:eastAsia="Times New Roman"/>
          <w:b/>
          <w:color w:val="auto"/>
          <w:kern w:val="12"/>
          <w:sz w:val="20"/>
          <w:szCs w:val="20"/>
        </w:rPr>
      </w:pPr>
      <w:r w:rsidRPr="00AA349F">
        <w:rPr>
          <w:rFonts w:eastAsia="Times New Roman"/>
          <w:b/>
          <w:color w:val="auto"/>
          <w:kern w:val="12"/>
          <w:sz w:val="20"/>
          <w:szCs w:val="20"/>
        </w:rPr>
        <w:t>Responsibilities of Directors</w:t>
      </w:r>
    </w:p>
    <w:p w14:paraId="058CD18C" w14:textId="30310105" w:rsidR="005B1414" w:rsidRPr="00AA349F" w:rsidRDefault="005B1414" w:rsidP="000E682E">
      <w:pPr>
        <w:autoSpaceDE w:val="0"/>
        <w:autoSpaceDN w:val="0"/>
        <w:adjustRightInd w:val="0"/>
        <w:spacing w:before="120" w:after="120"/>
        <w:jc w:val="both"/>
      </w:pPr>
      <w:r w:rsidRPr="00AA349F">
        <w:t xml:space="preserve">As explained more fully in the Directors’ Responsibilities Statement, the Directors are responsible for the preparation of the Financial Statements and for being satisfied that they give a true and fair view, and for such internal control as the Directors determine is necessary to enable the preparation of Financial Statements that are free from material misstatement, whether due to fraud or error. </w:t>
      </w:r>
    </w:p>
    <w:p w14:paraId="064FA501" w14:textId="77777777" w:rsidR="005B1414" w:rsidRPr="00AA349F" w:rsidRDefault="005B1414" w:rsidP="000E682E">
      <w:pPr>
        <w:autoSpaceDE w:val="0"/>
        <w:autoSpaceDN w:val="0"/>
        <w:adjustRightInd w:val="0"/>
        <w:spacing w:before="120" w:after="120"/>
        <w:jc w:val="both"/>
      </w:pPr>
      <w:r w:rsidRPr="00117B3F">
        <w:t>In preparing the Financial Statements, the Directors are responsible for assessing the Company’s</w:t>
      </w:r>
      <w:r w:rsidRPr="000E682E">
        <w:t xml:space="preserve"> </w:t>
      </w:r>
      <w:r w:rsidRPr="00117B3F">
        <w:t>ability to continue as a going concern, disclosing, as applicable, matters related to going concern and using the going concern basis of accounting unless the Directors either intend to liquidate the Company or to cease operations, or have no realistic alternative but to do so.</w:t>
      </w:r>
    </w:p>
    <w:p w14:paraId="3879D33B" w14:textId="77777777" w:rsidR="005B1414" w:rsidRPr="00AA349F" w:rsidRDefault="005B1414" w:rsidP="007B606F">
      <w:pPr>
        <w:pStyle w:val="EYHeading2"/>
        <w:jc w:val="both"/>
        <w:rPr>
          <w:rFonts w:cs="Arial"/>
          <w:sz w:val="20"/>
          <w:szCs w:val="20"/>
        </w:rPr>
      </w:pPr>
      <w:r w:rsidRPr="00AA349F">
        <w:rPr>
          <w:rFonts w:cs="Arial"/>
          <w:sz w:val="20"/>
          <w:szCs w:val="20"/>
        </w:rPr>
        <w:t xml:space="preserve">Auditor’s responsibilities for the audit of the Financial Statements </w:t>
      </w:r>
    </w:p>
    <w:p w14:paraId="34A95D4B" w14:textId="77777777" w:rsidR="005B1414" w:rsidRPr="00AA349F" w:rsidRDefault="005B1414" w:rsidP="000E682E">
      <w:pPr>
        <w:autoSpaceDE w:val="0"/>
        <w:autoSpaceDN w:val="0"/>
        <w:adjustRightInd w:val="0"/>
        <w:spacing w:before="120" w:after="120"/>
        <w:jc w:val="both"/>
      </w:pPr>
      <w:r w:rsidRPr="00AA349F">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606CDE6F" w14:textId="7775A086" w:rsidR="005B1414" w:rsidRPr="00AA349F" w:rsidRDefault="005B1414" w:rsidP="000E682E">
      <w:pPr>
        <w:autoSpaceDE w:val="0"/>
        <w:autoSpaceDN w:val="0"/>
        <w:adjustRightInd w:val="0"/>
        <w:spacing w:before="120" w:after="120"/>
        <w:jc w:val="both"/>
      </w:pPr>
      <w:r w:rsidRPr="00AA349F">
        <w:t xml:space="preserve">A further description of our responsibilities for the audit of the Financial Statements is located on the Financial Reporting Council’s website at </w:t>
      </w:r>
      <w:r w:rsidRPr="00CF64AD">
        <w:t>https://www.frc.org.uk/auditorsresponsibilities</w:t>
      </w:r>
      <w:r w:rsidRPr="00AA349F">
        <w:t>. This description forms part of our auditor’s report.</w:t>
      </w:r>
    </w:p>
    <w:p w14:paraId="4B9E4082" w14:textId="77777777" w:rsidR="005B1414" w:rsidRPr="00AA349F" w:rsidRDefault="005B1414" w:rsidP="007B606F">
      <w:pPr>
        <w:pStyle w:val="EYBodytextwithparaspace"/>
        <w:spacing w:before="120" w:after="120"/>
        <w:jc w:val="both"/>
        <w:rPr>
          <w:rFonts w:cs="Arial"/>
          <w:b/>
        </w:rPr>
      </w:pPr>
      <w:r w:rsidRPr="00AA349F">
        <w:rPr>
          <w:rFonts w:cs="Arial"/>
          <w:b/>
        </w:rPr>
        <w:t>Use of our report</w:t>
      </w:r>
    </w:p>
    <w:p w14:paraId="02A0514F" w14:textId="222690C6" w:rsidR="005859A3" w:rsidRDefault="005B1414" w:rsidP="007B606F">
      <w:pPr>
        <w:spacing w:before="120" w:after="120"/>
        <w:jc w:val="both"/>
      </w:pPr>
      <w:r w:rsidRPr="00AA349F">
        <w:t>This report is made solely to the Company’s members, as a body, in accordance with Section 262 of the Companies (Guernsey) Law, 2008.  Our audit work has been undertaken so that we might state to the Company’s members those matters we are required to state to them in an auditor’s report and for no other purpose.  To the fullest extent permitted by law, we do not accept or assume responsibility to anyone other than the Company and the Company’s members as a body, for our audit work, for this report, or for the opinions we have formed.</w:t>
      </w:r>
    </w:p>
    <w:p w14:paraId="7782F4C7" w14:textId="77777777" w:rsidR="00133611" w:rsidRPr="002435E0" w:rsidRDefault="00133611" w:rsidP="005B1414">
      <w:pPr>
        <w:spacing w:before="120" w:after="120"/>
        <w:rPr>
          <w:rFonts w:eastAsia="Swiss721BT-Italic"/>
          <w:i/>
          <w:iCs/>
        </w:rPr>
      </w:pPr>
    </w:p>
    <w:p w14:paraId="5B5BF6B9" w14:textId="77777777" w:rsidR="005859A3" w:rsidRPr="002435E0" w:rsidRDefault="005859A3" w:rsidP="005859A3">
      <w:pPr>
        <w:spacing w:before="120" w:after="120"/>
      </w:pPr>
      <w:r w:rsidRPr="002435E0">
        <w:t xml:space="preserve">David </w:t>
      </w:r>
      <w:r>
        <w:t xml:space="preserve">Robert John </w:t>
      </w:r>
      <w:r w:rsidRPr="002435E0">
        <w:t>Moore</w:t>
      </w:r>
      <w:r>
        <w:t>, ACA</w:t>
      </w:r>
    </w:p>
    <w:p w14:paraId="72150BCC" w14:textId="77777777" w:rsidR="005859A3" w:rsidRPr="002435E0" w:rsidRDefault="005859A3" w:rsidP="005859A3">
      <w:pPr>
        <w:spacing w:before="120" w:after="120"/>
      </w:pPr>
      <w:r w:rsidRPr="002435E0">
        <w:t>For and on behalf of Ernst &amp; Young LLP</w:t>
      </w:r>
    </w:p>
    <w:p w14:paraId="2C7273DE" w14:textId="77777777" w:rsidR="005859A3" w:rsidRPr="002435E0" w:rsidRDefault="005859A3" w:rsidP="005859A3">
      <w:pPr>
        <w:spacing w:before="120" w:after="120"/>
      </w:pPr>
      <w:r w:rsidRPr="002435E0">
        <w:t>Guernsey</w:t>
      </w:r>
    </w:p>
    <w:p w14:paraId="3DD3CEB6" w14:textId="1E711538" w:rsidR="005859A3" w:rsidRDefault="00133611" w:rsidP="005859A3">
      <w:pPr>
        <w:spacing w:before="120" w:after="120"/>
      </w:pPr>
      <w:r>
        <w:t>22</w:t>
      </w:r>
      <w:r w:rsidR="00400EEA">
        <w:t xml:space="preserve"> </w:t>
      </w:r>
      <w:r w:rsidR="003A097B">
        <w:t xml:space="preserve">April </w:t>
      </w:r>
      <w:r w:rsidR="005859A3" w:rsidRPr="002435E0">
        <w:t>20</w:t>
      </w:r>
      <w:r w:rsidR="003B6A80">
        <w:t>20</w:t>
      </w:r>
    </w:p>
    <w:p w14:paraId="7347D48A" w14:textId="77777777" w:rsidR="007B606F" w:rsidRPr="002435E0" w:rsidRDefault="007B606F" w:rsidP="005859A3">
      <w:pPr>
        <w:spacing w:before="120" w:after="120"/>
        <w:rPr>
          <w:i/>
        </w:rPr>
      </w:pPr>
    </w:p>
    <w:p w14:paraId="4B69E391" w14:textId="77777777" w:rsidR="00133611" w:rsidRPr="00AA349F" w:rsidRDefault="00133611" w:rsidP="00133611">
      <w:pPr>
        <w:autoSpaceDE w:val="0"/>
        <w:autoSpaceDN w:val="0"/>
        <w:adjustRightInd w:val="0"/>
        <w:spacing w:before="120" w:after="120"/>
        <w:rPr>
          <w:sz w:val="16"/>
          <w:lang w:eastAsia="en-GB"/>
        </w:rPr>
      </w:pPr>
      <w:r w:rsidRPr="00AA349F">
        <w:rPr>
          <w:sz w:val="16"/>
          <w:lang w:eastAsia="en-GB"/>
        </w:rPr>
        <w:t>Notes:</w:t>
      </w:r>
    </w:p>
    <w:p w14:paraId="384C00F3" w14:textId="77777777" w:rsidR="00133611" w:rsidRPr="00AA349F" w:rsidRDefault="00133611" w:rsidP="009B52C9">
      <w:pPr>
        <w:spacing w:before="120" w:after="120"/>
        <w:ind w:left="142" w:hanging="142"/>
        <w:jc w:val="both"/>
        <w:rPr>
          <w:sz w:val="16"/>
          <w:lang w:eastAsia="en-GB"/>
        </w:rPr>
      </w:pPr>
      <w:r w:rsidRPr="00AA349F">
        <w:rPr>
          <w:sz w:val="16"/>
          <w:vertAlign w:val="superscript"/>
          <w:lang w:eastAsia="en-GB"/>
        </w:rPr>
        <w:t xml:space="preserve">(1) </w:t>
      </w:r>
      <w:r w:rsidRPr="00AA349F">
        <w:rPr>
          <w:sz w:val="16"/>
          <w:lang w:eastAsia="en-GB"/>
        </w:rPr>
        <w:t>The maintenance and integrity of the Company’s website is the sole responsibility of the Directors; the work carried out by the auditors does not involve consideration of these matters and, accordingly, the auditor accepts no responsibility for any changes that may have occurred to the Financial Statements since they were initially presented on the website.</w:t>
      </w:r>
    </w:p>
    <w:p w14:paraId="56CD4ADC" w14:textId="77777777" w:rsidR="00133611" w:rsidRDefault="00133611" w:rsidP="009B52C9">
      <w:pPr>
        <w:spacing w:before="120" w:after="120"/>
        <w:ind w:left="142" w:hanging="142"/>
        <w:jc w:val="both"/>
        <w:rPr>
          <w:sz w:val="16"/>
          <w:lang w:eastAsia="en-GB"/>
        </w:rPr>
      </w:pPr>
      <w:r w:rsidRPr="00AA349F">
        <w:rPr>
          <w:sz w:val="16"/>
          <w:vertAlign w:val="superscript"/>
          <w:lang w:eastAsia="en-GB"/>
        </w:rPr>
        <w:lastRenderedPageBreak/>
        <w:t xml:space="preserve">(2) </w:t>
      </w:r>
      <w:r w:rsidRPr="00AA349F">
        <w:rPr>
          <w:sz w:val="16"/>
          <w:lang w:eastAsia="en-GB"/>
        </w:rPr>
        <w:t>Legislation in Guernsey governing the preparation and dissemination of Financial Statements may differ from legislation in other jurisdictions.</w:t>
      </w:r>
    </w:p>
    <w:p w14:paraId="33212485" w14:textId="77777777" w:rsidR="00133611" w:rsidRDefault="00133611" w:rsidP="007B606F">
      <w:pPr>
        <w:autoSpaceDE w:val="0"/>
        <w:autoSpaceDN w:val="0"/>
        <w:adjustRightInd w:val="0"/>
        <w:spacing w:before="120" w:after="120"/>
        <w:jc w:val="both"/>
        <w:rPr>
          <w:b/>
        </w:rPr>
      </w:pPr>
    </w:p>
    <w:p w14:paraId="39098C34" w14:textId="6DF5E880" w:rsidR="00133611" w:rsidRPr="007249AA" w:rsidRDefault="00133611" w:rsidP="007B606F">
      <w:pPr>
        <w:autoSpaceDE w:val="0"/>
        <w:autoSpaceDN w:val="0"/>
        <w:adjustRightInd w:val="0"/>
        <w:spacing w:before="120" w:after="120"/>
        <w:jc w:val="both"/>
        <w:rPr>
          <w:b/>
        </w:rPr>
      </w:pPr>
      <w:r w:rsidRPr="007249AA">
        <w:rPr>
          <w:b/>
        </w:rPr>
        <w:t>INDEPENDENT AUDITOR</w:t>
      </w:r>
      <w:r w:rsidR="006F7F29">
        <w:rPr>
          <w:b/>
        </w:rPr>
        <w:t>’</w:t>
      </w:r>
      <w:r w:rsidRPr="007249AA">
        <w:rPr>
          <w:b/>
        </w:rPr>
        <w:t>S REPORT TO THE DIRECTORS OF RIVERSTONE ENERGY LIMITED</w:t>
      </w:r>
    </w:p>
    <w:p w14:paraId="3E547830" w14:textId="77777777" w:rsidR="00133611" w:rsidRPr="007249AA" w:rsidRDefault="00133611" w:rsidP="007B606F">
      <w:pPr>
        <w:autoSpaceDE w:val="0"/>
        <w:autoSpaceDN w:val="0"/>
        <w:adjustRightInd w:val="0"/>
        <w:spacing w:before="120" w:after="120"/>
        <w:jc w:val="both"/>
      </w:pPr>
      <w:r w:rsidRPr="007249AA">
        <w:t>We have audited the accompanying Financial Statements of Riverstone Energy Limited (the “Company”), which comprise the Statement of Financial Position as of 31 December 2019, and the related Statement of Comprehensive Income, the Statement of Changes in Equity, the Statement of Cash Flows for the year then ended, and the related notes to the financial statements.</w:t>
      </w:r>
    </w:p>
    <w:p w14:paraId="4993A659" w14:textId="77777777" w:rsidR="00133611" w:rsidRPr="007249AA" w:rsidRDefault="00133611" w:rsidP="007B606F">
      <w:pPr>
        <w:autoSpaceDE w:val="0"/>
        <w:autoSpaceDN w:val="0"/>
        <w:adjustRightInd w:val="0"/>
        <w:spacing w:before="120" w:after="120"/>
        <w:jc w:val="both"/>
        <w:rPr>
          <w:b/>
        </w:rPr>
      </w:pPr>
      <w:r w:rsidRPr="007249AA">
        <w:rPr>
          <w:b/>
        </w:rPr>
        <w:t>Management’s Responsibility for the Financial Statements</w:t>
      </w:r>
    </w:p>
    <w:p w14:paraId="4061872A" w14:textId="77777777" w:rsidR="00133611" w:rsidRPr="007249AA" w:rsidRDefault="00133611" w:rsidP="007B606F">
      <w:pPr>
        <w:autoSpaceDE w:val="0"/>
        <w:autoSpaceDN w:val="0"/>
        <w:adjustRightInd w:val="0"/>
        <w:spacing w:before="120" w:after="120"/>
        <w:jc w:val="both"/>
      </w:pPr>
      <w:r w:rsidRPr="007249AA">
        <w:t>Management is responsible for the preparation and fair presentation of these financial statements in conformity with International Financial Reporting Standards as adopted by the European Union (“IFRS”); this includes the design, implementation, and maintenance of internal control relevant to the preparation and fair presentation of financial statements that are free of material misstatement, whether due to fraud or error.</w:t>
      </w:r>
    </w:p>
    <w:p w14:paraId="788B2022" w14:textId="77777777" w:rsidR="00133611" w:rsidRPr="007249AA" w:rsidRDefault="00133611" w:rsidP="007B606F">
      <w:pPr>
        <w:autoSpaceDE w:val="0"/>
        <w:autoSpaceDN w:val="0"/>
        <w:adjustRightInd w:val="0"/>
        <w:spacing w:before="120" w:after="120"/>
        <w:jc w:val="both"/>
        <w:rPr>
          <w:b/>
        </w:rPr>
      </w:pPr>
      <w:r w:rsidRPr="007249AA">
        <w:rPr>
          <w:b/>
        </w:rPr>
        <w:t>Auditor’s Responsibility</w:t>
      </w:r>
    </w:p>
    <w:p w14:paraId="0C5CBC4E" w14:textId="77777777" w:rsidR="00133611" w:rsidRPr="007249AA" w:rsidRDefault="00133611" w:rsidP="007B606F">
      <w:pPr>
        <w:autoSpaceDE w:val="0"/>
        <w:autoSpaceDN w:val="0"/>
        <w:adjustRightInd w:val="0"/>
        <w:spacing w:before="120" w:after="120"/>
        <w:jc w:val="both"/>
      </w:pPr>
      <w:r w:rsidRPr="007249AA">
        <w:t>Our responsibility is to express an opinion on these financial statements based on our audit. We conducted our audit in accordance with auditing standards generally accepted in the United States. Those standards require that we plan and perform the audit to obtain reasonable assurance about whether the financial statements are free of material misstatement.</w:t>
      </w:r>
    </w:p>
    <w:p w14:paraId="5CB0AADD" w14:textId="77777777" w:rsidR="00133611" w:rsidRPr="007249AA" w:rsidRDefault="00133611" w:rsidP="007B606F">
      <w:pPr>
        <w:autoSpaceDE w:val="0"/>
        <w:autoSpaceDN w:val="0"/>
        <w:adjustRightInd w:val="0"/>
        <w:spacing w:before="120" w:after="120"/>
        <w:jc w:val="both"/>
      </w:pPr>
      <w:r w:rsidRPr="007249AA">
        <w:t xml:space="preserve">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Company’s preparation and fair presentation of the financial statements in order to design audit procedures that are appropriate in the circumstances, but not for the purpose of expressing an opinion on the effectiveness of the Company’s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 </w:t>
      </w:r>
    </w:p>
    <w:p w14:paraId="0097D8C6" w14:textId="77777777" w:rsidR="00133611" w:rsidRPr="007249AA" w:rsidRDefault="00133611" w:rsidP="007B606F">
      <w:pPr>
        <w:autoSpaceDE w:val="0"/>
        <w:autoSpaceDN w:val="0"/>
        <w:adjustRightInd w:val="0"/>
        <w:spacing w:before="120" w:after="120"/>
        <w:jc w:val="both"/>
      </w:pPr>
      <w:r w:rsidRPr="007249AA">
        <w:t xml:space="preserve">We believe that the audit evidence we have obtained is sufficient and appropriate to provide a basis for our audit opinion. </w:t>
      </w:r>
    </w:p>
    <w:p w14:paraId="5C63DA67" w14:textId="77777777" w:rsidR="00133611" w:rsidRPr="007249AA" w:rsidRDefault="00133611" w:rsidP="007B606F">
      <w:pPr>
        <w:autoSpaceDE w:val="0"/>
        <w:autoSpaceDN w:val="0"/>
        <w:adjustRightInd w:val="0"/>
        <w:spacing w:before="120" w:after="120"/>
        <w:jc w:val="both"/>
        <w:rPr>
          <w:b/>
        </w:rPr>
      </w:pPr>
      <w:r w:rsidRPr="007249AA">
        <w:rPr>
          <w:b/>
        </w:rPr>
        <w:t>Opinion</w:t>
      </w:r>
    </w:p>
    <w:p w14:paraId="7DBE7D47" w14:textId="77777777" w:rsidR="00133611" w:rsidRPr="007249AA" w:rsidRDefault="00133611" w:rsidP="007B606F">
      <w:pPr>
        <w:autoSpaceDE w:val="0"/>
        <w:autoSpaceDN w:val="0"/>
        <w:adjustRightInd w:val="0"/>
        <w:spacing w:before="120" w:after="120"/>
        <w:jc w:val="both"/>
      </w:pPr>
      <w:r w:rsidRPr="007249AA">
        <w:t>In our opinion, the Financial Statements referred to above present fairly, in all material respects, the financial position of Riverstone Energy Limited at 31 December 2019, and the results of its operations, changes in its net assets, and its cash flows for the year then ended, in conformity with IFRS.</w:t>
      </w:r>
    </w:p>
    <w:p w14:paraId="0FD90CA0" w14:textId="77777777" w:rsidR="00133611" w:rsidRPr="007249AA" w:rsidRDefault="00133611" w:rsidP="007B606F">
      <w:pPr>
        <w:autoSpaceDE w:val="0"/>
        <w:autoSpaceDN w:val="0"/>
        <w:adjustRightInd w:val="0"/>
        <w:spacing w:before="120" w:after="120"/>
        <w:jc w:val="both"/>
        <w:rPr>
          <w:b/>
        </w:rPr>
      </w:pPr>
      <w:r w:rsidRPr="007249AA">
        <w:rPr>
          <w:b/>
        </w:rPr>
        <w:t>Ability to Continue as a going concern</w:t>
      </w:r>
    </w:p>
    <w:p w14:paraId="14C6051C" w14:textId="77777777" w:rsidR="00133611" w:rsidRDefault="00133611" w:rsidP="007B606F">
      <w:pPr>
        <w:pStyle w:val="EYBodytextwithparaspace"/>
        <w:spacing w:before="120" w:after="120"/>
        <w:jc w:val="both"/>
        <w:rPr>
          <w:rFonts w:cs="Arial"/>
        </w:rPr>
      </w:pPr>
      <w:bookmarkStart w:id="33" w:name="_Hlk36757487"/>
      <w:r w:rsidRPr="007249AA">
        <w:rPr>
          <w:rFonts w:cs="Arial"/>
        </w:rPr>
        <w:t xml:space="preserve">The accompanying financial statements have been prepared assuming that the Company will continue as a going concern. As discussed in Note 3 in the financial statements, the Company has stated that there is a material uncertainty in relation to the outcome of the Discontinuation Vote expected to be held in November 2020 and the duration and extent of the COVID-19 pandemic on oil and gas prices, which casts significant doubt about the ability of the Company to continue as a going concern. Management’s evaluation of the events and conditions and management’s plans regarding these matters are also described in Note 3.  The financial statements do not include any adjustments that might result from the outcome of these uncertainties. </w:t>
      </w:r>
    </w:p>
    <w:p w14:paraId="2DCDF759" w14:textId="3CCCC67F" w:rsidR="00133611" w:rsidRPr="00133611" w:rsidRDefault="00133611" w:rsidP="007B606F">
      <w:pPr>
        <w:pStyle w:val="EYBodytextwithparaspace"/>
        <w:spacing w:before="120" w:after="120"/>
        <w:jc w:val="both"/>
        <w:rPr>
          <w:rFonts w:cs="Arial"/>
        </w:rPr>
      </w:pPr>
      <w:r w:rsidRPr="007249AA">
        <w:rPr>
          <w:rFonts w:cs="Arial"/>
        </w:rPr>
        <w:t>Our opinion is not modified in respect of this matter.</w:t>
      </w:r>
      <w:bookmarkEnd w:id="33"/>
    </w:p>
    <w:p w14:paraId="5196EF71" w14:textId="77777777" w:rsidR="00133611" w:rsidRPr="007249AA" w:rsidRDefault="00133611" w:rsidP="007B606F">
      <w:pPr>
        <w:spacing w:before="120" w:after="120"/>
        <w:jc w:val="both"/>
        <w:rPr>
          <w:b/>
        </w:rPr>
      </w:pPr>
      <w:r w:rsidRPr="007249AA">
        <w:rPr>
          <w:b/>
        </w:rPr>
        <w:t>Supplementary Information</w:t>
      </w:r>
    </w:p>
    <w:p w14:paraId="266CA149" w14:textId="77777777" w:rsidR="00133611" w:rsidRPr="007249AA" w:rsidRDefault="00133611" w:rsidP="007B606F">
      <w:pPr>
        <w:autoSpaceDE w:val="0"/>
        <w:autoSpaceDN w:val="0"/>
        <w:adjustRightInd w:val="0"/>
        <w:spacing w:before="120" w:after="120"/>
        <w:jc w:val="both"/>
      </w:pPr>
      <w:r w:rsidRPr="007249AA">
        <w:t>Our audit was conducted for the purpose of forming an opinion on the financial statements as a whole. The accompanying Supplemental U.S. GAAP Disclosures and Certain Regulatory Disclosures are presented for the purposes of additional analysis and are not a required part of the financial statements. Such information is the responsibility of management and was derived from and relates directly to the underlying accounting and other records used to prepare the financial statements. The information has been subjected to the auditing procedures applied in the audit of the financial statements and certain additional procedures, including comparing and reconciling such information directly to the underlying accounting and other records used to prepare the financial statements or to the financial statements themselves, and other additional procedures in accordance with auditing standards generally accepted in the United States of America. In our opinion, the information is fairly stated, in all material respects, in relation to the Financial Statements as a whole.</w:t>
      </w:r>
    </w:p>
    <w:p w14:paraId="771C0F04" w14:textId="77777777" w:rsidR="00133611" w:rsidRPr="007249AA" w:rsidRDefault="00133611" w:rsidP="00133611">
      <w:pPr>
        <w:autoSpaceDE w:val="0"/>
        <w:autoSpaceDN w:val="0"/>
        <w:adjustRightInd w:val="0"/>
        <w:spacing w:before="120" w:after="120"/>
      </w:pPr>
    </w:p>
    <w:p w14:paraId="0A78F5A8" w14:textId="77777777" w:rsidR="00133611" w:rsidRPr="007249AA" w:rsidRDefault="00133611" w:rsidP="00133611">
      <w:pPr>
        <w:autoSpaceDE w:val="0"/>
        <w:autoSpaceDN w:val="0"/>
        <w:adjustRightInd w:val="0"/>
        <w:spacing w:before="120" w:after="120"/>
      </w:pPr>
      <w:r w:rsidRPr="007249AA">
        <w:t>Ernst &amp; Young LLP</w:t>
      </w:r>
    </w:p>
    <w:p w14:paraId="5D74E268" w14:textId="77777777" w:rsidR="00133611" w:rsidRPr="007249AA" w:rsidRDefault="00133611" w:rsidP="00133611">
      <w:pPr>
        <w:autoSpaceDE w:val="0"/>
        <w:autoSpaceDN w:val="0"/>
        <w:adjustRightInd w:val="0"/>
        <w:spacing w:before="120" w:after="120"/>
      </w:pPr>
      <w:r w:rsidRPr="007249AA">
        <w:t>Guernsey, Channel Islands</w:t>
      </w:r>
    </w:p>
    <w:p w14:paraId="681E8858" w14:textId="77777777" w:rsidR="00133611" w:rsidRPr="007249AA" w:rsidRDefault="00133611" w:rsidP="00133611">
      <w:pPr>
        <w:autoSpaceDE w:val="0"/>
        <w:autoSpaceDN w:val="0"/>
        <w:adjustRightInd w:val="0"/>
        <w:spacing w:before="120" w:after="120"/>
      </w:pPr>
    </w:p>
    <w:p w14:paraId="52ED7A6A" w14:textId="6300EEB6" w:rsidR="00F7024C" w:rsidRDefault="00133611" w:rsidP="00133611">
      <w:pPr>
        <w:rPr>
          <w:rFonts w:eastAsiaTheme="majorEastAsia" w:cstheme="majorBidi"/>
          <w:b/>
          <w:bCs/>
          <w:caps/>
          <w:sz w:val="30"/>
          <w:szCs w:val="32"/>
        </w:rPr>
      </w:pPr>
      <w:r w:rsidRPr="00133611">
        <w:t>22 A</w:t>
      </w:r>
      <w:r w:rsidRPr="007249AA">
        <w:t>pril 2020</w:t>
      </w:r>
    </w:p>
    <w:p w14:paraId="4804037E" w14:textId="751F758C" w:rsidR="00996C39" w:rsidRPr="00811BA1" w:rsidRDefault="00996C39" w:rsidP="00EB7E49">
      <w:pPr>
        <w:pStyle w:val="Heading1"/>
      </w:pPr>
      <w:r w:rsidRPr="00811BA1">
        <w:t>Statement of Financial Position</w:t>
      </w:r>
    </w:p>
    <w:p w14:paraId="5D06C13A" w14:textId="3271B45B" w:rsidR="00996C39" w:rsidRPr="00811BA1" w:rsidRDefault="00996C39" w:rsidP="00EB7E49">
      <w:pPr>
        <w:pStyle w:val="Bodytext"/>
      </w:pPr>
      <w:r w:rsidRPr="00811BA1">
        <w:t xml:space="preserve">As at </w:t>
      </w:r>
      <w:r w:rsidR="00610498">
        <w:t>31 December 201</w:t>
      </w:r>
      <w:r w:rsidR="003B6A80">
        <w:t>9</w:t>
      </w:r>
    </w:p>
    <w:p w14:paraId="40144448" w14:textId="77777777" w:rsidR="00B30F53" w:rsidRPr="00811BA1" w:rsidRDefault="00B30F53" w:rsidP="00EB7E49">
      <w:pPr>
        <w:pStyle w:val="Bodytext"/>
      </w:pPr>
    </w:p>
    <w:tbl>
      <w:tblPr>
        <w:tblStyle w:val="TableGrid"/>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181"/>
        <w:gridCol w:w="1564"/>
        <w:gridCol w:w="2018"/>
        <w:gridCol w:w="2085"/>
      </w:tblGrid>
      <w:tr w:rsidR="00AE2D96" w:rsidRPr="00CE4641" w14:paraId="08704DB7" w14:textId="77777777" w:rsidTr="00AE2D96">
        <w:trPr>
          <w:trHeight w:val="700"/>
        </w:trPr>
        <w:tc>
          <w:tcPr>
            <w:tcW w:w="4181" w:type="dxa"/>
            <w:tcBorders>
              <w:bottom w:val="single" w:sz="4" w:space="0" w:color="auto"/>
            </w:tcBorders>
          </w:tcPr>
          <w:p w14:paraId="2E00DC83" w14:textId="77777777" w:rsidR="00AE2D96" w:rsidRPr="00CE4641" w:rsidRDefault="00AE2D96" w:rsidP="00EB7E49">
            <w:pPr>
              <w:pStyle w:val="Bodytext"/>
            </w:pPr>
          </w:p>
        </w:tc>
        <w:tc>
          <w:tcPr>
            <w:tcW w:w="1564" w:type="dxa"/>
            <w:tcBorders>
              <w:bottom w:val="single" w:sz="4" w:space="0" w:color="auto"/>
            </w:tcBorders>
            <w:vAlign w:val="bottom"/>
          </w:tcPr>
          <w:p w14:paraId="7218519F" w14:textId="77777777" w:rsidR="00AE2D96" w:rsidRPr="00CE4641" w:rsidRDefault="00AE2D96" w:rsidP="00EB7E49">
            <w:pPr>
              <w:pStyle w:val="Bodytext"/>
              <w:jc w:val="right"/>
              <w:rPr>
                <w:i/>
              </w:rPr>
            </w:pPr>
            <w:r w:rsidRPr="00CE4641">
              <w:rPr>
                <w:i/>
              </w:rPr>
              <w:t>Notes</w:t>
            </w:r>
          </w:p>
        </w:tc>
        <w:tc>
          <w:tcPr>
            <w:tcW w:w="2018" w:type="dxa"/>
            <w:tcBorders>
              <w:bottom w:val="single" w:sz="4" w:space="0" w:color="auto"/>
            </w:tcBorders>
            <w:vAlign w:val="bottom"/>
          </w:tcPr>
          <w:p w14:paraId="2A003E45" w14:textId="77777777" w:rsidR="00AE2D96" w:rsidRPr="00CE4641" w:rsidRDefault="00AE2D96" w:rsidP="00EB7E49">
            <w:pPr>
              <w:pStyle w:val="Bodytext"/>
              <w:jc w:val="right"/>
              <w:rPr>
                <w:b/>
              </w:rPr>
            </w:pPr>
            <w:r w:rsidRPr="00CE4641">
              <w:rPr>
                <w:b/>
              </w:rPr>
              <w:t>31 December</w:t>
            </w:r>
          </w:p>
          <w:p w14:paraId="66619A22" w14:textId="4F20C46D" w:rsidR="00AE2D96" w:rsidRPr="00CE4641" w:rsidRDefault="00AE2D96" w:rsidP="00EB7E49">
            <w:pPr>
              <w:pStyle w:val="Bodytext"/>
              <w:jc w:val="right"/>
              <w:rPr>
                <w:b/>
              </w:rPr>
            </w:pPr>
            <w:r w:rsidRPr="00CE4641">
              <w:rPr>
                <w:b/>
              </w:rPr>
              <w:t>201</w:t>
            </w:r>
            <w:r w:rsidR="003B6A80">
              <w:rPr>
                <w:b/>
              </w:rPr>
              <w:t>9</w:t>
            </w:r>
          </w:p>
          <w:p w14:paraId="4962E59D" w14:textId="77777777" w:rsidR="00AE2D96" w:rsidRPr="00CE4641" w:rsidRDefault="00AE2D96" w:rsidP="00EB7E49">
            <w:pPr>
              <w:pStyle w:val="Bodytext"/>
              <w:jc w:val="right"/>
              <w:rPr>
                <w:b/>
              </w:rPr>
            </w:pPr>
            <w:r w:rsidRPr="00CE4641">
              <w:rPr>
                <w:b/>
              </w:rPr>
              <w:t>$’000</w:t>
            </w:r>
          </w:p>
        </w:tc>
        <w:tc>
          <w:tcPr>
            <w:tcW w:w="2085" w:type="dxa"/>
            <w:tcBorders>
              <w:bottom w:val="single" w:sz="4" w:space="0" w:color="auto"/>
            </w:tcBorders>
            <w:vAlign w:val="bottom"/>
          </w:tcPr>
          <w:p w14:paraId="26692322" w14:textId="77777777" w:rsidR="00AE2D96" w:rsidRPr="00AE2D96" w:rsidRDefault="00AE2D96" w:rsidP="00AE2D96">
            <w:pPr>
              <w:pStyle w:val="Bodytext"/>
              <w:jc w:val="right"/>
            </w:pPr>
            <w:r w:rsidRPr="00AE2D96">
              <w:t>31 December</w:t>
            </w:r>
          </w:p>
          <w:p w14:paraId="2A759B7B" w14:textId="371C5A5F" w:rsidR="00AE2D96" w:rsidRPr="00AE2D96" w:rsidRDefault="00AE2D96" w:rsidP="00AE2D96">
            <w:pPr>
              <w:pStyle w:val="Bodytext"/>
              <w:jc w:val="right"/>
            </w:pPr>
            <w:r w:rsidRPr="00AE2D96">
              <w:t>201</w:t>
            </w:r>
            <w:r w:rsidR="003B6A80">
              <w:t>8</w:t>
            </w:r>
          </w:p>
          <w:p w14:paraId="73EE7ECB" w14:textId="7CDA8623" w:rsidR="00AE2D96" w:rsidRPr="00AE2D96" w:rsidRDefault="00AE2D96" w:rsidP="00EB7E49">
            <w:pPr>
              <w:pStyle w:val="Bodytext"/>
              <w:jc w:val="right"/>
            </w:pPr>
            <w:r w:rsidRPr="00AE2D96">
              <w:t>$’000</w:t>
            </w:r>
          </w:p>
        </w:tc>
      </w:tr>
      <w:tr w:rsidR="00AE2D96" w:rsidRPr="00CE4641" w14:paraId="4012E581" w14:textId="77777777" w:rsidTr="00AE2D96">
        <w:tc>
          <w:tcPr>
            <w:tcW w:w="4181" w:type="dxa"/>
            <w:tcBorders>
              <w:top w:val="single" w:sz="4" w:space="0" w:color="auto"/>
            </w:tcBorders>
          </w:tcPr>
          <w:p w14:paraId="57622997" w14:textId="3E3F920D" w:rsidR="00AE2D96" w:rsidRPr="00CE4641" w:rsidRDefault="00AE2D96" w:rsidP="00EB7E49">
            <w:pPr>
              <w:pStyle w:val="Bodytext"/>
              <w:rPr>
                <w:b/>
              </w:rPr>
            </w:pPr>
            <w:r w:rsidRPr="00CE4641">
              <w:rPr>
                <w:b/>
              </w:rPr>
              <w:t>A</w:t>
            </w:r>
            <w:r>
              <w:rPr>
                <w:b/>
              </w:rPr>
              <w:t>ssets</w:t>
            </w:r>
          </w:p>
        </w:tc>
        <w:tc>
          <w:tcPr>
            <w:tcW w:w="1564" w:type="dxa"/>
            <w:tcBorders>
              <w:top w:val="single" w:sz="4" w:space="0" w:color="auto"/>
            </w:tcBorders>
            <w:vAlign w:val="center"/>
          </w:tcPr>
          <w:p w14:paraId="6BE263F7" w14:textId="77777777" w:rsidR="00AE2D96" w:rsidRPr="00CE4641" w:rsidRDefault="00AE2D96" w:rsidP="00EB7E49">
            <w:pPr>
              <w:pStyle w:val="Bodytext"/>
              <w:jc w:val="right"/>
              <w:rPr>
                <w:i/>
              </w:rPr>
            </w:pPr>
          </w:p>
        </w:tc>
        <w:tc>
          <w:tcPr>
            <w:tcW w:w="2018" w:type="dxa"/>
            <w:tcBorders>
              <w:top w:val="single" w:sz="4" w:space="0" w:color="auto"/>
            </w:tcBorders>
            <w:vAlign w:val="center"/>
          </w:tcPr>
          <w:p w14:paraId="6721D9F6" w14:textId="77777777" w:rsidR="00AE2D96" w:rsidRPr="00CE4641" w:rsidRDefault="00AE2D96" w:rsidP="00EB7E49">
            <w:pPr>
              <w:pStyle w:val="Bodytext"/>
              <w:jc w:val="right"/>
              <w:rPr>
                <w:b/>
              </w:rPr>
            </w:pPr>
          </w:p>
        </w:tc>
        <w:tc>
          <w:tcPr>
            <w:tcW w:w="2085" w:type="dxa"/>
            <w:tcBorders>
              <w:top w:val="single" w:sz="4" w:space="0" w:color="auto"/>
            </w:tcBorders>
            <w:vAlign w:val="center"/>
          </w:tcPr>
          <w:p w14:paraId="037F92BA" w14:textId="77777777" w:rsidR="00AE2D96" w:rsidRPr="00AE2D96" w:rsidRDefault="00AE2D96" w:rsidP="00EB7E49">
            <w:pPr>
              <w:pStyle w:val="Bodytext"/>
              <w:jc w:val="right"/>
            </w:pPr>
          </w:p>
        </w:tc>
      </w:tr>
      <w:tr w:rsidR="00AE2D96" w:rsidRPr="00CE4641" w14:paraId="02CD0E01" w14:textId="77777777" w:rsidTr="00AE2D96">
        <w:tc>
          <w:tcPr>
            <w:tcW w:w="4181" w:type="dxa"/>
          </w:tcPr>
          <w:p w14:paraId="2FFB6AF1" w14:textId="77777777" w:rsidR="00AE2D96" w:rsidRPr="00CE4641" w:rsidRDefault="00AE2D96" w:rsidP="00EB7E49">
            <w:pPr>
              <w:pStyle w:val="Bodytext"/>
              <w:rPr>
                <w:b/>
              </w:rPr>
            </w:pPr>
            <w:r w:rsidRPr="00CE4641">
              <w:rPr>
                <w:b/>
              </w:rPr>
              <w:t>Non-current assets</w:t>
            </w:r>
          </w:p>
        </w:tc>
        <w:tc>
          <w:tcPr>
            <w:tcW w:w="1564" w:type="dxa"/>
            <w:vAlign w:val="center"/>
          </w:tcPr>
          <w:p w14:paraId="5B427AAA" w14:textId="77777777" w:rsidR="00AE2D96" w:rsidRPr="00CE4641" w:rsidRDefault="00AE2D96" w:rsidP="00EB7E49">
            <w:pPr>
              <w:pStyle w:val="Bodytext"/>
              <w:jc w:val="right"/>
              <w:rPr>
                <w:i/>
              </w:rPr>
            </w:pPr>
          </w:p>
        </w:tc>
        <w:tc>
          <w:tcPr>
            <w:tcW w:w="2018" w:type="dxa"/>
            <w:vAlign w:val="center"/>
          </w:tcPr>
          <w:p w14:paraId="2068A0CE" w14:textId="77777777" w:rsidR="00AE2D96" w:rsidRPr="00CE4641" w:rsidRDefault="00AE2D96" w:rsidP="00EB7E49">
            <w:pPr>
              <w:pStyle w:val="Bodytext"/>
              <w:jc w:val="right"/>
              <w:rPr>
                <w:b/>
              </w:rPr>
            </w:pPr>
          </w:p>
        </w:tc>
        <w:tc>
          <w:tcPr>
            <w:tcW w:w="2085" w:type="dxa"/>
            <w:vAlign w:val="center"/>
          </w:tcPr>
          <w:p w14:paraId="58C2DBDA" w14:textId="77777777" w:rsidR="00AE2D96" w:rsidRPr="00AE2D96" w:rsidRDefault="00AE2D96" w:rsidP="00EB7E49">
            <w:pPr>
              <w:pStyle w:val="Bodytext"/>
              <w:jc w:val="right"/>
            </w:pPr>
          </w:p>
        </w:tc>
      </w:tr>
      <w:tr w:rsidR="003B6A80" w:rsidRPr="00CE4641" w14:paraId="15A5BB51" w14:textId="77777777" w:rsidTr="003B6A80">
        <w:tc>
          <w:tcPr>
            <w:tcW w:w="4181" w:type="dxa"/>
            <w:tcBorders>
              <w:bottom w:val="single" w:sz="4" w:space="0" w:color="auto"/>
            </w:tcBorders>
          </w:tcPr>
          <w:p w14:paraId="0F9EF29D" w14:textId="77777777" w:rsidR="003B6A80" w:rsidRPr="00CE4641" w:rsidRDefault="003B6A80" w:rsidP="003B6A80">
            <w:pPr>
              <w:pStyle w:val="Bodytext"/>
            </w:pPr>
            <w:r w:rsidRPr="00CE4641">
              <w:t>Investment at fair value through profit or loss</w:t>
            </w:r>
          </w:p>
        </w:tc>
        <w:tc>
          <w:tcPr>
            <w:tcW w:w="1564" w:type="dxa"/>
            <w:tcBorders>
              <w:bottom w:val="single" w:sz="4" w:space="0" w:color="auto"/>
            </w:tcBorders>
            <w:vAlign w:val="center"/>
          </w:tcPr>
          <w:p w14:paraId="5FCE37FE" w14:textId="026D5073" w:rsidR="003B6A80" w:rsidRPr="00CE4641" w:rsidRDefault="003B6A80" w:rsidP="003B6A80">
            <w:pPr>
              <w:pStyle w:val="Bodytext"/>
              <w:jc w:val="right"/>
              <w:rPr>
                <w:i/>
              </w:rPr>
            </w:pPr>
            <w:r w:rsidRPr="00CE4641">
              <w:rPr>
                <w:i/>
              </w:rPr>
              <w:t>6</w:t>
            </w:r>
          </w:p>
        </w:tc>
        <w:tc>
          <w:tcPr>
            <w:tcW w:w="2018" w:type="dxa"/>
            <w:tcBorders>
              <w:bottom w:val="single" w:sz="4" w:space="0" w:color="auto"/>
            </w:tcBorders>
            <w:vAlign w:val="bottom"/>
          </w:tcPr>
          <w:p w14:paraId="0546FCA5" w14:textId="6A5CB204" w:rsidR="003B6A80" w:rsidRPr="0021631B" w:rsidRDefault="00B30F53" w:rsidP="003B6A80">
            <w:pPr>
              <w:pStyle w:val="Bodytext"/>
              <w:jc w:val="right"/>
              <w:rPr>
                <w:b/>
                <w:bCs/>
              </w:rPr>
            </w:pPr>
            <w:r w:rsidRPr="00B30F53">
              <w:rPr>
                <w:b/>
                <w:bCs/>
              </w:rPr>
              <w:t>772,7</w:t>
            </w:r>
            <w:r w:rsidR="00296175">
              <w:rPr>
                <w:b/>
                <w:bCs/>
              </w:rPr>
              <w:t>22</w:t>
            </w:r>
          </w:p>
        </w:tc>
        <w:tc>
          <w:tcPr>
            <w:tcW w:w="2085" w:type="dxa"/>
            <w:tcBorders>
              <w:bottom w:val="single" w:sz="4" w:space="0" w:color="auto"/>
            </w:tcBorders>
          </w:tcPr>
          <w:p w14:paraId="2FA33C31" w14:textId="51D0430A" w:rsidR="003B6A80" w:rsidRPr="00723A7B" w:rsidRDefault="003B6A80" w:rsidP="003B6A80">
            <w:pPr>
              <w:pStyle w:val="Bodytext"/>
              <w:jc w:val="right"/>
            </w:pPr>
            <w:r w:rsidRPr="00A47019">
              <w:t>1,428,985</w:t>
            </w:r>
          </w:p>
        </w:tc>
      </w:tr>
      <w:tr w:rsidR="003B6A80" w:rsidRPr="00CE4641" w14:paraId="6E2F1123" w14:textId="77777777" w:rsidTr="003B6A80">
        <w:tc>
          <w:tcPr>
            <w:tcW w:w="4181" w:type="dxa"/>
            <w:tcBorders>
              <w:top w:val="single" w:sz="4" w:space="0" w:color="auto"/>
              <w:bottom w:val="single" w:sz="4" w:space="0" w:color="auto"/>
            </w:tcBorders>
          </w:tcPr>
          <w:p w14:paraId="120FBCD7" w14:textId="77777777" w:rsidR="003B6A80" w:rsidRPr="00CE4641" w:rsidRDefault="003B6A80" w:rsidP="003B6A80">
            <w:pPr>
              <w:pStyle w:val="Bodytext"/>
              <w:rPr>
                <w:b/>
              </w:rPr>
            </w:pPr>
            <w:r w:rsidRPr="00CE4641">
              <w:rPr>
                <w:b/>
              </w:rPr>
              <w:t>Total non-current assets</w:t>
            </w:r>
          </w:p>
        </w:tc>
        <w:tc>
          <w:tcPr>
            <w:tcW w:w="1564" w:type="dxa"/>
            <w:tcBorders>
              <w:top w:val="single" w:sz="4" w:space="0" w:color="auto"/>
              <w:bottom w:val="single" w:sz="4" w:space="0" w:color="auto"/>
            </w:tcBorders>
            <w:vAlign w:val="center"/>
          </w:tcPr>
          <w:p w14:paraId="00CC303E" w14:textId="77777777" w:rsidR="003B6A80" w:rsidRPr="00CE4641" w:rsidRDefault="003B6A80" w:rsidP="003B6A80">
            <w:pPr>
              <w:pStyle w:val="Bodytext"/>
              <w:jc w:val="right"/>
              <w:rPr>
                <w:i/>
              </w:rPr>
            </w:pPr>
          </w:p>
        </w:tc>
        <w:tc>
          <w:tcPr>
            <w:tcW w:w="2018" w:type="dxa"/>
            <w:tcBorders>
              <w:top w:val="single" w:sz="4" w:space="0" w:color="auto"/>
              <w:bottom w:val="single" w:sz="4" w:space="0" w:color="auto"/>
            </w:tcBorders>
            <w:vAlign w:val="bottom"/>
          </w:tcPr>
          <w:p w14:paraId="34636D7A" w14:textId="01262D55" w:rsidR="003B6A80" w:rsidRPr="0021631B" w:rsidRDefault="00B229FD" w:rsidP="003B6A80">
            <w:pPr>
              <w:pStyle w:val="Bodytext"/>
              <w:jc w:val="right"/>
              <w:rPr>
                <w:b/>
                <w:bCs/>
              </w:rPr>
            </w:pPr>
            <w:r w:rsidRPr="00B229FD">
              <w:rPr>
                <w:b/>
                <w:bCs/>
              </w:rPr>
              <w:t>772,7</w:t>
            </w:r>
            <w:r w:rsidR="00296175">
              <w:rPr>
                <w:b/>
                <w:bCs/>
              </w:rPr>
              <w:t>22</w:t>
            </w:r>
          </w:p>
        </w:tc>
        <w:tc>
          <w:tcPr>
            <w:tcW w:w="2085" w:type="dxa"/>
            <w:tcBorders>
              <w:top w:val="single" w:sz="4" w:space="0" w:color="auto"/>
              <w:bottom w:val="single" w:sz="4" w:space="0" w:color="auto"/>
            </w:tcBorders>
          </w:tcPr>
          <w:p w14:paraId="1BD6152E" w14:textId="0E7DC17D" w:rsidR="003B6A80" w:rsidRPr="00723A7B" w:rsidRDefault="003B6A80" w:rsidP="003B6A80">
            <w:pPr>
              <w:pStyle w:val="Bodytext"/>
              <w:jc w:val="right"/>
            </w:pPr>
            <w:r w:rsidRPr="00A47019">
              <w:t>1,428,985</w:t>
            </w:r>
          </w:p>
        </w:tc>
      </w:tr>
      <w:tr w:rsidR="00997FD0" w:rsidRPr="00CE4641" w14:paraId="2D9D2B66" w14:textId="77777777" w:rsidTr="00AE2D96">
        <w:tc>
          <w:tcPr>
            <w:tcW w:w="4181" w:type="dxa"/>
            <w:tcBorders>
              <w:top w:val="single" w:sz="4" w:space="0" w:color="auto"/>
            </w:tcBorders>
          </w:tcPr>
          <w:p w14:paraId="1EB16C4B" w14:textId="77777777" w:rsidR="00997FD0" w:rsidRPr="00CE4641" w:rsidRDefault="00997FD0" w:rsidP="00997FD0">
            <w:pPr>
              <w:pStyle w:val="Bodytext"/>
            </w:pPr>
          </w:p>
        </w:tc>
        <w:tc>
          <w:tcPr>
            <w:tcW w:w="1564" w:type="dxa"/>
            <w:tcBorders>
              <w:top w:val="single" w:sz="4" w:space="0" w:color="auto"/>
            </w:tcBorders>
            <w:vAlign w:val="center"/>
          </w:tcPr>
          <w:p w14:paraId="17944766" w14:textId="77777777" w:rsidR="00997FD0" w:rsidRPr="00CE4641" w:rsidRDefault="00997FD0" w:rsidP="00997FD0">
            <w:pPr>
              <w:pStyle w:val="Bodytext"/>
              <w:jc w:val="right"/>
              <w:rPr>
                <w:i/>
              </w:rPr>
            </w:pPr>
          </w:p>
        </w:tc>
        <w:tc>
          <w:tcPr>
            <w:tcW w:w="2018" w:type="dxa"/>
            <w:tcBorders>
              <w:top w:val="single" w:sz="4" w:space="0" w:color="auto"/>
            </w:tcBorders>
            <w:vAlign w:val="bottom"/>
          </w:tcPr>
          <w:p w14:paraId="2E83D8D7" w14:textId="5BE4093F" w:rsidR="00997FD0" w:rsidRPr="0021631B" w:rsidRDefault="00997FD0" w:rsidP="00997FD0">
            <w:pPr>
              <w:pStyle w:val="Bodytext"/>
              <w:jc w:val="right"/>
              <w:rPr>
                <w:b/>
                <w:bCs/>
              </w:rPr>
            </w:pPr>
          </w:p>
        </w:tc>
        <w:tc>
          <w:tcPr>
            <w:tcW w:w="2085" w:type="dxa"/>
            <w:tcBorders>
              <w:top w:val="single" w:sz="4" w:space="0" w:color="auto"/>
            </w:tcBorders>
            <w:vAlign w:val="bottom"/>
          </w:tcPr>
          <w:p w14:paraId="6F3402C5" w14:textId="4CA22DED" w:rsidR="00997FD0" w:rsidRPr="00723A7B" w:rsidRDefault="00997FD0" w:rsidP="00997FD0">
            <w:pPr>
              <w:pStyle w:val="Bodytext"/>
              <w:jc w:val="right"/>
            </w:pPr>
            <w:r w:rsidRPr="00723A7B">
              <w:rPr>
                <w:bCs/>
              </w:rPr>
              <w:t> </w:t>
            </w:r>
          </w:p>
        </w:tc>
      </w:tr>
      <w:tr w:rsidR="00997FD0" w:rsidRPr="00CE4641" w14:paraId="1E30C8F3" w14:textId="77777777" w:rsidTr="00AE2D96">
        <w:tc>
          <w:tcPr>
            <w:tcW w:w="4181" w:type="dxa"/>
          </w:tcPr>
          <w:p w14:paraId="0196C019" w14:textId="77777777" w:rsidR="00997FD0" w:rsidRPr="00CE4641" w:rsidRDefault="00997FD0" w:rsidP="00997FD0">
            <w:pPr>
              <w:pStyle w:val="Bodytext"/>
              <w:rPr>
                <w:b/>
              </w:rPr>
            </w:pPr>
            <w:r w:rsidRPr="00CE4641">
              <w:rPr>
                <w:b/>
              </w:rPr>
              <w:t>Current assets</w:t>
            </w:r>
          </w:p>
        </w:tc>
        <w:tc>
          <w:tcPr>
            <w:tcW w:w="1564" w:type="dxa"/>
            <w:vAlign w:val="center"/>
          </w:tcPr>
          <w:p w14:paraId="0F5442F8" w14:textId="77777777" w:rsidR="00997FD0" w:rsidRPr="00CE4641" w:rsidRDefault="00997FD0" w:rsidP="00997FD0">
            <w:pPr>
              <w:pStyle w:val="Bodytext"/>
              <w:jc w:val="right"/>
              <w:rPr>
                <w:i/>
              </w:rPr>
            </w:pPr>
          </w:p>
        </w:tc>
        <w:tc>
          <w:tcPr>
            <w:tcW w:w="2018" w:type="dxa"/>
            <w:vAlign w:val="bottom"/>
          </w:tcPr>
          <w:p w14:paraId="2E99ED4D" w14:textId="5643AD79" w:rsidR="00997FD0" w:rsidRPr="0021631B" w:rsidRDefault="00997FD0" w:rsidP="00997FD0">
            <w:pPr>
              <w:pStyle w:val="Bodytext"/>
              <w:jc w:val="right"/>
              <w:rPr>
                <w:b/>
                <w:bCs/>
              </w:rPr>
            </w:pPr>
          </w:p>
        </w:tc>
        <w:tc>
          <w:tcPr>
            <w:tcW w:w="2085" w:type="dxa"/>
            <w:vAlign w:val="bottom"/>
          </w:tcPr>
          <w:p w14:paraId="78716AF0" w14:textId="2266EF23" w:rsidR="00997FD0" w:rsidRPr="00723A7B" w:rsidRDefault="00997FD0" w:rsidP="00997FD0">
            <w:pPr>
              <w:pStyle w:val="Bodytext"/>
              <w:jc w:val="right"/>
            </w:pPr>
            <w:r w:rsidRPr="00723A7B">
              <w:rPr>
                <w:bCs/>
              </w:rPr>
              <w:t> </w:t>
            </w:r>
          </w:p>
        </w:tc>
      </w:tr>
      <w:tr w:rsidR="003B6A80" w:rsidRPr="00CE4641" w14:paraId="2918717A" w14:textId="77777777" w:rsidTr="003B6A80">
        <w:tc>
          <w:tcPr>
            <w:tcW w:w="4181" w:type="dxa"/>
          </w:tcPr>
          <w:p w14:paraId="5099DA82" w14:textId="77777777" w:rsidR="003B6A80" w:rsidRPr="00CE4641" w:rsidRDefault="003B6A80" w:rsidP="003B6A80">
            <w:pPr>
              <w:pStyle w:val="Bodytext"/>
            </w:pPr>
            <w:r w:rsidRPr="00CE4641">
              <w:t>Trade and other receivables</w:t>
            </w:r>
          </w:p>
        </w:tc>
        <w:tc>
          <w:tcPr>
            <w:tcW w:w="1564" w:type="dxa"/>
            <w:vAlign w:val="center"/>
          </w:tcPr>
          <w:p w14:paraId="39608AF6" w14:textId="7151C428" w:rsidR="003B6A80" w:rsidRPr="00CE4641" w:rsidRDefault="003B6A80" w:rsidP="003B6A80">
            <w:pPr>
              <w:pStyle w:val="Bodytext"/>
              <w:jc w:val="right"/>
              <w:rPr>
                <w:i/>
              </w:rPr>
            </w:pPr>
          </w:p>
        </w:tc>
        <w:tc>
          <w:tcPr>
            <w:tcW w:w="2018" w:type="dxa"/>
            <w:vAlign w:val="bottom"/>
          </w:tcPr>
          <w:p w14:paraId="47BFE21F" w14:textId="73DA2641" w:rsidR="003B6A80" w:rsidRPr="0021631B" w:rsidRDefault="00B30F53" w:rsidP="003B6A80">
            <w:pPr>
              <w:pStyle w:val="Bodytext"/>
              <w:jc w:val="right"/>
              <w:rPr>
                <w:b/>
                <w:bCs/>
              </w:rPr>
            </w:pPr>
            <w:r w:rsidRPr="00B30F53">
              <w:rPr>
                <w:b/>
                <w:bCs/>
              </w:rPr>
              <w:t>593</w:t>
            </w:r>
          </w:p>
        </w:tc>
        <w:tc>
          <w:tcPr>
            <w:tcW w:w="2085" w:type="dxa"/>
          </w:tcPr>
          <w:p w14:paraId="2057001A" w14:textId="5AC4EB7E" w:rsidR="003B6A80" w:rsidRPr="00723A7B" w:rsidRDefault="003B6A80" w:rsidP="003B6A80">
            <w:pPr>
              <w:pStyle w:val="Bodytext"/>
              <w:jc w:val="right"/>
            </w:pPr>
            <w:r w:rsidRPr="00CE2A0B">
              <w:t>579</w:t>
            </w:r>
          </w:p>
        </w:tc>
      </w:tr>
      <w:tr w:rsidR="003B6A80" w:rsidRPr="00CE4641" w14:paraId="6C7DBB9A" w14:textId="77777777" w:rsidTr="003B6A80">
        <w:tc>
          <w:tcPr>
            <w:tcW w:w="4181" w:type="dxa"/>
            <w:tcBorders>
              <w:bottom w:val="single" w:sz="4" w:space="0" w:color="auto"/>
            </w:tcBorders>
          </w:tcPr>
          <w:p w14:paraId="29C629C4" w14:textId="77777777" w:rsidR="003B6A80" w:rsidRPr="00CE4641" w:rsidRDefault="003B6A80" w:rsidP="003B6A80">
            <w:pPr>
              <w:pStyle w:val="Bodytext"/>
            </w:pPr>
            <w:r w:rsidRPr="00CE4641">
              <w:t>Cash and cash equivalents</w:t>
            </w:r>
          </w:p>
        </w:tc>
        <w:tc>
          <w:tcPr>
            <w:tcW w:w="1564" w:type="dxa"/>
            <w:tcBorders>
              <w:bottom w:val="single" w:sz="4" w:space="0" w:color="auto"/>
            </w:tcBorders>
            <w:vAlign w:val="center"/>
          </w:tcPr>
          <w:p w14:paraId="323D12E1" w14:textId="68DF23E5" w:rsidR="003B6A80" w:rsidRPr="00CE4641" w:rsidRDefault="003B6A80" w:rsidP="003B6A80">
            <w:pPr>
              <w:pStyle w:val="Bodytext"/>
              <w:jc w:val="right"/>
              <w:rPr>
                <w:i/>
              </w:rPr>
            </w:pPr>
            <w:r w:rsidRPr="00CE4641">
              <w:rPr>
                <w:i/>
              </w:rPr>
              <w:t>7</w:t>
            </w:r>
          </w:p>
        </w:tc>
        <w:tc>
          <w:tcPr>
            <w:tcW w:w="2018" w:type="dxa"/>
            <w:tcBorders>
              <w:bottom w:val="single" w:sz="4" w:space="0" w:color="auto"/>
            </w:tcBorders>
            <w:vAlign w:val="bottom"/>
          </w:tcPr>
          <w:p w14:paraId="6C0A10EF" w14:textId="3B7299AE" w:rsidR="003B6A80" w:rsidRPr="0021631B" w:rsidRDefault="00B30F53" w:rsidP="003B6A80">
            <w:pPr>
              <w:pStyle w:val="Bodytext"/>
              <w:jc w:val="right"/>
              <w:rPr>
                <w:b/>
                <w:bCs/>
              </w:rPr>
            </w:pPr>
            <w:r w:rsidRPr="00B30F53">
              <w:rPr>
                <w:b/>
                <w:bCs/>
              </w:rPr>
              <w:t>211</w:t>
            </w:r>
          </w:p>
        </w:tc>
        <w:tc>
          <w:tcPr>
            <w:tcW w:w="2085" w:type="dxa"/>
            <w:tcBorders>
              <w:bottom w:val="single" w:sz="4" w:space="0" w:color="auto"/>
            </w:tcBorders>
          </w:tcPr>
          <w:p w14:paraId="06FF3CEF" w14:textId="28D33054" w:rsidR="003B6A80" w:rsidRPr="00723A7B" w:rsidRDefault="003B6A80" w:rsidP="003B6A80">
            <w:pPr>
              <w:pStyle w:val="Bodytext"/>
              <w:jc w:val="right"/>
              <w:rPr>
                <w:bCs/>
              </w:rPr>
            </w:pPr>
            <w:r w:rsidRPr="00CE2A0B">
              <w:t>2,132</w:t>
            </w:r>
          </w:p>
        </w:tc>
      </w:tr>
      <w:tr w:rsidR="003B6A80" w:rsidRPr="00CE4641" w14:paraId="372DD1F2" w14:textId="77777777" w:rsidTr="003B6A80">
        <w:tc>
          <w:tcPr>
            <w:tcW w:w="4181" w:type="dxa"/>
            <w:tcBorders>
              <w:top w:val="single" w:sz="4" w:space="0" w:color="auto"/>
              <w:bottom w:val="single" w:sz="4" w:space="0" w:color="auto"/>
            </w:tcBorders>
          </w:tcPr>
          <w:p w14:paraId="2E92E8B3" w14:textId="77777777" w:rsidR="003B6A80" w:rsidRPr="00CE4641" w:rsidRDefault="003B6A80" w:rsidP="003B6A80">
            <w:pPr>
              <w:pStyle w:val="Bodytext"/>
              <w:rPr>
                <w:b/>
              </w:rPr>
            </w:pPr>
            <w:r w:rsidRPr="00CE4641">
              <w:rPr>
                <w:b/>
              </w:rPr>
              <w:t>Total current assets</w:t>
            </w:r>
          </w:p>
        </w:tc>
        <w:tc>
          <w:tcPr>
            <w:tcW w:w="1564" w:type="dxa"/>
            <w:tcBorders>
              <w:top w:val="single" w:sz="4" w:space="0" w:color="auto"/>
              <w:bottom w:val="single" w:sz="4" w:space="0" w:color="auto"/>
            </w:tcBorders>
            <w:vAlign w:val="center"/>
          </w:tcPr>
          <w:p w14:paraId="54F5E847" w14:textId="77777777" w:rsidR="003B6A80" w:rsidRPr="00CE4641" w:rsidRDefault="003B6A80" w:rsidP="003B6A80">
            <w:pPr>
              <w:pStyle w:val="Bodytext"/>
              <w:jc w:val="right"/>
              <w:rPr>
                <w:i/>
              </w:rPr>
            </w:pPr>
          </w:p>
        </w:tc>
        <w:tc>
          <w:tcPr>
            <w:tcW w:w="2018" w:type="dxa"/>
            <w:tcBorders>
              <w:top w:val="single" w:sz="4" w:space="0" w:color="auto"/>
              <w:bottom w:val="single" w:sz="4" w:space="0" w:color="auto"/>
            </w:tcBorders>
            <w:vAlign w:val="bottom"/>
          </w:tcPr>
          <w:p w14:paraId="78DCD00B" w14:textId="74CF5B63" w:rsidR="003B6A80" w:rsidRPr="0021631B" w:rsidRDefault="00B30F53" w:rsidP="003B6A80">
            <w:pPr>
              <w:pStyle w:val="Bodytext"/>
              <w:jc w:val="right"/>
              <w:rPr>
                <w:b/>
                <w:bCs/>
              </w:rPr>
            </w:pPr>
            <w:r w:rsidRPr="00B30F53">
              <w:rPr>
                <w:b/>
                <w:bCs/>
              </w:rPr>
              <w:t>804</w:t>
            </w:r>
          </w:p>
        </w:tc>
        <w:tc>
          <w:tcPr>
            <w:tcW w:w="2085" w:type="dxa"/>
            <w:tcBorders>
              <w:top w:val="single" w:sz="4" w:space="0" w:color="auto"/>
              <w:bottom w:val="single" w:sz="4" w:space="0" w:color="auto"/>
            </w:tcBorders>
          </w:tcPr>
          <w:p w14:paraId="62A8F8A2" w14:textId="7CE65207" w:rsidR="003B6A80" w:rsidRPr="00723A7B" w:rsidRDefault="003B6A80" w:rsidP="003B6A80">
            <w:pPr>
              <w:pStyle w:val="Bodytext"/>
              <w:jc w:val="right"/>
              <w:rPr>
                <w:bCs/>
              </w:rPr>
            </w:pPr>
            <w:r w:rsidRPr="00CE2A0B">
              <w:t>2,711</w:t>
            </w:r>
          </w:p>
        </w:tc>
      </w:tr>
      <w:tr w:rsidR="003B6A80" w:rsidRPr="00CE4641" w14:paraId="2038F2CE" w14:textId="77777777" w:rsidTr="003B6A80">
        <w:tc>
          <w:tcPr>
            <w:tcW w:w="4181" w:type="dxa"/>
            <w:tcBorders>
              <w:top w:val="single" w:sz="4" w:space="0" w:color="auto"/>
            </w:tcBorders>
          </w:tcPr>
          <w:p w14:paraId="73DC13D1" w14:textId="77777777" w:rsidR="003B6A80" w:rsidRPr="00CE4641" w:rsidRDefault="003B6A80" w:rsidP="003B6A80">
            <w:pPr>
              <w:pStyle w:val="Bodytext"/>
            </w:pPr>
          </w:p>
        </w:tc>
        <w:tc>
          <w:tcPr>
            <w:tcW w:w="1564" w:type="dxa"/>
            <w:tcBorders>
              <w:top w:val="single" w:sz="4" w:space="0" w:color="auto"/>
            </w:tcBorders>
            <w:vAlign w:val="center"/>
          </w:tcPr>
          <w:p w14:paraId="5CF13023" w14:textId="77777777" w:rsidR="003B6A80" w:rsidRPr="00CE4641" w:rsidRDefault="003B6A80" w:rsidP="003B6A80">
            <w:pPr>
              <w:pStyle w:val="Bodytext"/>
              <w:jc w:val="right"/>
              <w:rPr>
                <w:i/>
              </w:rPr>
            </w:pPr>
          </w:p>
        </w:tc>
        <w:tc>
          <w:tcPr>
            <w:tcW w:w="2018" w:type="dxa"/>
            <w:tcBorders>
              <w:top w:val="single" w:sz="4" w:space="0" w:color="auto"/>
            </w:tcBorders>
            <w:vAlign w:val="bottom"/>
          </w:tcPr>
          <w:p w14:paraId="2BD08841" w14:textId="62193258" w:rsidR="003B6A80" w:rsidRPr="0021631B" w:rsidRDefault="003B6A80" w:rsidP="003B6A80">
            <w:pPr>
              <w:pStyle w:val="Bodytext"/>
              <w:jc w:val="right"/>
              <w:rPr>
                <w:b/>
                <w:bCs/>
              </w:rPr>
            </w:pPr>
          </w:p>
        </w:tc>
        <w:tc>
          <w:tcPr>
            <w:tcW w:w="2085" w:type="dxa"/>
            <w:tcBorders>
              <w:top w:val="single" w:sz="4" w:space="0" w:color="auto"/>
            </w:tcBorders>
          </w:tcPr>
          <w:p w14:paraId="394902E9" w14:textId="2AE5D326" w:rsidR="003B6A80" w:rsidRPr="00723A7B" w:rsidRDefault="003B6A80" w:rsidP="003B6A80">
            <w:pPr>
              <w:pStyle w:val="Bodytext"/>
              <w:jc w:val="right"/>
            </w:pPr>
          </w:p>
        </w:tc>
      </w:tr>
      <w:tr w:rsidR="003B6A80" w:rsidRPr="00CE4641" w14:paraId="2B9156BC" w14:textId="77777777" w:rsidTr="003B6A80">
        <w:tc>
          <w:tcPr>
            <w:tcW w:w="4181" w:type="dxa"/>
            <w:tcBorders>
              <w:bottom w:val="single" w:sz="4" w:space="0" w:color="auto"/>
            </w:tcBorders>
          </w:tcPr>
          <w:p w14:paraId="43C795A3" w14:textId="27D2D9B6" w:rsidR="003B6A80" w:rsidRPr="00CE4641" w:rsidRDefault="003B6A80" w:rsidP="003B6A80">
            <w:pPr>
              <w:pStyle w:val="Bodytext"/>
              <w:rPr>
                <w:b/>
              </w:rPr>
            </w:pPr>
            <w:r w:rsidRPr="00CE4641">
              <w:rPr>
                <w:b/>
              </w:rPr>
              <w:t>T</w:t>
            </w:r>
            <w:r>
              <w:rPr>
                <w:b/>
              </w:rPr>
              <w:t>otal assets</w:t>
            </w:r>
          </w:p>
        </w:tc>
        <w:tc>
          <w:tcPr>
            <w:tcW w:w="1564" w:type="dxa"/>
            <w:tcBorders>
              <w:bottom w:val="single" w:sz="4" w:space="0" w:color="auto"/>
            </w:tcBorders>
            <w:vAlign w:val="center"/>
          </w:tcPr>
          <w:p w14:paraId="5AC46F05" w14:textId="77777777" w:rsidR="003B6A80" w:rsidRPr="00CE4641" w:rsidRDefault="003B6A80" w:rsidP="003B6A80">
            <w:pPr>
              <w:pStyle w:val="Bodytext"/>
              <w:jc w:val="right"/>
              <w:rPr>
                <w:i/>
              </w:rPr>
            </w:pPr>
          </w:p>
        </w:tc>
        <w:tc>
          <w:tcPr>
            <w:tcW w:w="2018" w:type="dxa"/>
            <w:tcBorders>
              <w:bottom w:val="single" w:sz="4" w:space="0" w:color="auto"/>
            </w:tcBorders>
            <w:vAlign w:val="bottom"/>
          </w:tcPr>
          <w:p w14:paraId="3CE406BB" w14:textId="30A5BC3E" w:rsidR="003B6A80" w:rsidRPr="0021631B" w:rsidRDefault="00B229FD" w:rsidP="003B6A80">
            <w:pPr>
              <w:pStyle w:val="Bodytext"/>
              <w:jc w:val="right"/>
              <w:rPr>
                <w:b/>
                <w:bCs/>
              </w:rPr>
            </w:pPr>
            <w:r w:rsidRPr="00B229FD">
              <w:rPr>
                <w:b/>
                <w:bCs/>
              </w:rPr>
              <w:t>773,5</w:t>
            </w:r>
            <w:r w:rsidR="00296175">
              <w:rPr>
                <w:b/>
                <w:bCs/>
              </w:rPr>
              <w:t>26</w:t>
            </w:r>
          </w:p>
        </w:tc>
        <w:tc>
          <w:tcPr>
            <w:tcW w:w="2085" w:type="dxa"/>
            <w:tcBorders>
              <w:bottom w:val="single" w:sz="4" w:space="0" w:color="auto"/>
            </w:tcBorders>
          </w:tcPr>
          <w:p w14:paraId="722A4389" w14:textId="7A2530F4" w:rsidR="003B6A80" w:rsidRPr="00723A7B" w:rsidRDefault="003B6A80" w:rsidP="003B6A80">
            <w:pPr>
              <w:pStyle w:val="Bodytext"/>
              <w:jc w:val="right"/>
            </w:pPr>
            <w:r w:rsidRPr="00CE2A0B">
              <w:t>1,431,696</w:t>
            </w:r>
          </w:p>
        </w:tc>
      </w:tr>
      <w:tr w:rsidR="003B6A80" w:rsidRPr="00CE4641" w14:paraId="776BF8B9" w14:textId="535777E8" w:rsidTr="003B6A80">
        <w:tc>
          <w:tcPr>
            <w:tcW w:w="4181" w:type="dxa"/>
            <w:tcBorders>
              <w:top w:val="single" w:sz="4" w:space="0" w:color="auto"/>
            </w:tcBorders>
          </w:tcPr>
          <w:p w14:paraId="01B92173" w14:textId="76474C7B" w:rsidR="003B6A80" w:rsidRPr="00CE4641" w:rsidRDefault="003B6A80" w:rsidP="003B6A80">
            <w:pPr>
              <w:pStyle w:val="Bodytext"/>
            </w:pPr>
          </w:p>
        </w:tc>
        <w:tc>
          <w:tcPr>
            <w:tcW w:w="1564" w:type="dxa"/>
            <w:tcBorders>
              <w:top w:val="single" w:sz="4" w:space="0" w:color="auto"/>
            </w:tcBorders>
            <w:vAlign w:val="center"/>
          </w:tcPr>
          <w:p w14:paraId="3644E044" w14:textId="284DF4B5" w:rsidR="003B6A80" w:rsidRPr="00CE4641" w:rsidRDefault="003B6A80" w:rsidP="003B6A80">
            <w:pPr>
              <w:pStyle w:val="Bodytext"/>
              <w:jc w:val="right"/>
              <w:rPr>
                <w:i/>
              </w:rPr>
            </w:pPr>
          </w:p>
        </w:tc>
        <w:tc>
          <w:tcPr>
            <w:tcW w:w="2018" w:type="dxa"/>
            <w:tcBorders>
              <w:top w:val="single" w:sz="4" w:space="0" w:color="auto"/>
            </w:tcBorders>
            <w:vAlign w:val="bottom"/>
          </w:tcPr>
          <w:p w14:paraId="0B5C5FFC" w14:textId="3F0559BC" w:rsidR="003B6A80" w:rsidRPr="0021631B" w:rsidRDefault="003B6A80" w:rsidP="003B6A80">
            <w:pPr>
              <w:pStyle w:val="Bodytext"/>
              <w:jc w:val="right"/>
              <w:rPr>
                <w:b/>
                <w:bCs/>
              </w:rPr>
            </w:pPr>
          </w:p>
        </w:tc>
        <w:tc>
          <w:tcPr>
            <w:tcW w:w="2085" w:type="dxa"/>
            <w:tcBorders>
              <w:top w:val="single" w:sz="4" w:space="0" w:color="auto"/>
            </w:tcBorders>
          </w:tcPr>
          <w:p w14:paraId="4063D26B" w14:textId="7FD4057C" w:rsidR="003B6A80" w:rsidRPr="00723A7B" w:rsidRDefault="003B6A80" w:rsidP="003B6A80">
            <w:pPr>
              <w:pStyle w:val="Bodytext"/>
              <w:jc w:val="right"/>
            </w:pPr>
          </w:p>
        </w:tc>
      </w:tr>
      <w:tr w:rsidR="003B6A80" w:rsidRPr="00CE4641" w14:paraId="6D14CC45" w14:textId="77777777" w:rsidTr="003B6A80">
        <w:tc>
          <w:tcPr>
            <w:tcW w:w="4181" w:type="dxa"/>
          </w:tcPr>
          <w:p w14:paraId="0E46783D" w14:textId="77777777" w:rsidR="003B6A80" w:rsidRPr="00CE4641" w:rsidRDefault="003B6A80" w:rsidP="003B6A80">
            <w:pPr>
              <w:pStyle w:val="Bodytext"/>
              <w:rPr>
                <w:b/>
              </w:rPr>
            </w:pPr>
            <w:r w:rsidRPr="00CE4641">
              <w:rPr>
                <w:b/>
              </w:rPr>
              <w:t>Current liabilities</w:t>
            </w:r>
          </w:p>
        </w:tc>
        <w:tc>
          <w:tcPr>
            <w:tcW w:w="1564" w:type="dxa"/>
            <w:vAlign w:val="center"/>
          </w:tcPr>
          <w:p w14:paraId="407F61C6" w14:textId="77777777" w:rsidR="003B6A80" w:rsidRPr="00CE4641" w:rsidRDefault="003B6A80" w:rsidP="003B6A80">
            <w:pPr>
              <w:pStyle w:val="Bodytext"/>
              <w:jc w:val="right"/>
              <w:rPr>
                <w:i/>
              </w:rPr>
            </w:pPr>
          </w:p>
        </w:tc>
        <w:tc>
          <w:tcPr>
            <w:tcW w:w="2018" w:type="dxa"/>
            <w:vAlign w:val="bottom"/>
          </w:tcPr>
          <w:p w14:paraId="71D6C9CF" w14:textId="4B504A0D" w:rsidR="003B6A80" w:rsidRPr="0021631B" w:rsidRDefault="003B6A80" w:rsidP="003B6A80">
            <w:pPr>
              <w:pStyle w:val="Bodytext"/>
              <w:jc w:val="right"/>
              <w:rPr>
                <w:b/>
                <w:bCs/>
              </w:rPr>
            </w:pPr>
          </w:p>
        </w:tc>
        <w:tc>
          <w:tcPr>
            <w:tcW w:w="2085" w:type="dxa"/>
          </w:tcPr>
          <w:p w14:paraId="2D45AC29" w14:textId="03E36834" w:rsidR="003B6A80" w:rsidRPr="00723A7B" w:rsidRDefault="003B6A80" w:rsidP="003B6A80">
            <w:pPr>
              <w:pStyle w:val="Bodytext"/>
              <w:jc w:val="right"/>
            </w:pPr>
          </w:p>
        </w:tc>
      </w:tr>
      <w:tr w:rsidR="003B6A80" w:rsidRPr="00CE4641" w14:paraId="7C8311D1" w14:textId="77777777" w:rsidTr="003B6A80">
        <w:tc>
          <w:tcPr>
            <w:tcW w:w="4181" w:type="dxa"/>
          </w:tcPr>
          <w:p w14:paraId="51ED6482" w14:textId="77777777" w:rsidR="003B6A80" w:rsidRPr="00CE4641" w:rsidRDefault="003B6A80" w:rsidP="003B6A80">
            <w:pPr>
              <w:pStyle w:val="Bodytext"/>
            </w:pPr>
            <w:r w:rsidRPr="00CE4641">
              <w:t>Trade and other payables</w:t>
            </w:r>
          </w:p>
        </w:tc>
        <w:tc>
          <w:tcPr>
            <w:tcW w:w="1564" w:type="dxa"/>
            <w:vAlign w:val="center"/>
          </w:tcPr>
          <w:p w14:paraId="1B35A95E" w14:textId="537101A6" w:rsidR="003B6A80" w:rsidRPr="00CE4641" w:rsidRDefault="003B6A80" w:rsidP="003B6A80">
            <w:pPr>
              <w:pStyle w:val="Bodytext"/>
              <w:jc w:val="right"/>
              <w:rPr>
                <w:i/>
              </w:rPr>
            </w:pPr>
          </w:p>
        </w:tc>
        <w:tc>
          <w:tcPr>
            <w:tcW w:w="2018" w:type="dxa"/>
            <w:vAlign w:val="bottom"/>
          </w:tcPr>
          <w:p w14:paraId="74AF4254" w14:textId="4E912548" w:rsidR="003B6A80" w:rsidRPr="0021631B" w:rsidRDefault="000B046B" w:rsidP="003B6A80">
            <w:pPr>
              <w:pStyle w:val="Bodytext"/>
              <w:jc w:val="right"/>
              <w:rPr>
                <w:b/>
                <w:bCs/>
              </w:rPr>
            </w:pPr>
            <w:r w:rsidRPr="000B046B">
              <w:rPr>
                <w:b/>
                <w:bCs/>
              </w:rPr>
              <w:t>1,834</w:t>
            </w:r>
          </w:p>
        </w:tc>
        <w:tc>
          <w:tcPr>
            <w:tcW w:w="2085" w:type="dxa"/>
          </w:tcPr>
          <w:p w14:paraId="1070C71F" w14:textId="02C6B628" w:rsidR="003B6A80" w:rsidRPr="00723A7B" w:rsidRDefault="003B6A80" w:rsidP="003B6A80">
            <w:pPr>
              <w:pStyle w:val="Bodytext"/>
              <w:jc w:val="right"/>
            </w:pPr>
            <w:r w:rsidRPr="00CE2A0B">
              <w:t>435</w:t>
            </w:r>
          </w:p>
        </w:tc>
      </w:tr>
      <w:tr w:rsidR="003B6A80" w:rsidRPr="00CE4641" w14:paraId="7B5F7A79" w14:textId="77777777" w:rsidTr="003B6A80">
        <w:tc>
          <w:tcPr>
            <w:tcW w:w="4181" w:type="dxa"/>
            <w:tcBorders>
              <w:top w:val="single" w:sz="4" w:space="0" w:color="auto"/>
              <w:bottom w:val="single" w:sz="4" w:space="0" w:color="auto"/>
            </w:tcBorders>
          </w:tcPr>
          <w:p w14:paraId="313609AF" w14:textId="77777777" w:rsidR="003B6A80" w:rsidRPr="00CE4641" w:rsidRDefault="003B6A80" w:rsidP="003B6A80">
            <w:pPr>
              <w:pStyle w:val="Bodytext"/>
              <w:rPr>
                <w:b/>
              </w:rPr>
            </w:pPr>
            <w:r w:rsidRPr="00CE4641">
              <w:rPr>
                <w:b/>
              </w:rPr>
              <w:t>Total current liabilities</w:t>
            </w:r>
          </w:p>
        </w:tc>
        <w:tc>
          <w:tcPr>
            <w:tcW w:w="1564" w:type="dxa"/>
            <w:tcBorders>
              <w:top w:val="single" w:sz="4" w:space="0" w:color="auto"/>
              <w:bottom w:val="single" w:sz="4" w:space="0" w:color="auto"/>
            </w:tcBorders>
            <w:vAlign w:val="center"/>
          </w:tcPr>
          <w:p w14:paraId="011E55F2" w14:textId="77777777" w:rsidR="003B6A80" w:rsidRPr="00CE4641" w:rsidRDefault="003B6A80" w:rsidP="003B6A80">
            <w:pPr>
              <w:pStyle w:val="Bodytext"/>
              <w:jc w:val="right"/>
              <w:rPr>
                <w:i/>
              </w:rPr>
            </w:pPr>
          </w:p>
        </w:tc>
        <w:tc>
          <w:tcPr>
            <w:tcW w:w="2018" w:type="dxa"/>
            <w:tcBorders>
              <w:top w:val="single" w:sz="4" w:space="0" w:color="auto"/>
              <w:bottom w:val="single" w:sz="4" w:space="0" w:color="auto"/>
            </w:tcBorders>
            <w:vAlign w:val="bottom"/>
          </w:tcPr>
          <w:p w14:paraId="03D3D074" w14:textId="5AAD6DE1" w:rsidR="003B6A80" w:rsidRPr="0021631B" w:rsidRDefault="000B046B" w:rsidP="003B6A80">
            <w:pPr>
              <w:pStyle w:val="Bodytext"/>
              <w:jc w:val="right"/>
              <w:rPr>
                <w:b/>
                <w:bCs/>
              </w:rPr>
            </w:pPr>
            <w:r w:rsidRPr="000B046B">
              <w:rPr>
                <w:b/>
                <w:bCs/>
              </w:rPr>
              <w:t>1,834</w:t>
            </w:r>
          </w:p>
        </w:tc>
        <w:tc>
          <w:tcPr>
            <w:tcW w:w="2085" w:type="dxa"/>
            <w:tcBorders>
              <w:top w:val="single" w:sz="4" w:space="0" w:color="auto"/>
              <w:bottom w:val="single" w:sz="4" w:space="0" w:color="auto"/>
            </w:tcBorders>
          </w:tcPr>
          <w:p w14:paraId="293C6CFB" w14:textId="62C0B8BF" w:rsidR="003B6A80" w:rsidRPr="00723A7B" w:rsidRDefault="003B6A80" w:rsidP="003B6A80">
            <w:pPr>
              <w:pStyle w:val="Bodytext"/>
              <w:jc w:val="right"/>
            </w:pPr>
            <w:r w:rsidRPr="00CE2A0B">
              <w:t>435</w:t>
            </w:r>
          </w:p>
        </w:tc>
      </w:tr>
      <w:tr w:rsidR="003B6A80" w:rsidRPr="00CE4641" w14:paraId="3C645498" w14:textId="77777777" w:rsidTr="003B6A80">
        <w:tc>
          <w:tcPr>
            <w:tcW w:w="4181" w:type="dxa"/>
            <w:tcBorders>
              <w:top w:val="single" w:sz="4" w:space="0" w:color="auto"/>
            </w:tcBorders>
          </w:tcPr>
          <w:p w14:paraId="18EA6E51" w14:textId="77777777" w:rsidR="003B6A80" w:rsidRPr="00CE4641" w:rsidRDefault="003B6A80" w:rsidP="003B6A80">
            <w:pPr>
              <w:pStyle w:val="Bodytext"/>
            </w:pPr>
          </w:p>
        </w:tc>
        <w:tc>
          <w:tcPr>
            <w:tcW w:w="1564" w:type="dxa"/>
            <w:tcBorders>
              <w:top w:val="single" w:sz="4" w:space="0" w:color="auto"/>
            </w:tcBorders>
            <w:vAlign w:val="center"/>
          </w:tcPr>
          <w:p w14:paraId="7496E4BA" w14:textId="77777777" w:rsidR="003B6A80" w:rsidRPr="00CE4641" w:rsidRDefault="003B6A80" w:rsidP="003B6A80">
            <w:pPr>
              <w:pStyle w:val="Bodytext"/>
              <w:jc w:val="right"/>
              <w:rPr>
                <w:i/>
              </w:rPr>
            </w:pPr>
          </w:p>
        </w:tc>
        <w:tc>
          <w:tcPr>
            <w:tcW w:w="2018" w:type="dxa"/>
            <w:tcBorders>
              <w:top w:val="single" w:sz="4" w:space="0" w:color="auto"/>
            </w:tcBorders>
            <w:vAlign w:val="bottom"/>
          </w:tcPr>
          <w:p w14:paraId="5BD1A276" w14:textId="67D3ED0D" w:rsidR="003B6A80" w:rsidRPr="0021631B" w:rsidRDefault="003B6A80" w:rsidP="003B6A80">
            <w:pPr>
              <w:pStyle w:val="Bodytext"/>
              <w:jc w:val="right"/>
              <w:rPr>
                <w:b/>
                <w:bCs/>
              </w:rPr>
            </w:pPr>
          </w:p>
        </w:tc>
        <w:tc>
          <w:tcPr>
            <w:tcW w:w="2085" w:type="dxa"/>
            <w:tcBorders>
              <w:top w:val="single" w:sz="4" w:space="0" w:color="auto"/>
            </w:tcBorders>
          </w:tcPr>
          <w:p w14:paraId="04D8DCCD" w14:textId="167C5832" w:rsidR="003B6A80" w:rsidRPr="00723A7B" w:rsidRDefault="003B6A80" w:rsidP="003B6A80">
            <w:pPr>
              <w:pStyle w:val="Bodytext"/>
              <w:jc w:val="right"/>
            </w:pPr>
          </w:p>
        </w:tc>
      </w:tr>
      <w:tr w:rsidR="003B6A80" w:rsidRPr="00CE4641" w14:paraId="7678FD69" w14:textId="77777777" w:rsidTr="003B6A80">
        <w:tc>
          <w:tcPr>
            <w:tcW w:w="4181" w:type="dxa"/>
            <w:tcBorders>
              <w:bottom w:val="single" w:sz="4" w:space="0" w:color="auto"/>
            </w:tcBorders>
          </w:tcPr>
          <w:p w14:paraId="700E0FA0" w14:textId="5EF6DE8D" w:rsidR="003B6A80" w:rsidRPr="00CE4641" w:rsidRDefault="003B6A80" w:rsidP="003B6A80">
            <w:pPr>
              <w:pStyle w:val="Bodytext"/>
              <w:rPr>
                <w:b/>
              </w:rPr>
            </w:pPr>
            <w:r>
              <w:rPr>
                <w:b/>
              </w:rPr>
              <w:t>Total liabilities</w:t>
            </w:r>
          </w:p>
        </w:tc>
        <w:tc>
          <w:tcPr>
            <w:tcW w:w="1564" w:type="dxa"/>
            <w:tcBorders>
              <w:bottom w:val="single" w:sz="4" w:space="0" w:color="auto"/>
            </w:tcBorders>
            <w:vAlign w:val="center"/>
          </w:tcPr>
          <w:p w14:paraId="667A671B" w14:textId="77777777" w:rsidR="003B6A80" w:rsidRPr="00CE4641" w:rsidRDefault="003B6A80" w:rsidP="003B6A80">
            <w:pPr>
              <w:pStyle w:val="Bodytext"/>
              <w:jc w:val="right"/>
              <w:rPr>
                <w:i/>
              </w:rPr>
            </w:pPr>
          </w:p>
        </w:tc>
        <w:tc>
          <w:tcPr>
            <w:tcW w:w="2018" w:type="dxa"/>
            <w:tcBorders>
              <w:bottom w:val="single" w:sz="4" w:space="0" w:color="auto"/>
            </w:tcBorders>
            <w:vAlign w:val="bottom"/>
          </w:tcPr>
          <w:p w14:paraId="00D26BED" w14:textId="27EF5B04" w:rsidR="003B6A80" w:rsidRPr="0021631B" w:rsidRDefault="000B046B" w:rsidP="003B6A80">
            <w:pPr>
              <w:pStyle w:val="Bodytext"/>
              <w:jc w:val="right"/>
              <w:rPr>
                <w:b/>
                <w:bCs/>
              </w:rPr>
            </w:pPr>
            <w:r w:rsidRPr="000B046B">
              <w:rPr>
                <w:b/>
                <w:bCs/>
              </w:rPr>
              <w:t>1,834</w:t>
            </w:r>
          </w:p>
        </w:tc>
        <w:tc>
          <w:tcPr>
            <w:tcW w:w="2085" w:type="dxa"/>
            <w:tcBorders>
              <w:bottom w:val="single" w:sz="4" w:space="0" w:color="auto"/>
            </w:tcBorders>
          </w:tcPr>
          <w:p w14:paraId="7B165997" w14:textId="11429D3F" w:rsidR="003B6A80" w:rsidRPr="00723A7B" w:rsidRDefault="003B6A80" w:rsidP="003B6A80">
            <w:pPr>
              <w:pStyle w:val="Bodytext"/>
              <w:jc w:val="right"/>
            </w:pPr>
            <w:r w:rsidRPr="00CE2A0B">
              <w:t>435</w:t>
            </w:r>
          </w:p>
        </w:tc>
      </w:tr>
      <w:tr w:rsidR="003B6A80" w:rsidRPr="00CE4641" w14:paraId="30753047" w14:textId="77777777" w:rsidTr="003B6A80">
        <w:tc>
          <w:tcPr>
            <w:tcW w:w="4181" w:type="dxa"/>
            <w:tcBorders>
              <w:top w:val="single" w:sz="4" w:space="0" w:color="auto"/>
            </w:tcBorders>
          </w:tcPr>
          <w:p w14:paraId="1A9E9427" w14:textId="77777777" w:rsidR="003B6A80" w:rsidRPr="00CE4641" w:rsidRDefault="003B6A80" w:rsidP="003B6A80">
            <w:pPr>
              <w:pStyle w:val="Bodytext"/>
            </w:pPr>
          </w:p>
        </w:tc>
        <w:tc>
          <w:tcPr>
            <w:tcW w:w="1564" w:type="dxa"/>
            <w:tcBorders>
              <w:top w:val="single" w:sz="4" w:space="0" w:color="auto"/>
            </w:tcBorders>
            <w:vAlign w:val="center"/>
          </w:tcPr>
          <w:p w14:paraId="50A666B9" w14:textId="77777777" w:rsidR="003B6A80" w:rsidRPr="00CE4641" w:rsidRDefault="003B6A80" w:rsidP="003B6A80">
            <w:pPr>
              <w:pStyle w:val="Bodytext"/>
              <w:jc w:val="right"/>
              <w:rPr>
                <w:i/>
              </w:rPr>
            </w:pPr>
          </w:p>
        </w:tc>
        <w:tc>
          <w:tcPr>
            <w:tcW w:w="2018" w:type="dxa"/>
            <w:tcBorders>
              <w:top w:val="single" w:sz="4" w:space="0" w:color="auto"/>
            </w:tcBorders>
            <w:vAlign w:val="bottom"/>
          </w:tcPr>
          <w:p w14:paraId="1ABF96C9" w14:textId="736471BC" w:rsidR="003B6A80" w:rsidRPr="0021631B" w:rsidRDefault="003B6A80" w:rsidP="003B6A80">
            <w:pPr>
              <w:pStyle w:val="Bodytext"/>
              <w:jc w:val="right"/>
              <w:rPr>
                <w:b/>
                <w:bCs/>
              </w:rPr>
            </w:pPr>
          </w:p>
        </w:tc>
        <w:tc>
          <w:tcPr>
            <w:tcW w:w="2085" w:type="dxa"/>
            <w:tcBorders>
              <w:top w:val="single" w:sz="4" w:space="0" w:color="auto"/>
            </w:tcBorders>
          </w:tcPr>
          <w:p w14:paraId="49DFE960" w14:textId="43974497" w:rsidR="003B6A80" w:rsidRPr="00723A7B" w:rsidRDefault="003B6A80" w:rsidP="003B6A80">
            <w:pPr>
              <w:pStyle w:val="Bodytext"/>
              <w:jc w:val="right"/>
            </w:pPr>
          </w:p>
        </w:tc>
      </w:tr>
      <w:tr w:rsidR="003B6A80" w:rsidRPr="00CE4641" w14:paraId="74F78CEC" w14:textId="77777777" w:rsidTr="003B6A80">
        <w:tc>
          <w:tcPr>
            <w:tcW w:w="4181" w:type="dxa"/>
            <w:tcBorders>
              <w:bottom w:val="single" w:sz="4" w:space="0" w:color="auto"/>
            </w:tcBorders>
          </w:tcPr>
          <w:p w14:paraId="1AC9D50F" w14:textId="782114ED" w:rsidR="003B6A80" w:rsidRPr="00CE4641" w:rsidRDefault="003B6A80" w:rsidP="003B6A80">
            <w:pPr>
              <w:pStyle w:val="Bodytext"/>
              <w:rPr>
                <w:b/>
              </w:rPr>
            </w:pPr>
            <w:r w:rsidRPr="00CE4641">
              <w:rPr>
                <w:b/>
              </w:rPr>
              <w:t>N</w:t>
            </w:r>
            <w:r>
              <w:rPr>
                <w:b/>
              </w:rPr>
              <w:t>et</w:t>
            </w:r>
            <w:r w:rsidRPr="00CE4641">
              <w:rPr>
                <w:b/>
              </w:rPr>
              <w:t xml:space="preserve"> </w:t>
            </w:r>
            <w:r>
              <w:rPr>
                <w:b/>
              </w:rPr>
              <w:t>assets</w:t>
            </w:r>
          </w:p>
        </w:tc>
        <w:tc>
          <w:tcPr>
            <w:tcW w:w="1564" w:type="dxa"/>
            <w:tcBorders>
              <w:bottom w:val="single" w:sz="4" w:space="0" w:color="auto"/>
            </w:tcBorders>
            <w:vAlign w:val="center"/>
          </w:tcPr>
          <w:p w14:paraId="4BFF5BF1" w14:textId="77777777" w:rsidR="003B6A80" w:rsidRPr="00CE4641" w:rsidRDefault="003B6A80" w:rsidP="003B6A80">
            <w:pPr>
              <w:pStyle w:val="Bodytext"/>
              <w:jc w:val="right"/>
              <w:rPr>
                <w:i/>
              </w:rPr>
            </w:pPr>
          </w:p>
        </w:tc>
        <w:tc>
          <w:tcPr>
            <w:tcW w:w="2018" w:type="dxa"/>
            <w:tcBorders>
              <w:bottom w:val="single" w:sz="4" w:space="0" w:color="auto"/>
            </w:tcBorders>
            <w:vAlign w:val="bottom"/>
          </w:tcPr>
          <w:p w14:paraId="1E770EEF" w14:textId="64C9BB57" w:rsidR="003B6A80" w:rsidRPr="0021631B" w:rsidRDefault="000B046B" w:rsidP="003B6A80">
            <w:pPr>
              <w:pStyle w:val="Bodytext"/>
              <w:jc w:val="right"/>
              <w:rPr>
                <w:b/>
                <w:bCs/>
              </w:rPr>
            </w:pPr>
            <w:r w:rsidRPr="000B046B">
              <w:rPr>
                <w:b/>
                <w:bCs/>
              </w:rPr>
              <w:t>771,692</w:t>
            </w:r>
          </w:p>
        </w:tc>
        <w:tc>
          <w:tcPr>
            <w:tcW w:w="2085" w:type="dxa"/>
            <w:tcBorders>
              <w:bottom w:val="single" w:sz="4" w:space="0" w:color="auto"/>
            </w:tcBorders>
          </w:tcPr>
          <w:p w14:paraId="249A28BC" w14:textId="36AC0E00" w:rsidR="003B6A80" w:rsidRPr="00723A7B" w:rsidRDefault="003B6A80" w:rsidP="003B6A80">
            <w:pPr>
              <w:pStyle w:val="Bodytext"/>
              <w:jc w:val="right"/>
            </w:pPr>
            <w:r w:rsidRPr="00CE2A0B">
              <w:t>1,431,261</w:t>
            </w:r>
          </w:p>
        </w:tc>
      </w:tr>
      <w:tr w:rsidR="003B6A80" w:rsidRPr="00CE4641" w14:paraId="3E403153" w14:textId="77777777" w:rsidTr="003B6A80">
        <w:tc>
          <w:tcPr>
            <w:tcW w:w="4181" w:type="dxa"/>
            <w:tcBorders>
              <w:top w:val="single" w:sz="4" w:space="0" w:color="auto"/>
            </w:tcBorders>
          </w:tcPr>
          <w:p w14:paraId="57E632AB" w14:textId="77777777" w:rsidR="003B6A80" w:rsidRPr="00CE4641" w:rsidRDefault="003B6A80" w:rsidP="003B6A80">
            <w:pPr>
              <w:pStyle w:val="Bodytext"/>
            </w:pPr>
          </w:p>
        </w:tc>
        <w:tc>
          <w:tcPr>
            <w:tcW w:w="1564" w:type="dxa"/>
            <w:tcBorders>
              <w:top w:val="single" w:sz="4" w:space="0" w:color="auto"/>
            </w:tcBorders>
            <w:vAlign w:val="center"/>
          </w:tcPr>
          <w:p w14:paraId="3532AA8E" w14:textId="77777777" w:rsidR="003B6A80" w:rsidRPr="00CE4641" w:rsidRDefault="003B6A80" w:rsidP="003B6A80">
            <w:pPr>
              <w:pStyle w:val="Bodytext"/>
              <w:jc w:val="right"/>
              <w:rPr>
                <w:i/>
              </w:rPr>
            </w:pPr>
          </w:p>
        </w:tc>
        <w:tc>
          <w:tcPr>
            <w:tcW w:w="2018" w:type="dxa"/>
            <w:tcBorders>
              <w:top w:val="single" w:sz="4" w:space="0" w:color="auto"/>
            </w:tcBorders>
            <w:vAlign w:val="bottom"/>
          </w:tcPr>
          <w:p w14:paraId="73C5DAA8" w14:textId="7D62D0E5" w:rsidR="003B6A80" w:rsidRPr="0021631B" w:rsidRDefault="003B6A80" w:rsidP="003B6A80">
            <w:pPr>
              <w:pStyle w:val="Bodytext"/>
              <w:jc w:val="right"/>
              <w:rPr>
                <w:b/>
                <w:bCs/>
              </w:rPr>
            </w:pPr>
          </w:p>
        </w:tc>
        <w:tc>
          <w:tcPr>
            <w:tcW w:w="2085" w:type="dxa"/>
            <w:tcBorders>
              <w:top w:val="single" w:sz="4" w:space="0" w:color="auto"/>
            </w:tcBorders>
          </w:tcPr>
          <w:p w14:paraId="7038B6E2" w14:textId="01A1E547" w:rsidR="003B6A80" w:rsidRPr="00723A7B" w:rsidRDefault="003B6A80" w:rsidP="003B6A80">
            <w:pPr>
              <w:pStyle w:val="Bodytext"/>
              <w:jc w:val="right"/>
            </w:pPr>
          </w:p>
        </w:tc>
      </w:tr>
      <w:tr w:rsidR="003B6A80" w:rsidRPr="00CE4641" w14:paraId="1016B341" w14:textId="77777777" w:rsidTr="003B6A80">
        <w:tc>
          <w:tcPr>
            <w:tcW w:w="4181" w:type="dxa"/>
          </w:tcPr>
          <w:p w14:paraId="3FB10CE0" w14:textId="282CBFC3" w:rsidR="003B6A80" w:rsidRPr="00CE4641" w:rsidRDefault="003B6A80" w:rsidP="003B6A80">
            <w:pPr>
              <w:pStyle w:val="Bodytext"/>
              <w:rPr>
                <w:b/>
              </w:rPr>
            </w:pPr>
            <w:r w:rsidRPr="00CE4641">
              <w:rPr>
                <w:b/>
              </w:rPr>
              <w:t>E</w:t>
            </w:r>
            <w:r>
              <w:rPr>
                <w:b/>
              </w:rPr>
              <w:t>quity</w:t>
            </w:r>
          </w:p>
        </w:tc>
        <w:tc>
          <w:tcPr>
            <w:tcW w:w="1564" w:type="dxa"/>
            <w:vAlign w:val="center"/>
          </w:tcPr>
          <w:p w14:paraId="0647D168" w14:textId="77777777" w:rsidR="003B6A80" w:rsidRPr="00CE4641" w:rsidRDefault="003B6A80" w:rsidP="003B6A80">
            <w:pPr>
              <w:pStyle w:val="Bodytext"/>
              <w:jc w:val="right"/>
              <w:rPr>
                <w:i/>
              </w:rPr>
            </w:pPr>
          </w:p>
        </w:tc>
        <w:tc>
          <w:tcPr>
            <w:tcW w:w="2018" w:type="dxa"/>
            <w:vAlign w:val="bottom"/>
          </w:tcPr>
          <w:p w14:paraId="0C394911" w14:textId="52F4EE81" w:rsidR="003B6A80" w:rsidRPr="0021631B" w:rsidRDefault="003B6A80" w:rsidP="003B6A80">
            <w:pPr>
              <w:pStyle w:val="Bodytext"/>
              <w:jc w:val="right"/>
              <w:rPr>
                <w:b/>
                <w:bCs/>
              </w:rPr>
            </w:pPr>
          </w:p>
        </w:tc>
        <w:tc>
          <w:tcPr>
            <w:tcW w:w="2085" w:type="dxa"/>
          </w:tcPr>
          <w:p w14:paraId="30C7DE3F" w14:textId="3AE58F03" w:rsidR="003B6A80" w:rsidRPr="00723A7B" w:rsidRDefault="003B6A80" w:rsidP="003B6A80">
            <w:pPr>
              <w:pStyle w:val="Bodytext"/>
              <w:jc w:val="right"/>
            </w:pPr>
          </w:p>
        </w:tc>
      </w:tr>
      <w:tr w:rsidR="003B6A80" w:rsidRPr="00CE4641" w14:paraId="4DBE8A85" w14:textId="77777777" w:rsidTr="003B6A80">
        <w:tc>
          <w:tcPr>
            <w:tcW w:w="4181" w:type="dxa"/>
          </w:tcPr>
          <w:p w14:paraId="51E77DC8" w14:textId="77777777" w:rsidR="003B6A80" w:rsidRPr="00CE4641" w:rsidRDefault="003B6A80" w:rsidP="003B6A80">
            <w:pPr>
              <w:pStyle w:val="Bodytext"/>
            </w:pPr>
            <w:r w:rsidRPr="00CE4641">
              <w:t>Share capital</w:t>
            </w:r>
          </w:p>
        </w:tc>
        <w:tc>
          <w:tcPr>
            <w:tcW w:w="1564" w:type="dxa"/>
            <w:vAlign w:val="center"/>
          </w:tcPr>
          <w:p w14:paraId="38D15233" w14:textId="561B1414" w:rsidR="003B6A80" w:rsidRPr="00CE4641" w:rsidRDefault="003B6A80" w:rsidP="003B6A80">
            <w:pPr>
              <w:pStyle w:val="Bodytext"/>
              <w:jc w:val="right"/>
              <w:rPr>
                <w:i/>
              </w:rPr>
            </w:pPr>
            <w:r>
              <w:rPr>
                <w:i/>
              </w:rPr>
              <w:t>8</w:t>
            </w:r>
          </w:p>
        </w:tc>
        <w:tc>
          <w:tcPr>
            <w:tcW w:w="2018" w:type="dxa"/>
            <w:vAlign w:val="bottom"/>
          </w:tcPr>
          <w:p w14:paraId="514B419F" w14:textId="7B197440" w:rsidR="003B6A80" w:rsidRPr="0021631B" w:rsidRDefault="00B30F53" w:rsidP="003B6A80">
            <w:pPr>
              <w:pStyle w:val="Bodytext"/>
              <w:jc w:val="right"/>
              <w:rPr>
                <w:b/>
                <w:bCs/>
              </w:rPr>
            </w:pPr>
            <w:r w:rsidRPr="00B30F53">
              <w:rPr>
                <w:b/>
                <w:bCs/>
              </w:rPr>
              <w:t>1,246,559</w:t>
            </w:r>
          </w:p>
        </w:tc>
        <w:tc>
          <w:tcPr>
            <w:tcW w:w="2085" w:type="dxa"/>
          </w:tcPr>
          <w:p w14:paraId="3F643D7E" w14:textId="0689CB6A" w:rsidR="003B6A80" w:rsidRPr="00723A7B" w:rsidRDefault="003B6A80" w:rsidP="003B6A80">
            <w:pPr>
              <w:pStyle w:val="Bodytext"/>
              <w:jc w:val="right"/>
            </w:pPr>
            <w:r w:rsidRPr="00CE2A0B">
              <w:t>1,246,559</w:t>
            </w:r>
          </w:p>
        </w:tc>
      </w:tr>
      <w:tr w:rsidR="003B6A80" w:rsidRPr="00CE4641" w14:paraId="19EF540B" w14:textId="77777777" w:rsidTr="003B6A80">
        <w:tc>
          <w:tcPr>
            <w:tcW w:w="4181" w:type="dxa"/>
            <w:tcBorders>
              <w:bottom w:val="single" w:sz="4" w:space="0" w:color="auto"/>
            </w:tcBorders>
          </w:tcPr>
          <w:p w14:paraId="21D4E330" w14:textId="48C5D2E3" w:rsidR="003B6A80" w:rsidRPr="00CE4641" w:rsidRDefault="003B6A80" w:rsidP="003B6A80">
            <w:pPr>
              <w:pStyle w:val="Bodytext"/>
            </w:pPr>
            <w:r w:rsidRPr="00CE4641">
              <w:t xml:space="preserve">Retained </w:t>
            </w:r>
            <w:r w:rsidR="00B84347">
              <w:t xml:space="preserve">(deficit) / </w:t>
            </w:r>
            <w:r w:rsidRPr="00CE4641">
              <w:t>earnings</w:t>
            </w:r>
          </w:p>
        </w:tc>
        <w:tc>
          <w:tcPr>
            <w:tcW w:w="1564" w:type="dxa"/>
            <w:tcBorders>
              <w:bottom w:val="single" w:sz="4" w:space="0" w:color="auto"/>
            </w:tcBorders>
            <w:vAlign w:val="center"/>
          </w:tcPr>
          <w:p w14:paraId="7F1C7E3A" w14:textId="77777777" w:rsidR="003B6A80" w:rsidRPr="00CE4641" w:rsidRDefault="003B6A80" w:rsidP="003B6A80">
            <w:pPr>
              <w:pStyle w:val="Bodytext"/>
              <w:jc w:val="right"/>
              <w:rPr>
                <w:i/>
              </w:rPr>
            </w:pPr>
          </w:p>
        </w:tc>
        <w:tc>
          <w:tcPr>
            <w:tcW w:w="2018" w:type="dxa"/>
            <w:tcBorders>
              <w:bottom w:val="single" w:sz="4" w:space="0" w:color="auto"/>
            </w:tcBorders>
            <w:vAlign w:val="bottom"/>
          </w:tcPr>
          <w:p w14:paraId="03237674" w14:textId="63595DAF" w:rsidR="003B6A80" w:rsidRPr="0021631B" w:rsidRDefault="00B229FD" w:rsidP="003B6A80">
            <w:pPr>
              <w:pStyle w:val="Bodytext"/>
              <w:jc w:val="right"/>
              <w:rPr>
                <w:b/>
                <w:bCs/>
              </w:rPr>
            </w:pPr>
            <w:r w:rsidRPr="00B229FD">
              <w:rPr>
                <w:b/>
                <w:bCs/>
              </w:rPr>
              <w:t>(47</w:t>
            </w:r>
            <w:r w:rsidR="00296175">
              <w:rPr>
                <w:b/>
                <w:bCs/>
              </w:rPr>
              <w:t>4</w:t>
            </w:r>
            <w:r w:rsidRPr="00B229FD">
              <w:rPr>
                <w:b/>
                <w:bCs/>
              </w:rPr>
              <w:t>,</w:t>
            </w:r>
            <w:r w:rsidR="000B046B">
              <w:rPr>
                <w:b/>
                <w:bCs/>
              </w:rPr>
              <w:t>867</w:t>
            </w:r>
            <w:r w:rsidRPr="00B229FD">
              <w:rPr>
                <w:b/>
                <w:bCs/>
              </w:rPr>
              <w:t>)</w:t>
            </w:r>
          </w:p>
        </w:tc>
        <w:tc>
          <w:tcPr>
            <w:tcW w:w="2085" w:type="dxa"/>
            <w:tcBorders>
              <w:bottom w:val="single" w:sz="4" w:space="0" w:color="auto"/>
            </w:tcBorders>
          </w:tcPr>
          <w:p w14:paraId="747234FB" w14:textId="6E3AAC6A" w:rsidR="003B6A80" w:rsidRPr="00723A7B" w:rsidRDefault="003B6A80" w:rsidP="003B6A80">
            <w:pPr>
              <w:pStyle w:val="Bodytext"/>
              <w:jc w:val="right"/>
            </w:pPr>
            <w:r w:rsidRPr="00CE2A0B">
              <w:t>184,702</w:t>
            </w:r>
          </w:p>
        </w:tc>
      </w:tr>
      <w:tr w:rsidR="003B6A80" w:rsidRPr="00CE4641" w14:paraId="57A767DC" w14:textId="77777777" w:rsidTr="003B6A80">
        <w:tc>
          <w:tcPr>
            <w:tcW w:w="4181" w:type="dxa"/>
            <w:tcBorders>
              <w:top w:val="single" w:sz="4" w:space="0" w:color="auto"/>
              <w:bottom w:val="single" w:sz="4" w:space="0" w:color="auto"/>
            </w:tcBorders>
          </w:tcPr>
          <w:p w14:paraId="0D77E4BD" w14:textId="57C55276" w:rsidR="003B6A80" w:rsidRPr="00CE4641" w:rsidRDefault="003B6A80" w:rsidP="003B6A80">
            <w:pPr>
              <w:pStyle w:val="Bodytext"/>
              <w:rPr>
                <w:b/>
              </w:rPr>
            </w:pPr>
            <w:r w:rsidRPr="00CE4641">
              <w:rPr>
                <w:b/>
              </w:rPr>
              <w:t>T</w:t>
            </w:r>
            <w:r>
              <w:rPr>
                <w:b/>
              </w:rPr>
              <w:t>otal equity</w:t>
            </w:r>
          </w:p>
        </w:tc>
        <w:tc>
          <w:tcPr>
            <w:tcW w:w="1564" w:type="dxa"/>
            <w:tcBorders>
              <w:top w:val="single" w:sz="4" w:space="0" w:color="auto"/>
              <w:bottom w:val="single" w:sz="4" w:space="0" w:color="auto"/>
            </w:tcBorders>
            <w:vAlign w:val="center"/>
          </w:tcPr>
          <w:p w14:paraId="4B8EE219" w14:textId="77777777" w:rsidR="003B6A80" w:rsidRPr="00CE4641" w:rsidRDefault="003B6A80" w:rsidP="003B6A80">
            <w:pPr>
              <w:pStyle w:val="Bodytext"/>
              <w:jc w:val="right"/>
              <w:rPr>
                <w:i/>
              </w:rPr>
            </w:pPr>
          </w:p>
        </w:tc>
        <w:tc>
          <w:tcPr>
            <w:tcW w:w="2018" w:type="dxa"/>
            <w:tcBorders>
              <w:top w:val="single" w:sz="4" w:space="0" w:color="auto"/>
              <w:bottom w:val="single" w:sz="4" w:space="0" w:color="auto"/>
            </w:tcBorders>
            <w:vAlign w:val="bottom"/>
          </w:tcPr>
          <w:p w14:paraId="4384ACA5" w14:textId="766BFDFA" w:rsidR="003B6A80" w:rsidRPr="0021631B" w:rsidRDefault="00B229FD" w:rsidP="00296175">
            <w:pPr>
              <w:pStyle w:val="Bodytext"/>
              <w:jc w:val="right"/>
              <w:rPr>
                <w:b/>
                <w:bCs/>
              </w:rPr>
            </w:pPr>
            <w:r w:rsidRPr="00B229FD">
              <w:rPr>
                <w:b/>
                <w:bCs/>
              </w:rPr>
              <w:t>7</w:t>
            </w:r>
            <w:r w:rsidR="00296175">
              <w:rPr>
                <w:b/>
                <w:bCs/>
              </w:rPr>
              <w:t>71</w:t>
            </w:r>
            <w:r w:rsidRPr="00B229FD">
              <w:rPr>
                <w:b/>
                <w:bCs/>
              </w:rPr>
              <w:t>,</w:t>
            </w:r>
            <w:r w:rsidR="000B046B">
              <w:rPr>
                <w:b/>
                <w:bCs/>
              </w:rPr>
              <w:t>692</w:t>
            </w:r>
          </w:p>
        </w:tc>
        <w:tc>
          <w:tcPr>
            <w:tcW w:w="2085" w:type="dxa"/>
            <w:tcBorders>
              <w:top w:val="single" w:sz="4" w:space="0" w:color="auto"/>
              <w:bottom w:val="single" w:sz="4" w:space="0" w:color="auto"/>
            </w:tcBorders>
          </w:tcPr>
          <w:p w14:paraId="09124DC5" w14:textId="6CB2BB25" w:rsidR="003B6A80" w:rsidRPr="00723A7B" w:rsidRDefault="003B6A80" w:rsidP="003B6A80">
            <w:pPr>
              <w:pStyle w:val="Bodytext"/>
              <w:jc w:val="right"/>
            </w:pPr>
            <w:r w:rsidRPr="00CE2A0B">
              <w:t>1,431,261</w:t>
            </w:r>
          </w:p>
        </w:tc>
      </w:tr>
      <w:tr w:rsidR="003B6A80" w:rsidRPr="00CE4641" w14:paraId="4BE3AC6B" w14:textId="77777777" w:rsidTr="003B6A80">
        <w:tc>
          <w:tcPr>
            <w:tcW w:w="4181" w:type="dxa"/>
            <w:tcBorders>
              <w:top w:val="single" w:sz="4" w:space="0" w:color="auto"/>
            </w:tcBorders>
          </w:tcPr>
          <w:p w14:paraId="4C4842C1" w14:textId="038C2319" w:rsidR="003B6A80" w:rsidRPr="00CE4641" w:rsidRDefault="003B6A80" w:rsidP="003B6A80">
            <w:pPr>
              <w:pStyle w:val="Bodytext"/>
            </w:pPr>
          </w:p>
        </w:tc>
        <w:tc>
          <w:tcPr>
            <w:tcW w:w="1564" w:type="dxa"/>
            <w:tcBorders>
              <w:top w:val="single" w:sz="4" w:space="0" w:color="auto"/>
            </w:tcBorders>
            <w:vAlign w:val="center"/>
          </w:tcPr>
          <w:p w14:paraId="0B35CC2B" w14:textId="77777777" w:rsidR="003B6A80" w:rsidRPr="00CE4641" w:rsidRDefault="003B6A80" w:rsidP="003B6A80">
            <w:pPr>
              <w:pStyle w:val="Bodytext"/>
              <w:jc w:val="right"/>
              <w:rPr>
                <w:i/>
              </w:rPr>
            </w:pPr>
          </w:p>
        </w:tc>
        <w:tc>
          <w:tcPr>
            <w:tcW w:w="2018" w:type="dxa"/>
            <w:tcBorders>
              <w:top w:val="single" w:sz="4" w:space="0" w:color="auto"/>
            </w:tcBorders>
            <w:vAlign w:val="bottom"/>
          </w:tcPr>
          <w:p w14:paraId="29E6503C" w14:textId="196EBAE2" w:rsidR="003B6A80" w:rsidRPr="0021631B" w:rsidRDefault="003B6A80" w:rsidP="003B6A80">
            <w:pPr>
              <w:pStyle w:val="Bodytext"/>
              <w:jc w:val="right"/>
              <w:rPr>
                <w:b/>
                <w:bCs/>
              </w:rPr>
            </w:pPr>
          </w:p>
        </w:tc>
        <w:tc>
          <w:tcPr>
            <w:tcW w:w="2085" w:type="dxa"/>
            <w:tcBorders>
              <w:top w:val="single" w:sz="4" w:space="0" w:color="auto"/>
            </w:tcBorders>
          </w:tcPr>
          <w:p w14:paraId="5149963B" w14:textId="1FC26298" w:rsidR="003B6A80" w:rsidRPr="00723A7B" w:rsidRDefault="003B6A80" w:rsidP="003B6A80">
            <w:pPr>
              <w:pStyle w:val="Bodytext"/>
              <w:jc w:val="right"/>
            </w:pPr>
          </w:p>
        </w:tc>
      </w:tr>
      <w:tr w:rsidR="003B6A80" w:rsidRPr="00CE4641" w14:paraId="0E0F17D1" w14:textId="77777777" w:rsidTr="003B6A80">
        <w:tc>
          <w:tcPr>
            <w:tcW w:w="4181" w:type="dxa"/>
            <w:tcBorders>
              <w:bottom w:val="single" w:sz="18" w:space="0" w:color="auto"/>
            </w:tcBorders>
          </w:tcPr>
          <w:p w14:paraId="785A520B" w14:textId="548146F3" w:rsidR="003B6A80" w:rsidRPr="00CE4641" w:rsidRDefault="003B6A80" w:rsidP="003B6A80">
            <w:pPr>
              <w:pStyle w:val="Bodytext"/>
              <w:rPr>
                <w:b/>
              </w:rPr>
            </w:pPr>
            <w:r w:rsidRPr="00CE4641">
              <w:rPr>
                <w:b/>
              </w:rPr>
              <w:t>Number of Shares in issue at year end</w:t>
            </w:r>
          </w:p>
        </w:tc>
        <w:tc>
          <w:tcPr>
            <w:tcW w:w="1564" w:type="dxa"/>
            <w:tcBorders>
              <w:bottom w:val="single" w:sz="18" w:space="0" w:color="auto"/>
            </w:tcBorders>
            <w:vAlign w:val="center"/>
          </w:tcPr>
          <w:p w14:paraId="3C0A73A5" w14:textId="67DE21E6" w:rsidR="003B6A80" w:rsidRPr="00CE4641" w:rsidRDefault="003B6A80" w:rsidP="003B6A80">
            <w:pPr>
              <w:pStyle w:val="Bodytext"/>
              <w:jc w:val="right"/>
              <w:rPr>
                <w:i/>
              </w:rPr>
            </w:pPr>
            <w:r>
              <w:rPr>
                <w:i/>
              </w:rPr>
              <w:t>8</w:t>
            </w:r>
          </w:p>
        </w:tc>
        <w:tc>
          <w:tcPr>
            <w:tcW w:w="2018" w:type="dxa"/>
            <w:tcBorders>
              <w:bottom w:val="single" w:sz="18" w:space="0" w:color="auto"/>
            </w:tcBorders>
            <w:vAlign w:val="bottom"/>
          </w:tcPr>
          <w:p w14:paraId="78036052" w14:textId="63513E7B" w:rsidR="003B6A80" w:rsidRPr="0021631B" w:rsidRDefault="00B30F53" w:rsidP="003B6A80">
            <w:pPr>
              <w:pStyle w:val="Bodytext"/>
              <w:jc w:val="right"/>
              <w:rPr>
                <w:b/>
                <w:bCs/>
              </w:rPr>
            </w:pPr>
            <w:r w:rsidRPr="00B30F53">
              <w:rPr>
                <w:b/>
                <w:bCs/>
              </w:rPr>
              <w:t>79,896,731</w:t>
            </w:r>
          </w:p>
        </w:tc>
        <w:tc>
          <w:tcPr>
            <w:tcW w:w="2085" w:type="dxa"/>
            <w:tcBorders>
              <w:bottom w:val="single" w:sz="18" w:space="0" w:color="auto"/>
            </w:tcBorders>
          </w:tcPr>
          <w:p w14:paraId="3B27FD93" w14:textId="4DE8A243" w:rsidR="003B6A80" w:rsidRPr="00723A7B" w:rsidRDefault="003B6A80" w:rsidP="003B6A80">
            <w:pPr>
              <w:pStyle w:val="Bodytext"/>
              <w:jc w:val="right"/>
            </w:pPr>
            <w:r w:rsidRPr="00CE2A0B">
              <w:t>79,896,731</w:t>
            </w:r>
          </w:p>
        </w:tc>
      </w:tr>
      <w:tr w:rsidR="003B6A80" w:rsidRPr="00CE4641" w14:paraId="4808BE03" w14:textId="77777777" w:rsidTr="003B6A80">
        <w:tc>
          <w:tcPr>
            <w:tcW w:w="4181" w:type="dxa"/>
            <w:tcBorders>
              <w:top w:val="single" w:sz="18" w:space="0" w:color="auto"/>
            </w:tcBorders>
          </w:tcPr>
          <w:p w14:paraId="74117082" w14:textId="77777777" w:rsidR="003B6A80" w:rsidRPr="00CE4641" w:rsidRDefault="003B6A80" w:rsidP="003B6A80">
            <w:pPr>
              <w:pStyle w:val="Bodytext"/>
            </w:pPr>
          </w:p>
        </w:tc>
        <w:tc>
          <w:tcPr>
            <w:tcW w:w="1564" w:type="dxa"/>
            <w:tcBorders>
              <w:top w:val="single" w:sz="18" w:space="0" w:color="auto"/>
            </w:tcBorders>
            <w:vAlign w:val="center"/>
          </w:tcPr>
          <w:p w14:paraId="5C162549" w14:textId="77777777" w:rsidR="003B6A80" w:rsidRPr="00CE4641" w:rsidRDefault="003B6A80" w:rsidP="003B6A80">
            <w:pPr>
              <w:pStyle w:val="Bodytext"/>
              <w:jc w:val="right"/>
              <w:rPr>
                <w:i/>
              </w:rPr>
            </w:pPr>
          </w:p>
        </w:tc>
        <w:tc>
          <w:tcPr>
            <w:tcW w:w="2018" w:type="dxa"/>
            <w:tcBorders>
              <w:top w:val="single" w:sz="18" w:space="0" w:color="auto"/>
            </w:tcBorders>
            <w:vAlign w:val="bottom"/>
          </w:tcPr>
          <w:p w14:paraId="58A13750" w14:textId="70A5CBAA" w:rsidR="003B6A80" w:rsidRPr="0021631B" w:rsidRDefault="003B6A80" w:rsidP="003B6A80">
            <w:pPr>
              <w:pStyle w:val="Bodytext"/>
              <w:jc w:val="right"/>
              <w:rPr>
                <w:b/>
                <w:bCs/>
              </w:rPr>
            </w:pPr>
          </w:p>
        </w:tc>
        <w:tc>
          <w:tcPr>
            <w:tcW w:w="2085" w:type="dxa"/>
            <w:tcBorders>
              <w:top w:val="single" w:sz="18" w:space="0" w:color="auto"/>
            </w:tcBorders>
          </w:tcPr>
          <w:p w14:paraId="60A6CF10" w14:textId="2383251B" w:rsidR="003B6A80" w:rsidRPr="00723A7B" w:rsidRDefault="003B6A80" w:rsidP="003B6A80">
            <w:pPr>
              <w:pStyle w:val="Bodytext"/>
              <w:jc w:val="right"/>
            </w:pPr>
            <w:r w:rsidRPr="00CE2A0B">
              <w:t xml:space="preserve"> </w:t>
            </w:r>
          </w:p>
        </w:tc>
      </w:tr>
      <w:tr w:rsidR="003B6A80" w:rsidRPr="00CE4641" w14:paraId="752CF61A" w14:textId="77777777" w:rsidTr="003B6A80">
        <w:tc>
          <w:tcPr>
            <w:tcW w:w="4181" w:type="dxa"/>
            <w:tcBorders>
              <w:bottom w:val="single" w:sz="18" w:space="0" w:color="auto"/>
            </w:tcBorders>
          </w:tcPr>
          <w:p w14:paraId="126E5973" w14:textId="7E8BC3F2" w:rsidR="003B6A80" w:rsidRPr="00CE4641" w:rsidRDefault="003B6A80" w:rsidP="003B6A80">
            <w:pPr>
              <w:pStyle w:val="Bodytext"/>
              <w:rPr>
                <w:b/>
              </w:rPr>
            </w:pPr>
            <w:r w:rsidRPr="00CE4641">
              <w:rPr>
                <w:b/>
              </w:rPr>
              <w:t>Net Asset Value per Share ($)</w:t>
            </w:r>
          </w:p>
        </w:tc>
        <w:tc>
          <w:tcPr>
            <w:tcW w:w="1564" w:type="dxa"/>
            <w:tcBorders>
              <w:bottom w:val="single" w:sz="18" w:space="0" w:color="auto"/>
            </w:tcBorders>
            <w:vAlign w:val="center"/>
          </w:tcPr>
          <w:p w14:paraId="2E6A5AE2" w14:textId="4FC75E34" w:rsidR="003B6A80" w:rsidRPr="00CE4641" w:rsidRDefault="003B6A80" w:rsidP="003B6A80">
            <w:pPr>
              <w:pStyle w:val="Bodytext"/>
              <w:jc w:val="right"/>
              <w:rPr>
                <w:i/>
              </w:rPr>
            </w:pPr>
            <w:r w:rsidRPr="00CE4641">
              <w:rPr>
                <w:i/>
              </w:rPr>
              <w:t>1</w:t>
            </w:r>
            <w:r>
              <w:rPr>
                <w:i/>
              </w:rPr>
              <w:t>3</w:t>
            </w:r>
          </w:p>
        </w:tc>
        <w:tc>
          <w:tcPr>
            <w:tcW w:w="2018" w:type="dxa"/>
            <w:tcBorders>
              <w:bottom w:val="single" w:sz="18" w:space="0" w:color="auto"/>
            </w:tcBorders>
            <w:vAlign w:val="bottom"/>
          </w:tcPr>
          <w:p w14:paraId="412D5C3B" w14:textId="2BD8DE25" w:rsidR="003B6A80" w:rsidRPr="0021631B" w:rsidRDefault="00B229FD" w:rsidP="003B6A80">
            <w:pPr>
              <w:pStyle w:val="Bodytext"/>
              <w:jc w:val="right"/>
              <w:rPr>
                <w:b/>
                <w:bCs/>
              </w:rPr>
            </w:pPr>
            <w:r w:rsidRPr="00B229FD">
              <w:rPr>
                <w:b/>
                <w:bCs/>
              </w:rPr>
              <w:t>9.6</w:t>
            </w:r>
            <w:r w:rsidR="00296175">
              <w:rPr>
                <w:b/>
                <w:bCs/>
              </w:rPr>
              <w:t>6</w:t>
            </w:r>
          </w:p>
        </w:tc>
        <w:tc>
          <w:tcPr>
            <w:tcW w:w="2085" w:type="dxa"/>
            <w:tcBorders>
              <w:bottom w:val="single" w:sz="18" w:space="0" w:color="auto"/>
            </w:tcBorders>
          </w:tcPr>
          <w:p w14:paraId="303F4689" w14:textId="3F9606BD" w:rsidR="003B6A80" w:rsidRPr="00723A7B" w:rsidRDefault="003B6A80" w:rsidP="003B6A80">
            <w:pPr>
              <w:pStyle w:val="Bodytext"/>
              <w:jc w:val="right"/>
            </w:pPr>
            <w:r w:rsidRPr="00CE2A0B">
              <w:t>17.91</w:t>
            </w:r>
          </w:p>
        </w:tc>
      </w:tr>
    </w:tbl>
    <w:p w14:paraId="58EA4033" w14:textId="278AA77F" w:rsidR="00243B3E" w:rsidRPr="00811BA1" w:rsidRDefault="00243B3E" w:rsidP="00EB7E49">
      <w:pPr>
        <w:pStyle w:val="Bodytext"/>
      </w:pPr>
    </w:p>
    <w:p w14:paraId="2DADCF00" w14:textId="0E41BA33" w:rsidR="00243B3E" w:rsidRPr="00811BA1" w:rsidRDefault="00243B3E" w:rsidP="00EB7E49">
      <w:pPr>
        <w:pStyle w:val="Bodytext"/>
      </w:pPr>
      <w:r w:rsidRPr="00811BA1">
        <w:t>The Financial Statements of the Company</w:t>
      </w:r>
      <w:r w:rsidR="00E4713D">
        <w:t xml:space="preserve"> </w:t>
      </w:r>
      <w:r w:rsidRPr="00811BA1">
        <w:t xml:space="preserve">were approved and authorised for issue by the Board of Directors on </w:t>
      </w:r>
      <w:r w:rsidR="00133611">
        <w:t>22</w:t>
      </w:r>
      <w:r w:rsidR="00400EEA">
        <w:t xml:space="preserve"> </w:t>
      </w:r>
      <w:r w:rsidR="003A097B">
        <w:t xml:space="preserve">April </w:t>
      </w:r>
      <w:r w:rsidRPr="00811BA1">
        <w:t>20</w:t>
      </w:r>
      <w:r w:rsidR="003B6A80">
        <w:t>20</w:t>
      </w:r>
      <w:r w:rsidRPr="00811BA1">
        <w:t xml:space="preserve"> and signed on </w:t>
      </w:r>
      <w:r w:rsidR="00BF6A7E">
        <w:t>its</w:t>
      </w:r>
      <w:r w:rsidRPr="00811BA1">
        <w:t xml:space="preserve"> behalf by:</w:t>
      </w:r>
    </w:p>
    <w:p w14:paraId="5433BF87" w14:textId="77777777" w:rsidR="00215199" w:rsidRDefault="00215199" w:rsidP="00EB7E49">
      <w:pPr>
        <w:pStyle w:val="Bodytext"/>
      </w:pPr>
    </w:p>
    <w:p w14:paraId="1BBA1537" w14:textId="77777777" w:rsidR="007F6490" w:rsidRPr="00811BA1" w:rsidRDefault="007F6490" w:rsidP="00EB7E4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68"/>
        <w:gridCol w:w="2268"/>
      </w:tblGrid>
      <w:tr w:rsidR="00995252" w:rsidRPr="00811BA1" w14:paraId="37DD8905" w14:textId="77777777">
        <w:tc>
          <w:tcPr>
            <w:tcW w:w="2268" w:type="dxa"/>
          </w:tcPr>
          <w:p w14:paraId="22F2F087" w14:textId="51E2742E" w:rsidR="00995252" w:rsidRPr="00811BA1" w:rsidRDefault="00364E5E" w:rsidP="00EB7E49">
            <w:pPr>
              <w:pStyle w:val="Bodytext"/>
              <w:rPr>
                <w:b/>
              </w:rPr>
            </w:pPr>
            <w:r w:rsidRPr="00811BA1">
              <w:rPr>
                <w:b/>
              </w:rPr>
              <w:t>Richard Hayden</w:t>
            </w:r>
          </w:p>
        </w:tc>
        <w:tc>
          <w:tcPr>
            <w:tcW w:w="2268" w:type="dxa"/>
          </w:tcPr>
          <w:p w14:paraId="5D022F4D" w14:textId="525CEC4F" w:rsidR="00995252" w:rsidRPr="00811BA1" w:rsidRDefault="00364E5E" w:rsidP="00EB7E49">
            <w:pPr>
              <w:pStyle w:val="Bodytext"/>
              <w:rPr>
                <w:b/>
              </w:rPr>
            </w:pPr>
            <w:r>
              <w:rPr>
                <w:b/>
              </w:rPr>
              <w:t>Patrick Firth</w:t>
            </w:r>
          </w:p>
        </w:tc>
      </w:tr>
      <w:tr w:rsidR="00995252" w:rsidRPr="00811BA1" w14:paraId="41332EEF" w14:textId="77777777">
        <w:tc>
          <w:tcPr>
            <w:tcW w:w="2268" w:type="dxa"/>
          </w:tcPr>
          <w:p w14:paraId="48DE5BCF" w14:textId="77777777" w:rsidR="00995252" w:rsidRPr="00811BA1" w:rsidRDefault="00995252" w:rsidP="00EB7E49">
            <w:pPr>
              <w:pStyle w:val="Bodytext"/>
              <w:rPr>
                <w:i/>
              </w:rPr>
            </w:pPr>
            <w:r w:rsidRPr="00811BA1">
              <w:rPr>
                <w:i/>
              </w:rPr>
              <w:t>Chairman</w:t>
            </w:r>
          </w:p>
        </w:tc>
        <w:tc>
          <w:tcPr>
            <w:tcW w:w="2268" w:type="dxa"/>
          </w:tcPr>
          <w:p w14:paraId="1574E99F" w14:textId="77777777" w:rsidR="00995252" w:rsidRPr="00811BA1" w:rsidRDefault="00995252" w:rsidP="00EB7E49">
            <w:pPr>
              <w:pStyle w:val="Bodytext"/>
              <w:rPr>
                <w:i/>
              </w:rPr>
            </w:pPr>
            <w:r w:rsidRPr="00811BA1">
              <w:rPr>
                <w:i/>
              </w:rPr>
              <w:t>Director</w:t>
            </w:r>
          </w:p>
        </w:tc>
      </w:tr>
    </w:tbl>
    <w:p w14:paraId="18D15693" w14:textId="77777777" w:rsidR="00215199" w:rsidRPr="00811BA1" w:rsidRDefault="00215199" w:rsidP="00EB7E49">
      <w:pPr>
        <w:pStyle w:val="Bodytext"/>
      </w:pPr>
    </w:p>
    <w:p w14:paraId="2CC88BB7" w14:textId="501985B0" w:rsidR="00F7024C" w:rsidRDefault="00215199" w:rsidP="007B606F">
      <w:pPr>
        <w:pStyle w:val="Bodytext"/>
        <w:rPr>
          <w:rFonts w:eastAsiaTheme="majorEastAsia" w:cstheme="majorBidi"/>
          <w:b/>
          <w:bCs/>
          <w:caps/>
          <w:sz w:val="30"/>
          <w:szCs w:val="32"/>
        </w:rPr>
      </w:pPr>
      <w:r w:rsidRPr="00811BA1">
        <w:t>The accompanying notes</w:t>
      </w:r>
      <w:r w:rsidR="008E34F3">
        <w:t xml:space="preserve"> </w:t>
      </w:r>
      <w:r w:rsidRPr="00811BA1">
        <w:t>form an integral part of the Company’s Financial Statements.</w:t>
      </w:r>
    </w:p>
    <w:p w14:paraId="07D26810" w14:textId="7B7E0667" w:rsidR="00424584" w:rsidRPr="00811BA1" w:rsidRDefault="00424584" w:rsidP="00EB7E49">
      <w:pPr>
        <w:pStyle w:val="Heading1"/>
      </w:pPr>
      <w:r w:rsidRPr="00811BA1">
        <w:t xml:space="preserve">Statement of </w:t>
      </w:r>
      <w:r w:rsidRPr="006F03DE">
        <w:t>Comprehensive Income</w:t>
      </w:r>
    </w:p>
    <w:p w14:paraId="2DEEEF14" w14:textId="0881C6C7" w:rsidR="00424584" w:rsidRPr="00811BA1" w:rsidRDefault="00424584" w:rsidP="00EB7E49">
      <w:pPr>
        <w:pStyle w:val="Bodytext"/>
      </w:pPr>
      <w:r w:rsidRPr="00811BA1">
        <w:t xml:space="preserve">For the year ended </w:t>
      </w:r>
      <w:r w:rsidR="00610498">
        <w:t>31 December 201</w:t>
      </w:r>
      <w:r w:rsidR="003B6A80">
        <w:t>9</w:t>
      </w:r>
    </w:p>
    <w:p w14:paraId="42568DC2" w14:textId="77777777" w:rsidR="00424584" w:rsidRPr="00811BA1" w:rsidRDefault="00424584" w:rsidP="00EB7E49">
      <w:pPr>
        <w:pStyle w:val="Bodytext"/>
      </w:pPr>
    </w:p>
    <w:tbl>
      <w:tblPr>
        <w:tblStyle w:val="TableGrid"/>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49"/>
        <w:gridCol w:w="1701"/>
        <w:gridCol w:w="1701"/>
        <w:gridCol w:w="1701"/>
      </w:tblGrid>
      <w:tr w:rsidR="00AE2D96" w:rsidRPr="00CE4641" w14:paraId="5002455C" w14:textId="77777777" w:rsidTr="00AE2D96">
        <w:trPr>
          <w:trHeight w:val="1173"/>
        </w:trPr>
        <w:tc>
          <w:tcPr>
            <w:tcW w:w="4649" w:type="dxa"/>
            <w:tcBorders>
              <w:bottom w:val="single" w:sz="4" w:space="0" w:color="auto"/>
            </w:tcBorders>
          </w:tcPr>
          <w:p w14:paraId="0D892DDC" w14:textId="77777777" w:rsidR="00AE2D96" w:rsidRPr="00CE4641" w:rsidRDefault="00AE2D96" w:rsidP="00EB7E49">
            <w:pPr>
              <w:pStyle w:val="Bodytext"/>
            </w:pPr>
          </w:p>
        </w:tc>
        <w:tc>
          <w:tcPr>
            <w:tcW w:w="1701" w:type="dxa"/>
            <w:tcBorders>
              <w:bottom w:val="single" w:sz="4" w:space="0" w:color="auto"/>
            </w:tcBorders>
            <w:vAlign w:val="bottom"/>
          </w:tcPr>
          <w:p w14:paraId="62B1175A" w14:textId="77777777" w:rsidR="00AE2D96" w:rsidRPr="00CE4641" w:rsidRDefault="00AE2D96" w:rsidP="00EB7E49">
            <w:pPr>
              <w:pStyle w:val="Bodytext"/>
              <w:jc w:val="right"/>
              <w:rPr>
                <w:i/>
                <w:sz w:val="18"/>
              </w:rPr>
            </w:pPr>
            <w:r w:rsidRPr="00CE4641">
              <w:rPr>
                <w:i/>
                <w:sz w:val="18"/>
              </w:rPr>
              <w:t>Notes</w:t>
            </w:r>
          </w:p>
        </w:tc>
        <w:tc>
          <w:tcPr>
            <w:tcW w:w="1701" w:type="dxa"/>
            <w:tcBorders>
              <w:bottom w:val="single" w:sz="4" w:space="0" w:color="auto"/>
            </w:tcBorders>
            <w:vAlign w:val="bottom"/>
          </w:tcPr>
          <w:p w14:paraId="3ED9CE02" w14:textId="77777777" w:rsidR="00AE2D96" w:rsidRPr="00CE4641" w:rsidRDefault="00AE2D96" w:rsidP="00EB7E49">
            <w:pPr>
              <w:pStyle w:val="Bodytext"/>
              <w:jc w:val="right"/>
              <w:rPr>
                <w:b/>
              </w:rPr>
            </w:pPr>
            <w:r w:rsidRPr="00CE4641">
              <w:rPr>
                <w:b/>
              </w:rPr>
              <w:t>1 January</w:t>
            </w:r>
          </w:p>
          <w:p w14:paraId="44C0F54C" w14:textId="75B38573" w:rsidR="00AE2D96" w:rsidRPr="00CE4641" w:rsidRDefault="00AE2D96" w:rsidP="00EB7E49">
            <w:pPr>
              <w:pStyle w:val="Bodytext"/>
              <w:jc w:val="right"/>
              <w:rPr>
                <w:b/>
              </w:rPr>
            </w:pPr>
            <w:r w:rsidRPr="00CE4641">
              <w:rPr>
                <w:b/>
              </w:rPr>
              <w:t>201</w:t>
            </w:r>
            <w:r w:rsidR="003B6A80">
              <w:rPr>
                <w:b/>
              </w:rPr>
              <w:t>9</w:t>
            </w:r>
            <w:r w:rsidRPr="00CE4641">
              <w:rPr>
                <w:b/>
              </w:rPr>
              <w:t xml:space="preserve"> to</w:t>
            </w:r>
          </w:p>
          <w:p w14:paraId="398F44E5" w14:textId="77777777" w:rsidR="00AE2D96" w:rsidRPr="00CE4641" w:rsidRDefault="00AE2D96" w:rsidP="00EB7E49">
            <w:pPr>
              <w:pStyle w:val="Bodytext"/>
              <w:jc w:val="right"/>
              <w:rPr>
                <w:b/>
              </w:rPr>
            </w:pPr>
            <w:r w:rsidRPr="00CE4641">
              <w:rPr>
                <w:b/>
              </w:rPr>
              <w:t>31 December</w:t>
            </w:r>
          </w:p>
          <w:p w14:paraId="4852C854" w14:textId="03137FB9" w:rsidR="00AE2D96" w:rsidRPr="00CE4641" w:rsidRDefault="00AE2D96" w:rsidP="00EB7E49">
            <w:pPr>
              <w:pStyle w:val="Bodytext"/>
              <w:jc w:val="right"/>
              <w:rPr>
                <w:b/>
              </w:rPr>
            </w:pPr>
            <w:r w:rsidRPr="00CE4641">
              <w:rPr>
                <w:b/>
              </w:rPr>
              <w:t>201</w:t>
            </w:r>
            <w:r w:rsidR="003B6A80">
              <w:rPr>
                <w:b/>
              </w:rPr>
              <w:t>9</w:t>
            </w:r>
          </w:p>
          <w:p w14:paraId="2ADC0EC4" w14:textId="77777777" w:rsidR="00AE2D96" w:rsidRPr="00CE4641" w:rsidRDefault="00AE2D96" w:rsidP="00EB7E49">
            <w:pPr>
              <w:pStyle w:val="Bodytext"/>
              <w:jc w:val="right"/>
              <w:rPr>
                <w:b/>
              </w:rPr>
            </w:pPr>
            <w:r w:rsidRPr="00CE4641">
              <w:rPr>
                <w:b/>
              </w:rPr>
              <w:t>$’000</w:t>
            </w:r>
          </w:p>
        </w:tc>
        <w:tc>
          <w:tcPr>
            <w:tcW w:w="1701" w:type="dxa"/>
            <w:tcBorders>
              <w:bottom w:val="single" w:sz="4" w:space="0" w:color="auto"/>
            </w:tcBorders>
            <w:vAlign w:val="bottom"/>
          </w:tcPr>
          <w:p w14:paraId="3B93A69B" w14:textId="77777777" w:rsidR="00AE2D96" w:rsidRPr="00AE2D96" w:rsidRDefault="00AE2D96" w:rsidP="00AE2D96">
            <w:pPr>
              <w:pStyle w:val="Bodytext"/>
              <w:jc w:val="right"/>
            </w:pPr>
            <w:r w:rsidRPr="00AE2D96">
              <w:t>1 January</w:t>
            </w:r>
          </w:p>
          <w:p w14:paraId="2A6B69F1" w14:textId="1E1781E6" w:rsidR="00AE2D96" w:rsidRPr="00AE2D96" w:rsidRDefault="00EE38E6" w:rsidP="00AE2D96">
            <w:pPr>
              <w:pStyle w:val="Bodytext"/>
              <w:jc w:val="right"/>
            </w:pPr>
            <w:r>
              <w:t>201</w:t>
            </w:r>
            <w:r w:rsidR="003B6A80">
              <w:t>8</w:t>
            </w:r>
            <w:r w:rsidR="00AE2D96" w:rsidRPr="00AE2D96">
              <w:t xml:space="preserve"> to</w:t>
            </w:r>
          </w:p>
          <w:p w14:paraId="75CC1006" w14:textId="77777777" w:rsidR="00AE2D96" w:rsidRPr="00AE2D96" w:rsidRDefault="00AE2D96" w:rsidP="00AE2D96">
            <w:pPr>
              <w:pStyle w:val="Bodytext"/>
              <w:jc w:val="right"/>
            </w:pPr>
            <w:r w:rsidRPr="00AE2D96">
              <w:t>31 December</w:t>
            </w:r>
          </w:p>
          <w:p w14:paraId="308FAF57" w14:textId="06DF160C" w:rsidR="00AE2D96" w:rsidRPr="00AE2D96" w:rsidRDefault="00AE2D96" w:rsidP="00AE2D96">
            <w:pPr>
              <w:pStyle w:val="Bodytext"/>
              <w:jc w:val="right"/>
            </w:pPr>
            <w:r w:rsidRPr="00AE2D96">
              <w:t>201</w:t>
            </w:r>
            <w:r w:rsidR="003B6A80">
              <w:t>8</w:t>
            </w:r>
          </w:p>
          <w:p w14:paraId="5371B4BB" w14:textId="13466B82" w:rsidR="00AE2D96" w:rsidRPr="00AE2D96" w:rsidRDefault="00AE2D96" w:rsidP="00EB7E49">
            <w:pPr>
              <w:pStyle w:val="Bodytext"/>
              <w:jc w:val="right"/>
            </w:pPr>
            <w:r w:rsidRPr="00AE2D96">
              <w:t>$’000</w:t>
            </w:r>
          </w:p>
        </w:tc>
      </w:tr>
      <w:tr w:rsidR="00AE2D96" w:rsidRPr="00CE4641" w14:paraId="0B833931" w14:textId="77777777" w:rsidTr="00AE2D96">
        <w:tc>
          <w:tcPr>
            <w:tcW w:w="4649" w:type="dxa"/>
            <w:tcBorders>
              <w:top w:val="single" w:sz="4" w:space="0" w:color="auto"/>
            </w:tcBorders>
          </w:tcPr>
          <w:p w14:paraId="022BCBB8" w14:textId="5CF851A1" w:rsidR="00AE2D96" w:rsidRPr="00CE4641" w:rsidRDefault="00AE2D96" w:rsidP="00EB7E49">
            <w:pPr>
              <w:pStyle w:val="Bodytext"/>
              <w:rPr>
                <w:b/>
              </w:rPr>
            </w:pPr>
            <w:r w:rsidRPr="00CE4641">
              <w:rPr>
                <w:b/>
              </w:rPr>
              <w:t xml:space="preserve">Investment </w:t>
            </w:r>
            <w:r w:rsidR="00930676">
              <w:rPr>
                <w:b/>
              </w:rPr>
              <w:t>loss</w:t>
            </w:r>
          </w:p>
        </w:tc>
        <w:tc>
          <w:tcPr>
            <w:tcW w:w="1701" w:type="dxa"/>
            <w:tcBorders>
              <w:top w:val="single" w:sz="4" w:space="0" w:color="auto"/>
            </w:tcBorders>
            <w:vAlign w:val="center"/>
          </w:tcPr>
          <w:p w14:paraId="6532F788" w14:textId="77777777" w:rsidR="00AE2D96" w:rsidRPr="00CE4641" w:rsidRDefault="00AE2D96" w:rsidP="00EB7E49">
            <w:pPr>
              <w:pStyle w:val="Bodytext"/>
              <w:jc w:val="right"/>
              <w:rPr>
                <w:i/>
                <w:sz w:val="18"/>
              </w:rPr>
            </w:pPr>
          </w:p>
        </w:tc>
        <w:tc>
          <w:tcPr>
            <w:tcW w:w="1701" w:type="dxa"/>
            <w:tcBorders>
              <w:top w:val="single" w:sz="4" w:space="0" w:color="auto"/>
            </w:tcBorders>
            <w:vAlign w:val="center"/>
          </w:tcPr>
          <w:p w14:paraId="6F4F0442" w14:textId="77777777" w:rsidR="00AE2D96" w:rsidRPr="00CE4641" w:rsidRDefault="00AE2D96" w:rsidP="00EB7E49">
            <w:pPr>
              <w:pStyle w:val="Bodytext"/>
              <w:jc w:val="right"/>
              <w:rPr>
                <w:b/>
              </w:rPr>
            </w:pPr>
          </w:p>
        </w:tc>
        <w:tc>
          <w:tcPr>
            <w:tcW w:w="1701" w:type="dxa"/>
            <w:tcBorders>
              <w:top w:val="single" w:sz="4" w:space="0" w:color="auto"/>
            </w:tcBorders>
            <w:vAlign w:val="center"/>
          </w:tcPr>
          <w:p w14:paraId="4E8C7A7A" w14:textId="77777777" w:rsidR="00AE2D96" w:rsidRPr="00AE2D96" w:rsidRDefault="00AE2D96" w:rsidP="00EB7E49">
            <w:pPr>
              <w:pStyle w:val="Bodytext"/>
              <w:jc w:val="right"/>
            </w:pPr>
          </w:p>
        </w:tc>
      </w:tr>
      <w:tr w:rsidR="003B6A80" w:rsidRPr="00CE4641" w14:paraId="7E3D919C" w14:textId="77777777" w:rsidTr="00586B9B">
        <w:tc>
          <w:tcPr>
            <w:tcW w:w="4649" w:type="dxa"/>
            <w:tcBorders>
              <w:bottom w:val="single" w:sz="4" w:space="0" w:color="auto"/>
            </w:tcBorders>
          </w:tcPr>
          <w:p w14:paraId="4435D52E" w14:textId="77777777" w:rsidR="003B6A80" w:rsidRPr="00CE4641" w:rsidRDefault="003B6A80" w:rsidP="003B6A80">
            <w:pPr>
              <w:pStyle w:val="Bodytext"/>
            </w:pPr>
            <w:r w:rsidRPr="00CE4641">
              <w:t>Change in fair value of investment at fair value through profit or loss</w:t>
            </w:r>
          </w:p>
        </w:tc>
        <w:tc>
          <w:tcPr>
            <w:tcW w:w="1701" w:type="dxa"/>
            <w:tcBorders>
              <w:bottom w:val="single" w:sz="4" w:space="0" w:color="auto"/>
            </w:tcBorders>
            <w:vAlign w:val="center"/>
          </w:tcPr>
          <w:p w14:paraId="60403162" w14:textId="4CFE384F" w:rsidR="003B6A80" w:rsidRPr="00CE4641" w:rsidRDefault="003B6A80" w:rsidP="003B6A80">
            <w:pPr>
              <w:pStyle w:val="Bodytext"/>
              <w:jc w:val="right"/>
              <w:rPr>
                <w:i/>
                <w:sz w:val="18"/>
              </w:rPr>
            </w:pPr>
            <w:r w:rsidRPr="00CE4641">
              <w:rPr>
                <w:i/>
                <w:sz w:val="18"/>
              </w:rPr>
              <w:t>6</w:t>
            </w:r>
          </w:p>
        </w:tc>
        <w:tc>
          <w:tcPr>
            <w:tcW w:w="1701" w:type="dxa"/>
            <w:tcBorders>
              <w:bottom w:val="single" w:sz="4" w:space="0" w:color="auto"/>
            </w:tcBorders>
          </w:tcPr>
          <w:p w14:paraId="19B3571E" w14:textId="39CEF09B" w:rsidR="003B6A80" w:rsidRPr="00D83DA0" w:rsidRDefault="00B229FD" w:rsidP="00296175">
            <w:pPr>
              <w:pStyle w:val="Bodytext"/>
              <w:jc w:val="right"/>
              <w:rPr>
                <w:b/>
                <w:bCs/>
              </w:rPr>
            </w:pPr>
            <w:r w:rsidRPr="00B229FD">
              <w:rPr>
                <w:b/>
                <w:bCs/>
              </w:rPr>
              <w:t>(654,</w:t>
            </w:r>
            <w:r w:rsidR="00296175" w:rsidRPr="00B229FD">
              <w:rPr>
                <w:b/>
                <w:bCs/>
              </w:rPr>
              <w:t>1</w:t>
            </w:r>
            <w:r w:rsidR="00296175">
              <w:rPr>
                <w:b/>
                <w:bCs/>
              </w:rPr>
              <w:t>6</w:t>
            </w:r>
            <w:r w:rsidR="00680615">
              <w:rPr>
                <w:b/>
                <w:bCs/>
              </w:rPr>
              <w:t>3</w:t>
            </w:r>
            <w:r w:rsidRPr="00B229FD">
              <w:rPr>
                <w:b/>
                <w:bCs/>
              </w:rPr>
              <w:t>)</w:t>
            </w:r>
          </w:p>
        </w:tc>
        <w:tc>
          <w:tcPr>
            <w:tcW w:w="1701" w:type="dxa"/>
            <w:tcBorders>
              <w:bottom w:val="single" w:sz="4" w:space="0" w:color="auto"/>
            </w:tcBorders>
          </w:tcPr>
          <w:p w14:paraId="7E75876C" w14:textId="5C96361B" w:rsidR="003B6A80" w:rsidRPr="00AE2D96" w:rsidRDefault="003B6A80" w:rsidP="003B6A80">
            <w:pPr>
              <w:pStyle w:val="Bodytext"/>
              <w:jc w:val="right"/>
            </w:pPr>
            <w:r w:rsidRPr="002E776F">
              <w:t>(236,408)</w:t>
            </w:r>
          </w:p>
        </w:tc>
      </w:tr>
      <w:tr w:rsidR="003B6A80" w:rsidRPr="00CE4641" w14:paraId="45AC8830" w14:textId="77777777" w:rsidTr="002D2CEC">
        <w:tc>
          <w:tcPr>
            <w:tcW w:w="4649" w:type="dxa"/>
            <w:tcBorders>
              <w:top w:val="single" w:sz="4" w:space="0" w:color="auto"/>
            </w:tcBorders>
          </w:tcPr>
          <w:p w14:paraId="1B0805A2" w14:textId="77777777" w:rsidR="003B6A80" w:rsidRPr="00CE4641" w:rsidRDefault="003B6A80" w:rsidP="003B6A80">
            <w:pPr>
              <w:pStyle w:val="Bodytext"/>
            </w:pPr>
          </w:p>
        </w:tc>
        <w:tc>
          <w:tcPr>
            <w:tcW w:w="1701" w:type="dxa"/>
            <w:tcBorders>
              <w:top w:val="single" w:sz="4" w:space="0" w:color="auto"/>
            </w:tcBorders>
            <w:vAlign w:val="center"/>
          </w:tcPr>
          <w:p w14:paraId="1DCCEA5A" w14:textId="77777777" w:rsidR="003B6A80" w:rsidRPr="00CE4641" w:rsidRDefault="003B6A80" w:rsidP="003B6A80">
            <w:pPr>
              <w:pStyle w:val="Bodytext"/>
              <w:jc w:val="right"/>
              <w:rPr>
                <w:i/>
                <w:sz w:val="18"/>
              </w:rPr>
            </w:pPr>
          </w:p>
        </w:tc>
        <w:tc>
          <w:tcPr>
            <w:tcW w:w="1701" w:type="dxa"/>
            <w:tcBorders>
              <w:top w:val="single" w:sz="4" w:space="0" w:color="auto"/>
            </w:tcBorders>
            <w:vAlign w:val="center"/>
          </w:tcPr>
          <w:p w14:paraId="594731A5" w14:textId="19FC61F4" w:rsidR="003B6A80" w:rsidRPr="00D83DA0" w:rsidRDefault="003B6A80" w:rsidP="003B6A80">
            <w:pPr>
              <w:pStyle w:val="Bodytext"/>
              <w:jc w:val="right"/>
              <w:rPr>
                <w:b/>
                <w:bCs/>
              </w:rPr>
            </w:pPr>
          </w:p>
        </w:tc>
        <w:tc>
          <w:tcPr>
            <w:tcW w:w="1701" w:type="dxa"/>
            <w:tcBorders>
              <w:top w:val="single" w:sz="4" w:space="0" w:color="auto"/>
            </w:tcBorders>
          </w:tcPr>
          <w:p w14:paraId="1227E67D" w14:textId="09A6957C" w:rsidR="003B6A80" w:rsidRPr="00AE2D96" w:rsidRDefault="003B6A80" w:rsidP="003B6A80">
            <w:pPr>
              <w:pStyle w:val="Bodytext"/>
              <w:jc w:val="right"/>
            </w:pPr>
          </w:p>
        </w:tc>
      </w:tr>
      <w:tr w:rsidR="003B6A80" w:rsidRPr="00CE4641" w14:paraId="39D8046D" w14:textId="77777777" w:rsidTr="002D2CEC">
        <w:tc>
          <w:tcPr>
            <w:tcW w:w="4649" w:type="dxa"/>
          </w:tcPr>
          <w:p w14:paraId="06F1650B" w14:textId="77777777" w:rsidR="003B6A80" w:rsidRPr="00CE4641" w:rsidRDefault="003B6A80" w:rsidP="003B6A80">
            <w:pPr>
              <w:pStyle w:val="Bodytext"/>
              <w:rPr>
                <w:b/>
              </w:rPr>
            </w:pPr>
            <w:r w:rsidRPr="00CE4641">
              <w:rPr>
                <w:b/>
              </w:rPr>
              <w:t>Expenses</w:t>
            </w:r>
          </w:p>
        </w:tc>
        <w:tc>
          <w:tcPr>
            <w:tcW w:w="1701" w:type="dxa"/>
            <w:vAlign w:val="center"/>
          </w:tcPr>
          <w:p w14:paraId="75BE1509" w14:textId="77777777" w:rsidR="003B6A80" w:rsidRPr="00CE4641" w:rsidRDefault="003B6A80" w:rsidP="003B6A80">
            <w:pPr>
              <w:pStyle w:val="Bodytext"/>
              <w:jc w:val="right"/>
              <w:rPr>
                <w:i/>
                <w:sz w:val="18"/>
              </w:rPr>
            </w:pPr>
          </w:p>
        </w:tc>
        <w:tc>
          <w:tcPr>
            <w:tcW w:w="1701" w:type="dxa"/>
            <w:vAlign w:val="center"/>
          </w:tcPr>
          <w:p w14:paraId="1839E366" w14:textId="02468AC9" w:rsidR="003B6A80" w:rsidRPr="00D83DA0" w:rsidRDefault="003B6A80" w:rsidP="003B6A80">
            <w:pPr>
              <w:pStyle w:val="Bodytext"/>
              <w:jc w:val="right"/>
              <w:rPr>
                <w:b/>
                <w:bCs/>
              </w:rPr>
            </w:pPr>
          </w:p>
        </w:tc>
        <w:tc>
          <w:tcPr>
            <w:tcW w:w="1701" w:type="dxa"/>
          </w:tcPr>
          <w:p w14:paraId="716292E0" w14:textId="56C16A32" w:rsidR="003B6A80" w:rsidRPr="00AE2D96" w:rsidRDefault="003B6A80" w:rsidP="003B6A80">
            <w:pPr>
              <w:pStyle w:val="Bodytext"/>
              <w:jc w:val="right"/>
            </w:pPr>
          </w:p>
        </w:tc>
      </w:tr>
      <w:tr w:rsidR="003B6A80" w:rsidRPr="00CE4641" w14:paraId="11F772E9" w14:textId="77777777" w:rsidTr="002D2CEC">
        <w:tc>
          <w:tcPr>
            <w:tcW w:w="4649" w:type="dxa"/>
          </w:tcPr>
          <w:p w14:paraId="2F2E938E" w14:textId="77777777" w:rsidR="003B6A80" w:rsidRPr="00CE4641" w:rsidRDefault="003B6A80" w:rsidP="003B6A80">
            <w:pPr>
              <w:pStyle w:val="Bodytext"/>
            </w:pPr>
            <w:r w:rsidRPr="00CE4641">
              <w:lastRenderedPageBreak/>
              <w:t>Directors’ fees and expenses</w:t>
            </w:r>
          </w:p>
        </w:tc>
        <w:tc>
          <w:tcPr>
            <w:tcW w:w="1701" w:type="dxa"/>
            <w:vAlign w:val="center"/>
          </w:tcPr>
          <w:p w14:paraId="28DF6CC7" w14:textId="7895F21A" w:rsidR="003B6A80" w:rsidRPr="00CE4641" w:rsidRDefault="003B6A80" w:rsidP="003B6A80">
            <w:pPr>
              <w:pStyle w:val="Bodytext"/>
              <w:jc w:val="right"/>
              <w:rPr>
                <w:i/>
                <w:sz w:val="18"/>
              </w:rPr>
            </w:pPr>
            <w:r w:rsidRPr="00CE4641">
              <w:rPr>
                <w:i/>
                <w:sz w:val="18"/>
              </w:rPr>
              <w:t>1</w:t>
            </w:r>
            <w:r>
              <w:rPr>
                <w:i/>
                <w:sz w:val="18"/>
              </w:rPr>
              <w:t>0</w:t>
            </w:r>
          </w:p>
        </w:tc>
        <w:tc>
          <w:tcPr>
            <w:tcW w:w="1701" w:type="dxa"/>
            <w:vAlign w:val="bottom"/>
          </w:tcPr>
          <w:p w14:paraId="1E5CDEFE" w14:textId="29522B65" w:rsidR="003B6A80" w:rsidRPr="00D83DA0" w:rsidRDefault="00B30F53" w:rsidP="003B6A80">
            <w:pPr>
              <w:pStyle w:val="Bodytext"/>
              <w:jc w:val="right"/>
              <w:rPr>
                <w:b/>
                <w:bCs/>
              </w:rPr>
            </w:pPr>
            <w:r w:rsidRPr="00B30F53">
              <w:rPr>
                <w:b/>
                <w:bCs/>
              </w:rPr>
              <w:t>(1,144)</w:t>
            </w:r>
          </w:p>
        </w:tc>
        <w:tc>
          <w:tcPr>
            <w:tcW w:w="1701" w:type="dxa"/>
          </w:tcPr>
          <w:p w14:paraId="1ACE7C0A" w14:textId="780C0E19" w:rsidR="003B6A80" w:rsidRPr="00AE2D96" w:rsidRDefault="003B6A80" w:rsidP="003B6A80">
            <w:pPr>
              <w:pStyle w:val="Bodytext"/>
              <w:jc w:val="right"/>
            </w:pPr>
            <w:r w:rsidRPr="002E776F">
              <w:t>(1,077)</w:t>
            </w:r>
          </w:p>
        </w:tc>
      </w:tr>
      <w:tr w:rsidR="003B6A80" w:rsidRPr="00CE4641" w14:paraId="475A24F2" w14:textId="77777777" w:rsidTr="002D2CEC">
        <w:tc>
          <w:tcPr>
            <w:tcW w:w="4649" w:type="dxa"/>
          </w:tcPr>
          <w:p w14:paraId="5D001B9A" w14:textId="77777777" w:rsidR="003B6A80" w:rsidRPr="00CE4641" w:rsidRDefault="003B6A80" w:rsidP="003B6A80">
            <w:pPr>
              <w:pStyle w:val="Bodytext"/>
            </w:pPr>
            <w:r w:rsidRPr="00CE4641">
              <w:t>Legal and professional fees</w:t>
            </w:r>
          </w:p>
        </w:tc>
        <w:tc>
          <w:tcPr>
            <w:tcW w:w="1701" w:type="dxa"/>
            <w:vAlign w:val="center"/>
          </w:tcPr>
          <w:p w14:paraId="682FBD4F" w14:textId="77777777" w:rsidR="003B6A80" w:rsidRPr="00CE4641" w:rsidRDefault="003B6A80" w:rsidP="003B6A80">
            <w:pPr>
              <w:pStyle w:val="Bodytext"/>
              <w:jc w:val="right"/>
              <w:rPr>
                <w:i/>
                <w:sz w:val="18"/>
              </w:rPr>
            </w:pPr>
          </w:p>
        </w:tc>
        <w:tc>
          <w:tcPr>
            <w:tcW w:w="1701" w:type="dxa"/>
            <w:vAlign w:val="center"/>
          </w:tcPr>
          <w:p w14:paraId="0A7E5BCA" w14:textId="52F148DE" w:rsidR="003B6A80" w:rsidRPr="00D83DA0" w:rsidRDefault="00B229FD" w:rsidP="003B6A80">
            <w:pPr>
              <w:pStyle w:val="Bodytext"/>
              <w:jc w:val="right"/>
              <w:rPr>
                <w:b/>
                <w:bCs/>
              </w:rPr>
            </w:pPr>
            <w:r w:rsidRPr="00B229FD">
              <w:rPr>
                <w:b/>
                <w:bCs/>
              </w:rPr>
              <w:t>(1,70</w:t>
            </w:r>
            <w:r w:rsidR="00680615">
              <w:rPr>
                <w:b/>
                <w:bCs/>
              </w:rPr>
              <w:t>7</w:t>
            </w:r>
            <w:r w:rsidRPr="00B229FD">
              <w:rPr>
                <w:b/>
                <w:bCs/>
              </w:rPr>
              <w:t>)</w:t>
            </w:r>
          </w:p>
        </w:tc>
        <w:tc>
          <w:tcPr>
            <w:tcW w:w="1701" w:type="dxa"/>
          </w:tcPr>
          <w:p w14:paraId="0C5FE7E2" w14:textId="0517F17F" w:rsidR="003B6A80" w:rsidRPr="00AE2D96" w:rsidRDefault="003B6A80" w:rsidP="003B6A80">
            <w:pPr>
              <w:pStyle w:val="Bodytext"/>
              <w:jc w:val="right"/>
            </w:pPr>
            <w:r w:rsidRPr="002E776F">
              <w:t>(269)</w:t>
            </w:r>
          </w:p>
        </w:tc>
      </w:tr>
      <w:tr w:rsidR="003B6A80" w:rsidRPr="00CE4641" w14:paraId="30A9398A" w14:textId="77777777" w:rsidTr="002D2CEC">
        <w:tc>
          <w:tcPr>
            <w:tcW w:w="4649" w:type="dxa"/>
            <w:tcBorders>
              <w:bottom w:val="single" w:sz="4" w:space="0" w:color="auto"/>
            </w:tcBorders>
          </w:tcPr>
          <w:p w14:paraId="54EA7226" w14:textId="77777777" w:rsidR="003B6A80" w:rsidRPr="00CE4641" w:rsidRDefault="003B6A80" w:rsidP="003B6A80">
            <w:pPr>
              <w:pStyle w:val="Bodytext"/>
            </w:pPr>
            <w:r w:rsidRPr="00CE4641">
              <w:t>Other operating expenses</w:t>
            </w:r>
          </w:p>
        </w:tc>
        <w:tc>
          <w:tcPr>
            <w:tcW w:w="1701" w:type="dxa"/>
            <w:tcBorders>
              <w:bottom w:val="single" w:sz="4" w:space="0" w:color="auto"/>
            </w:tcBorders>
            <w:vAlign w:val="center"/>
          </w:tcPr>
          <w:p w14:paraId="4129F352" w14:textId="0DE20EF1" w:rsidR="003B6A80" w:rsidRPr="00CE4641" w:rsidRDefault="003B6A80" w:rsidP="003B6A80">
            <w:pPr>
              <w:pStyle w:val="Bodytext"/>
              <w:jc w:val="right"/>
              <w:rPr>
                <w:i/>
                <w:sz w:val="18"/>
              </w:rPr>
            </w:pPr>
            <w:r w:rsidRPr="00CE4641">
              <w:rPr>
                <w:i/>
                <w:sz w:val="18"/>
              </w:rPr>
              <w:t>1</w:t>
            </w:r>
            <w:r>
              <w:rPr>
                <w:i/>
                <w:sz w:val="18"/>
              </w:rPr>
              <w:t>4</w:t>
            </w:r>
          </w:p>
        </w:tc>
        <w:tc>
          <w:tcPr>
            <w:tcW w:w="1701" w:type="dxa"/>
            <w:tcBorders>
              <w:bottom w:val="single" w:sz="4" w:space="0" w:color="auto"/>
            </w:tcBorders>
            <w:vAlign w:val="center"/>
          </w:tcPr>
          <w:p w14:paraId="016870A0" w14:textId="728E2D44" w:rsidR="003B6A80" w:rsidRPr="00D83DA0" w:rsidRDefault="00B229FD" w:rsidP="003B6A80">
            <w:pPr>
              <w:pStyle w:val="Bodytext"/>
              <w:jc w:val="right"/>
              <w:rPr>
                <w:b/>
                <w:bCs/>
              </w:rPr>
            </w:pPr>
            <w:r w:rsidRPr="00B229FD">
              <w:rPr>
                <w:b/>
                <w:bCs/>
              </w:rPr>
              <w:t>(</w:t>
            </w:r>
            <w:r w:rsidR="00296175">
              <w:rPr>
                <w:b/>
                <w:bCs/>
              </w:rPr>
              <w:t>2,</w:t>
            </w:r>
            <w:r w:rsidR="0050627A">
              <w:rPr>
                <w:b/>
                <w:bCs/>
              </w:rPr>
              <w:t>580</w:t>
            </w:r>
            <w:r w:rsidRPr="00B229FD">
              <w:rPr>
                <w:b/>
                <w:bCs/>
              </w:rPr>
              <w:t>)</w:t>
            </w:r>
          </w:p>
        </w:tc>
        <w:tc>
          <w:tcPr>
            <w:tcW w:w="1701" w:type="dxa"/>
            <w:tcBorders>
              <w:bottom w:val="single" w:sz="4" w:space="0" w:color="auto"/>
            </w:tcBorders>
          </w:tcPr>
          <w:p w14:paraId="418AD586" w14:textId="27126D1C" w:rsidR="003B6A80" w:rsidRPr="00AE2D96" w:rsidRDefault="003B6A80" w:rsidP="003B6A80">
            <w:pPr>
              <w:pStyle w:val="Bodytext"/>
              <w:jc w:val="right"/>
            </w:pPr>
            <w:r w:rsidRPr="002E776F">
              <w:t>(2,392)</w:t>
            </w:r>
          </w:p>
        </w:tc>
      </w:tr>
      <w:tr w:rsidR="003B6A80" w:rsidRPr="00CE4641" w14:paraId="6F62FD9F" w14:textId="77777777" w:rsidTr="002D2CEC">
        <w:tc>
          <w:tcPr>
            <w:tcW w:w="4649" w:type="dxa"/>
            <w:tcBorders>
              <w:top w:val="single" w:sz="4" w:space="0" w:color="auto"/>
              <w:bottom w:val="single" w:sz="4" w:space="0" w:color="auto"/>
            </w:tcBorders>
          </w:tcPr>
          <w:p w14:paraId="67113477" w14:textId="77777777" w:rsidR="003B6A80" w:rsidRPr="00CE4641" w:rsidRDefault="003B6A80" w:rsidP="003B6A80">
            <w:pPr>
              <w:pStyle w:val="Bodytext"/>
              <w:rPr>
                <w:b/>
              </w:rPr>
            </w:pPr>
            <w:r w:rsidRPr="00CE4641">
              <w:rPr>
                <w:b/>
              </w:rPr>
              <w:t>Total expenses</w:t>
            </w:r>
          </w:p>
        </w:tc>
        <w:tc>
          <w:tcPr>
            <w:tcW w:w="1701" w:type="dxa"/>
            <w:tcBorders>
              <w:top w:val="single" w:sz="4" w:space="0" w:color="auto"/>
              <w:bottom w:val="single" w:sz="4" w:space="0" w:color="auto"/>
            </w:tcBorders>
            <w:vAlign w:val="center"/>
          </w:tcPr>
          <w:p w14:paraId="1A16ACCF" w14:textId="77777777" w:rsidR="003B6A80" w:rsidRPr="00CE4641" w:rsidRDefault="003B6A80" w:rsidP="003B6A80">
            <w:pPr>
              <w:pStyle w:val="Bodytext"/>
              <w:jc w:val="right"/>
              <w:rPr>
                <w:i/>
                <w:sz w:val="18"/>
              </w:rPr>
            </w:pPr>
          </w:p>
        </w:tc>
        <w:tc>
          <w:tcPr>
            <w:tcW w:w="1701" w:type="dxa"/>
            <w:tcBorders>
              <w:top w:val="single" w:sz="4" w:space="0" w:color="auto"/>
              <w:bottom w:val="single" w:sz="4" w:space="0" w:color="auto"/>
            </w:tcBorders>
            <w:vAlign w:val="center"/>
          </w:tcPr>
          <w:p w14:paraId="72F04ED2" w14:textId="5C57A07A" w:rsidR="003B6A80" w:rsidRPr="00D83DA0" w:rsidRDefault="00B229FD" w:rsidP="003B6A80">
            <w:pPr>
              <w:pStyle w:val="Bodytext"/>
              <w:jc w:val="right"/>
              <w:rPr>
                <w:b/>
                <w:bCs/>
              </w:rPr>
            </w:pPr>
            <w:r w:rsidRPr="00B229FD">
              <w:rPr>
                <w:b/>
                <w:bCs/>
              </w:rPr>
              <w:t>(</w:t>
            </w:r>
            <w:r w:rsidR="00296175">
              <w:rPr>
                <w:b/>
                <w:bCs/>
              </w:rPr>
              <w:t>5</w:t>
            </w:r>
            <w:r w:rsidRPr="00B229FD">
              <w:rPr>
                <w:b/>
                <w:bCs/>
              </w:rPr>
              <w:t>,</w:t>
            </w:r>
            <w:r w:rsidR="0050627A">
              <w:rPr>
                <w:b/>
                <w:bCs/>
              </w:rPr>
              <w:t>431</w:t>
            </w:r>
            <w:r w:rsidRPr="00B229FD">
              <w:rPr>
                <w:b/>
                <w:bCs/>
              </w:rPr>
              <w:t>)</w:t>
            </w:r>
          </w:p>
        </w:tc>
        <w:tc>
          <w:tcPr>
            <w:tcW w:w="1701" w:type="dxa"/>
            <w:tcBorders>
              <w:top w:val="single" w:sz="4" w:space="0" w:color="auto"/>
              <w:bottom w:val="single" w:sz="4" w:space="0" w:color="auto"/>
            </w:tcBorders>
          </w:tcPr>
          <w:p w14:paraId="3BC9DAAD" w14:textId="12864BDB" w:rsidR="003B6A80" w:rsidRPr="00AE2D96" w:rsidRDefault="003B6A80" w:rsidP="003B6A80">
            <w:pPr>
              <w:pStyle w:val="Bodytext"/>
              <w:jc w:val="right"/>
            </w:pPr>
            <w:r w:rsidRPr="002E776F">
              <w:t>(3,738)</w:t>
            </w:r>
          </w:p>
        </w:tc>
      </w:tr>
      <w:tr w:rsidR="003B6A80" w:rsidRPr="00CE4641" w14:paraId="16C38413" w14:textId="77777777" w:rsidTr="002D2CEC">
        <w:tc>
          <w:tcPr>
            <w:tcW w:w="4649" w:type="dxa"/>
            <w:tcBorders>
              <w:top w:val="single" w:sz="4" w:space="0" w:color="auto"/>
            </w:tcBorders>
          </w:tcPr>
          <w:p w14:paraId="43A8A19E" w14:textId="77777777" w:rsidR="003B6A80" w:rsidRPr="00CE4641" w:rsidRDefault="003B6A80" w:rsidP="003B6A80">
            <w:pPr>
              <w:pStyle w:val="Bodytext"/>
            </w:pPr>
          </w:p>
        </w:tc>
        <w:tc>
          <w:tcPr>
            <w:tcW w:w="1701" w:type="dxa"/>
            <w:tcBorders>
              <w:top w:val="single" w:sz="4" w:space="0" w:color="auto"/>
            </w:tcBorders>
            <w:vAlign w:val="center"/>
          </w:tcPr>
          <w:p w14:paraId="374CF0C2" w14:textId="77777777" w:rsidR="003B6A80" w:rsidRPr="00CE4641" w:rsidRDefault="003B6A80" w:rsidP="003B6A80">
            <w:pPr>
              <w:pStyle w:val="Bodytext"/>
              <w:jc w:val="right"/>
              <w:rPr>
                <w:i/>
                <w:sz w:val="18"/>
              </w:rPr>
            </w:pPr>
          </w:p>
        </w:tc>
        <w:tc>
          <w:tcPr>
            <w:tcW w:w="1701" w:type="dxa"/>
            <w:tcBorders>
              <w:top w:val="single" w:sz="4" w:space="0" w:color="auto"/>
            </w:tcBorders>
            <w:vAlign w:val="center"/>
          </w:tcPr>
          <w:p w14:paraId="1DBD0B76" w14:textId="59D03937" w:rsidR="003B6A80" w:rsidRPr="00D83DA0" w:rsidRDefault="003B6A80" w:rsidP="003B6A80">
            <w:pPr>
              <w:pStyle w:val="Bodytext"/>
              <w:jc w:val="right"/>
              <w:rPr>
                <w:b/>
                <w:bCs/>
              </w:rPr>
            </w:pPr>
          </w:p>
        </w:tc>
        <w:tc>
          <w:tcPr>
            <w:tcW w:w="1701" w:type="dxa"/>
            <w:tcBorders>
              <w:top w:val="single" w:sz="4" w:space="0" w:color="auto"/>
            </w:tcBorders>
          </w:tcPr>
          <w:p w14:paraId="55DE9751" w14:textId="4518D6B1" w:rsidR="003B6A80" w:rsidRPr="00AE2D96" w:rsidRDefault="003B6A80" w:rsidP="003B6A80">
            <w:pPr>
              <w:pStyle w:val="Bodytext"/>
              <w:jc w:val="right"/>
            </w:pPr>
          </w:p>
        </w:tc>
      </w:tr>
      <w:tr w:rsidR="003B6A80" w:rsidRPr="00CE4641" w14:paraId="4EEC634C" w14:textId="77777777" w:rsidTr="002D2CEC">
        <w:tc>
          <w:tcPr>
            <w:tcW w:w="4649" w:type="dxa"/>
          </w:tcPr>
          <w:p w14:paraId="65AE938F" w14:textId="5CA1FE9C" w:rsidR="003B6A80" w:rsidRPr="00CE4641" w:rsidRDefault="003B6A80" w:rsidP="00A10E99">
            <w:pPr>
              <w:pStyle w:val="Bodytext"/>
              <w:rPr>
                <w:b/>
              </w:rPr>
            </w:pPr>
            <w:r w:rsidRPr="00CE4641">
              <w:rPr>
                <w:b/>
              </w:rPr>
              <w:t xml:space="preserve">Operating </w:t>
            </w:r>
            <w:r>
              <w:rPr>
                <w:b/>
              </w:rPr>
              <w:t>loss</w:t>
            </w:r>
            <w:r w:rsidRPr="00CE4641">
              <w:rPr>
                <w:b/>
              </w:rPr>
              <w:t xml:space="preserve"> for the financial year</w:t>
            </w:r>
          </w:p>
        </w:tc>
        <w:tc>
          <w:tcPr>
            <w:tcW w:w="1701" w:type="dxa"/>
            <w:vAlign w:val="center"/>
          </w:tcPr>
          <w:p w14:paraId="755FB9CD" w14:textId="77777777" w:rsidR="003B6A80" w:rsidRPr="00CE4641" w:rsidRDefault="003B6A80" w:rsidP="003B6A80">
            <w:pPr>
              <w:pStyle w:val="Bodytext"/>
              <w:jc w:val="right"/>
              <w:rPr>
                <w:i/>
                <w:sz w:val="18"/>
              </w:rPr>
            </w:pPr>
          </w:p>
        </w:tc>
        <w:tc>
          <w:tcPr>
            <w:tcW w:w="1701" w:type="dxa"/>
            <w:vAlign w:val="center"/>
          </w:tcPr>
          <w:p w14:paraId="7467DA0A" w14:textId="55479927" w:rsidR="003B6A80" w:rsidRPr="00D83DA0" w:rsidRDefault="0050627A" w:rsidP="003B6A80">
            <w:pPr>
              <w:pStyle w:val="Bodytext"/>
              <w:jc w:val="right"/>
              <w:rPr>
                <w:b/>
                <w:bCs/>
              </w:rPr>
            </w:pPr>
            <w:r w:rsidRPr="0050627A">
              <w:rPr>
                <w:b/>
                <w:bCs/>
              </w:rPr>
              <w:t>(659,594)</w:t>
            </w:r>
          </w:p>
        </w:tc>
        <w:tc>
          <w:tcPr>
            <w:tcW w:w="1701" w:type="dxa"/>
          </w:tcPr>
          <w:p w14:paraId="1520618C" w14:textId="11351BB8" w:rsidR="003B6A80" w:rsidRPr="00AE2D96" w:rsidRDefault="003B6A80" w:rsidP="003B6A80">
            <w:pPr>
              <w:pStyle w:val="Bodytext"/>
              <w:jc w:val="right"/>
            </w:pPr>
            <w:r w:rsidRPr="002E776F">
              <w:t>(240,146)</w:t>
            </w:r>
          </w:p>
        </w:tc>
      </w:tr>
      <w:tr w:rsidR="003B6A80" w:rsidRPr="00CE4641" w14:paraId="75BF18CD" w14:textId="77777777" w:rsidTr="002D2CEC">
        <w:tc>
          <w:tcPr>
            <w:tcW w:w="4649" w:type="dxa"/>
          </w:tcPr>
          <w:p w14:paraId="5DAA3C9D" w14:textId="77777777" w:rsidR="003B6A80" w:rsidRPr="00CE4641" w:rsidRDefault="003B6A80" w:rsidP="003B6A80">
            <w:pPr>
              <w:pStyle w:val="Bodytext"/>
            </w:pPr>
          </w:p>
        </w:tc>
        <w:tc>
          <w:tcPr>
            <w:tcW w:w="1701" w:type="dxa"/>
            <w:vAlign w:val="center"/>
          </w:tcPr>
          <w:p w14:paraId="66E4435A" w14:textId="77777777" w:rsidR="003B6A80" w:rsidRPr="00CE4641" w:rsidRDefault="003B6A80" w:rsidP="003B6A80">
            <w:pPr>
              <w:pStyle w:val="Bodytext"/>
              <w:jc w:val="right"/>
              <w:rPr>
                <w:i/>
                <w:sz w:val="18"/>
              </w:rPr>
            </w:pPr>
          </w:p>
        </w:tc>
        <w:tc>
          <w:tcPr>
            <w:tcW w:w="1701" w:type="dxa"/>
            <w:vAlign w:val="center"/>
          </w:tcPr>
          <w:p w14:paraId="5DF8B83F" w14:textId="5C9FDA1E" w:rsidR="003B6A80" w:rsidRPr="00D83DA0" w:rsidRDefault="003B6A80" w:rsidP="003B6A80">
            <w:pPr>
              <w:pStyle w:val="Bodytext"/>
              <w:jc w:val="right"/>
              <w:rPr>
                <w:b/>
                <w:bCs/>
              </w:rPr>
            </w:pPr>
          </w:p>
        </w:tc>
        <w:tc>
          <w:tcPr>
            <w:tcW w:w="1701" w:type="dxa"/>
          </w:tcPr>
          <w:p w14:paraId="5549BBDC" w14:textId="3D751A44" w:rsidR="003B6A80" w:rsidRPr="00AE2D96" w:rsidRDefault="003B6A80" w:rsidP="003B6A80">
            <w:pPr>
              <w:pStyle w:val="Bodytext"/>
              <w:jc w:val="right"/>
            </w:pPr>
          </w:p>
        </w:tc>
      </w:tr>
      <w:tr w:rsidR="003B6A80" w:rsidRPr="00CE4641" w14:paraId="737198D9" w14:textId="77777777" w:rsidTr="002D2CEC">
        <w:tc>
          <w:tcPr>
            <w:tcW w:w="4649" w:type="dxa"/>
          </w:tcPr>
          <w:p w14:paraId="3F277446" w14:textId="34F28D99" w:rsidR="003B6A80" w:rsidRPr="00CE4641" w:rsidRDefault="003B6A80" w:rsidP="00A10E99">
            <w:pPr>
              <w:pStyle w:val="Bodytext"/>
              <w:rPr>
                <w:b/>
              </w:rPr>
            </w:pPr>
            <w:r w:rsidRPr="00CE4641">
              <w:rPr>
                <w:b/>
              </w:rPr>
              <w:t xml:space="preserve">Finance </w:t>
            </w:r>
            <w:r w:rsidR="00A10E99">
              <w:rPr>
                <w:b/>
              </w:rPr>
              <w:t>income/</w:t>
            </w:r>
            <w:r>
              <w:rPr>
                <w:b/>
              </w:rPr>
              <w:t>(expense)</w:t>
            </w:r>
            <w:r w:rsidRPr="00CE4641">
              <w:rPr>
                <w:b/>
              </w:rPr>
              <w:t xml:space="preserve"> </w:t>
            </w:r>
          </w:p>
        </w:tc>
        <w:tc>
          <w:tcPr>
            <w:tcW w:w="1701" w:type="dxa"/>
            <w:vAlign w:val="center"/>
          </w:tcPr>
          <w:p w14:paraId="67A46862" w14:textId="77777777" w:rsidR="003B6A80" w:rsidRPr="00CE4641" w:rsidRDefault="003B6A80" w:rsidP="003B6A80">
            <w:pPr>
              <w:pStyle w:val="Bodytext"/>
              <w:jc w:val="right"/>
              <w:rPr>
                <w:i/>
                <w:sz w:val="18"/>
              </w:rPr>
            </w:pPr>
          </w:p>
        </w:tc>
        <w:tc>
          <w:tcPr>
            <w:tcW w:w="1701" w:type="dxa"/>
            <w:vAlign w:val="center"/>
          </w:tcPr>
          <w:p w14:paraId="29457854" w14:textId="7B7FA0B0" w:rsidR="003B6A80" w:rsidRPr="00D83DA0" w:rsidRDefault="003B6A80" w:rsidP="003B6A80">
            <w:pPr>
              <w:pStyle w:val="Bodytext"/>
              <w:jc w:val="right"/>
              <w:rPr>
                <w:b/>
                <w:bCs/>
              </w:rPr>
            </w:pPr>
          </w:p>
        </w:tc>
        <w:tc>
          <w:tcPr>
            <w:tcW w:w="1701" w:type="dxa"/>
          </w:tcPr>
          <w:p w14:paraId="32D349FF" w14:textId="507D73ED" w:rsidR="003B6A80" w:rsidRPr="00AE2D96" w:rsidRDefault="003B6A80" w:rsidP="003B6A80">
            <w:pPr>
              <w:pStyle w:val="Bodytext"/>
              <w:jc w:val="right"/>
            </w:pPr>
          </w:p>
        </w:tc>
      </w:tr>
      <w:tr w:rsidR="003B6A80" w:rsidRPr="00CE4641" w14:paraId="22559DF9" w14:textId="77777777" w:rsidTr="002D2CEC">
        <w:tc>
          <w:tcPr>
            <w:tcW w:w="4649" w:type="dxa"/>
          </w:tcPr>
          <w:p w14:paraId="6801B40A" w14:textId="3F01DEE9" w:rsidR="003B6A80" w:rsidRPr="00CE4641" w:rsidRDefault="003B6A80" w:rsidP="00A10E99">
            <w:pPr>
              <w:pStyle w:val="Bodytext"/>
            </w:pPr>
            <w:r w:rsidRPr="00CE4641">
              <w:t xml:space="preserve">Foreign </w:t>
            </w:r>
            <w:r w:rsidRPr="00C50AB9">
              <w:t xml:space="preserve">exchange </w:t>
            </w:r>
            <w:r w:rsidR="00A10E99">
              <w:t>loss</w:t>
            </w:r>
          </w:p>
        </w:tc>
        <w:tc>
          <w:tcPr>
            <w:tcW w:w="1701" w:type="dxa"/>
            <w:vAlign w:val="center"/>
          </w:tcPr>
          <w:p w14:paraId="2464E38A" w14:textId="77777777" w:rsidR="003B6A80" w:rsidRPr="00CE4641" w:rsidRDefault="003B6A80" w:rsidP="003B6A80">
            <w:pPr>
              <w:pStyle w:val="Bodytext"/>
              <w:jc w:val="right"/>
              <w:rPr>
                <w:i/>
                <w:sz w:val="18"/>
              </w:rPr>
            </w:pPr>
          </w:p>
        </w:tc>
        <w:tc>
          <w:tcPr>
            <w:tcW w:w="1701" w:type="dxa"/>
            <w:vAlign w:val="center"/>
          </w:tcPr>
          <w:p w14:paraId="4D79DAEE" w14:textId="3AAF497B" w:rsidR="003B6A80" w:rsidRPr="00D83DA0" w:rsidRDefault="00B30F53" w:rsidP="003B6A80">
            <w:pPr>
              <w:pStyle w:val="Bodytext"/>
              <w:jc w:val="right"/>
              <w:rPr>
                <w:b/>
                <w:bCs/>
              </w:rPr>
            </w:pPr>
            <w:r w:rsidRPr="00B30F53">
              <w:rPr>
                <w:b/>
                <w:bCs/>
              </w:rPr>
              <w:t>(11)</w:t>
            </w:r>
          </w:p>
        </w:tc>
        <w:tc>
          <w:tcPr>
            <w:tcW w:w="1701" w:type="dxa"/>
          </w:tcPr>
          <w:p w14:paraId="6A4B9838" w14:textId="46616396" w:rsidR="003B6A80" w:rsidRPr="00AE2D96" w:rsidRDefault="003B6A80" w:rsidP="003B6A80">
            <w:pPr>
              <w:pStyle w:val="Bodytext"/>
              <w:jc w:val="right"/>
            </w:pPr>
            <w:r w:rsidRPr="002E776F">
              <w:t>(849)</w:t>
            </w:r>
          </w:p>
        </w:tc>
      </w:tr>
      <w:tr w:rsidR="003B6A80" w:rsidRPr="00CE4641" w14:paraId="152A64BF" w14:textId="77777777" w:rsidTr="002D2CEC">
        <w:tc>
          <w:tcPr>
            <w:tcW w:w="4649" w:type="dxa"/>
            <w:tcBorders>
              <w:bottom w:val="single" w:sz="4" w:space="0" w:color="auto"/>
            </w:tcBorders>
          </w:tcPr>
          <w:p w14:paraId="1BEB7258" w14:textId="77777777" w:rsidR="003B6A80" w:rsidRPr="00CE4641" w:rsidRDefault="003B6A80" w:rsidP="003B6A80">
            <w:pPr>
              <w:pStyle w:val="Bodytext"/>
            </w:pPr>
            <w:r w:rsidRPr="00CE4641">
              <w:t>Interest income</w:t>
            </w:r>
          </w:p>
        </w:tc>
        <w:tc>
          <w:tcPr>
            <w:tcW w:w="1701" w:type="dxa"/>
            <w:tcBorders>
              <w:bottom w:val="single" w:sz="4" w:space="0" w:color="auto"/>
            </w:tcBorders>
            <w:vAlign w:val="center"/>
          </w:tcPr>
          <w:p w14:paraId="328E5B75" w14:textId="77777777" w:rsidR="003B6A80" w:rsidRPr="00CE4641" w:rsidRDefault="003B6A80" w:rsidP="003B6A80">
            <w:pPr>
              <w:pStyle w:val="Bodytext"/>
              <w:jc w:val="right"/>
              <w:rPr>
                <w:i/>
                <w:sz w:val="18"/>
              </w:rPr>
            </w:pPr>
          </w:p>
        </w:tc>
        <w:tc>
          <w:tcPr>
            <w:tcW w:w="1701" w:type="dxa"/>
            <w:tcBorders>
              <w:bottom w:val="single" w:sz="4" w:space="0" w:color="auto"/>
            </w:tcBorders>
            <w:vAlign w:val="center"/>
          </w:tcPr>
          <w:p w14:paraId="1A5767E8" w14:textId="46995A3E" w:rsidR="003B6A80" w:rsidRPr="00D83DA0" w:rsidRDefault="00A10E99" w:rsidP="003B6A80">
            <w:pPr>
              <w:pStyle w:val="Bodytext"/>
              <w:jc w:val="right"/>
              <w:rPr>
                <w:b/>
                <w:bCs/>
              </w:rPr>
            </w:pPr>
            <w:r w:rsidRPr="00A10E99">
              <w:rPr>
                <w:b/>
                <w:bCs/>
              </w:rPr>
              <w:t>36</w:t>
            </w:r>
          </w:p>
        </w:tc>
        <w:tc>
          <w:tcPr>
            <w:tcW w:w="1701" w:type="dxa"/>
            <w:tcBorders>
              <w:bottom w:val="single" w:sz="4" w:space="0" w:color="auto"/>
            </w:tcBorders>
          </w:tcPr>
          <w:p w14:paraId="4718A928" w14:textId="3887E97C" w:rsidR="003B6A80" w:rsidRPr="00AE2D96" w:rsidRDefault="003B6A80" w:rsidP="003B6A80">
            <w:pPr>
              <w:pStyle w:val="Bodytext"/>
              <w:jc w:val="right"/>
            </w:pPr>
            <w:r w:rsidRPr="002E776F">
              <w:t>14</w:t>
            </w:r>
          </w:p>
        </w:tc>
      </w:tr>
      <w:tr w:rsidR="003B6A80" w:rsidRPr="00CE4641" w14:paraId="515F8550" w14:textId="77777777" w:rsidTr="002D2CEC">
        <w:tc>
          <w:tcPr>
            <w:tcW w:w="4649" w:type="dxa"/>
            <w:tcBorders>
              <w:top w:val="single" w:sz="4" w:space="0" w:color="auto"/>
              <w:bottom w:val="single" w:sz="4" w:space="0" w:color="auto"/>
            </w:tcBorders>
          </w:tcPr>
          <w:p w14:paraId="1667B8C6" w14:textId="4127356E" w:rsidR="003B6A80" w:rsidRPr="00CE4641" w:rsidRDefault="003B6A80" w:rsidP="00A10E99">
            <w:pPr>
              <w:pStyle w:val="Bodytext"/>
              <w:rPr>
                <w:b/>
              </w:rPr>
            </w:pPr>
            <w:r w:rsidRPr="00CE4641">
              <w:rPr>
                <w:b/>
              </w:rPr>
              <w:t>Total finance income</w:t>
            </w:r>
            <w:r w:rsidR="00A10E99">
              <w:rPr>
                <w:b/>
              </w:rPr>
              <w:t>/(expense)</w:t>
            </w:r>
          </w:p>
        </w:tc>
        <w:tc>
          <w:tcPr>
            <w:tcW w:w="1701" w:type="dxa"/>
            <w:tcBorders>
              <w:top w:val="single" w:sz="4" w:space="0" w:color="auto"/>
              <w:bottom w:val="single" w:sz="4" w:space="0" w:color="auto"/>
            </w:tcBorders>
            <w:vAlign w:val="center"/>
          </w:tcPr>
          <w:p w14:paraId="24283F0D" w14:textId="77777777" w:rsidR="003B6A80" w:rsidRPr="00CE4641" w:rsidRDefault="003B6A80" w:rsidP="003B6A80">
            <w:pPr>
              <w:pStyle w:val="Bodytext"/>
              <w:jc w:val="right"/>
              <w:rPr>
                <w:i/>
                <w:sz w:val="18"/>
              </w:rPr>
            </w:pPr>
          </w:p>
        </w:tc>
        <w:tc>
          <w:tcPr>
            <w:tcW w:w="1701" w:type="dxa"/>
            <w:tcBorders>
              <w:top w:val="single" w:sz="4" w:space="0" w:color="auto"/>
              <w:bottom w:val="single" w:sz="4" w:space="0" w:color="auto"/>
            </w:tcBorders>
            <w:vAlign w:val="center"/>
          </w:tcPr>
          <w:p w14:paraId="37079543" w14:textId="6C831AE0" w:rsidR="003B6A80" w:rsidRPr="00D83DA0" w:rsidRDefault="00A10E99" w:rsidP="003B6A80">
            <w:pPr>
              <w:pStyle w:val="Bodytext"/>
              <w:jc w:val="right"/>
              <w:rPr>
                <w:b/>
                <w:bCs/>
              </w:rPr>
            </w:pPr>
            <w:r w:rsidRPr="00A10E99">
              <w:rPr>
                <w:b/>
                <w:bCs/>
              </w:rPr>
              <w:t>25</w:t>
            </w:r>
          </w:p>
        </w:tc>
        <w:tc>
          <w:tcPr>
            <w:tcW w:w="1701" w:type="dxa"/>
            <w:tcBorders>
              <w:top w:val="single" w:sz="4" w:space="0" w:color="auto"/>
              <w:bottom w:val="single" w:sz="4" w:space="0" w:color="auto"/>
            </w:tcBorders>
          </w:tcPr>
          <w:p w14:paraId="5D52DE18" w14:textId="31C27077" w:rsidR="003B6A80" w:rsidRPr="00AE2D96" w:rsidRDefault="003B6A80" w:rsidP="003B6A80">
            <w:pPr>
              <w:pStyle w:val="Bodytext"/>
              <w:jc w:val="right"/>
            </w:pPr>
            <w:r w:rsidRPr="002E776F">
              <w:t>(835)</w:t>
            </w:r>
          </w:p>
        </w:tc>
      </w:tr>
      <w:tr w:rsidR="003B6A80" w:rsidRPr="00CE4641" w14:paraId="2A40EC36" w14:textId="77777777" w:rsidTr="002D2CEC">
        <w:tc>
          <w:tcPr>
            <w:tcW w:w="4649" w:type="dxa"/>
            <w:tcBorders>
              <w:top w:val="single" w:sz="4" w:space="0" w:color="auto"/>
            </w:tcBorders>
          </w:tcPr>
          <w:p w14:paraId="588A323E" w14:textId="77777777" w:rsidR="003B6A80" w:rsidRPr="00CE4641" w:rsidRDefault="003B6A80" w:rsidP="003B6A80">
            <w:pPr>
              <w:pStyle w:val="Bodytext"/>
            </w:pPr>
          </w:p>
        </w:tc>
        <w:tc>
          <w:tcPr>
            <w:tcW w:w="1701" w:type="dxa"/>
            <w:tcBorders>
              <w:top w:val="single" w:sz="4" w:space="0" w:color="auto"/>
            </w:tcBorders>
            <w:vAlign w:val="center"/>
          </w:tcPr>
          <w:p w14:paraId="48B648BE" w14:textId="77777777" w:rsidR="003B6A80" w:rsidRPr="00CE4641" w:rsidRDefault="003B6A80" w:rsidP="003B6A80">
            <w:pPr>
              <w:pStyle w:val="Bodytext"/>
              <w:jc w:val="right"/>
              <w:rPr>
                <w:i/>
                <w:sz w:val="18"/>
              </w:rPr>
            </w:pPr>
          </w:p>
        </w:tc>
        <w:tc>
          <w:tcPr>
            <w:tcW w:w="1701" w:type="dxa"/>
            <w:tcBorders>
              <w:top w:val="single" w:sz="4" w:space="0" w:color="auto"/>
            </w:tcBorders>
            <w:vAlign w:val="center"/>
          </w:tcPr>
          <w:p w14:paraId="14118129" w14:textId="36C38702" w:rsidR="003B6A80" w:rsidRPr="00D83DA0" w:rsidRDefault="003B6A80" w:rsidP="003B6A80">
            <w:pPr>
              <w:pStyle w:val="Bodytext"/>
              <w:jc w:val="right"/>
              <w:rPr>
                <w:b/>
                <w:bCs/>
              </w:rPr>
            </w:pPr>
          </w:p>
        </w:tc>
        <w:tc>
          <w:tcPr>
            <w:tcW w:w="1701" w:type="dxa"/>
            <w:tcBorders>
              <w:top w:val="single" w:sz="4" w:space="0" w:color="auto"/>
            </w:tcBorders>
          </w:tcPr>
          <w:p w14:paraId="77D86DCA" w14:textId="0B614A65" w:rsidR="003B6A80" w:rsidRPr="00AE2D96" w:rsidRDefault="003B6A80" w:rsidP="003B6A80">
            <w:pPr>
              <w:pStyle w:val="Bodytext"/>
              <w:jc w:val="right"/>
            </w:pPr>
          </w:p>
        </w:tc>
      </w:tr>
      <w:tr w:rsidR="003B6A80" w:rsidRPr="00CE4641" w14:paraId="5F8F0971" w14:textId="77777777" w:rsidTr="002D2CEC">
        <w:tc>
          <w:tcPr>
            <w:tcW w:w="4649" w:type="dxa"/>
          </w:tcPr>
          <w:p w14:paraId="17B29B07" w14:textId="573045CE" w:rsidR="003B6A80" w:rsidRPr="00CE4641" w:rsidRDefault="003B6A80" w:rsidP="00A10E99">
            <w:pPr>
              <w:pStyle w:val="Bodytext"/>
              <w:rPr>
                <w:b/>
              </w:rPr>
            </w:pPr>
            <w:r>
              <w:rPr>
                <w:b/>
              </w:rPr>
              <w:t>Loss</w:t>
            </w:r>
            <w:r w:rsidRPr="00CE4641">
              <w:rPr>
                <w:b/>
              </w:rPr>
              <w:t xml:space="preserve"> for the year</w:t>
            </w:r>
          </w:p>
        </w:tc>
        <w:tc>
          <w:tcPr>
            <w:tcW w:w="1701" w:type="dxa"/>
            <w:vAlign w:val="center"/>
          </w:tcPr>
          <w:p w14:paraId="39F212FE" w14:textId="77777777" w:rsidR="003B6A80" w:rsidRPr="00CE4641" w:rsidRDefault="003B6A80" w:rsidP="003B6A80">
            <w:pPr>
              <w:pStyle w:val="Bodytext"/>
              <w:jc w:val="right"/>
              <w:rPr>
                <w:i/>
                <w:sz w:val="18"/>
              </w:rPr>
            </w:pPr>
          </w:p>
        </w:tc>
        <w:tc>
          <w:tcPr>
            <w:tcW w:w="1701" w:type="dxa"/>
            <w:vAlign w:val="center"/>
          </w:tcPr>
          <w:p w14:paraId="16CF5DA3" w14:textId="649F622F" w:rsidR="003B6A80" w:rsidRPr="00D83DA0" w:rsidRDefault="0050627A" w:rsidP="003B6A80">
            <w:pPr>
              <w:pStyle w:val="Bodytext"/>
              <w:jc w:val="right"/>
              <w:rPr>
                <w:b/>
                <w:bCs/>
              </w:rPr>
            </w:pPr>
            <w:r w:rsidRPr="0050627A">
              <w:rPr>
                <w:b/>
                <w:bCs/>
              </w:rPr>
              <w:t>(659,569)</w:t>
            </w:r>
          </w:p>
        </w:tc>
        <w:tc>
          <w:tcPr>
            <w:tcW w:w="1701" w:type="dxa"/>
          </w:tcPr>
          <w:p w14:paraId="197D3DE2" w14:textId="0CFC5230" w:rsidR="003B6A80" w:rsidRPr="00AE2D96" w:rsidRDefault="003B6A80" w:rsidP="003B6A80">
            <w:pPr>
              <w:pStyle w:val="Bodytext"/>
              <w:jc w:val="right"/>
            </w:pPr>
            <w:r w:rsidRPr="002E776F">
              <w:t>(240,981)</w:t>
            </w:r>
          </w:p>
        </w:tc>
      </w:tr>
      <w:tr w:rsidR="003B6A80" w:rsidRPr="00CE4641" w14:paraId="216A0E55" w14:textId="77777777" w:rsidTr="002D2CEC">
        <w:tc>
          <w:tcPr>
            <w:tcW w:w="4649" w:type="dxa"/>
            <w:tcBorders>
              <w:bottom w:val="single" w:sz="18" w:space="0" w:color="auto"/>
            </w:tcBorders>
          </w:tcPr>
          <w:p w14:paraId="79DEB058" w14:textId="0C7A2924" w:rsidR="003B6A80" w:rsidRPr="00CE4641" w:rsidRDefault="003B6A80" w:rsidP="00A10E99">
            <w:pPr>
              <w:pStyle w:val="Bodytext"/>
              <w:rPr>
                <w:b/>
              </w:rPr>
            </w:pPr>
            <w:r w:rsidRPr="00CE4641">
              <w:rPr>
                <w:b/>
              </w:rPr>
              <w:t xml:space="preserve">Total comprehensive </w:t>
            </w:r>
            <w:r>
              <w:rPr>
                <w:b/>
              </w:rPr>
              <w:t>lo</w:t>
            </w:r>
            <w:r w:rsidR="00A10E99">
              <w:rPr>
                <w:b/>
              </w:rPr>
              <w:t>ss</w:t>
            </w:r>
            <w:r w:rsidRPr="00CE4641">
              <w:rPr>
                <w:b/>
              </w:rPr>
              <w:t xml:space="preserve"> for the year</w:t>
            </w:r>
          </w:p>
        </w:tc>
        <w:tc>
          <w:tcPr>
            <w:tcW w:w="1701" w:type="dxa"/>
            <w:tcBorders>
              <w:bottom w:val="single" w:sz="18" w:space="0" w:color="auto"/>
            </w:tcBorders>
            <w:vAlign w:val="center"/>
          </w:tcPr>
          <w:p w14:paraId="6F20232A" w14:textId="77777777" w:rsidR="003B6A80" w:rsidRPr="00CE4641" w:rsidRDefault="003B6A80" w:rsidP="003B6A80">
            <w:pPr>
              <w:pStyle w:val="Bodytext"/>
              <w:jc w:val="right"/>
              <w:rPr>
                <w:i/>
                <w:sz w:val="18"/>
              </w:rPr>
            </w:pPr>
          </w:p>
        </w:tc>
        <w:tc>
          <w:tcPr>
            <w:tcW w:w="1701" w:type="dxa"/>
            <w:tcBorders>
              <w:bottom w:val="single" w:sz="18" w:space="0" w:color="auto"/>
            </w:tcBorders>
            <w:vAlign w:val="center"/>
          </w:tcPr>
          <w:p w14:paraId="3EF2048F" w14:textId="6C903B1B" w:rsidR="003B6A80" w:rsidRPr="00D83DA0" w:rsidRDefault="0050627A" w:rsidP="00296175">
            <w:pPr>
              <w:pStyle w:val="Bodytext"/>
              <w:jc w:val="right"/>
              <w:rPr>
                <w:b/>
                <w:bCs/>
              </w:rPr>
            </w:pPr>
            <w:r w:rsidRPr="0050627A">
              <w:rPr>
                <w:b/>
                <w:bCs/>
              </w:rPr>
              <w:t>(659,569)</w:t>
            </w:r>
          </w:p>
        </w:tc>
        <w:tc>
          <w:tcPr>
            <w:tcW w:w="1701" w:type="dxa"/>
            <w:tcBorders>
              <w:bottom w:val="single" w:sz="18" w:space="0" w:color="auto"/>
            </w:tcBorders>
          </w:tcPr>
          <w:p w14:paraId="6002FC2B" w14:textId="0DEAF88E" w:rsidR="003B6A80" w:rsidRPr="00AE2D96" w:rsidRDefault="003B6A80" w:rsidP="003B6A80">
            <w:pPr>
              <w:pStyle w:val="Bodytext"/>
              <w:jc w:val="right"/>
            </w:pPr>
            <w:r w:rsidRPr="002E776F">
              <w:t>(240,981)</w:t>
            </w:r>
          </w:p>
        </w:tc>
      </w:tr>
      <w:tr w:rsidR="003B6A80" w:rsidRPr="00CE4641" w14:paraId="0458753E" w14:textId="77777777" w:rsidTr="002D2CEC">
        <w:tc>
          <w:tcPr>
            <w:tcW w:w="4649" w:type="dxa"/>
            <w:tcBorders>
              <w:top w:val="single" w:sz="18" w:space="0" w:color="auto"/>
            </w:tcBorders>
          </w:tcPr>
          <w:p w14:paraId="7CB4A778" w14:textId="77777777" w:rsidR="003B6A80" w:rsidRPr="00CE4641" w:rsidRDefault="003B6A80" w:rsidP="003B6A80">
            <w:pPr>
              <w:pStyle w:val="Bodytext"/>
            </w:pPr>
          </w:p>
        </w:tc>
        <w:tc>
          <w:tcPr>
            <w:tcW w:w="1701" w:type="dxa"/>
            <w:tcBorders>
              <w:top w:val="single" w:sz="18" w:space="0" w:color="auto"/>
            </w:tcBorders>
            <w:vAlign w:val="center"/>
          </w:tcPr>
          <w:p w14:paraId="3989A992" w14:textId="77777777" w:rsidR="003B6A80" w:rsidRPr="00CE4641" w:rsidRDefault="003B6A80" w:rsidP="003B6A80">
            <w:pPr>
              <w:pStyle w:val="Bodytext"/>
              <w:jc w:val="right"/>
              <w:rPr>
                <w:i/>
                <w:sz w:val="18"/>
              </w:rPr>
            </w:pPr>
          </w:p>
        </w:tc>
        <w:tc>
          <w:tcPr>
            <w:tcW w:w="1701" w:type="dxa"/>
            <w:tcBorders>
              <w:top w:val="single" w:sz="18" w:space="0" w:color="auto"/>
            </w:tcBorders>
            <w:vAlign w:val="center"/>
          </w:tcPr>
          <w:p w14:paraId="713B0CFE" w14:textId="2C0E0F49" w:rsidR="003B6A80" w:rsidRPr="00D83DA0" w:rsidRDefault="003B6A80" w:rsidP="003B6A80">
            <w:pPr>
              <w:pStyle w:val="Bodytext"/>
              <w:jc w:val="right"/>
              <w:rPr>
                <w:b/>
                <w:bCs/>
              </w:rPr>
            </w:pPr>
          </w:p>
        </w:tc>
        <w:tc>
          <w:tcPr>
            <w:tcW w:w="1701" w:type="dxa"/>
            <w:tcBorders>
              <w:top w:val="single" w:sz="18" w:space="0" w:color="auto"/>
            </w:tcBorders>
          </w:tcPr>
          <w:p w14:paraId="6DDC5F88" w14:textId="0A4E0E7F" w:rsidR="003B6A80" w:rsidRPr="00AE2D96" w:rsidRDefault="003B6A80" w:rsidP="003B6A80">
            <w:pPr>
              <w:pStyle w:val="Bodytext"/>
              <w:jc w:val="right"/>
            </w:pPr>
          </w:p>
        </w:tc>
      </w:tr>
      <w:tr w:rsidR="003B6A80" w:rsidRPr="00CE4641" w14:paraId="7E01DA41" w14:textId="77777777" w:rsidTr="002D2CEC">
        <w:tc>
          <w:tcPr>
            <w:tcW w:w="4649" w:type="dxa"/>
            <w:tcBorders>
              <w:bottom w:val="single" w:sz="18" w:space="0" w:color="auto"/>
            </w:tcBorders>
          </w:tcPr>
          <w:p w14:paraId="50966FA4" w14:textId="3F8802FE" w:rsidR="003B6A80" w:rsidRPr="00CE4641" w:rsidRDefault="003B6A80" w:rsidP="00A10E99">
            <w:pPr>
              <w:pStyle w:val="Bodytext"/>
              <w:rPr>
                <w:b/>
              </w:rPr>
            </w:pPr>
            <w:r w:rsidRPr="00CE4641">
              <w:rPr>
                <w:b/>
              </w:rPr>
              <w:t xml:space="preserve">Basic </w:t>
            </w:r>
            <w:r>
              <w:rPr>
                <w:b/>
              </w:rPr>
              <w:t>Los</w:t>
            </w:r>
            <w:r w:rsidR="00A10E99">
              <w:rPr>
                <w:b/>
              </w:rPr>
              <w:t xml:space="preserve">s </w:t>
            </w:r>
            <w:r w:rsidRPr="00CE4641">
              <w:rPr>
                <w:b/>
              </w:rPr>
              <w:t>per Share (cents)</w:t>
            </w:r>
          </w:p>
        </w:tc>
        <w:tc>
          <w:tcPr>
            <w:tcW w:w="1701" w:type="dxa"/>
            <w:tcBorders>
              <w:bottom w:val="single" w:sz="18" w:space="0" w:color="auto"/>
            </w:tcBorders>
            <w:vAlign w:val="center"/>
          </w:tcPr>
          <w:p w14:paraId="3645BAAE" w14:textId="60477516" w:rsidR="003B6A80" w:rsidRPr="00CE4641" w:rsidRDefault="003B6A80" w:rsidP="003B6A80">
            <w:pPr>
              <w:pStyle w:val="Bodytext"/>
              <w:jc w:val="right"/>
              <w:rPr>
                <w:i/>
                <w:sz w:val="18"/>
              </w:rPr>
            </w:pPr>
            <w:r w:rsidRPr="00CE4641">
              <w:rPr>
                <w:i/>
                <w:sz w:val="18"/>
              </w:rPr>
              <w:t>1</w:t>
            </w:r>
            <w:r>
              <w:rPr>
                <w:i/>
                <w:sz w:val="18"/>
              </w:rPr>
              <w:t>3</w:t>
            </w:r>
          </w:p>
        </w:tc>
        <w:tc>
          <w:tcPr>
            <w:tcW w:w="1701" w:type="dxa"/>
            <w:tcBorders>
              <w:bottom w:val="single" w:sz="18" w:space="0" w:color="auto"/>
            </w:tcBorders>
            <w:vAlign w:val="center"/>
          </w:tcPr>
          <w:p w14:paraId="2C178678" w14:textId="74386E1F" w:rsidR="003B6A80" w:rsidRPr="00D83DA0" w:rsidRDefault="00B229FD" w:rsidP="00B229FD">
            <w:pPr>
              <w:pStyle w:val="Bodytext"/>
              <w:jc w:val="right"/>
              <w:rPr>
                <w:b/>
                <w:bCs/>
              </w:rPr>
            </w:pPr>
            <w:r w:rsidRPr="00B229FD">
              <w:rPr>
                <w:b/>
                <w:bCs/>
              </w:rPr>
              <w:t>(82</w:t>
            </w:r>
            <w:r w:rsidR="00296175">
              <w:rPr>
                <w:b/>
                <w:bCs/>
              </w:rPr>
              <w:t>5</w:t>
            </w:r>
            <w:r w:rsidRPr="00B229FD">
              <w:rPr>
                <w:b/>
                <w:bCs/>
              </w:rPr>
              <w:t>.</w:t>
            </w:r>
            <w:r w:rsidR="0050627A">
              <w:rPr>
                <w:b/>
                <w:bCs/>
              </w:rPr>
              <w:t>53</w:t>
            </w:r>
            <w:r w:rsidRPr="00B229FD">
              <w:rPr>
                <w:b/>
                <w:bCs/>
              </w:rPr>
              <w:t>)</w:t>
            </w:r>
          </w:p>
        </w:tc>
        <w:tc>
          <w:tcPr>
            <w:tcW w:w="1701" w:type="dxa"/>
            <w:tcBorders>
              <w:bottom w:val="single" w:sz="18" w:space="0" w:color="auto"/>
            </w:tcBorders>
          </w:tcPr>
          <w:p w14:paraId="3AE8FF10" w14:textId="535D191B" w:rsidR="003B6A80" w:rsidRPr="00AE2D96" w:rsidRDefault="003B6A80" w:rsidP="003B6A80">
            <w:pPr>
              <w:pStyle w:val="Bodytext"/>
              <w:jc w:val="right"/>
            </w:pPr>
            <w:r w:rsidRPr="002E776F">
              <w:t>(286.87)</w:t>
            </w:r>
          </w:p>
        </w:tc>
      </w:tr>
      <w:tr w:rsidR="003B6A80" w:rsidRPr="00CE4641" w14:paraId="5DEECC10" w14:textId="77777777" w:rsidTr="002D2CEC">
        <w:tc>
          <w:tcPr>
            <w:tcW w:w="4649" w:type="dxa"/>
            <w:tcBorders>
              <w:top w:val="single" w:sz="18" w:space="0" w:color="auto"/>
            </w:tcBorders>
          </w:tcPr>
          <w:p w14:paraId="281EE2EE" w14:textId="77777777" w:rsidR="003B6A80" w:rsidRPr="00CE4641" w:rsidRDefault="003B6A80" w:rsidP="003B6A80">
            <w:pPr>
              <w:pStyle w:val="Bodytext"/>
            </w:pPr>
          </w:p>
        </w:tc>
        <w:tc>
          <w:tcPr>
            <w:tcW w:w="1701" w:type="dxa"/>
            <w:tcBorders>
              <w:top w:val="single" w:sz="18" w:space="0" w:color="auto"/>
            </w:tcBorders>
            <w:vAlign w:val="center"/>
          </w:tcPr>
          <w:p w14:paraId="43F48CEB" w14:textId="77777777" w:rsidR="003B6A80" w:rsidRPr="00CE4641" w:rsidRDefault="003B6A80" w:rsidP="003B6A80">
            <w:pPr>
              <w:pStyle w:val="Bodytext"/>
              <w:jc w:val="right"/>
              <w:rPr>
                <w:i/>
                <w:sz w:val="18"/>
              </w:rPr>
            </w:pPr>
          </w:p>
        </w:tc>
        <w:tc>
          <w:tcPr>
            <w:tcW w:w="1701" w:type="dxa"/>
            <w:tcBorders>
              <w:top w:val="single" w:sz="18" w:space="0" w:color="auto"/>
            </w:tcBorders>
            <w:vAlign w:val="bottom"/>
          </w:tcPr>
          <w:p w14:paraId="17CEDFA7" w14:textId="244ABEEC" w:rsidR="003B6A80" w:rsidRPr="00D83DA0" w:rsidRDefault="003B6A80" w:rsidP="003B6A80">
            <w:pPr>
              <w:pStyle w:val="Bodytext"/>
              <w:jc w:val="right"/>
              <w:rPr>
                <w:b/>
                <w:bCs/>
              </w:rPr>
            </w:pPr>
          </w:p>
        </w:tc>
        <w:tc>
          <w:tcPr>
            <w:tcW w:w="1701" w:type="dxa"/>
            <w:tcBorders>
              <w:top w:val="single" w:sz="18" w:space="0" w:color="auto"/>
            </w:tcBorders>
          </w:tcPr>
          <w:p w14:paraId="3A81C3BA" w14:textId="3598FE8B" w:rsidR="003B6A80" w:rsidRPr="00AE2D96" w:rsidRDefault="003B6A80" w:rsidP="003B6A80">
            <w:pPr>
              <w:pStyle w:val="Bodytext"/>
              <w:jc w:val="right"/>
            </w:pPr>
          </w:p>
        </w:tc>
      </w:tr>
      <w:tr w:rsidR="003B6A80" w:rsidRPr="00CE4641" w14:paraId="580AE9A0" w14:textId="77777777" w:rsidTr="002D2CEC">
        <w:tc>
          <w:tcPr>
            <w:tcW w:w="4649" w:type="dxa"/>
            <w:tcBorders>
              <w:bottom w:val="single" w:sz="18" w:space="0" w:color="auto"/>
            </w:tcBorders>
          </w:tcPr>
          <w:p w14:paraId="2D1758F5" w14:textId="0BE16DBA" w:rsidR="003B6A80" w:rsidRPr="00CE4641" w:rsidRDefault="003B6A80" w:rsidP="003B6A80">
            <w:pPr>
              <w:pStyle w:val="Bodytext"/>
              <w:rPr>
                <w:b/>
              </w:rPr>
            </w:pPr>
            <w:r w:rsidRPr="00CE4641">
              <w:rPr>
                <w:b/>
              </w:rPr>
              <w:t xml:space="preserve">Diluted </w:t>
            </w:r>
            <w:r>
              <w:rPr>
                <w:b/>
              </w:rPr>
              <w:t>Loss</w:t>
            </w:r>
            <w:r w:rsidRPr="00CE4641">
              <w:rPr>
                <w:b/>
              </w:rPr>
              <w:t xml:space="preserve"> per Share (cents)</w:t>
            </w:r>
          </w:p>
        </w:tc>
        <w:tc>
          <w:tcPr>
            <w:tcW w:w="1701" w:type="dxa"/>
            <w:tcBorders>
              <w:bottom w:val="single" w:sz="18" w:space="0" w:color="auto"/>
            </w:tcBorders>
            <w:vAlign w:val="center"/>
          </w:tcPr>
          <w:p w14:paraId="73BC6BFE" w14:textId="3063B9A4" w:rsidR="003B6A80" w:rsidRPr="00CE4641" w:rsidRDefault="003B6A80" w:rsidP="003B6A80">
            <w:pPr>
              <w:pStyle w:val="Bodytext"/>
              <w:jc w:val="right"/>
              <w:rPr>
                <w:i/>
                <w:sz w:val="18"/>
              </w:rPr>
            </w:pPr>
            <w:r w:rsidRPr="00CE4641">
              <w:rPr>
                <w:i/>
                <w:sz w:val="18"/>
              </w:rPr>
              <w:t>1</w:t>
            </w:r>
            <w:r>
              <w:rPr>
                <w:i/>
                <w:sz w:val="18"/>
              </w:rPr>
              <w:t>3</w:t>
            </w:r>
          </w:p>
        </w:tc>
        <w:tc>
          <w:tcPr>
            <w:tcW w:w="1701" w:type="dxa"/>
            <w:tcBorders>
              <w:bottom w:val="single" w:sz="18" w:space="0" w:color="auto"/>
            </w:tcBorders>
            <w:vAlign w:val="center"/>
          </w:tcPr>
          <w:p w14:paraId="1E87E9EF" w14:textId="33E58A15" w:rsidR="003B6A80" w:rsidRPr="00D83DA0" w:rsidRDefault="00B229FD" w:rsidP="003B6A80">
            <w:pPr>
              <w:pStyle w:val="Bodytext"/>
              <w:jc w:val="right"/>
              <w:rPr>
                <w:b/>
                <w:bCs/>
              </w:rPr>
            </w:pPr>
            <w:r w:rsidRPr="00B229FD">
              <w:rPr>
                <w:b/>
                <w:bCs/>
              </w:rPr>
              <w:t>(82</w:t>
            </w:r>
            <w:r w:rsidR="00296175">
              <w:rPr>
                <w:b/>
                <w:bCs/>
              </w:rPr>
              <w:t>5</w:t>
            </w:r>
            <w:r w:rsidRPr="00B229FD">
              <w:rPr>
                <w:b/>
                <w:bCs/>
              </w:rPr>
              <w:t>.</w:t>
            </w:r>
            <w:r w:rsidR="0050627A">
              <w:rPr>
                <w:b/>
                <w:bCs/>
              </w:rPr>
              <w:t>53</w:t>
            </w:r>
            <w:r w:rsidRPr="00B229FD">
              <w:rPr>
                <w:b/>
                <w:bCs/>
              </w:rPr>
              <w:t>)</w:t>
            </w:r>
          </w:p>
        </w:tc>
        <w:tc>
          <w:tcPr>
            <w:tcW w:w="1701" w:type="dxa"/>
            <w:tcBorders>
              <w:bottom w:val="single" w:sz="18" w:space="0" w:color="auto"/>
            </w:tcBorders>
          </w:tcPr>
          <w:p w14:paraId="3D5987C6" w14:textId="02256987" w:rsidR="003B6A80" w:rsidRPr="00AE2D96" w:rsidRDefault="003B6A80" w:rsidP="003B6A80">
            <w:pPr>
              <w:pStyle w:val="Bodytext"/>
              <w:jc w:val="right"/>
            </w:pPr>
            <w:r w:rsidRPr="002E776F">
              <w:t>(286.87)</w:t>
            </w:r>
          </w:p>
        </w:tc>
      </w:tr>
    </w:tbl>
    <w:p w14:paraId="35B173DF" w14:textId="77777777" w:rsidR="00424584" w:rsidRPr="00811BA1" w:rsidRDefault="00424584" w:rsidP="00EB7E49">
      <w:pPr>
        <w:pStyle w:val="Bodytext"/>
      </w:pPr>
    </w:p>
    <w:p w14:paraId="73B6F632" w14:textId="77777777" w:rsidR="00424584" w:rsidRPr="00811BA1" w:rsidRDefault="00424584" w:rsidP="00EB7E49">
      <w:pPr>
        <w:pStyle w:val="Bodytext"/>
      </w:pPr>
      <w:r w:rsidRPr="00811BA1">
        <w:t>All activities derive from continuing operations.</w:t>
      </w:r>
    </w:p>
    <w:p w14:paraId="4D0FC13E" w14:textId="77777777" w:rsidR="008D498F" w:rsidRPr="00811BA1" w:rsidRDefault="008D498F" w:rsidP="00EB7E49">
      <w:pPr>
        <w:pStyle w:val="Bodytext"/>
      </w:pPr>
    </w:p>
    <w:p w14:paraId="59793E01" w14:textId="1585E307" w:rsidR="007B606F" w:rsidRDefault="00215199" w:rsidP="00EB7E49">
      <w:pPr>
        <w:pStyle w:val="Bodytext"/>
      </w:pPr>
      <w:r w:rsidRPr="00703BFB">
        <w:t>The accompanying notes</w:t>
      </w:r>
      <w:r w:rsidR="008E34F3">
        <w:t xml:space="preserve"> </w:t>
      </w:r>
      <w:r w:rsidRPr="00703BFB">
        <w:t>form an integral part of the Company’s Financial Statements.</w:t>
      </w:r>
    </w:p>
    <w:p w14:paraId="1C918573" w14:textId="77777777" w:rsidR="007B606F" w:rsidRPr="00811BA1" w:rsidRDefault="007B606F" w:rsidP="00EB7E49">
      <w:pPr>
        <w:pStyle w:val="Bodytext"/>
      </w:pPr>
    </w:p>
    <w:p w14:paraId="707542B5" w14:textId="2A945288" w:rsidR="008D498F" w:rsidRPr="00811BA1" w:rsidRDefault="008D498F" w:rsidP="00EB7E49">
      <w:pPr>
        <w:pStyle w:val="Bodytext"/>
      </w:pPr>
    </w:p>
    <w:p w14:paraId="26CA3B44" w14:textId="4C635032" w:rsidR="00155586" w:rsidRPr="00811BA1" w:rsidRDefault="00155586" w:rsidP="00EB7E49">
      <w:pPr>
        <w:pStyle w:val="Heading1"/>
        <w:spacing w:before="0"/>
      </w:pPr>
      <w:r w:rsidRPr="00811BA1">
        <w:t>Statement of Changes in Equity</w:t>
      </w:r>
    </w:p>
    <w:p w14:paraId="66C2F12D" w14:textId="1908610A" w:rsidR="00D71AC2" w:rsidRDefault="00155586" w:rsidP="00EB7E49">
      <w:pPr>
        <w:pStyle w:val="Bodytext"/>
      </w:pPr>
      <w:r w:rsidRPr="00811BA1">
        <w:t xml:space="preserve">For the year ended </w:t>
      </w:r>
      <w:r w:rsidR="00610498">
        <w:t>31 December 201</w:t>
      </w:r>
      <w:r w:rsidR="003B6A80">
        <w:t>9</w:t>
      </w:r>
    </w:p>
    <w:p w14:paraId="3A148FFD" w14:textId="41E4AB83" w:rsidR="003B6A80" w:rsidRDefault="003B6A80" w:rsidP="00EB7E49">
      <w:pPr>
        <w:pStyle w:val="Bodytext"/>
      </w:pPr>
    </w:p>
    <w:tbl>
      <w:tblPr>
        <w:tblStyle w:val="TableGrid"/>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943"/>
        <w:gridCol w:w="1665"/>
        <w:gridCol w:w="1710"/>
        <w:gridCol w:w="1728"/>
        <w:gridCol w:w="1802"/>
      </w:tblGrid>
      <w:tr w:rsidR="003B6A80" w:rsidRPr="00CE4641" w14:paraId="7359C638" w14:textId="77777777" w:rsidTr="003B6A80">
        <w:trPr>
          <w:trHeight w:val="693"/>
        </w:trPr>
        <w:tc>
          <w:tcPr>
            <w:tcW w:w="2943" w:type="dxa"/>
            <w:tcBorders>
              <w:bottom w:val="single" w:sz="4" w:space="0" w:color="auto"/>
            </w:tcBorders>
          </w:tcPr>
          <w:p w14:paraId="6951BE06" w14:textId="77777777" w:rsidR="003B6A80" w:rsidRPr="00CE4641" w:rsidRDefault="003B6A80" w:rsidP="003B6A80">
            <w:pPr>
              <w:pStyle w:val="Bodytext"/>
            </w:pPr>
          </w:p>
        </w:tc>
        <w:tc>
          <w:tcPr>
            <w:tcW w:w="1665" w:type="dxa"/>
            <w:tcBorders>
              <w:bottom w:val="single" w:sz="4" w:space="0" w:color="auto"/>
            </w:tcBorders>
            <w:vAlign w:val="bottom"/>
          </w:tcPr>
          <w:p w14:paraId="7FF3CF02" w14:textId="61A95CD4" w:rsidR="003B6A80" w:rsidRPr="00CE4641" w:rsidRDefault="003B6A80" w:rsidP="003B6A80">
            <w:pPr>
              <w:pStyle w:val="Bodytext"/>
              <w:jc w:val="right"/>
              <w:rPr>
                <w:i/>
                <w:sz w:val="18"/>
              </w:rPr>
            </w:pPr>
          </w:p>
        </w:tc>
        <w:tc>
          <w:tcPr>
            <w:tcW w:w="1710" w:type="dxa"/>
            <w:tcBorders>
              <w:bottom w:val="single" w:sz="4" w:space="0" w:color="auto"/>
            </w:tcBorders>
            <w:vAlign w:val="bottom"/>
          </w:tcPr>
          <w:p w14:paraId="47596FF8" w14:textId="77777777" w:rsidR="003B6A80" w:rsidRPr="00CE4641" w:rsidRDefault="003B6A80" w:rsidP="003B6A80">
            <w:pPr>
              <w:pStyle w:val="Bodytext"/>
              <w:jc w:val="right"/>
              <w:rPr>
                <w:b/>
              </w:rPr>
            </w:pPr>
            <w:r w:rsidRPr="00CE4641">
              <w:rPr>
                <w:b/>
              </w:rPr>
              <w:t>Share</w:t>
            </w:r>
          </w:p>
          <w:p w14:paraId="4D295AD4" w14:textId="77777777" w:rsidR="003B6A80" w:rsidRPr="00CE4641" w:rsidRDefault="003B6A80" w:rsidP="003B6A80">
            <w:pPr>
              <w:pStyle w:val="Bodytext"/>
              <w:jc w:val="right"/>
              <w:rPr>
                <w:b/>
              </w:rPr>
            </w:pPr>
            <w:r w:rsidRPr="00CE4641">
              <w:rPr>
                <w:b/>
              </w:rPr>
              <w:t>capital</w:t>
            </w:r>
          </w:p>
          <w:p w14:paraId="468E59C5" w14:textId="77777777" w:rsidR="003B6A80" w:rsidRPr="00CE4641" w:rsidRDefault="003B6A80" w:rsidP="003B6A80">
            <w:pPr>
              <w:pStyle w:val="Bodytext"/>
              <w:jc w:val="right"/>
              <w:rPr>
                <w:b/>
              </w:rPr>
            </w:pPr>
            <w:r w:rsidRPr="00CE4641">
              <w:rPr>
                <w:b/>
              </w:rPr>
              <w:t>$’000</w:t>
            </w:r>
          </w:p>
        </w:tc>
        <w:tc>
          <w:tcPr>
            <w:tcW w:w="1728" w:type="dxa"/>
            <w:tcBorders>
              <w:bottom w:val="single" w:sz="4" w:space="0" w:color="auto"/>
            </w:tcBorders>
            <w:vAlign w:val="bottom"/>
          </w:tcPr>
          <w:p w14:paraId="5E16C3D7" w14:textId="40E7AAC7" w:rsidR="003B6A80" w:rsidRPr="00CE4641" w:rsidRDefault="003B6A80" w:rsidP="003B6A80">
            <w:pPr>
              <w:pStyle w:val="Bodytext"/>
              <w:jc w:val="right"/>
              <w:rPr>
                <w:b/>
              </w:rPr>
            </w:pPr>
            <w:r w:rsidRPr="00CE4641">
              <w:rPr>
                <w:b/>
              </w:rPr>
              <w:t>Retained</w:t>
            </w:r>
            <w:r w:rsidR="00B84347">
              <w:rPr>
                <w:b/>
              </w:rPr>
              <w:t xml:space="preserve"> (deficit) /</w:t>
            </w:r>
          </w:p>
          <w:p w14:paraId="2A63F0D0" w14:textId="77777777" w:rsidR="003B6A80" w:rsidRPr="00CE4641" w:rsidRDefault="003B6A80" w:rsidP="003B6A80">
            <w:pPr>
              <w:pStyle w:val="Bodytext"/>
              <w:jc w:val="right"/>
              <w:rPr>
                <w:b/>
              </w:rPr>
            </w:pPr>
            <w:r w:rsidRPr="00CE4641">
              <w:rPr>
                <w:b/>
              </w:rPr>
              <w:t>earnings</w:t>
            </w:r>
          </w:p>
          <w:p w14:paraId="571A3001" w14:textId="77777777" w:rsidR="003B6A80" w:rsidRPr="00CE4641" w:rsidRDefault="003B6A80" w:rsidP="003B6A80">
            <w:pPr>
              <w:pStyle w:val="Bodytext"/>
              <w:jc w:val="right"/>
              <w:rPr>
                <w:b/>
              </w:rPr>
            </w:pPr>
            <w:r w:rsidRPr="00CE4641">
              <w:rPr>
                <w:b/>
              </w:rPr>
              <w:t>$’000</w:t>
            </w:r>
          </w:p>
        </w:tc>
        <w:tc>
          <w:tcPr>
            <w:tcW w:w="1802" w:type="dxa"/>
            <w:tcBorders>
              <w:bottom w:val="single" w:sz="4" w:space="0" w:color="auto"/>
            </w:tcBorders>
            <w:vAlign w:val="bottom"/>
          </w:tcPr>
          <w:p w14:paraId="22B08B67" w14:textId="77777777" w:rsidR="003B6A80" w:rsidRPr="00CE4641" w:rsidRDefault="003B6A80" w:rsidP="003B6A80">
            <w:pPr>
              <w:pStyle w:val="Bodytext"/>
              <w:jc w:val="right"/>
              <w:rPr>
                <w:b/>
              </w:rPr>
            </w:pPr>
            <w:r w:rsidRPr="00CE4641">
              <w:rPr>
                <w:b/>
              </w:rPr>
              <w:t>Total</w:t>
            </w:r>
          </w:p>
          <w:p w14:paraId="69E0BD9D" w14:textId="77777777" w:rsidR="003B6A80" w:rsidRPr="00CE4641" w:rsidRDefault="003B6A80" w:rsidP="003B6A80">
            <w:pPr>
              <w:pStyle w:val="Bodytext"/>
              <w:jc w:val="right"/>
              <w:rPr>
                <w:b/>
              </w:rPr>
            </w:pPr>
            <w:r w:rsidRPr="00CE4641">
              <w:rPr>
                <w:b/>
              </w:rPr>
              <w:t>Equity</w:t>
            </w:r>
          </w:p>
          <w:p w14:paraId="6DD73003" w14:textId="77777777" w:rsidR="003B6A80" w:rsidRPr="00CE4641" w:rsidRDefault="003B6A80" w:rsidP="003B6A80">
            <w:pPr>
              <w:pStyle w:val="Bodytext"/>
              <w:jc w:val="right"/>
              <w:rPr>
                <w:b/>
              </w:rPr>
            </w:pPr>
            <w:r w:rsidRPr="00CE4641">
              <w:rPr>
                <w:b/>
              </w:rPr>
              <w:t>$’000</w:t>
            </w:r>
          </w:p>
        </w:tc>
      </w:tr>
      <w:tr w:rsidR="003B6A80" w:rsidRPr="00CE4641" w14:paraId="15D208EB" w14:textId="77777777" w:rsidTr="003B6A80">
        <w:tc>
          <w:tcPr>
            <w:tcW w:w="2943" w:type="dxa"/>
            <w:tcBorders>
              <w:top w:val="single" w:sz="4" w:space="0" w:color="auto"/>
            </w:tcBorders>
          </w:tcPr>
          <w:p w14:paraId="5616382C" w14:textId="263C9EC1" w:rsidR="003B6A80" w:rsidRPr="00CE4641" w:rsidRDefault="003B6A80" w:rsidP="003B6A80">
            <w:pPr>
              <w:pStyle w:val="Bodytext"/>
              <w:rPr>
                <w:b/>
              </w:rPr>
            </w:pPr>
            <w:r w:rsidRPr="00CE4641">
              <w:rPr>
                <w:b/>
              </w:rPr>
              <w:t>As at 1 January 201</w:t>
            </w:r>
            <w:r>
              <w:rPr>
                <w:b/>
              </w:rPr>
              <w:t>9</w:t>
            </w:r>
          </w:p>
        </w:tc>
        <w:tc>
          <w:tcPr>
            <w:tcW w:w="1665" w:type="dxa"/>
            <w:tcBorders>
              <w:top w:val="single" w:sz="4" w:space="0" w:color="auto"/>
            </w:tcBorders>
            <w:vAlign w:val="center"/>
          </w:tcPr>
          <w:p w14:paraId="2D75C421" w14:textId="77777777" w:rsidR="003B6A80" w:rsidRPr="00CE4641" w:rsidRDefault="003B6A80" w:rsidP="003B6A80">
            <w:pPr>
              <w:pStyle w:val="Bodytext"/>
              <w:jc w:val="right"/>
              <w:rPr>
                <w:i/>
                <w:sz w:val="18"/>
              </w:rPr>
            </w:pPr>
          </w:p>
        </w:tc>
        <w:tc>
          <w:tcPr>
            <w:tcW w:w="1710" w:type="dxa"/>
            <w:tcBorders>
              <w:top w:val="single" w:sz="4" w:space="0" w:color="auto"/>
            </w:tcBorders>
          </w:tcPr>
          <w:p w14:paraId="19F1FF28" w14:textId="0C420938" w:rsidR="003B6A80" w:rsidRPr="0062095D" w:rsidRDefault="003B6A80" w:rsidP="003B6A80">
            <w:pPr>
              <w:pStyle w:val="Bodytext"/>
              <w:jc w:val="right"/>
              <w:rPr>
                <w:b/>
              </w:rPr>
            </w:pPr>
            <w:r w:rsidRPr="0062095D">
              <w:rPr>
                <w:b/>
              </w:rPr>
              <w:t>1,</w:t>
            </w:r>
            <w:r>
              <w:rPr>
                <w:b/>
              </w:rPr>
              <w:t>246,559</w:t>
            </w:r>
          </w:p>
        </w:tc>
        <w:tc>
          <w:tcPr>
            <w:tcW w:w="1728" w:type="dxa"/>
            <w:tcBorders>
              <w:top w:val="single" w:sz="4" w:space="0" w:color="auto"/>
            </w:tcBorders>
          </w:tcPr>
          <w:p w14:paraId="73D65AD9" w14:textId="2CEF52B4" w:rsidR="003B6A80" w:rsidRPr="0062095D" w:rsidRDefault="003B6A80" w:rsidP="003B6A80">
            <w:pPr>
              <w:pStyle w:val="Bodytext"/>
              <w:jc w:val="right"/>
              <w:rPr>
                <w:b/>
              </w:rPr>
            </w:pPr>
            <w:r>
              <w:rPr>
                <w:b/>
              </w:rPr>
              <w:t>184,702</w:t>
            </w:r>
          </w:p>
        </w:tc>
        <w:tc>
          <w:tcPr>
            <w:tcW w:w="1802" w:type="dxa"/>
            <w:tcBorders>
              <w:top w:val="single" w:sz="4" w:space="0" w:color="auto"/>
            </w:tcBorders>
          </w:tcPr>
          <w:p w14:paraId="01683551" w14:textId="6088B8E5" w:rsidR="003B6A80" w:rsidRPr="0062095D" w:rsidRDefault="003B6A80" w:rsidP="003B6A80">
            <w:pPr>
              <w:pStyle w:val="Bodytext"/>
              <w:jc w:val="right"/>
              <w:rPr>
                <w:b/>
              </w:rPr>
            </w:pPr>
            <w:r>
              <w:rPr>
                <w:b/>
              </w:rPr>
              <w:t>1,431,261</w:t>
            </w:r>
          </w:p>
        </w:tc>
      </w:tr>
      <w:tr w:rsidR="003B6A80" w:rsidRPr="00CE4641" w14:paraId="12A73A29" w14:textId="77777777" w:rsidTr="003B6A80">
        <w:tc>
          <w:tcPr>
            <w:tcW w:w="2943" w:type="dxa"/>
          </w:tcPr>
          <w:p w14:paraId="35ACE475" w14:textId="77777777" w:rsidR="003B6A80" w:rsidRPr="00CE4641" w:rsidRDefault="003B6A80" w:rsidP="003B6A80">
            <w:pPr>
              <w:pStyle w:val="Bodytext"/>
            </w:pPr>
          </w:p>
        </w:tc>
        <w:tc>
          <w:tcPr>
            <w:tcW w:w="1665" w:type="dxa"/>
            <w:vAlign w:val="center"/>
          </w:tcPr>
          <w:p w14:paraId="44C52D9D" w14:textId="77777777" w:rsidR="003B6A80" w:rsidRPr="00CE4641" w:rsidRDefault="003B6A80" w:rsidP="003B6A80">
            <w:pPr>
              <w:pStyle w:val="Bodytext"/>
              <w:jc w:val="right"/>
              <w:rPr>
                <w:i/>
                <w:sz w:val="18"/>
              </w:rPr>
            </w:pPr>
          </w:p>
        </w:tc>
        <w:tc>
          <w:tcPr>
            <w:tcW w:w="1710" w:type="dxa"/>
            <w:vAlign w:val="center"/>
          </w:tcPr>
          <w:p w14:paraId="5B73BEBE" w14:textId="77777777" w:rsidR="003B6A80" w:rsidRPr="00331349" w:rsidRDefault="003B6A80" w:rsidP="003B6A80">
            <w:pPr>
              <w:pStyle w:val="Bodytext"/>
              <w:jc w:val="right"/>
              <w:rPr>
                <w:b/>
              </w:rPr>
            </w:pPr>
          </w:p>
        </w:tc>
        <w:tc>
          <w:tcPr>
            <w:tcW w:w="1728" w:type="dxa"/>
            <w:vAlign w:val="center"/>
          </w:tcPr>
          <w:p w14:paraId="02696FA5" w14:textId="77777777" w:rsidR="003B6A80" w:rsidRPr="00331349" w:rsidRDefault="003B6A80" w:rsidP="003B6A80">
            <w:pPr>
              <w:pStyle w:val="Bodytext"/>
              <w:jc w:val="right"/>
              <w:rPr>
                <w:b/>
              </w:rPr>
            </w:pPr>
          </w:p>
        </w:tc>
        <w:tc>
          <w:tcPr>
            <w:tcW w:w="1802" w:type="dxa"/>
            <w:vAlign w:val="center"/>
          </w:tcPr>
          <w:p w14:paraId="21ECC0A5" w14:textId="77777777" w:rsidR="003B6A80" w:rsidRPr="00331349" w:rsidRDefault="003B6A80" w:rsidP="003B6A80">
            <w:pPr>
              <w:pStyle w:val="Bodytext"/>
              <w:jc w:val="right"/>
              <w:rPr>
                <w:b/>
              </w:rPr>
            </w:pPr>
          </w:p>
        </w:tc>
      </w:tr>
      <w:tr w:rsidR="003B6A80" w:rsidRPr="00CE4641" w14:paraId="3E0E3E3B" w14:textId="77777777" w:rsidTr="003B6A80">
        <w:tc>
          <w:tcPr>
            <w:tcW w:w="2943" w:type="dxa"/>
          </w:tcPr>
          <w:p w14:paraId="346EF490" w14:textId="77777777" w:rsidR="003B6A80" w:rsidRPr="00CE4641" w:rsidRDefault="003B6A80" w:rsidP="003B6A80">
            <w:pPr>
              <w:pStyle w:val="Bodytext"/>
            </w:pPr>
            <w:r>
              <w:t>Loss</w:t>
            </w:r>
            <w:r w:rsidRPr="00CE4641">
              <w:t xml:space="preserve"> for the financial year</w:t>
            </w:r>
          </w:p>
        </w:tc>
        <w:tc>
          <w:tcPr>
            <w:tcW w:w="1665" w:type="dxa"/>
            <w:vAlign w:val="center"/>
          </w:tcPr>
          <w:p w14:paraId="1FA8FE99" w14:textId="77777777" w:rsidR="003B6A80" w:rsidRPr="00CE4641" w:rsidRDefault="003B6A80" w:rsidP="003B6A80">
            <w:pPr>
              <w:pStyle w:val="Bodytext"/>
              <w:jc w:val="right"/>
              <w:rPr>
                <w:i/>
                <w:sz w:val="18"/>
              </w:rPr>
            </w:pPr>
          </w:p>
        </w:tc>
        <w:tc>
          <w:tcPr>
            <w:tcW w:w="1710" w:type="dxa"/>
            <w:vAlign w:val="center"/>
          </w:tcPr>
          <w:p w14:paraId="313BF598" w14:textId="1CCFA3B7" w:rsidR="003B6A80" w:rsidRPr="008124AF" w:rsidRDefault="00D71AC2" w:rsidP="003B6A80">
            <w:pPr>
              <w:pStyle w:val="Bodytext"/>
              <w:jc w:val="right"/>
              <w:rPr>
                <w:b/>
              </w:rPr>
            </w:pPr>
            <w:r w:rsidRPr="00193B16">
              <w:t>–</w:t>
            </w:r>
          </w:p>
        </w:tc>
        <w:tc>
          <w:tcPr>
            <w:tcW w:w="1728" w:type="dxa"/>
            <w:vAlign w:val="center"/>
          </w:tcPr>
          <w:p w14:paraId="6449A308" w14:textId="07EF13FC" w:rsidR="003B6A80" w:rsidRPr="008124AF" w:rsidRDefault="00B229FD" w:rsidP="00296175">
            <w:pPr>
              <w:pStyle w:val="Bodytext"/>
              <w:jc w:val="right"/>
              <w:rPr>
                <w:b/>
              </w:rPr>
            </w:pPr>
            <w:r w:rsidRPr="00B229FD">
              <w:rPr>
                <w:b/>
              </w:rPr>
              <w:t>(</w:t>
            </w:r>
            <w:r w:rsidR="00296175" w:rsidRPr="00B229FD">
              <w:rPr>
                <w:b/>
              </w:rPr>
              <w:t>6</w:t>
            </w:r>
            <w:r w:rsidR="00296175">
              <w:rPr>
                <w:b/>
              </w:rPr>
              <w:t>59</w:t>
            </w:r>
            <w:r w:rsidRPr="00B229FD">
              <w:rPr>
                <w:b/>
              </w:rPr>
              <w:t>,</w:t>
            </w:r>
            <w:r w:rsidR="0050627A">
              <w:rPr>
                <w:b/>
              </w:rPr>
              <w:t>569</w:t>
            </w:r>
            <w:r w:rsidRPr="00B229FD">
              <w:rPr>
                <w:b/>
              </w:rPr>
              <w:t>)</w:t>
            </w:r>
          </w:p>
        </w:tc>
        <w:tc>
          <w:tcPr>
            <w:tcW w:w="1802" w:type="dxa"/>
            <w:vAlign w:val="center"/>
          </w:tcPr>
          <w:p w14:paraId="78004970" w14:textId="6350F7C5" w:rsidR="003B6A80" w:rsidRPr="008124AF" w:rsidRDefault="00B229FD" w:rsidP="00296175">
            <w:pPr>
              <w:pStyle w:val="Bodytext"/>
              <w:jc w:val="right"/>
              <w:rPr>
                <w:b/>
              </w:rPr>
            </w:pPr>
            <w:r w:rsidRPr="00B229FD">
              <w:rPr>
                <w:b/>
              </w:rPr>
              <w:t>(6</w:t>
            </w:r>
            <w:r w:rsidR="00296175">
              <w:rPr>
                <w:b/>
              </w:rPr>
              <w:t>59</w:t>
            </w:r>
            <w:r w:rsidRPr="00B229FD">
              <w:rPr>
                <w:b/>
              </w:rPr>
              <w:t>,</w:t>
            </w:r>
            <w:r w:rsidR="0050627A">
              <w:rPr>
                <w:b/>
              </w:rPr>
              <w:t>569</w:t>
            </w:r>
            <w:r w:rsidRPr="00B229FD">
              <w:rPr>
                <w:b/>
              </w:rPr>
              <w:t>)</w:t>
            </w:r>
          </w:p>
        </w:tc>
      </w:tr>
      <w:tr w:rsidR="003B6A80" w:rsidRPr="00CE4641" w14:paraId="16D1890C" w14:textId="77777777" w:rsidTr="003B6A80">
        <w:tc>
          <w:tcPr>
            <w:tcW w:w="2943" w:type="dxa"/>
            <w:tcBorders>
              <w:top w:val="single" w:sz="4" w:space="0" w:color="auto"/>
              <w:bottom w:val="single" w:sz="4" w:space="0" w:color="auto"/>
            </w:tcBorders>
          </w:tcPr>
          <w:p w14:paraId="437630AE" w14:textId="77777777" w:rsidR="003B6A80" w:rsidRPr="00CE4641" w:rsidRDefault="003B6A80" w:rsidP="003B6A80">
            <w:pPr>
              <w:pStyle w:val="Bodytext"/>
              <w:rPr>
                <w:b/>
              </w:rPr>
            </w:pPr>
            <w:r w:rsidRPr="00CE4641">
              <w:rPr>
                <w:b/>
              </w:rPr>
              <w:t xml:space="preserve">Total comprehensive </w:t>
            </w:r>
            <w:r>
              <w:rPr>
                <w:b/>
              </w:rPr>
              <w:t>expense</w:t>
            </w:r>
            <w:r w:rsidRPr="00CE4641">
              <w:rPr>
                <w:b/>
              </w:rPr>
              <w:t xml:space="preserve"> for the year</w:t>
            </w:r>
          </w:p>
        </w:tc>
        <w:tc>
          <w:tcPr>
            <w:tcW w:w="1665" w:type="dxa"/>
            <w:tcBorders>
              <w:top w:val="single" w:sz="4" w:space="0" w:color="auto"/>
              <w:bottom w:val="single" w:sz="4" w:space="0" w:color="auto"/>
            </w:tcBorders>
            <w:vAlign w:val="center"/>
          </w:tcPr>
          <w:p w14:paraId="2836557C" w14:textId="77777777" w:rsidR="003B6A80" w:rsidRPr="00CE4641" w:rsidRDefault="003B6A80" w:rsidP="003B6A80">
            <w:pPr>
              <w:pStyle w:val="Bodytext"/>
              <w:jc w:val="right"/>
              <w:rPr>
                <w:i/>
                <w:sz w:val="18"/>
              </w:rPr>
            </w:pPr>
          </w:p>
        </w:tc>
        <w:tc>
          <w:tcPr>
            <w:tcW w:w="1710" w:type="dxa"/>
            <w:tcBorders>
              <w:top w:val="single" w:sz="4" w:space="0" w:color="auto"/>
              <w:bottom w:val="single" w:sz="4" w:space="0" w:color="auto"/>
            </w:tcBorders>
            <w:vAlign w:val="center"/>
          </w:tcPr>
          <w:p w14:paraId="477A3A75" w14:textId="58158DE8" w:rsidR="003B6A80" w:rsidRPr="008124AF" w:rsidRDefault="00926940" w:rsidP="003B6A80">
            <w:pPr>
              <w:pStyle w:val="Bodytext"/>
              <w:jc w:val="right"/>
              <w:rPr>
                <w:b/>
              </w:rPr>
            </w:pPr>
            <w:r w:rsidRPr="00193B16">
              <w:t>–</w:t>
            </w:r>
          </w:p>
        </w:tc>
        <w:tc>
          <w:tcPr>
            <w:tcW w:w="1728" w:type="dxa"/>
            <w:tcBorders>
              <w:top w:val="single" w:sz="4" w:space="0" w:color="auto"/>
              <w:bottom w:val="single" w:sz="4" w:space="0" w:color="auto"/>
            </w:tcBorders>
            <w:vAlign w:val="center"/>
          </w:tcPr>
          <w:p w14:paraId="37216E20" w14:textId="343E3E86" w:rsidR="003B6A80" w:rsidRPr="008124AF" w:rsidRDefault="00B229FD" w:rsidP="00296175">
            <w:pPr>
              <w:pStyle w:val="Bodytext"/>
              <w:jc w:val="right"/>
              <w:rPr>
                <w:b/>
              </w:rPr>
            </w:pPr>
            <w:r w:rsidRPr="00B229FD">
              <w:rPr>
                <w:b/>
              </w:rPr>
              <w:t>(6</w:t>
            </w:r>
            <w:r w:rsidR="00296175">
              <w:rPr>
                <w:b/>
              </w:rPr>
              <w:t>59</w:t>
            </w:r>
            <w:r w:rsidRPr="00B229FD">
              <w:rPr>
                <w:b/>
              </w:rPr>
              <w:t>,</w:t>
            </w:r>
            <w:r w:rsidR="0050627A">
              <w:rPr>
                <w:b/>
              </w:rPr>
              <w:t>569</w:t>
            </w:r>
            <w:r w:rsidRPr="00B229FD">
              <w:rPr>
                <w:b/>
              </w:rPr>
              <w:t>)</w:t>
            </w:r>
          </w:p>
        </w:tc>
        <w:tc>
          <w:tcPr>
            <w:tcW w:w="1802" w:type="dxa"/>
            <w:tcBorders>
              <w:top w:val="single" w:sz="4" w:space="0" w:color="auto"/>
              <w:bottom w:val="single" w:sz="4" w:space="0" w:color="auto"/>
            </w:tcBorders>
            <w:vAlign w:val="center"/>
          </w:tcPr>
          <w:p w14:paraId="188A9061" w14:textId="10416FD5" w:rsidR="003B6A80" w:rsidRPr="008124AF" w:rsidRDefault="00B229FD" w:rsidP="003B6A80">
            <w:pPr>
              <w:pStyle w:val="Bodytext"/>
              <w:jc w:val="right"/>
              <w:rPr>
                <w:b/>
              </w:rPr>
            </w:pPr>
            <w:r w:rsidRPr="00B229FD">
              <w:rPr>
                <w:b/>
              </w:rPr>
              <w:t>(6</w:t>
            </w:r>
            <w:r w:rsidR="00296175">
              <w:rPr>
                <w:b/>
              </w:rPr>
              <w:t>59</w:t>
            </w:r>
            <w:r w:rsidRPr="00B229FD">
              <w:rPr>
                <w:b/>
              </w:rPr>
              <w:t>,</w:t>
            </w:r>
            <w:r w:rsidR="0050627A">
              <w:rPr>
                <w:b/>
              </w:rPr>
              <w:t>569</w:t>
            </w:r>
            <w:r w:rsidRPr="00B229FD">
              <w:rPr>
                <w:b/>
              </w:rPr>
              <w:t>)</w:t>
            </w:r>
          </w:p>
        </w:tc>
      </w:tr>
      <w:tr w:rsidR="003B6A80" w:rsidRPr="00CE4641" w14:paraId="7B06095E" w14:textId="77777777" w:rsidTr="003B6A80">
        <w:tc>
          <w:tcPr>
            <w:tcW w:w="2943" w:type="dxa"/>
            <w:tcBorders>
              <w:top w:val="single" w:sz="4" w:space="0" w:color="auto"/>
            </w:tcBorders>
          </w:tcPr>
          <w:p w14:paraId="02CEE94A" w14:textId="77777777" w:rsidR="003B6A80" w:rsidRPr="00CE4641" w:rsidRDefault="003B6A80" w:rsidP="003B6A80">
            <w:pPr>
              <w:pStyle w:val="Bodytext"/>
            </w:pPr>
          </w:p>
        </w:tc>
        <w:tc>
          <w:tcPr>
            <w:tcW w:w="1665" w:type="dxa"/>
            <w:tcBorders>
              <w:top w:val="single" w:sz="4" w:space="0" w:color="auto"/>
            </w:tcBorders>
            <w:vAlign w:val="center"/>
          </w:tcPr>
          <w:p w14:paraId="56D88071" w14:textId="77777777" w:rsidR="003B6A80" w:rsidRPr="00CE4641" w:rsidRDefault="003B6A80" w:rsidP="003B6A80">
            <w:pPr>
              <w:pStyle w:val="Bodytext"/>
              <w:jc w:val="right"/>
              <w:rPr>
                <w:i/>
                <w:sz w:val="18"/>
              </w:rPr>
            </w:pPr>
          </w:p>
        </w:tc>
        <w:tc>
          <w:tcPr>
            <w:tcW w:w="1710" w:type="dxa"/>
            <w:tcBorders>
              <w:top w:val="single" w:sz="4" w:space="0" w:color="auto"/>
            </w:tcBorders>
            <w:vAlign w:val="center"/>
          </w:tcPr>
          <w:p w14:paraId="4AC4509C" w14:textId="77777777" w:rsidR="003B6A80" w:rsidRPr="005C285C" w:rsidRDefault="003B6A80" w:rsidP="003B6A80">
            <w:pPr>
              <w:pStyle w:val="Bodytext"/>
              <w:jc w:val="right"/>
              <w:rPr>
                <w:b/>
              </w:rPr>
            </w:pPr>
          </w:p>
        </w:tc>
        <w:tc>
          <w:tcPr>
            <w:tcW w:w="1728" w:type="dxa"/>
            <w:tcBorders>
              <w:top w:val="single" w:sz="4" w:space="0" w:color="auto"/>
            </w:tcBorders>
            <w:vAlign w:val="center"/>
          </w:tcPr>
          <w:p w14:paraId="68554E2E" w14:textId="77777777" w:rsidR="003B6A80" w:rsidRPr="005C285C" w:rsidRDefault="003B6A80" w:rsidP="003B6A80">
            <w:pPr>
              <w:pStyle w:val="Bodytext"/>
              <w:jc w:val="right"/>
              <w:rPr>
                <w:b/>
              </w:rPr>
            </w:pPr>
          </w:p>
        </w:tc>
        <w:tc>
          <w:tcPr>
            <w:tcW w:w="1802" w:type="dxa"/>
            <w:tcBorders>
              <w:top w:val="single" w:sz="4" w:space="0" w:color="auto"/>
            </w:tcBorders>
            <w:vAlign w:val="center"/>
          </w:tcPr>
          <w:p w14:paraId="2BA52EED" w14:textId="77777777" w:rsidR="003B6A80" w:rsidRPr="005C285C" w:rsidRDefault="003B6A80" w:rsidP="003B6A80">
            <w:pPr>
              <w:pStyle w:val="Bodytext"/>
              <w:jc w:val="right"/>
              <w:rPr>
                <w:b/>
              </w:rPr>
            </w:pPr>
          </w:p>
        </w:tc>
      </w:tr>
      <w:tr w:rsidR="003B6A80" w:rsidRPr="00CE4641" w14:paraId="7780FC45" w14:textId="77777777" w:rsidTr="003B6A80">
        <w:tc>
          <w:tcPr>
            <w:tcW w:w="2943" w:type="dxa"/>
            <w:tcBorders>
              <w:bottom w:val="single" w:sz="18" w:space="0" w:color="auto"/>
            </w:tcBorders>
          </w:tcPr>
          <w:p w14:paraId="31A26218" w14:textId="1D3D58DA" w:rsidR="003B6A80" w:rsidRPr="00CE4641" w:rsidRDefault="003B6A80" w:rsidP="003B6A80">
            <w:pPr>
              <w:pStyle w:val="Bodytext"/>
              <w:rPr>
                <w:b/>
              </w:rPr>
            </w:pPr>
            <w:r w:rsidRPr="00CE4641">
              <w:rPr>
                <w:b/>
              </w:rPr>
              <w:t xml:space="preserve">As at </w:t>
            </w:r>
            <w:r>
              <w:rPr>
                <w:b/>
              </w:rPr>
              <w:t>31 December 2019</w:t>
            </w:r>
          </w:p>
        </w:tc>
        <w:tc>
          <w:tcPr>
            <w:tcW w:w="1665" w:type="dxa"/>
            <w:tcBorders>
              <w:bottom w:val="single" w:sz="18" w:space="0" w:color="auto"/>
            </w:tcBorders>
            <w:vAlign w:val="center"/>
          </w:tcPr>
          <w:p w14:paraId="3D9A11CE" w14:textId="77777777" w:rsidR="003B6A80" w:rsidRPr="00CE4641" w:rsidRDefault="003B6A80" w:rsidP="003B6A80">
            <w:pPr>
              <w:pStyle w:val="Bodytext"/>
              <w:jc w:val="right"/>
              <w:rPr>
                <w:i/>
                <w:sz w:val="18"/>
              </w:rPr>
            </w:pPr>
          </w:p>
        </w:tc>
        <w:tc>
          <w:tcPr>
            <w:tcW w:w="1710" w:type="dxa"/>
            <w:tcBorders>
              <w:bottom w:val="single" w:sz="18" w:space="0" w:color="auto"/>
            </w:tcBorders>
            <w:vAlign w:val="center"/>
          </w:tcPr>
          <w:p w14:paraId="5AA9D291" w14:textId="3063696F" w:rsidR="003B6A80" w:rsidRPr="005C285C" w:rsidRDefault="00D71AC2" w:rsidP="003B6A80">
            <w:pPr>
              <w:pStyle w:val="Bodytext"/>
              <w:jc w:val="right"/>
              <w:rPr>
                <w:b/>
              </w:rPr>
            </w:pPr>
            <w:r w:rsidRPr="00D71AC2">
              <w:rPr>
                <w:b/>
              </w:rPr>
              <w:t>1,246,559</w:t>
            </w:r>
          </w:p>
        </w:tc>
        <w:tc>
          <w:tcPr>
            <w:tcW w:w="1728" w:type="dxa"/>
            <w:tcBorders>
              <w:bottom w:val="single" w:sz="18" w:space="0" w:color="auto"/>
            </w:tcBorders>
            <w:vAlign w:val="center"/>
          </w:tcPr>
          <w:p w14:paraId="3FFFF07F" w14:textId="7F7D3575" w:rsidR="003B6A80" w:rsidRPr="005C285C" w:rsidRDefault="00B229FD" w:rsidP="00296175">
            <w:pPr>
              <w:pStyle w:val="Bodytext"/>
              <w:jc w:val="right"/>
              <w:rPr>
                <w:b/>
              </w:rPr>
            </w:pPr>
            <w:r w:rsidRPr="00B229FD">
              <w:rPr>
                <w:b/>
              </w:rPr>
              <w:t>(47</w:t>
            </w:r>
            <w:r w:rsidR="00296175">
              <w:rPr>
                <w:b/>
              </w:rPr>
              <w:t>4</w:t>
            </w:r>
            <w:r w:rsidRPr="00B229FD">
              <w:rPr>
                <w:b/>
              </w:rPr>
              <w:t>,</w:t>
            </w:r>
            <w:r w:rsidR="0050627A">
              <w:rPr>
                <w:b/>
              </w:rPr>
              <w:t>867</w:t>
            </w:r>
            <w:r w:rsidRPr="00B229FD">
              <w:rPr>
                <w:b/>
              </w:rPr>
              <w:t>)</w:t>
            </w:r>
            <w:r w:rsidRPr="00B229FD" w:rsidDel="00B229FD">
              <w:rPr>
                <w:b/>
              </w:rPr>
              <w:t xml:space="preserve"> </w:t>
            </w:r>
          </w:p>
        </w:tc>
        <w:tc>
          <w:tcPr>
            <w:tcW w:w="1802" w:type="dxa"/>
            <w:tcBorders>
              <w:bottom w:val="single" w:sz="18" w:space="0" w:color="auto"/>
            </w:tcBorders>
            <w:vAlign w:val="center"/>
          </w:tcPr>
          <w:p w14:paraId="58BA2096" w14:textId="1071E6DA" w:rsidR="003B6A80" w:rsidRPr="005C285C" w:rsidRDefault="00B229FD" w:rsidP="00296175">
            <w:pPr>
              <w:pStyle w:val="Bodytext"/>
              <w:jc w:val="right"/>
              <w:rPr>
                <w:b/>
              </w:rPr>
            </w:pPr>
            <w:r w:rsidRPr="00B229FD">
              <w:rPr>
                <w:b/>
              </w:rPr>
              <w:t>7</w:t>
            </w:r>
            <w:r w:rsidR="00296175">
              <w:rPr>
                <w:b/>
              </w:rPr>
              <w:t>71</w:t>
            </w:r>
            <w:r w:rsidRPr="00B229FD">
              <w:rPr>
                <w:b/>
              </w:rPr>
              <w:t>,</w:t>
            </w:r>
            <w:r w:rsidR="0050627A">
              <w:rPr>
                <w:b/>
              </w:rPr>
              <w:t>692</w:t>
            </w:r>
          </w:p>
        </w:tc>
      </w:tr>
    </w:tbl>
    <w:p w14:paraId="7C9488D1" w14:textId="77777777" w:rsidR="003B6A80" w:rsidRPr="00811BA1" w:rsidRDefault="003B6A80" w:rsidP="00EB7E49">
      <w:pPr>
        <w:pStyle w:val="Bodytext"/>
      </w:pPr>
    </w:p>
    <w:p w14:paraId="25287D1C" w14:textId="77777777" w:rsidR="00155586" w:rsidRPr="00811BA1" w:rsidRDefault="00155586" w:rsidP="00EB7E49">
      <w:pPr>
        <w:pStyle w:val="Bodytext"/>
      </w:pPr>
    </w:p>
    <w:tbl>
      <w:tblPr>
        <w:tblStyle w:val="TableGrid"/>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943"/>
        <w:gridCol w:w="1665"/>
        <w:gridCol w:w="1710"/>
        <w:gridCol w:w="1728"/>
        <w:gridCol w:w="1802"/>
      </w:tblGrid>
      <w:tr w:rsidR="001536E8" w:rsidRPr="00CE4641" w14:paraId="6AB767BE" w14:textId="77777777" w:rsidTr="008124AF">
        <w:trPr>
          <w:trHeight w:val="693"/>
        </w:trPr>
        <w:tc>
          <w:tcPr>
            <w:tcW w:w="2943" w:type="dxa"/>
            <w:tcBorders>
              <w:bottom w:val="single" w:sz="4" w:space="0" w:color="auto"/>
            </w:tcBorders>
          </w:tcPr>
          <w:p w14:paraId="1D5465A7" w14:textId="77777777" w:rsidR="001536E8" w:rsidRPr="00193B16" w:rsidRDefault="001536E8" w:rsidP="00EB7E49">
            <w:pPr>
              <w:pStyle w:val="Bodytext"/>
            </w:pPr>
          </w:p>
        </w:tc>
        <w:tc>
          <w:tcPr>
            <w:tcW w:w="1665" w:type="dxa"/>
            <w:tcBorders>
              <w:bottom w:val="single" w:sz="4" w:space="0" w:color="auto"/>
            </w:tcBorders>
            <w:vAlign w:val="bottom"/>
          </w:tcPr>
          <w:p w14:paraId="49CC8046" w14:textId="77777777" w:rsidR="001536E8" w:rsidRPr="00193B16" w:rsidRDefault="001536E8" w:rsidP="00EB7E49">
            <w:pPr>
              <w:pStyle w:val="Bodytext"/>
              <w:jc w:val="right"/>
              <w:rPr>
                <w:i/>
                <w:sz w:val="18"/>
              </w:rPr>
            </w:pPr>
            <w:r w:rsidRPr="00193B16">
              <w:rPr>
                <w:i/>
                <w:sz w:val="18"/>
              </w:rPr>
              <w:t>Notes</w:t>
            </w:r>
          </w:p>
        </w:tc>
        <w:tc>
          <w:tcPr>
            <w:tcW w:w="1710" w:type="dxa"/>
            <w:tcBorders>
              <w:bottom w:val="single" w:sz="4" w:space="0" w:color="auto"/>
            </w:tcBorders>
            <w:vAlign w:val="bottom"/>
          </w:tcPr>
          <w:p w14:paraId="4561D7A5" w14:textId="77777777" w:rsidR="001536E8" w:rsidRPr="00193B16" w:rsidRDefault="001536E8" w:rsidP="00EB7E49">
            <w:pPr>
              <w:pStyle w:val="Bodytext"/>
              <w:jc w:val="right"/>
            </w:pPr>
            <w:r w:rsidRPr="00193B16">
              <w:t>Share</w:t>
            </w:r>
          </w:p>
          <w:p w14:paraId="559AA317" w14:textId="77777777" w:rsidR="001536E8" w:rsidRPr="00193B16" w:rsidRDefault="001536E8" w:rsidP="00EB7E49">
            <w:pPr>
              <w:pStyle w:val="Bodytext"/>
              <w:jc w:val="right"/>
            </w:pPr>
            <w:r w:rsidRPr="00193B16">
              <w:t>capital</w:t>
            </w:r>
          </w:p>
          <w:p w14:paraId="286F9481" w14:textId="77777777" w:rsidR="001536E8" w:rsidRPr="00193B16" w:rsidRDefault="001536E8" w:rsidP="00EB7E49">
            <w:pPr>
              <w:pStyle w:val="Bodytext"/>
              <w:jc w:val="right"/>
            </w:pPr>
            <w:r w:rsidRPr="00193B16">
              <w:t>$’000</w:t>
            </w:r>
          </w:p>
        </w:tc>
        <w:tc>
          <w:tcPr>
            <w:tcW w:w="1728" w:type="dxa"/>
            <w:tcBorders>
              <w:bottom w:val="single" w:sz="4" w:space="0" w:color="auto"/>
            </w:tcBorders>
            <w:vAlign w:val="bottom"/>
          </w:tcPr>
          <w:p w14:paraId="5BA0E8F6" w14:textId="77777777" w:rsidR="001536E8" w:rsidRPr="00193B16" w:rsidRDefault="001536E8" w:rsidP="00EB7E49">
            <w:pPr>
              <w:pStyle w:val="Bodytext"/>
              <w:jc w:val="right"/>
            </w:pPr>
            <w:r w:rsidRPr="00193B16">
              <w:t>Retained</w:t>
            </w:r>
          </w:p>
          <w:p w14:paraId="471605E0" w14:textId="77777777" w:rsidR="001536E8" w:rsidRPr="00193B16" w:rsidRDefault="001536E8" w:rsidP="00EB7E49">
            <w:pPr>
              <w:pStyle w:val="Bodytext"/>
              <w:jc w:val="right"/>
            </w:pPr>
            <w:r w:rsidRPr="00193B16">
              <w:t>earnings</w:t>
            </w:r>
          </w:p>
          <w:p w14:paraId="32EC3A6B" w14:textId="77777777" w:rsidR="001536E8" w:rsidRPr="00193B16" w:rsidRDefault="001536E8" w:rsidP="00EB7E49">
            <w:pPr>
              <w:pStyle w:val="Bodytext"/>
              <w:jc w:val="right"/>
            </w:pPr>
            <w:r w:rsidRPr="00193B16">
              <w:t>$’000</w:t>
            </w:r>
          </w:p>
        </w:tc>
        <w:tc>
          <w:tcPr>
            <w:tcW w:w="1802" w:type="dxa"/>
            <w:tcBorders>
              <w:bottom w:val="single" w:sz="4" w:space="0" w:color="auto"/>
            </w:tcBorders>
            <w:vAlign w:val="bottom"/>
          </w:tcPr>
          <w:p w14:paraId="2B89DEC2" w14:textId="77777777" w:rsidR="001536E8" w:rsidRPr="00193B16" w:rsidRDefault="001536E8" w:rsidP="00EB7E49">
            <w:pPr>
              <w:pStyle w:val="Bodytext"/>
              <w:jc w:val="right"/>
            </w:pPr>
            <w:r w:rsidRPr="00193B16">
              <w:t>Total</w:t>
            </w:r>
          </w:p>
          <w:p w14:paraId="633381AE" w14:textId="77777777" w:rsidR="001536E8" w:rsidRPr="00193B16" w:rsidRDefault="001536E8" w:rsidP="00EB7E49">
            <w:pPr>
              <w:pStyle w:val="Bodytext"/>
              <w:jc w:val="right"/>
            </w:pPr>
            <w:r w:rsidRPr="00193B16">
              <w:t>Equity</w:t>
            </w:r>
          </w:p>
          <w:p w14:paraId="4A02DBCF" w14:textId="77777777" w:rsidR="001536E8" w:rsidRPr="00193B16" w:rsidRDefault="001536E8" w:rsidP="00EB7E49">
            <w:pPr>
              <w:pStyle w:val="Bodytext"/>
              <w:jc w:val="right"/>
            </w:pPr>
            <w:r w:rsidRPr="00193B16">
              <w:t>$’000</w:t>
            </w:r>
          </w:p>
        </w:tc>
      </w:tr>
      <w:tr w:rsidR="0062095D" w:rsidRPr="00CE4641" w14:paraId="6187DA3F" w14:textId="77777777" w:rsidTr="008124AF">
        <w:tc>
          <w:tcPr>
            <w:tcW w:w="2943" w:type="dxa"/>
            <w:tcBorders>
              <w:top w:val="single" w:sz="4" w:space="0" w:color="auto"/>
            </w:tcBorders>
          </w:tcPr>
          <w:p w14:paraId="1913D22C" w14:textId="0475E757" w:rsidR="0062095D" w:rsidRPr="00193B16" w:rsidRDefault="0062095D" w:rsidP="0062095D">
            <w:pPr>
              <w:pStyle w:val="Bodytext"/>
            </w:pPr>
            <w:r w:rsidRPr="00193B16">
              <w:t>As at 1 January 2018</w:t>
            </w:r>
          </w:p>
        </w:tc>
        <w:tc>
          <w:tcPr>
            <w:tcW w:w="1665" w:type="dxa"/>
            <w:tcBorders>
              <w:top w:val="single" w:sz="4" w:space="0" w:color="auto"/>
            </w:tcBorders>
            <w:vAlign w:val="center"/>
          </w:tcPr>
          <w:p w14:paraId="287295E9" w14:textId="77777777" w:rsidR="0062095D" w:rsidRPr="00193B16" w:rsidRDefault="0062095D" w:rsidP="0062095D">
            <w:pPr>
              <w:pStyle w:val="Bodytext"/>
              <w:jc w:val="right"/>
              <w:rPr>
                <w:i/>
                <w:sz w:val="18"/>
              </w:rPr>
            </w:pPr>
          </w:p>
        </w:tc>
        <w:tc>
          <w:tcPr>
            <w:tcW w:w="1710" w:type="dxa"/>
            <w:tcBorders>
              <w:top w:val="single" w:sz="4" w:space="0" w:color="auto"/>
            </w:tcBorders>
          </w:tcPr>
          <w:p w14:paraId="4EEDE0C3" w14:textId="2A5BFAC4" w:rsidR="0062095D" w:rsidRPr="00193B16" w:rsidRDefault="0062095D" w:rsidP="0062095D">
            <w:pPr>
              <w:pStyle w:val="Bodytext"/>
              <w:jc w:val="right"/>
            </w:pPr>
            <w:r w:rsidRPr="00193B16">
              <w:t>1,317,496</w:t>
            </w:r>
          </w:p>
        </w:tc>
        <w:tc>
          <w:tcPr>
            <w:tcW w:w="1728" w:type="dxa"/>
            <w:tcBorders>
              <w:top w:val="single" w:sz="4" w:space="0" w:color="auto"/>
            </w:tcBorders>
          </w:tcPr>
          <w:p w14:paraId="16D47FDE" w14:textId="6DA75689" w:rsidR="0062095D" w:rsidRPr="00193B16" w:rsidRDefault="0062095D" w:rsidP="0062095D">
            <w:pPr>
              <w:pStyle w:val="Bodytext"/>
              <w:jc w:val="right"/>
            </w:pPr>
            <w:r w:rsidRPr="00193B16">
              <w:t>425,683</w:t>
            </w:r>
          </w:p>
        </w:tc>
        <w:tc>
          <w:tcPr>
            <w:tcW w:w="1802" w:type="dxa"/>
            <w:tcBorders>
              <w:top w:val="single" w:sz="4" w:space="0" w:color="auto"/>
            </w:tcBorders>
          </w:tcPr>
          <w:p w14:paraId="713A381E" w14:textId="4F1875B7" w:rsidR="0062095D" w:rsidRPr="00193B16" w:rsidRDefault="00B42896" w:rsidP="0062095D">
            <w:pPr>
              <w:pStyle w:val="Bodytext"/>
              <w:jc w:val="right"/>
            </w:pPr>
            <w:r w:rsidRPr="00193B16">
              <w:t>1,743,179</w:t>
            </w:r>
          </w:p>
        </w:tc>
      </w:tr>
      <w:tr w:rsidR="001536E8" w:rsidRPr="00CE4641" w14:paraId="032BF32F" w14:textId="77777777" w:rsidTr="008124AF">
        <w:tc>
          <w:tcPr>
            <w:tcW w:w="2943" w:type="dxa"/>
          </w:tcPr>
          <w:p w14:paraId="33CC8CC3" w14:textId="77777777" w:rsidR="001536E8" w:rsidRPr="00193B16" w:rsidRDefault="001536E8" w:rsidP="00EB7E49">
            <w:pPr>
              <w:pStyle w:val="Bodytext"/>
            </w:pPr>
          </w:p>
        </w:tc>
        <w:tc>
          <w:tcPr>
            <w:tcW w:w="1665" w:type="dxa"/>
            <w:vAlign w:val="center"/>
          </w:tcPr>
          <w:p w14:paraId="4940E191" w14:textId="77777777" w:rsidR="001536E8" w:rsidRPr="00193B16" w:rsidRDefault="001536E8" w:rsidP="00EB7E49">
            <w:pPr>
              <w:pStyle w:val="Bodytext"/>
              <w:jc w:val="right"/>
              <w:rPr>
                <w:i/>
                <w:sz w:val="18"/>
              </w:rPr>
            </w:pPr>
          </w:p>
        </w:tc>
        <w:tc>
          <w:tcPr>
            <w:tcW w:w="1710" w:type="dxa"/>
            <w:vAlign w:val="center"/>
          </w:tcPr>
          <w:p w14:paraId="591A5183" w14:textId="77777777" w:rsidR="001536E8" w:rsidRPr="00193B16" w:rsidRDefault="001536E8" w:rsidP="00EB7E49">
            <w:pPr>
              <w:pStyle w:val="Bodytext"/>
              <w:jc w:val="right"/>
            </w:pPr>
          </w:p>
        </w:tc>
        <w:tc>
          <w:tcPr>
            <w:tcW w:w="1728" w:type="dxa"/>
            <w:vAlign w:val="center"/>
          </w:tcPr>
          <w:p w14:paraId="61B606A0" w14:textId="77777777" w:rsidR="001536E8" w:rsidRPr="00193B16" w:rsidRDefault="001536E8" w:rsidP="00EB7E49">
            <w:pPr>
              <w:pStyle w:val="Bodytext"/>
              <w:jc w:val="right"/>
            </w:pPr>
          </w:p>
        </w:tc>
        <w:tc>
          <w:tcPr>
            <w:tcW w:w="1802" w:type="dxa"/>
            <w:vAlign w:val="center"/>
          </w:tcPr>
          <w:p w14:paraId="1F290184" w14:textId="77777777" w:rsidR="001536E8" w:rsidRPr="00193B16" w:rsidRDefault="001536E8" w:rsidP="00EB7E49">
            <w:pPr>
              <w:pStyle w:val="Bodytext"/>
              <w:jc w:val="right"/>
            </w:pPr>
          </w:p>
        </w:tc>
      </w:tr>
      <w:tr w:rsidR="008124AF" w:rsidRPr="00CE4641" w14:paraId="4C8EB061" w14:textId="77777777" w:rsidTr="008124AF">
        <w:tc>
          <w:tcPr>
            <w:tcW w:w="2943" w:type="dxa"/>
          </w:tcPr>
          <w:p w14:paraId="481CF777" w14:textId="164A2509" w:rsidR="008124AF" w:rsidRPr="00193B16" w:rsidRDefault="00930676" w:rsidP="008124AF">
            <w:pPr>
              <w:pStyle w:val="Bodytext"/>
            </w:pPr>
            <w:r w:rsidRPr="00193B16">
              <w:t>Loss</w:t>
            </w:r>
            <w:r w:rsidR="008124AF" w:rsidRPr="00193B16">
              <w:t xml:space="preserve"> for the financial year</w:t>
            </w:r>
          </w:p>
        </w:tc>
        <w:tc>
          <w:tcPr>
            <w:tcW w:w="1665" w:type="dxa"/>
            <w:vAlign w:val="center"/>
          </w:tcPr>
          <w:p w14:paraId="1A4E5C36" w14:textId="77777777" w:rsidR="008124AF" w:rsidRPr="00193B16" w:rsidRDefault="008124AF" w:rsidP="008124AF">
            <w:pPr>
              <w:pStyle w:val="Bodytext"/>
              <w:jc w:val="right"/>
              <w:rPr>
                <w:i/>
                <w:sz w:val="18"/>
              </w:rPr>
            </w:pPr>
          </w:p>
        </w:tc>
        <w:tc>
          <w:tcPr>
            <w:tcW w:w="1710" w:type="dxa"/>
            <w:vAlign w:val="center"/>
          </w:tcPr>
          <w:p w14:paraId="4B345524" w14:textId="35405EBD" w:rsidR="008124AF" w:rsidRPr="00193B16" w:rsidRDefault="008124AF" w:rsidP="008124AF">
            <w:pPr>
              <w:pStyle w:val="Bodytext"/>
              <w:jc w:val="right"/>
            </w:pPr>
            <w:r w:rsidRPr="00193B16">
              <w:t>–</w:t>
            </w:r>
          </w:p>
        </w:tc>
        <w:tc>
          <w:tcPr>
            <w:tcW w:w="1728" w:type="dxa"/>
            <w:vAlign w:val="center"/>
          </w:tcPr>
          <w:p w14:paraId="31B31188" w14:textId="53B1483E" w:rsidR="008124AF" w:rsidRPr="00193B16" w:rsidRDefault="008124AF" w:rsidP="004F7D54">
            <w:pPr>
              <w:pStyle w:val="Bodytext"/>
              <w:jc w:val="right"/>
            </w:pPr>
            <w:r w:rsidRPr="00193B16">
              <w:t>(24</w:t>
            </w:r>
            <w:r w:rsidR="002A6068" w:rsidRPr="00193B16">
              <w:t>0,981</w:t>
            </w:r>
            <w:r w:rsidRPr="00193B16">
              <w:t>)</w:t>
            </w:r>
          </w:p>
        </w:tc>
        <w:tc>
          <w:tcPr>
            <w:tcW w:w="1802" w:type="dxa"/>
            <w:vAlign w:val="center"/>
          </w:tcPr>
          <w:p w14:paraId="3DB464E0" w14:textId="7D73C35F" w:rsidR="008124AF" w:rsidRPr="00193B16" w:rsidRDefault="008124AF" w:rsidP="004F7D54">
            <w:pPr>
              <w:pStyle w:val="Bodytext"/>
              <w:jc w:val="right"/>
            </w:pPr>
            <w:r w:rsidRPr="00193B16">
              <w:t>(24</w:t>
            </w:r>
            <w:r w:rsidR="002A6068" w:rsidRPr="00193B16">
              <w:t>0,981</w:t>
            </w:r>
            <w:r w:rsidRPr="00193B16">
              <w:t>)</w:t>
            </w:r>
          </w:p>
        </w:tc>
      </w:tr>
      <w:tr w:rsidR="008124AF" w:rsidRPr="00CE4641" w14:paraId="1241618A" w14:textId="77777777" w:rsidTr="008124AF">
        <w:tc>
          <w:tcPr>
            <w:tcW w:w="2943" w:type="dxa"/>
            <w:tcBorders>
              <w:top w:val="single" w:sz="4" w:space="0" w:color="auto"/>
              <w:bottom w:val="single" w:sz="4" w:space="0" w:color="auto"/>
            </w:tcBorders>
          </w:tcPr>
          <w:p w14:paraId="794E8108" w14:textId="357B840A" w:rsidR="008124AF" w:rsidRPr="00193B16" w:rsidRDefault="008124AF" w:rsidP="00930676">
            <w:pPr>
              <w:pStyle w:val="Bodytext"/>
            </w:pPr>
            <w:r w:rsidRPr="00193B16">
              <w:t xml:space="preserve">Total comprehensive </w:t>
            </w:r>
            <w:r w:rsidR="00930676" w:rsidRPr="00193B16">
              <w:t xml:space="preserve">expense </w:t>
            </w:r>
            <w:r w:rsidRPr="00193B16">
              <w:t>for the year</w:t>
            </w:r>
          </w:p>
        </w:tc>
        <w:tc>
          <w:tcPr>
            <w:tcW w:w="1665" w:type="dxa"/>
            <w:tcBorders>
              <w:top w:val="single" w:sz="4" w:space="0" w:color="auto"/>
              <w:bottom w:val="single" w:sz="4" w:space="0" w:color="auto"/>
            </w:tcBorders>
            <w:vAlign w:val="center"/>
          </w:tcPr>
          <w:p w14:paraId="53B90DBF" w14:textId="77777777" w:rsidR="008124AF" w:rsidRPr="00193B16" w:rsidRDefault="008124AF" w:rsidP="008124AF">
            <w:pPr>
              <w:pStyle w:val="Bodytext"/>
              <w:jc w:val="right"/>
              <w:rPr>
                <w:i/>
                <w:sz w:val="18"/>
              </w:rPr>
            </w:pPr>
          </w:p>
        </w:tc>
        <w:tc>
          <w:tcPr>
            <w:tcW w:w="1710" w:type="dxa"/>
            <w:tcBorders>
              <w:top w:val="single" w:sz="4" w:space="0" w:color="auto"/>
              <w:bottom w:val="single" w:sz="4" w:space="0" w:color="auto"/>
            </w:tcBorders>
            <w:vAlign w:val="center"/>
          </w:tcPr>
          <w:p w14:paraId="7D5147F4" w14:textId="78AB30F5" w:rsidR="008124AF" w:rsidRPr="00193B16" w:rsidRDefault="008124AF" w:rsidP="008124AF">
            <w:pPr>
              <w:pStyle w:val="Bodytext"/>
              <w:jc w:val="right"/>
            </w:pPr>
            <w:r w:rsidRPr="00193B16">
              <w:t>–</w:t>
            </w:r>
          </w:p>
        </w:tc>
        <w:tc>
          <w:tcPr>
            <w:tcW w:w="1728" w:type="dxa"/>
            <w:tcBorders>
              <w:top w:val="single" w:sz="4" w:space="0" w:color="auto"/>
              <w:bottom w:val="single" w:sz="4" w:space="0" w:color="auto"/>
            </w:tcBorders>
            <w:vAlign w:val="center"/>
          </w:tcPr>
          <w:p w14:paraId="3242473D" w14:textId="1D9A7D4D" w:rsidR="008124AF" w:rsidRPr="00193B16" w:rsidRDefault="008124AF" w:rsidP="004F7D54">
            <w:pPr>
              <w:pStyle w:val="Bodytext"/>
              <w:jc w:val="right"/>
            </w:pPr>
            <w:r w:rsidRPr="00193B16">
              <w:t>(24</w:t>
            </w:r>
            <w:r w:rsidR="002A6068" w:rsidRPr="00193B16">
              <w:t>0,981</w:t>
            </w:r>
            <w:r w:rsidRPr="00193B16">
              <w:t>)</w:t>
            </w:r>
            <w:r w:rsidRPr="00193B16">
              <w:rPr>
                <w:bCs/>
              </w:rPr>
              <w:t xml:space="preserve">  </w:t>
            </w:r>
          </w:p>
        </w:tc>
        <w:tc>
          <w:tcPr>
            <w:tcW w:w="1802" w:type="dxa"/>
            <w:tcBorders>
              <w:top w:val="single" w:sz="4" w:space="0" w:color="auto"/>
              <w:bottom w:val="single" w:sz="4" w:space="0" w:color="auto"/>
            </w:tcBorders>
            <w:vAlign w:val="center"/>
          </w:tcPr>
          <w:p w14:paraId="33B3C2B5" w14:textId="5A747EB3" w:rsidR="008124AF" w:rsidRPr="00193B16" w:rsidRDefault="008124AF" w:rsidP="004F7D54">
            <w:pPr>
              <w:pStyle w:val="Bodytext"/>
              <w:jc w:val="right"/>
            </w:pPr>
            <w:r w:rsidRPr="00193B16">
              <w:t>(24</w:t>
            </w:r>
            <w:r w:rsidR="002A6068" w:rsidRPr="00193B16">
              <w:t>0,981</w:t>
            </w:r>
            <w:r w:rsidRPr="00193B16">
              <w:t>)</w:t>
            </w:r>
          </w:p>
        </w:tc>
      </w:tr>
      <w:tr w:rsidR="008124AF" w:rsidRPr="00CE4641" w14:paraId="7191ECDD" w14:textId="77777777" w:rsidTr="008124AF">
        <w:tc>
          <w:tcPr>
            <w:tcW w:w="2943" w:type="dxa"/>
            <w:tcBorders>
              <w:top w:val="single" w:sz="4" w:space="0" w:color="auto"/>
            </w:tcBorders>
          </w:tcPr>
          <w:p w14:paraId="71479F0E" w14:textId="77777777" w:rsidR="008124AF" w:rsidRPr="00193B16" w:rsidRDefault="008124AF" w:rsidP="008124AF">
            <w:pPr>
              <w:pStyle w:val="Bodytext"/>
            </w:pPr>
          </w:p>
        </w:tc>
        <w:tc>
          <w:tcPr>
            <w:tcW w:w="1665" w:type="dxa"/>
            <w:tcBorders>
              <w:top w:val="single" w:sz="4" w:space="0" w:color="auto"/>
            </w:tcBorders>
            <w:vAlign w:val="center"/>
          </w:tcPr>
          <w:p w14:paraId="63ADD791" w14:textId="77777777" w:rsidR="008124AF" w:rsidRPr="00193B16" w:rsidRDefault="008124AF" w:rsidP="008124AF">
            <w:pPr>
              <w:pStyle w:val="Bodytext"/>
              <w:jc w:val="right"/>
              <w:rPr>
                <w:i/>
                <w:sz w:val="18"/>
              </w:rPr>
            </w:pPr>
          </w:p>
        </w:tc>
        <w:tc>
          <w:tcPr>
            <w:tcW w:w="1710" w:type="dxa"/>
            <w:tcBorders>
              <w:top w:val="single" w:sz="4" w:space="0" w:color="auto"/>
            </w:tcBorders>
            <w:vAlign w:val="center"/>
          </w:tcPr>
          <w:p w14:paraId="1F33BCB4" w14:textId="5C00B519" w:rsidR="008124AF" w:rsidRPr="00193B16" w:rsidRDefault="008124AF" w:rsidP="008124AF">
            <w:pPr>
              <w:pStyle w:val="Bodytext"/>
              <w:jc w:val="right"/>
            </w:pPr>
          </w:p>
        </w:tc>
        <w:tc>
          <w:tcPr>
            <w:tcW w:w="1728" w:type="dxa"/>
            <w:tcBorders>
              <w:top w:val="single" w:sz="4" w:space="0" w:color="auto"/>
            </w:tcBorders>
            <w:vAlign w:val="center"/>
          </w:tcPr>
          <w:p w14:paraId="1EDB15DE" w14:textId="77777777" w:rsidR="008124AF" w:rsidRPr="00193B16" w:rsidRDefault="008124AF" w:rsidP="008124AF">
            <w:pPr>
              <w:pStyle w:val="Bodytext"/>
              <w:jc w:val="right"/>
            </w:pPr>
          </w:p>
        </w:tc>
        <w:tc>
          <w:tcPr>
            <w:tcW w:w="1802" w:type="dxa"/>
            <w:tcBorders>
              <w:top w:val="single" w:sz="4" w:space="0" w:color="auto"/>
            </w:tcBorders>
            <w:vAlign w:val="center"/>
          </w:tcPr>
          <w:p w14:paraId="55E29C45" w14:textId="77777777" w:rsidR="008124AF" w:rsidRPr="00193B16" w:rsidRDefault="008124AF" w:rsidP="008124AF">
            <w:pPr>
              <w:pStyle w:val="Bodytext"/>
              <w:jc w:val="right"/>
            </w:pPr>
          </w:p>
        </w:tc>
      </w:tr>
      <w:tr w:rsidR="008124AF" w:rsidRPr="00CE4641" w14:paraId="032D8B6A" w14:textId="77777777" w:rsidTr="008124AF">
        <w:tc>
          <w:tcPr>
            <w:tcW w:w="2943" w:type="dxa"/>
          </w:tcPr>
          <w:p w14:paraId="3929190C" w14:textId="678200F2" w:rsidR="008124AF" w:rsidRPr="00193B16" w:rsidRDefault="008124AF" w:rsidP="008124AF">
            <w:pPr>
              <w:pStyle w:val="Bodytext"/>
            </w:pPr>
            <w:r w:rsidRPr="00193B16">
              <w:t>Transaction with owners</w:t>
            </w:r>
          </w:p>
        </w:tc>
        <w:tc>
          <w:tcPr>
            <w:tcW w:w="1665" w:type="dxa"/>
            <w:vAlign w:val="center"/>
          </w:tcPr>
          <w:p w14:paraId="78B2A624" w14:textId="77777777" w:rsidR="008124AF" w:rsidRPr="00193B16" w:rsidRDefault="008124AF" w:rsidP="008124AF">
            <w:pPr>
              <w:pStyle w:val="Bodytext"/>
              <w:jc w:val="right"/>
              <w:rPr>
                <w:i/>
                <w:sz w:val="18"/>
              </w:rPr>
            </w:pPr>
          </w:p>
        </w:tc>
        <w:tc>
          <w:tcPr>
            <w:tcW w:w="1710" w:type="dxa"/>
            <w:vAlign w:val="center"/>
          </w:tcPr>
          <w:p w14:paraId="789CA989" w14:textId="77777777" w:rsidR="008124AF" w:rsidRPr="00193B16" w:rsidRDefault="008124AF" w:rsidP="008124AF">
            <w:pPr>
              <w:pStyle w:val="Bodytext"/>
              <w:jc w:val="right"/>
            </w:pPr>
          </w:p>
        </w:tc>
        <w:tc>
          <w:tcPr>
            <w:tcW w:w="1728" w:type="dxa"/>
            <w:vAlign w:val="center"/>
          </w:tcPr>
          <w:p w14:paraId="2D20F3B8" w14:textId="77777777" w:rsidR="008124AF" w:rsidRPr="00193B16" w:rsidRDefault="008124AF" w:rsidP="008124AF">
            <w:pPr>
              <w:pStyle w:val="Bodytext"/>
              <w:jc w:val="right"/>
            </w:pPr>
          </w:p>
        </w:tc>
        <w:tc>
          <w:tcPr>
            <w:tcW w:w="1802" w:type="dxa"/>
            <w:vAlign w:val="center"/>
          </w:tcPr>
          <w:p w14:paraId="64329290" w14:textId="77777777" w:rsidR="008124AF" w:rsidRPr="00193B16" w:rsidRDefault="008124AF" w:rsidP="008124AF">
            <w:pPr>
              <w:pStyle w:val="Bodytext"/>
              <w:jc w:val="right"/>
            </w:pPr>
          </w:p>
        </w:tc>
      </w:tr>
      <w:tr w:rsidR="008124AF" w:rsidRPr="00CE4641" w14:paraId="227E6E76" w14:textId="77777777" w:rsidTr="008124AF">
        <w:tc>
          <w:tcPr>
            <w:tcW w:w="2943" w:type="dxa"/>
            <w:tcBorders>
              <w:bottom w:val="single" w:sz="4" w:space="0" w:color="auto"/>
            </w:tcBorders>
          </w:tcPr>
          <w:p w14:paraId="1DAD599D" w14:textId="3805C36B" w:rsidR="008124AF" w:rsidRPr="00193B16" w:rsidRDefault="0072436D" w:rsidP="008124AF">
            <w:pPr>
              <w:pStyle w:val="Bodytext"/>
            </w:pPr>
            <w:r w:rsidRPr="00193B16">
              <w:t>Cancellation of shares</w:t>
            </w:r>
          </w:p>
        </w:tc>
        <w:tc>
          <w:tcPr>
            <w:tcW w:w="1665" w:type="dxa"/>
            <w:tcBorders>
              <w:bottom w:val="single" w:sz="4" w:space="0" w:color="auto"/>
            </w:tcBorders>
            <w:vAlign w:val="center"/>
          </w:tcPr>
          <w:p w14:paraId="1E538B9E" w14:textId="342DF8B9" w:rsidR="008124AF" w:rsidRPr="00193B16" w:rsidRDefault="000743E2" w:rsidP="008124AF">
            <w:pPr>
              <w:pStyle w:val="Bodytext"/>
              <w:jc w:val="right"/>
              <w:rPr>
                <w:i/>
                <w:sz w:val="18"/>
              </w:rPr>
            </w:pPr>
            <w:r>
              <w:rPr>
                <w:i/>
                <w:sz w:val="18"/>
              </w:rPr>
              <w:t>8</w:t>
            </w:r>
          </w:p>
        </w:tc>
        <w:tc>
          <w:tcPr>
            <w:tcW w:w="1710" w:type="dxa"/>
            <w:tcBorders>
              <w:bottom w:val="single" w:sz="4" w:space="0" w:color="auto"/>
            </w:tcBorders>
            <w:vAlign w:val="center"/>
          </w:tcPr>
          <w:p w14:paraId="061FECFE" w14:textId="18DAE554" w:rsidR="008124AF" w:rsidRPr="00193B16" w:rsidRDefault="008124AF" w:rsidP="004F7D54">
            <w:pPr>
              <w:pStyle w:val="Bodytext"/>
              <w:jc w:val="right"/>
            </w:pPr>
            <w:r w:rsidRPr="00193B16">
              <w:t>(70,</w:t>
            </w:r>
            <w:r w:rsidR="004F7D54" w:rsidRPr="00193B16">
              <w:t>9</w:t>
            </w:r>
            <w:r w:rsidR="002A6068" w:rsidRPr="00193B16">
              <w:t>37</w:t>
            </w:r>
            <w:r w:rsidRPr="00193B16">
              <w:t>)</w:t>
            </w:r>
          </w:p>
        </w:tc>
        <w:tc>
          <w:tcPr>
            <w:tcW w:w="1728" w:type="dxa"/>
            <w:tcBorders>
              <w:bottom w:val="single" w:sz="4" w:space="0" w:color="auto"/>
            </w:tcBorders>
            <w:vAlign w:val="center"/>
          </w:tcPr>
          <w:p w14:paraId="11D36F6B" w14:textId="5E1F42A9" w:rsidR="008124AF" w:rsidRPr="00193B16" w:rsidRDefault="008124AF" w:rsidP="008124AF">
            <w:pPr>
              <w:pStyle w:val="Bodytext"/>
              <w:jc w:val="right"/>
            </w:pPr>
            <w:r w:rsidRPr="00193B16">
              <w:t>–</w:t>
            </w:r>
          </w:p>
        </w:tc>
        <w:tc>
          <w:tcPr>
            <w:tcW w:w="1802" w:type="dxa"/>
            <w:tcBorders>
              <w:bottom w:val="single" w:sz="4" w:space="0" w:color="auto"/>
            </w:tcBorders>
            <w:vAlign w:val="center"/>
          </w:tcPr>
          <w:p w14:paraId="7766169D" w14:textId="529892BE" w:rsidR="008124AF" w:rsidRPr="00193B16" w:rsidRDefault="008124AF" w:rsidP="008124AF">
            <w:pPr>
              <w:pStyle w:val="Bodytext"/>
              <w:jc w:val="right"/>
            </w:pPr>
            <w:r w:rsidRPr="00193B16">
              <w:t>(70,</w:t>
            </w:r>
            <w:r w:rsidR="002A6068" w:rsidRPr="00193B16">
              <w:t>937</w:t>
            </w:r>
            <w:r w:rsidRPr="00193B16">
              <w:t>)</w:t>
            </w:r>
          </w:p>
        </w:tc>
      </w:tr>
      <w:tr w:rsidR="008124AF" w:rsidRPr="00CE4641" w14:paraId="40941F18" w14:textId="77777777" w:rsidTr="008124AF">
        <w:tc>
          <w:tcPr>
            <w:tcW w:w="2943" w:type="dxa"/>
            <w:tcBorders>
              <w:top w:val="single" w:sz="4" w:space="0" w:color="auto"/>
              <w:bottom w:val="single" w:sz="4" w:space="0" w:color="auto"/>
            </w:tcBorders>
          </w:tcPr>
          <w:p w14:paraId="296B46B0" w14:textId="7495F404" w:rsidR="008124AF" w:rsidRPr="00193B16" w:rsidRDefault="008124AF" w:rsidP="008124AF">
            <w:pPr>
              <w:pStyle w:val="Bodytext"/>
            </w:pPr>
            <w:r w:rsidRPr="00193B16">
              <w:t>Total transaction with owners</w:t>
            </w:r>
          </w:p>
        </w:tc>
        <w:tc>
          <w:tcPr>
            <w:tcW w:w="1665" w:type="dxa"/>
            <w:tcBorders>
              <w:top w:val="single" w:sz="4" w:space="0" w:color="auto"/>
              <w:bottom w:val="single" w:sz="4" w:space="0" w:color="auto"/>
            </w:tcBorders>
            <w:vAlign w:val="center"/>
          </w:tcPr>
          <w:p w14:paraId="1383913A" w14:textId="77777777" w:rsidR="008124AF" w:rsidRPr="00193B16" w:rsidRDefault="008124AF" w:rsidP="008124AF">
            <w:pPr>
              <w:pStyle w:val="Bodytext"/>
              <w:jc w:val="right"/>
              <w:rPr>
                <w:i/>
                <w:sz w:val="18"/>
              </w:rPr>
            </w:pPr>
          </w:p>
        </w:tc>
        <w:tc>
          <w:tcPr>
            <w:tcW w:w="1710" w:type="dxa"/>
            <w:tcBorders>
              <w:top w:val="single" w:sz="4" w:space="0" w:color="auto"/>
              <w:bottom w:val="single" w:sz="4" w:space="0" w:color="auto"/>
            </w:tcBorders>
            <w:vAlign w:val="center"/>
          </w:tcPr>
          <w:p w14:paraId="396715E5" w14:textId="2DDF572E" w:rsidR="008124AF" w:rsidRPr="00193B16" w:rsidRDefault="008124AF" w:rsidP="004F7D54">
            <w:pPr>
              <w:pStyle w:val="Bodytext"/>
              <w:jc w:val="right"/>
            </w:pPr>
            <w:r w:rsidRPr="00193B16">
              <w:t>(70,</w:t>
            </w:r>
            <w:r w:rsidR="004F7D54" w:rsidRPr="00193B16">
              <w:t>9</w:t>
            </w:r>
            <w:r w:rsidR="002A6068" w:rsidRPr="00193B16">
              <w:t>37</w:t>
            </w:r>
            <w:r w:rsidRPr="00193B16">
              <w:t>)</w:t>
            </w:r>
          </w:p>
        </w:tc>
        <w:tc>
          <w:tcPr>
            <w:tcW w:w="1728" w:type="dxa"/>
            <w:tcBorders>
              <w:top w:val="single" w:sz="4" w:space="0" w:color="auto"/>
              <w:bottom w:val="single" w:sz="4" w:space="0" w:color="auto"/>
            </w:tcBorders>
            <w:vAlign w:val="center"/>
          </w:tcPr>
          <w:p w14:paraId="42BFB208" w14:textId="08E4CDDF" w:rsidR="008124AF" w:rsidRPr="00193B16" w:rsidRDefault="008124AF" w:rsidP="008124AF">
            <w:pPr>
              <w:pStyle w:val="Bodytext"/>
              <w:jc w:val="right"/>
            </w:pPr>
            <w:r w:rsidRPr="00193B16">
              <w:t>–</w:t>
            </w:r>
          </w:p>
        </w:tc>
        <w:tc>
          <w:tcPr>
            <w:tcW w:w="1802" w:type="dxa"/>
            <w:tcBorders>
              <w:top w:val="single" w:sz="4" w:space="0" w:color="auto"/>
              <w:bottom w:val="single" w:sz="4" w:space="0" w:color="auto"/>
            </w:tcBorders>
            <w:vAlign w:val="center"/>
          </w:tcPr>
          <w:p w14:paraId="4F1DAD74" w14:textId="72B62551" w:rsidR="008124AF" w:rsidRPr="00193B16" w:rsidRDefault="008124AF" w:rsidP="008124AF">
            <w:pPr>
              <w:pStyle w:val="Bodytext"/>
              <w:jc w:val="right"/>
            </w:pPr>
            <w:r w:rsidRPr="00193B16">
              <w:t>(70,</w:t>
            </w:r>
            <w:r w:rsidR="002A6068" w:rsidRPr="00193B16">
              <w:t>937</w:t>
            </w:r>
            <w:r w:rsidRPr="00193B16">
              <w:t>)</w:t>
            </w:r>
          </w:p>
        </w:tc>
      </w:tr>
      <w:tr w:rsidR="008124AF" w:rsidRPr="00CE4641" w14:paraId="0B62E5DB" w14:textId="77777777" w:rsidTr="008124AF">
        <w:tc>
          <w:tcPr>
            <w:tcW w:w="2943" w:type="dxa"/>
            <w:tcBorders>
              <w:top w:val="single" w:sz="4" w:space="0" w:color="auto"/>
            </w:tcBorders>
          </w:tcPr>
          <w:p w14:paraId="5612D7E4" w14:textId="77777777" w:rsidR="008124AF" w:rsidRPr="00193B16" w:rsidRDefault="008124AF" w:rsidP="008124AF">
            <w:pPr>
              <w:pStyle w:val="Bodytext"/>
            </w:pPr>
          </w:p>
        </w:tc>
        <w:tc>
          <w:tcPr>
            <w:tcW w:w="1665" w:type="dxa"/>
            <w:tcBorders>
              <w:top w:val="single" w:sz="4" w:space="0" w:color="auto"/>
            </w:tcBorders>
            <w:vAlign w:val="center"/>
          </w:tcPr>
          <w:p w14:paraId="2BF11BEC" w14:textId="77777777" w:rsidR="008124AF" w:rsidRPr="00193B16" w:rsidRDefault="008124AF" w:rsidP="008124AF">
            <w:pPr>
              <w:pStyle w:val="Bodytext"/>
              <w:jc w:val="right"/>
              <w:rPr>
                <w:i/>
                <w:sz w:val="18"/>
              </w:rPr>
            </w:pPr>
          </w:p>
        </w:tc>
        <w:tc>
          <w:tcPr>
            <w:tcW w:w="1710" w:type="dxa"/>
            <w:tcBorders>
              <w:top w:val="single" w:sz="4" w:space="0" w:color="auto"/>
            </w:tcBorders>
            <w:vAlign w:val="center"/>
          </w:tcPr>
          <w:p w14:paraId="5BC8FB42" w14:textId="77777777" w:rsidR="008124AF" w:rsidRPr="00193B16" w:rsidRDefault="008124AF" w:rsidP="008124AF">
            <w:pPr>
              <w:pStyle w:val="Bodytext"/>
              <w:jc w:val="right"/>
            </w:pPr>
          </w:p>
        </w:tc>
        <w:tc>
          <w:tcPr>
            <w:tcW w:w="1728" w:type="dxa"/>
            <w:tcBorders>
              <w:top w:val="single" w:sz="4" w:space="0" w:color="auto"/>
            </w:tcBorders>
            <w:vAlign w:val="center"/>
          </w:tcPr>
          <w:p w14:paraId="485BFA9A" w14:textId="77777777" w:rsidR="008124AF" w:rsidRPr="00193B16" w:rsidRDefault="008124AF" w:rsidP="008124AF">
            <w:pPr>
              <w:pStyle w:val="Bodytext"/>
              <w:jc w:val="right"/>
            </w:pPr>
          </w:p>
        </w:tc>
        <w:tc>
          <w:tcPr>
            <w:tcW w:w="1802" w:type="dxa"/>
            <w:tcBorders>
              <w:top w:val="single" w:sz="4" w:space="0" w:color="auto"/>
            </w:tcBorders>
            <w:vAlign w:val="center"/>
          </w:tcPr>
          <w:p w14:paraId="0BA9C7CE" w14:textId="77777777" w:rsidR="008124AF" w:rsidRPr="00193B16" w:rsidRDefault="008124AF" w:rsidP="008124AF">
            <w:pPr>
              <w:pStyle w:val="Bodytext"/>
              <w:jc w:val="right"/>
            </w:pPr>
          </w:p>
        </w:tc>
      </w:tr>
      <w:tr w:rsidR="008124AF" w:rsidRPr="00CE4641" w14:paraId="167C284E" w14:textId="77777777" w:rsidTr="008124AF">
        <w:tc>
          <w:tcPr>
            <w:tcW w:w="2943" w:type="dxa"/>
            <w:tcBorders>
              <w:bottom w:val="single" w:sz="18" w:space="0" w:color="auto"/>
            </w:tcBorders>
          </w:tcPr>
          <w:p w14:paraId="0BCB7415" w14:textId="5B860F9E" w:rsidR="008124AF" w:rsidRPr="00193B16" w:rsidRDefault="008124AF" w:rsidP="008124AF">
            <w:pPr>
              <w:pStyle w:val="Bodytext"/>
            </w:pPr>
            <w:r w:rsidRPr="00193B16">
              <w:t>As at 31 December 2018</w:t>
            </w:r>
          </w:p>
        </w:tc>
        <w:tc>
          <w:tcPr>
            <w:tcW w:w="1665" w:type="dxa"/>
            <w:tcBorders>
              <w:bottom w:val="single" w:sz="18" w:space="0" w:color="auto"/>
            </w:tcBorders>
            <w:vAlign w:val="center"/>
          </w:tcPr>
          <w:p w14:paraId="1730FED5" w14:textId="77777777" w:rsidR="008124AF" w:rsidRPr="00193B16" w:rsidRDefault="008124AF" w:rsidP="008124AF">
            <w:pPr>
              <w:pStyle w:val="Bodytext"/>
              <w:jc w:val="right"/>
              <w:rPr>
                <w:i/>
                <w:sz w:val="18"/>
              </w:rPr>
            </w:pPr>
          </w:p>
        </w:tc>
        <w:tc>
          <w:tcPr>
            <w:tcW w:w="1710" w:type="dxa"/>
            <w:tcBorders>
              <w:bottom w:val="single" w:sz="18" w:space="0" w:color="auto"/>
            </w:tcBorders>
            <w:vAlign w:val="center"/>
          </w:tcPr>
          <w:p w14:paraId="4DACE381" w14:textId="2E383D7E" w:rsidR="008124AF" w:rsidRPr="00193B16" w:rsidRDefault="008124AF" w:rsidP="004F7D54">
            <w:pPr>
              <w:pStyle w:val="Bodytext"/>
              <w:jc w:val="right"/>
            </w:pPr>
            <w:r w:rsidRPr="00193B16">
              <w:t>1,246,</w:t>
            </w:r>
            <w:r w:rsidR="004F7D54" w:rsidRPr="00193B16">
              <w:t>5</w:t>
            </w:r>
            <w:r w:rsidR="002A6068" w:rsidRPr="00193B16">
              <w:t>59</w:t>
            </w:r>
          </w:p>
        </w:tc>
        <w:tc>
          <w:tcPr>
            <w:tcW w:w="1728" w:type="dxa"/>
            <w:tcBorders>
              <w:bottom w:val="single" w:sz="18" w:space="0" w:color="auto"/>
            </w:tcBorders>
            <w:vAlign w:val="center"/>
          </w:tcPr>
          <w:p w14:paraId="7CA0B98E" w14:textId="3E9BE1EA" w:rsidR="008124AF" w:rsidRPr="00193B16" w:rsidRDefault="008124AF" w:rsidP="004F7D54">
            <w:pPr>
              <w:pStyle w:val="Bodytext"/>
              <w:jc w:val="right"/>
            </w:pPr>
            <w:r w:rsidRPr="00193B16">
              <w:t>184,</w:t>
            </w:r>
            <w:r w:rsidR="002A6068" w:rsidRPr="00193B16">
              <w:t>702</w:t>
            </w:r>
          </w:p>
        </w:tc>
        <w:tc>
          <w:tcPr>
            <w:tcW w:w="1802" w:type="dxa"/>
            <w:tcBorders>
              <w:bottom w:val="single" w:sz="18" w:space="0" w:color="auto"/>
            </w:tcBorders>
            <w:vAlign w:val="center"/>
          </w:tcPr>
          <w:p w14:paraId="3CFB79CB" w14:textId="3F7D675C" w:rsidR="008124AF" w:rsidRPr="00193B16" w:rsidRDefault="008124AF" w:rsidP="004F7D54">
            <w:pPr>
              <w:pStyle w:val="Bodytext"/>
              <w:jc w:val="right"/>
            </w:pPr>
            <w:r w:rsidRPr="00193B16">
              <w:t>1,431,261</w:t>
            </w:r>
          </w:p>
        </w:tc>
      </w:tr>
    </w:tbl>
    <w:p w14:paraId="3D6C5D53" w14:textId="77777777" w:rsidR="00155586" w:rsidRPr="00CE4641" w:rsidRDefault="00155586" w:rsidP="00EB7E49">
      <w:pPr>
        <w:pStyle w:val="Bodytext"/>
      </w:pPr>
    </w:p>
    <w:p w14:paraId="49F6F6EF" w14:textId="1D2D1BB1" w:rsidR="006049D8" w:rsidRDefault="00215199" w:rsidP="00EB7E49">
      <w:pPr>
        <w:rPr>
          <w:rFonts w:eastAsiaTheme="majorEastAsia" w:cstheme="majorBidi"/>
          <w:b/>
          <w:bCs/>
          <w:caps/>
          <w:sz w:val="30"/>
          <w:szCs w:val="32"/>
        </w:rPr>
      </w:pPr>
      <w:r w:rsidRPr="00811BA1">
        <w:t>The accompanying notes</w:t>
      </w:r>
      <w:r w:rsidR="008934A9">
        <w:t xml:space="preserve"> </w:t>
      </w:r>
      <w:r w:rsidRPr="00811BA1">
        <w:t>form an integral part of the Company’s Financial Statements.</w:t>
      </w:r>
    </w:p>
    <w:p w14:paraId="4891C0C4" w14:textId="5DB37E09" w:rsidR="006300F7" w:rsidRPr="00811BA1" w:rsidRDefault="006300F7" w:rsidP="00EB7E49">
      <w:pPr>
        <w:pStyle w:val="Heading1"/>
      </w:pPr>
      <w:r w:rsidRPr="00811BA1">
        <w:t>Statement of Cash Flows</w:t>
      </w:r>
    </w:p>
    <w:p w14:paraId="1A9CF7D9" w14:textId="251966F0" w:rsidR="006300F7" w:rsidRPr="00811BA1" w:rsidRDefault="006300F7" w:rsidP="00EB7E49">
      <w:pPr>
        <w:pStyle w:val="Bodytext"/>
      </w:pPr>
      <w:r w:rsidRPr="00811BA1">
        <w:t xml:space="preserve">For the year ended </w:t>
      </w:r>
      <w:r w:rsidR="00610498">
        <w:t>31 December 201</w:t>
      </w:r>
      <w:r w:rsidR="003B6A80">
        <w:t>9</w:t>
      </w:r>
    </w:p>
    <w:p w14:paraId="12DCEEBD" w14:textId="77777777" w:rsidR="006300F7" w:rsidRPr="00811BA1" w:rsidRDefault="006300F7" w:rsidP="00EB7E49">
      <w:pPr>
        <w:pStyle w:val="Bodytext"/>
      </w:pPr>
    </w:p>
    <w:tbl>
      <w:tblPr>
        <w:tblStyle w:val="TableGrid"/>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49"/>
        <w:gridCol w:w="1701"/>
        <w:gridCol w:w="1701"/>
        <w:gridCol w:w="1701"/>
      </w:tblGrid>
      <w:tr w:rsidR="00AE2D96" w:rsidRPr="00811BA1" w14:paraId="05740060" w14:textId="77777777" w:rsidTr="00AE2D96">
        <w:trPr>
          <w:trHeight w:val="1173"/>
        </w:trPr>
        <w:tc>
          <w:tcPr>
            <w:tcW w:w="4649" w:type="dxa"/>
            <w:tcBorders>
              <w:bottom w:val="single" w:sz="4" w:space="0" w:color="auto"/>
            </w:tcBorders>
            <w:vAlign w:val="center"/>
          </w:tcPr>
          <w:p w14:paraId="40BF9743" w14:textId="77777777" w:rsidR="00AE2D96" w:rsidRPr="00811BA1" w:rsidRDefault="00AE2D96" w:rsidP="00EB7E49">
            <w:pPr>
              <w:pStyle w:val="Bodytext"/>
            </w:pPr>
          </w:p>
        </w:tc>
        <w:tc>
          <w:tcPr>
            <w:tcW w:w="1701" w:type="dxa"/>
            <w:tcBorders>
              <w:bottom w:val="single" w:sz="4" w:space="0" w:color="auto"/>
            </w:tcBorders>
            <w:vAlign w:val="bottom"/>
          </w:tcPr>
          <w:p w14:paraId="111AAD93" w14:textId="77777777" w:rsidR="00AE2D96" w:rsidRPr="00811BA1" w:rsidRDefault="00AE2D96" w:rsidP="00EB7E49">
            <w:pPr>
              <w:pStyle w:val="Bodytext"/>
              <w:jc w:val="right"/>
              <w:rPr>
                <w:i/>
                <w:sz w:val="18"/>
              </w:rPr>
            </w:pPr>
            <w:r w:rsidRPr="00811BA1">
              <w:rPr>
                <w:i/>
                <w:sz w:val="18"/>
              </w:rPr>
              <w:t>Notes</w:t>
            </w:r>
          </w:p>
        </w:tc>
        <w:tc>
          <w:tcPr>
            <w:tcW w:w="1701" w:type="dxa"/>
            <w:tcBorders>
              <w:bottom w:val="single" w:sz="4" w:space="0" w:color="auto"/>
            </w:tcBorders>
            <w:vAlign w:val="bottom"/>
          </w:tcPr>
          <w:p w14:paraId="478197C6" w14:textId="3CF4C8E2" w:rsidR="00AE2D96" w:rsidRPr="00811BA1" w:rsidRDefault="00AE2D96" w:rsidP="00EB7E49">
            <w:pPr>
              <w:pStyle w:val="Bodytext"/>
              <w:jc w:val="right"/>
              <w:rPr>
                <w:b/>
              </w:rPr>
            </w:pPr>
            <w:r w:rsidRPr="00811BA1">
              <w:rPr>
                <w:b/>
              </w:rPr>
              <w:t>1 January</w:t>
            </w:r>
          </w:p>
          <w:p w14:paraId="51A869AF" w14:textId="5A8ED2E3" w:rsidR="00AE2D96" w:rsidRPr="00811BA1" w:rsidRDefault="00AE2D96" w:rsidP="00EB7E49">
            <w:pPr>
              <w:pStyle w:val="Bodytext"/>
              <w:jc w:val="right"/>
              <w:rPr>
                <w:b/>
              </w:rPr>
            </w:pPr>
            <w:r w:rsidRPr="00811BA1">
              <w:rPr>
                <w:b/>
              </w:rPr>
              <w:t>201</w:t>
            </w:r>
            <w:r w:rsidR="003B6A80">
              <w:rPr>
                <w:b/>
              </w:rPr>
              <w:t>9</w:t>
            </w:r>
            <w:r w:rsidRPr="00811BA1">
              <w:rPr>
                <w:b/>
              </w:rPr>
              <w:t xml:space="preserve"> to</w:t>
            </w:r>
          </w:p>
          <w:p w14:paraId="44EB47D9" w14:textId="77777777" w:rsidR="00AE2D96" w:rsidRPr="00811BA1" w:rsidRDefault="00AE2D96" w:rsidP="00EB7E49">
            <w:pPr>
              <w:pStyle w:val="Bodytext"/>
              <w:jc w:val="right"/>
              <w:rPr>
                <w:b/>
              </w:rPr>
            </w:pPr>
            <w:r w:rsidRPr="00811BA1">
              <w:rPr>
                <w:b/>
              </w:rPr>
              <w:t>31 December</w:t>
            </w:r>
          </w:p>
          <w:p w14:paraId="1130318B" w14:textId="343D362B" w:rsidR="00AE2D96" w:rsidRPr="00811BA1" w:rsidRDefault="00AE2D96" w:rsidP="00EB7E49">
            <w:pPr>
              <w:pStyle w:val="Bodytext"/>
              <w:jc w:val="right"/>
              <w:rPr>
                <w:b/>
              </w:rPr>
            </w:pPr>
            <w:r w:rsidRPr="00811BA1">
              <w:rPr>
                <w:b/>
              </w:rPr>
              <w:t>201</w:t>
            </w:r>
            <w:r w:rsidR="003B6A80">
              <w:rPr>
                <w:b/>
              </w:rPr>
              <w:t>9</w:t>
            </w:r>
          </w:p>
          <w:p w14:paraId="00E94F95" w14:textId="77777777" w:rsidR="00AE2D96" w:rsidRPr="00811BA1" w:rsidRDefault="00AE2D96" w:rsidP="00EB7E49">
            <w:pPr>
              <w:pStyle w:val="Bodytext"/>
              <w:jc w:val="right"/>
              <w:rPr>
                <w:b/>
              </w:rPr>
            </w:pPr>
            <w:r w:rsidRPr="00811BA1">
              <w:rPr>
                <w:b/>
              </w:rPr>
              <w:t>$’000</w:t>
            </w:r>
          </w:p>
        </w:tc>
        <w:tc>
          <w:tcPr>
            <w:tcW w:w="1701" w:type="dxa"/>
            <w:tcBorders>
              <w:bottom w:val="single" w:sz="4" w:space="0" w:color="auto"/>
            </w:tcBorders>
            <w:vAlign w:val="bottom"/>
          </w:tcPr>
          <w:p w14:paraId="73632AD2" w14:textId="77777777" w:rsidR="00AE2D96" w:rsidRPr="00AE2D96" w:rsidRDefault="00AE2D96" w:rsidP="00AE2D96">
            <w:pPr>
              <w:pStyle w:val="Bodytext"/>
              <w:jc w:val="right"/>
            </w:pPr>
            <w:r w:rsidRPr="00AE2D96">
              <w:t>1 January</w:t>
            </w:r>
          </w:p>
          <w:p w14:paraId="3E6EBCF2" w14:textId="2B53D216" w:rsidR="00AE2D96" w:rsidRPr="00AE2D96" w:rsidRDefault="00AE2D96" w:rsidP="00AE2D96">
            <w:pPr>
              <w:pStyle w:val="Bodytext"/>
              <w:jc w:val="right"/>
            </w:pPr>
            <w:r w:rsidRPr="00AE2D96">
              <w:t>201</w:t>
            </w:r>
            <w:r w:rsidR="003B6A80">
              <w:t>8</w:t>
            </w:r>
            <w:r w:rsidRPr="00AE2D96">
              <w:t xml:space="preserve"> to</w:t>
            </w:r>
          </w:p>
          <w:p w14:paraId="39536928" w14:textId="77777777" w:rsidR="00AE2D96" w:rsidRPr="00AE2D96" w:rsidRDefault="00AE2D96" w:rsidP="00AE2D96">
            <w:pPr>
              <w:pStyle w:val="Bodytext"/>
              <w:jc w:val="right"/>
            </w:pPr>
            <w:r w:rsidRPr="00AE2D96">
              <w:t>31 December</w:t>
            </w:r>
          </w:p>
          <w:p w14:paraId="4FF5E3D2" w14:textId="49AF4DE3" w:rsidR="00AE2D96" w:rsidRPr="00AE2D96" w:rsidRDefault="00AE2D96" w:rsidP="00AE2D96">
            <w:pPr>
              <w:pStyle w:val="Bodytext"/>
              <w:jc w:val="right"/>
            </w:pPr>
            <w:r w:rsidRPr="00AE2D96">
              <w:t>201</w:t>
            </w:r>
            <w:r w:rsidR="003B6A80">
              <w:t>8</w:t>
            </w:r>
          </w:p>
          <w:p w14:paraId="3C312238" w14:textId="2731C349" w:rsidR="00AE2D96" w:rsidRPr="00AE2D96" w:rsidRDefault="00AE2D96" w:rsidP="00EB7E49">
            <w:pPr>
              <w:pStyle w:val="Bodytext"/>
              <w:jc w:val="right"/>
            </w:pPr>
            <w:r w:rsidRPr="00AE2D96">
              <w:t>$’000</w:t>
            </w:r>
          </w:p>
        </w:tc>
      </w:tr>
      <w:tr w:rsidR="00AE2D96" w:rsidRPr="005A1972" w14:paraId="5E5711B1" w14:textId="77777777" w:rsidTr="00AE2D96">
        <w:tc>
          <w:tcPr>
            <w:tcW w:w="4649" w:type="dxa"/>
            <w:tcBorders>
              <w:top w:val="single" w:sz="4" w:space="0" w:color="auto"/>
            </w:tcBorders>
            <w:vAlign w:val="center"/>
          </w:tcPr>
          <w:p w14:paraId="4E3F1C58" w14:textId="6603F2A4" w:rsidR="00AE2D96" w:rsidRPr="00811BA1" w:rsidRDefault="00AE2D96" w:rsidP="00B42896">
            <w:pPr>
              <w:pStyle w:val="Bodytext"/>
              <w:rPr>
                <w:b/>
              </w:rPr>
            </w:pPr>
            <w:r w:rsidRPr="00811BA1">
              <w:rPr>
                <w:b/>
              </w:rPr>
              <w:t>Cash flow</w:t>
            </w:r>
            <w:r w:rsidR="00930676">
              <w:rPr>
                <w:b/>
              </w:rPr>
              <w:t xml:space="preserve"> used in</w:t>
            </w:r>
            <w:r w:rsidRPr="00811BA1">
              <w:rPr>
                <w:b/>
              </w:rPr>
              <w:t xml:space="preserve"> operating activities</w:t>
            </w:r>
          </w:p>
        </w:tc>
        <w:tc>
          <w:tcPr>
            <w:tcW w:w="1701" w:type="dxa"/>
            <w:tcBorders>
              <w:top w:val="single" w:sz="4" w:space="0" w:color="auto"/>
            </w:tcBorders>
            <w:vAlign w:val="center"/>
          </w:tcPr>
          <w:p w14:paraId="662F4205" w14:textId="77777777" w:rsidR="00AE2D96" w:rsidRPr="00811BA1" w:rsidRDefault="00AE2D96" w:rsidP="00EB7E49">
            <w:pPr>
              <w:pStyle w:val="Bodytext"/>
              <w:jc w:val="right"/>
              <w:rPr>
                <w:i/>
                <w:sz w:val="18"/>
              </w:rPr>
            </w:pPr>
          </w:p>
        </w:tc>
        <w:tc>
          <w:tcPr>
            <w:tcW w:w="1701" w:type="dxa"/>
            <w:tcBorders>
              <w:top w:val="single" w:sz="4" w:space="0" w:color="auto"/>
            </w:tcBorders>
            <w:vAlign w:val="center"/>
          </w:tcPr>
          <w:p w14:paraId="3E04A2CB" w14:textId="77777777" w:rsidR="00AE2D96" w:rsidRPr="003278F7" w:rsidRDefault="00AE2D96" w:rsidP="00EB7E49">
            <w:pPr>
              <w:pStyle w:val="Bodytext"/>
              <w:jc w:val="right"/>
              <w:rPr>
                <w:b/>
              </w:rPr>
            </w:pPr>
          </w:p>
        </w:tc>
        <w:tc>
          <w:tcPr>
            <w:tcW w:w="1701" w:type="dxa"/>
            <w:tcBorders>
              <w:top w:val="single" w:sz="4" w:space="0" w:color="auto"/>
            </w:tcBorders>
            <w:vAlign w:val="center"/>
          </w:tcPr>
          <w:p w14:paraId="7D76CE38" w14:textId="77777777" w:rsidR="00AE2D96" w:rsidRPr="00AE2D96" w:rsidRDefault="00AE2D96" w:rsidP="00EB7E49">
            <w:pPr>
              <w:pStyle w:val="Bodytext"/>
              <w:jc w:val="right"/>
            </w:pPr>
          </w:p>
        </w:tc>
      </w:tr>
      <w:tr w:rsidR="003B6A80" w:rsidRPr="005A1972" w14:paraId="503F94A7" w14:textId="77777777" w:rsidTr="003B6A80">
        <w:tc>
          <w:tcPr>
            <w:tcW w:w="4649" w:type="dxa"/>
            <w:tcBorders>
              <w:bottom w:val="single" w:sz="4" w:space="0" w:color="auto"/>
            </w:tcBorders>
            <w:vAlign w:val="center"/>
          </w:tcPr>
          <w:p w14:paraId="4D4EA6D7" w14:textId="0A9AD792" w:rsidR="003B6A80" w:rsidRPr="00811BA1" w:rsidRDefault="003B6A80" w:rsidP="003B6A80">
            <w:pPr>
              <w:pStyle w:val="Bodytext"/>
            </w:pPr>
            <w:r w:rsidRPr="00811BA1">
              <w:t xml:space="preserve">Operating </w:t>
            </w:r>
            <w:r>
              <w:t>loss</w:t>
            </w:r>
            <w:r w:rsidR="007F0E8A">
              <w:t xml:space="preserve"> </w:t>
            </w:r>
            <w:r w:rsidRPr="00811BA1">
              <w:t>for the financial year</w:t>
            </w:r>
          </w:p>
        </w:tc>
        <w:tc>
          <w:tcPr>
            <w:tcW w:w="1701" w:type="dxa"/>
            <w:tcBorders>
              <w:bottom w:val="single" w:sz="4" w:space="0" w:color="auto"/>
            </w:tcBorders>
            <w:vAlign w:val="center"/>
          </w:tcPr>
          <w:p w14:paraId="5D636364" w14:textId="77777777" w:rsidR="003B6A80" w:rsidRPr="00811BA1" w:rsidRDefault="003B6A80" w:rsidP="003B6A80">
            <w:pPr>
              <w:pStyle w:val="Bodytext"/>
              <w:jc w:val="right"/>
              <w:rPr>
                <w:i/>
                <w:sz w:val="18"/>
              </w:rPr>
            </w:pPr>
          </w:p>
        </w:tc>
        <w:tc>
          <w:tcPr>
            <w:tcW w:w="1701" w:type="dxa"/>
            <w:tcBorders>
              <w:bottom w:val="single" w:sz="4" w:space="0" w:color="auto"/>
            </w:tcBorders>
            <w:vAlign w:val="center"/>
          </w:tcPr>
          <w:p w14:paraId="48E8D2A3" w14:textId="5471D5E2" w:rsidR="003B6A80" w:rsidRPr="00331349" w:rsidRDefault="007F0E8A" w:rsidP="00296175">
            <w:pPr>
              <w:pStyle w:val="Bodytext"/>
              <w:jc w:val="right"/>
              <w:rPr>
                <w:b/>
                <w:bCs/>
              </w:rPr>
            </w:pPr>
            <w:r w:rsidRPr="007F0E8A">
              <w:rPr>
                <w:b/>
                <w:bCs/>
              </w:rPr>
              <w:t>(6</w:t>
            </w:r>
            <w:r w:rsidR="00296175">
              <w:rPr>
                <w:b/>
                <w:bCs/>
              </w:rPr>
              <w:t>59</w:t>
            </w:r>
            <w:r w:rsidRPr="007F0E8A">
              <w:rPr>
                <w:b/>
                <w:bCs/>
              </w:rPr>
              <w:t>,</w:t>
            </w:r>
            <w:r w:rsidR="0050627A">
              <w:rPr>
                <w:b/>
                <w:bCs/>
              </w:rPr>
              <w:t>594</w:t>
            </w:r>
            <w:r w:rsidRPr="007F0E8A">
              <w:rPr>
                <w:b/>
                <w:bCs/>
              </w:rPr>
              <w:t>)</w:t>
            </w:r>
          </w:p>
        </w:tc>
        <w:tc>
          <w:tcPr>
            <w:tcW w:w="1701" w:type="dxa"/>
            <w:tcBorders>
              <w:bottom w:val="single" w:sz="4" w:space="0" w:color="auto"/>
            </w:tcBorders>
          </w:tcPr>
          <w:p w14:paraId="09FA3494" w14:textId="2C753BA5" w:rsidR="003B6A80" w:rsidRPr="003C54FD" w:rsidRDefault="003B6A80" w:rsidP="003B6A80">
            <w:pPr>
              <w:pStyle w:val="Bodytext"/>
              <w:jc w:val="right"/>
            </w:pPr>
            <w:r w:rsidRPr="00762570">
              <w:t>(240,146)</w:t>
            </w:r>
          </w:p>
        </w:tc>
      </w:tr>
      <w:tr w:rsidR="003B6A80" w:rsidRPr="005A1972" w14:paraId="0C547632" w14:textId="77777777" w:rsidTr="003B6A80">
        <w:tc>
          <w:tcPr>
            <w:tcW w:w="4649" w:type="dxa"/>
            <w:tcBorders>
              <w:top w:val="single" w:sz="4" w:space="0" w:color="auto"/>
            </w:tcBorders>
            <w:vAlign w:val="center"/>
          </w:tcPr>
          <w:p w14:paraId="3236B43E" w14:textId="77777777" w:rsidR="003B6A80" w:rsidRPr="00811BA1" w:rsidRDefault="003B6A80" w:rsidP="003B6A80">
            <w:pPr>
              <w:pStyle w:val="Bodytext"/>
            </w:pPr>
            <w:r w:rsidRPr="00811BA1">
              <w:t>Adjustments for:</w:t>
            </w:r>
          </w:p>
        </w:tc>
        <w:tc>
          <w:tcPr>
            <w:tcW w:w="1701" w:type="dxa"/>
            <w:tcBorders>
              <w:top w:val="single" w:sz="4" w:space="0" w:color="auto"/>
            </w:tcBorders>
            <w:vAlign w:val="center"/>
          </w:tcPr>
          <w:p w14:paraId="77AD85BD" w14:textId="77777777" w:rsidR="003B6A80" w:rsidRPr="00811BA1" w:rsidRDefault="003B6A80" w:rsidP="003B6A80">
            <w:pPr>
              <w:pStyle w:val="Bodytext"/>
              <w:jc w:val="right"/>
              <w:rPr>
                <w:i/>
                <w:sz w:val="18"/>
              </w:rPr>
            </w:pPr>
          </w:p>
        </w:tc>
        <w:tc>
          <w:tcPr>
            <w:tcW w:w="1701" w:type="dxa"/>
            <w:tcBorders>
              <w:top w:val="single" w:sz="4" w:space="0" w:color="auto"/>
            </w:tcBorders>
            <w:vAlign w:val="center"/>
          </w:tcPr>
          <w:p w14:paraId="56F08DFB" w14:textId="6B25E431" w:rsidR="003B6A80" w:rsidRPr="00331349" w:rsidRDefault="003B6A80" w:rsidP="003B6A80">
            <w:pPr>
              <w:pStyle w:val="Bodytext"/>
              <w:jc w:val="right"/>
              <w:rPr>
                <w:b/>
                <w:bCs/>
              </w:rPr>
            </w:pPr>
          </w:p>
        </w:tc>
        <w:tc>
          <w:tcPr>
            <w:tcW w:w="1701" w:type="dxa"/>
            <w:tcBorders>
              <w:top w:val="single" w:sz="4" w:space="0" w:color="auto"/>
            </w:tcBorders>
          </w:tcPr>
          <w:p w14:paraId="7C5DDFF2" w14:textId="287DE6E9" w:rsidR="003B6A80" w:rsidRPr="003C54FD" w:rsidRDefault="003B6A80" w:rsidP="003B6A80">
            <w:pPr>
              <w:pStyle w:val="Bodytext"/>
              <w:jc w:val="right"/>
            </w:pPr>
          </w:p>
        </w:tc>
      </w:tr>
      <w:tr w:rsidR="003B6A80" w:rsidRPr="005A1972" w14:paraId="0A7C2A40" w14:textId="77777777" w:rsidTr="003B6A80">
        <w:tc>
          <w:tcPr>
            <w:tcW w:w="4649" w:type="dxa"/>
            <w:vAlign w:val="center"/>
          </w:tcPr>
          <w:p w14:paraId="545D6139" w14:textId="586D96B1" w:rsidR="003B6A80" w:rsidRPr="00811BA1" w:rsidRDefault="003B6A80" w:rsidP="003B6A80">
            <w:pPr>
              <w:pStyle w:val="Bodytext"/>
            </w:pPr>
            <w:r>
              <w:t>Net finance income</w:t>
            </w:r>
          </w:p>
        </w:tc>
        <w:tc>
          <w:tcPr>
            <w:tcW w:w="1701" w:type="dxa"/>
            <w:vAlign w:val="center"/>
          </w:tcPr>
          <w:p w14:paraId="1D67AA04" w14:textId="77777777" w:rsidR="003B6A80" w:rsidRPr="00811BA1" w:rsidRDefault="003B6A80" w:rsidP="003B6A80">
            <w:pPr>
              <w:pStyle w:val="Bodytext"/>
              <w:jc w:val="right"/>
              <w:rPr>
                <w:i/>
                <w:sz w:val="18"/>
              </w:rPr>
            </w:pPr>
          </w:p>
        </w:tc>
        <w:tc>
          <w:tcPr>
            <w:tcW w:w="1701" w:type="dxa"/>
            <w:vAlign w:val="center"/>
          </w:tcPr>
          <w:p w14:paraId="2CF21AEB" w14:textId="66CCB926" w:rsidR="003B6A80" w:rsidRPr="00331349" w:rsidRDefault="007F0E8A" w:rsidP="003B6A80">
            <w:pPr>
              <w:pStyle w:val="Bodytext"/>
              <w:jc w:val="right"/>
              <w:rPr>
                <w:b/>
                <w:bCs/>
              </w:rPr>
            </w:pPr>
            <w:r w:rsidRPr="007F0E8A">
              <w:rPr>
                <w:b/>
                <w:bCs/>
              </w:rPr>
              <w:t>36</w:t>
            </w:r>
          </w:p>
        </w:tc>
        <w:tc>
          <w:tcPr>
            <w:tcW w:w="1701" w:type="dxa"/>
          </w:tcPr>
          <w:p w14:paraId="5EFF7D70" w14:textId="65B88494" w:rsidR="003B6A80" w:rsidRPr="003C54FD" w:rsidRDefault="003B6A80" w:rsidP="003B6A80">
            <w:pPr>
              <w:pStyle w:val="Bodytext"/>
              <w:jc w:val="right"/>
              <w:rPr>
                <w:bCs/>
              </w:rPr>
            </w:pPr>
            <w:r w:rsidRPr="00762570">
              <w:t>14</w:t>
            </w:r>
          </w:p>
        </w:tc>
      </w:tr>
      <w:tr w:rsidR="003B6A80" w:rsidRPr="005A1972" w14:paraId="3B434FF7" w14:textId="77777777" w:rsidTr="003B6A80">
        <w:tc>
          <w:tcPr>
            <w:tcW w:w="4649" w:type="dxa"/>
            <w:vAlign w:val="center"/>
          </w:tcPr>
          <w:p w14:paraId="650524A9" w14:textId="77777777" w:rsidR="003B6A80" w:rsidRPr="00811BA1" w:rsidRDefault="003B6A80" w:rsidP="003B6A80">
            <w:pPr>
              <w:pStyle w:val="Bodytext"/>
            </w:pPr>
            <w:r w:rsidRPr="00811BA1">
              <w:t>Change in fair value of investment at fair value through profit or loss</w:t>
            </w:r>
          </w:p>
        </w:tc>
        <w:tc>
          <w:tcPr>
            <w:tcW w:w="1701" w:type="dxa"/>
            <w:vAlign w:val="center"/>
          </w:tcPr>
          <w:p w14:paraId="115C467B" w14:textId="4A544BD2" w:rsidR="003B6A80" w:rsidRPr="00811BA1" w:rsidRDefault="003B6A80" w:rsidP="003B6A80">
            <w:pPr>
              <w:pStyle w:val="Bodytext"/>
              <w:jc w:val="right"/>
              <w:rPr>
                <w:i/>
                <w:sz w:val="18"/>
              </w:rPr>
            </w:pPr>
            <w:r w:rsidRPr="00811BA1">
              <w:rPr>
                <w:i/>
                <w:sz w:val="18"/>
              </w:rPr>
              <w:t>6</w:t>
            </w:r>
          </w:p>
        </w:tc>
        <w:tc>
          <w:tcPr>
            <w:tcW w:w="1701" w:type="dxa"/>
            <w:vAlign w:val="center"/>
          </w:tcPr>
          <w:p w14:paraId="1C08A36B" w14:textId="61FC25F9" w:rsidR="003B6A80" w:rsidRPr="00331349" w:rsidRDefault="00B229FD" w:rsidP="003B6A80">
            <w:pPr>
              <w:pStyle w:val="Bodytext"/>
              <w:jc w:val="right"/>
              <w:rPr>
                <w:b/>
                <w:bCs/>
              </w:rPr>
            </w:pPr>
            <w:r w:rsidRPr="00B229FD">
              <w:rPr>
                <w:b/>
                <w:bCs/>
              </w:rPr>
              <w:t>654,1</w:t>
            </w:r>
            <w:r w:rsidR="00680615">
              <w:rPr>
                <w:b/>
                <w:bCs/>
              </w:rPr>
              <w:t>63</w:t>
            </w:r>
          </w:p>
        </w:tc>
        <w:tc>
          <w:tcPr>
            <w:tcW w:w="1701" w:type="dxa"/>
          </w:tcPr>
          <w:p w14:paraId="35F731F8" w14:textId="3D9A222D" w:rsidR="003B6A80" w:rsidRPr="003C54FD" w:rsidRDefault="003B6A80" w:rsidP="003B6A80">
            <w:pPr>
              <w:pStyle w:val="Bodytext"/>
              <w:jc w:val="right"/>
            </w:pPr>
            <w:r w:rsidRPr="00762570">
              <w:t>236,408</w:t>
            </w:r>
          </w:p>
        </w:tc>
      </w:tr>
      <w:tr w:rsidR="003B6A80" w:rsidRPr="005A1972" w14:paraId="40081DBA" w14:textId="77777777" w:rsidTr="003B6A80">
        <w:tc>
          <w:tcPr>
            <w:tcW w:w="4649" w:type="dxa"/>
            <w:vAlign w:val="center"/>
          </w:tcPr>
          <w:p w14:paraId="5393B853" w14:textId="77777777" w:rsidR="003B6A80" w:rsidRPr="00811BA1" w:rsidRDefault="003B6A80" w:rsidP="003B6A80">
            <w:pPr>
              <w:pStyle w:val="Bodytext"/>
            </w:pPr>
            <w:r w:rsidRPr="00811BA1">
              <w:t>Movement in trade receivables</w:t>
            </w:r>
          </w:p>
        </w:tc>
        <w:tc>
          <w:tcPr>
            <w:tcW w:w="1701" w:type="dxa"/>
            <w:vAlign w:val="center"/>
          </w:tcPr>
          <w:p w14:paraId="651336BF" w14:textId="1456746D" w:rsidR="003B6A80" w:rsidRPr="00811BA1" w:rsidRDefault="003B6A80" w:rsidP="003B6A80">
            <w:pPr>
              <w:pStyle w:val="Bodytext"/>
              <w:jc w:val="right"/>
              <w:rPr>
                <w:i/>
                <w:sz w:val="18"/>
              </w:rPr>
            </w:pPr>
          </w:p>
        </w:tc>
        <w:tc>
          <w:tcPr>
            <w:tcW w:w="1701" w:type="dxa"/>
            <w:vAlign w:val="center"/>
          </w:tcPr>
          <w:p w14:paraId="2D281B20" w14:textId="2149AFAE" w:rsidR="003B6A80" w:rsidRPr="00835D77" w:rsidRDefault="007F0E8A" w:rsidP="003B6A80">
            <w:pPr>
              <w:pStyle w:val="Bodytext"/>
              <w:jc w:val="right"/>
              <w:rPr>
                <w:b/>
                <w:bCs/>
              </w:rPr>
            </w:pPr>
            <w:r w:rsidRPr="007F0E8A">
              <w:rPr>
                <w:b/>
                <w:bCs/>
              </w:rPr>
              <w:t>(1</w:t>
            </w:r>
            <w:r w:rsidR="00680615">
              <w:rPr>
                <w:b/>
                <w:bCs/>
              </w:rPr>
              <w:t>4</w:t>
            </w:r>
            <w:r w:rsidRPr="007F0E8A">
              <w:rPr>
                <w:b/>
                <w:bCs/>
              </w:rPr>
              <w:t>)</w:t>
            </w:r>
          </w:p>
        </w:tc>
        <w:tc>
          <w:tcPr>
            <w:tcW w:w="1701" w:type="dxa"/>
          </w:tcPr>
          <w:p w14:paraId="56AB6B83" w14:textId="6239DD97" w:rsidR="003B6A80" w:rsidRPr="003C54FD" w:rsidRDefault="003B6A80" w:rsidP="003B6A80">
            <w:pPr>
              <w:pStyle w:val="Bodytext"/>
              <w:jc w:val="right"/>
            </w:pPr>
            <w:r w:rsidRPr="00762570">
              <w:t>(34)</w:t>
            </w:r>
          </w:p>
        </w:tc>
      </w:tr>
      <w:tr w:rsidR="003B6A80" w:rsidRPr="005A1972" w14:paraId="1A37D268" w14:textId="77777777" w:rsidTr="003B6A80">
        <w:tc>
          <w:tcPr>
            <w:tcW w:w="4649" w:type="dxa"/>
            <w:vAlign w:val="center"/>
          </w:tcPr>
          <w:p w14:paraId="12694A5B" w14:textId="77777777" w:rsidR="003B6A80" w:rsidRPr="00811BA1" w:rsidRDefault="003B6A80" w:rsidP="003B6A80">
            <w:pPr>
              <w:pStyle w:val="Bodytext"/>
            </w:pPr>
            <w:r w:rsidRPr="00811BA1">
              <w:t>Movement in trade payables</w:t>
            </w:r>
          </w:p>
        </w:tc>
        <w:tc>
          <w:tcPr>
            <w:tcW w:w="1701" w:type="dxa"/>
            <w:vAlign w:val="center"/>
          </w:tcPr>
          <w:p w14:paraId="6C563A1B" w14:textId="53BD2C2C" w:rsidR="003B6A80" w:rsidRPr="00811BA1" w:rsidRDefault="003B6A80" w:rsidP="003B6A80">
            <w:pPr>
              <w:pStyle w:val="Bodytext"/>
              <w:jc w:val="right"/>
              <w:rPr>
                <w:i/>
                <w:sz w:val="18"/>
              </w:rPr>
            </w:pPr>
          </w:p>
        </w:tc>
        <w:tc>
          <w:tcPr>
            <w:tcW w:w="1701" w:type="dxa"/>
            <w:vAlign w:val="center"/>
          </w:tcPr>
          <w:p w14:paraId="43000EBA" w14:textId="30D73A7A" w:rsidR="003B6A80" w:rsidRPr="00331349" w:rsidRDefault="00296175" w:rsidP="003B6A80">
            <w:pPr>
              <w:pStyle w:val="Bodytext"/>
              <w:jc w:val="right"/>
              <w:rPr>
                <w:b/>
                <w:bCs/>
              </w:rPr>
            </w:pPr>
            <w:r>
              <w:rPr>
                <w:b/>
                <w:bCs/>
              </w:rPr>
              <w:t>1</w:t>
            </w:r>
            <w:r w:rsidR="00B229FD" w:rsidRPr="00B229FD">
              <w:rPr>
                <w:b/>
                <w:bCs/>
              </w:rPr>
              <w:t>,</w:t>
            </w:r>
            <w:r w:rsidR="0050627A">
              <w:rPr>
                <w:b/>
                <w:bCs/>
              </w:rPr>
              <w:t>399</w:t>
            </w:r>
          </w:p>
        </w:tc>
        <w:tc>
          <w:tcPr>
            <w:tcW w:w="1701" w:type="dxa"/>
          </w:tcPr>
          <w:p w14:paraId="38D5F338" w14:textId="764E0EDE" w:rsidR="003B6A80" w:rsidRPr="003C54FD" w:rsidRDefault="003B6A80" w:rsidP="003B6A80">
            <w:pPr>
              <w:pStyle w:val="Bodytext"/>
              <w:jc w:val="right"/>
            </w:pPr>
            <w:r w:rsidRPr="00762570">
              <w:t>(177)</w:t>
            </w:r>
          </w:p>
        </w:tc>
      </w:tr>
      <w:tr w:rsidR="003B6A80" w:rsidRPr="005A1972" w14:paraId="11706E55" w14:textId="77777777" w:rsidTr="003B6A80">
        <w:tc>
          <w:tcPr>
            <w:tcW w:w="4649" w:type="dxa"/>
            <w:tcBorders>
              <w:top w:val="single" w:sz="4" w:space="0" w:color="auto"/>
              <w:bottom w:val="single" w:sz="4" w:space="0" w:color="auto"/>
            </w:tcBorders>
            <w:vAlign w:val="center"/>
          </w:tcPr>
          <w:p w14:paraId="6850404A" w14:textId="4697323A" w:rsidR="003B6A80" w:rsidRPr="00811BA1" w:rsidRDefault="003B6A80" w:rsidP="003B6A80">
            <w:pPr>
              <w:pStyle w:val="Bodytext"/>
              <w:rPr>
                <w:b/>
              </w:rPr>
            </w:pPr>
            <w:r w:rsidRPr="00811BA1">
              <w:rPr>
                <w:b/>
              </w:rPr>
              <w:t>Net cash used in operating activities</w:t>
            </w:r>
          </w:p>
        </w:tc>
        <w:tc>
          <w:tcPr>
            <w:tcW w:w="1701" w:type="dxa"/>
            <w:tcBorders>
              <w:top w:val="single" w:sz="4" w:space="0" w:color="auto"/>
              <w:bottom w:val="single" w:sz="4" w:space="0" w:color="auto"/>
            </w:tcBorders>
            <w:vAlign w:val="center"/>
          </w:tcPr>
          <w:p w14:paraId="69BF3943" w14:textId="77777777" w:rsidR="003B6A80" w:rsidRPr="00811BA1" w:rsidRDefault="003B6A80" w:rsidP="003B6A80">
            <w:pPr>
              <w:pStyle w:val="Bodytext"/>
              <w:jc w:val="right"/>
              <w:rPr>
                <w:i/>
                <w:sz w:val="18"/>
              </w:rPr>
            </w:pPr>
          </w:p>
        </w:tc>
        <w:tc>
          <w:tcPr>
            <w:tcW w:w="1701" w:type="dxa"/>
            <w:tcBorders>
              <w:top w:val="single" w:sz="4" w:space="0" w:color="auto"/>
              <w:bottom w:val="single" w:sz="4" w:space="0" w:color="auto"/>
            </w:tcBorders>
            <w:vAlign w:val="center"/>
          </w:tcPr>
          <w:p w14:paraId="6804AC22" w14:textId="0EA9DB3E" w:rsidR="003B6A80" w:rsidRPr="00331349" w:rsidRDefault="007F0E8A" w:rsidP="003B6A80">
            <w:pPr>
              <w:pStyle w:val="Bodytext"/>
              <w:jc w:val="right"/>
              <w:rPr>
                <w:b/>
                <w:bCs/>
              </w:rPr>
            </w:pPr>
            <w:r w:rsidRPr="007F0E8A">
              <w:rPr>
                <w:b/>
                <w:bCs/>
              </w:rPr>
              <w:t>(4,01</w:t>
            </w:r>
            <w:r w:rsidR="00296175">
              <w:rPr>
                <w:b/>
                <w:bCs/>
              </w:rPr>
              <w:t>0</w:t>
            </w:r>
            <w:r w:rsidRPr="007F0E8A">
              <w:rPr>
                <w:b/>
                <w:bCs/>
              </w:rPr>
              <w:t>)</w:t>
            </w:r>
          </w:p>
        </w:tc>
        <w:tc>
          <w:tcPr>
            <w:tcW w:w="1701" w:type="dxa"/>
            <w:tcBorders>
              <w:top w:val="single" w:sz="4" w:space="0" w:color="auto"/>
              <w:bottom w:val="single" w:sz="4" w:space="0" w:color="auto"/>
            </w:tcBorders>
          </w:tcPr>
          <w:p w14:paraId="78850336" w14:textId="4C7FC84A" w:rsidR="003B6A80" w:rsidRPr="003C54FD" w:rsidRDefault="003B6A80" w:rsidP="003B6A80">
            <w:pPr>
              <w:pStyle w:val="Bodytext"/>
              <w:jc w:val="right"/>
            </w:pPr>
            <w:r w:rsidRPr="00762570">
              <w:t>(3,935)</w:t>
            </w:r>
          </w:p>
        </w:tc>
      </w:tr>
      <w:tr w:rsidR="003B6A80" w:rsidRPr="005A1972" w14:paraId="7116B598" w14:textId="77777777" w:rsidTr="003B6A80">
        <w:tc>
          <w:tcPr>
            <w:tcW w:w="4649" w:type="dxa"/>
            <w:tcBorders>
              <w:top w:val="single" w:sz="4" w:space="0" w:color="auto"/>
            </w:tcBorders>
            <w:vAlign w:val="center"/>
          </w:tcPr>
          <w:p w14:paraId="21456CCD" w14:textId="77777777" w:rsidR="003B6A80" w:rsidRPr="00811BA1" w:rsidRDefault="003B6A80" w:rsidP="003B6A80">
            <w:pPr>
              <w:pStyle w:val="Bodytext"/>
            </w:pPr>
          </w:p>
        </w:tc>
        <w:tc>
          <w:tcPr>
            <w:tcW w:w="1701" w:type="dxa"/>
            <w:tcBorders>
              <w:top w:val="single" w:sz="4" w:space="0" w:color="auto"/>
            </w:tcBorders>
            <w:vAlign w:val="center"/>
          </w:tcPr>
          <w:p w14:paraId="7F6BB79B" w14:textId="77777777" w:rsidR="003B6A80" w:rsidRPr="00811BA1" w:rsidRDefault="003B6A80" w:rsidP="003B6A80">
            <w:pPr>
              <w:pStyle w:val="Bodytext"/>
              <w:jc w:val="right"/>
              <w:rPr>
                <w:i/>
                <w:sz w:val="18"/>
              </w:rPr>
            </w:pPr>
          </w:p>
        </w:tc>
        <w:tc>
          <w:tcPr>
            <w:tcW w:w="1701" w:type="dxa"/>
            <w:tcBorders>
              <w:top w:val="single" w:sz="4" w:space="0" w:color="auto"/>
            </w:tcBorders>
            <w:vAlign w:val="center"/>
          </w:tcPr>
          <w:p w14:paraId="626FABEB" w14:textId="029F4601" w:rsidR="003B6A80" w:rsidRPr="00331349" w:rsidRDefault="003B6A80" w:rsidP="003B6A80">
            <w:pPr>
              <w:pStyle w:val="Bodytext"/>
              <w:jc w:val="right"/>
              <w:rPr>
                <w:b/>
                <w:bCs/>
              </w:rPr>
            </w:pPr>
          </w:p>
        </w:tc>
        <w:tc>
          <w:tcPr>
            <w:tcW w:w="1701" w:type="dxa"/>
            <w:tcBorders>
              <w:top w:val="single" w:sz="4" w:space="0" w:color="auto"/>
            </w:tcBorders>
          </w:tcPr>
          <w:p w14:paraId="22DDA2DD" w14:textId="5D33A156" w:rsidR="003B6A80" w:rsidRPr="003C54FD" w:rsidRDefault="003B6A80" w:rsidP="003B6A80">
            <w:pPr>
              <w:pStyle w:val="Bodytext"/>
              <w:jc w:val="right"/>
            </w:pPr>
          </w:p>
        </w:tc>
      </w:tr>
      <w:tr w:rsidR="003B6A80" w:rsidRPr="005A1972" w14:paraId="2669C718" w14:textId="77777777" w:rsidTr="003B6A80">
        <w:tc>
          <w:tcPr>
            <w:tcW w:w="4649" w:type="dxa"/>
            <w:vAlign w:val="center"/>
          </w:tcPr>
          <w:p w14:paraId="0F416F40" w14:textId="4409B4E0" w:rsidR="003B6A80" w:rsidRPr="00811BA1" w:rsidRDefault="003B6A80" w:rsidP="003B6A80">
            <w:pPr>
              <w:pStyle w:val="Bodytext"/>
              <w:rPr>
                <w:b/>
              </w:rPr>
            </w:pPr>
            <w:r w:rsidRPr="00811BA1">
              <w:rPr>
                <w:b/>
              </w:rPr>
              <w:t xml:space="preserve">Cash flow </w:t>
            </w:r>
            <w:r>
              <w:rPr>
                <w:b/>
              </w:rPr>
              <w:t xml:space="preserve">generated from </w:t>
            </w:r>
            <w:r w:rsidRPr="00811BA1">
              <w:rPr>
                <w:b/>
              </w:rPr>
              <w:t>investing activities</w:t>
            </w:r>
          </w:p>
        </w:tc>
        <w:tc>
          <w:tcPr>
            <w:tcW w:w="1701" w:type="dxa"/>
            <w:vAlign w:val="center"/>
          </w:tcPr>
          <w:p w14:paraId="5C55946F" w14:textId="77777777" w:rsidR="003B6A80" w:rsidRPr="00811BA1" w:rsidRDefault="003B6A80" w:rsidP="003B6A80">
            <w:pPr>
              <w:pStyle w:val="Bodytext"/>
              <w:jc w:val="right"/>
              <w:rPr>
                <w:i/>
                <w:sz w:val="18"/>
              </w:rPr>
            </w:pPr>
          </w:p>
        </w:tc>
        <w:tc>
          <w:tcPr>
            <w:tcW w:w="1701" w:type="dxa"/>
            <w:vAlign w:val="center"/>
          </w:tcPr>
          <w:p w14:paraId="5A2C4A47" w14:textId="4C3E3D9E" w:rsidR="003B6A80" w:rsidRPr="00331349" w:rsidRDefault="003B6A80" w:rsidP="003B6A80">
            <w:pPr>
              <w:pStyle w:val="Bodytext"/>
              <w:jc w:val="right"/>
              <w:rPr>
                <w:b/>
                <w:bCs/>
              </w:rPr>
            </w:pPr>
          </w:p>
        </w:tc>
        <w:tc>
          <w:tcPr>
            <w:tcW w:w="1701" w:type="dxa"/>
          </w:tcPr>
          <w:p w14:paraId="2A195F7C" w14:textId="3E529707" w:rsidR="003B6A80" w:rsidRPr="003C54FD" w:rsidRDefault="003B6A80" w:rsidP="003B6A80">
            <w:pPr>
              <w:pStyle w:val="Bodytext"/>
              <w:jc w:val="right"/>
            </w:pPr>
          </w:p>
        </w:tc>
      </w:tr>
      <w:tr w:rsidR="003B6A80" w:rsidRPr="005A1972" w14:paraId="441F10C7" w14:textId="77777777" w:rsidTr="003B6A80">
        <w:tc>
          <w:tcPr>
            <w:tcW w:w="4649" w:type="dxa"/>
            <w:vAlign w:val="center"/>
          </w:tcPr>
          <w:p w14:paraId="72947E5C" w14:textId="76D3795B" w:rsidR="003B6A80" w:rsidRPr="00811BA1" w:rsidRDefault="003B6A80" w:rsidP="003B6A80">
            <w:pPr>
              <w:pStyle w:val="Bodytext"/>
            </w:pPr>
            <w:r>
              <w:t>Distribution from the Partnership</w:t>
            </w:r>
          </w:p>
        </w:tc>
        <w:tc>
          <w:tcPr>
            <w:tcW w:w="1701" w:type="dxa"/>
            <w:vAlign w:val="center"/>
          </w:tcPr>
          <w:p w14:paraId="45C08E93" w14:textId="77777777" w:rsidR="003B6A80" w:rsidRPr="00811BA1" w:rsidRDefault="003B6A80" w:rsidP="003B6A80">
            <w:pPr>
              <w:pStyle w:val="Bodytext"/>
              <w:jc w:val="right"/>
              <w:rPr>
                <w:i/>
                <w:sz w:val="18"/>
              </w:rPr>
            </w:pPr>
          </w:p>
        </w:tc>
        <w:tc>
          <w:tcPr>
            <w:tcW w:w="1701" w:type="dxa"/>
            <w:vAlign w:val="center"/>
          </w:tcPr>
          <w:p w14:paraId="072A80B0" w14:textId="327EFE28" w:rsidR="003B6A80" w:rsidRPr="00331349" w:rsidRDefault="007F0E8A" w:rsidP="003B6A80">
            <w:pPr>
              <w:pStyle w:val="Bodytext"/>
              <w:jc w:val="right"/>
              <w:rPr>
                <w:b/>
                <w:bCs/>
              </w:rPr>
            </w:pPr>
            <w:r w:rsidRPr="007F0E8A">
              <w:rPr>
                <w:b/>
                <w:bCs/>
              </w:rPr>
              <w:t>2,100</w:t>
            </w:r>
          </w:p>
        </w:tc>
        <w:tc>
          <w:tcPr>
            <w:tcW w:w="1701" w:type="dxa"/>
          </w:tcPr>
          <w:p w14:paraId="44ACC04F" w14:textId="33C09C8E" w:rsidR="003B6A80" w:rsidRPr="003C54FD" w:rsidRDefault="003B6A80" w:rsidP="003B6A80">
            <w:pPr>
              <w:pStyle w:val="Bodytext"/>
              <w:jc w:val="right"/>
            </w:pPr>
            <w:r w:rsidRPr="00762570">
              <w:t>77,064</w:t>
            </w:r>
          </w:p>
        </w:tc>
      </w:tr>
      <w:tr w:rsidR="003B6A80" w:rsidRPr="005A1972" w14:paraId="101D3BE5" w14:textId="77777777" w:rsidTr="003B6A80">
        <w:tc>
          <w:tcPr>
            <w:tcW w:w="4649" w:type="dxa"/>
            <w:tcBorders>
              <w:top w:val="single" w:sz="4" w:space="0" w:color="auto"/>
              <w:bottom w:val="single" w:sz="4" w:space="0" w:color="auto"/>
            </w:tcBorders>
            <w:vAlign w:val="center"/>
          </w:tcPr>
          <w:p w14:paraId="3799BD8C" w14:textId="65E9E5BD" w:rsidR="003B6A80" w:rsidRPr="00811BA1" w:rsidRDefault="003B6A80" w:rsidP="003B6A80">
            <w:pPr>
              <w:pStyle w:val="Bodytext"/>
              <w:rPr>
                <w:b/>
              </w:rPr>
            </w:pPr>
            <w:r w:rsidRPr="00811BA1">
              <w:rPr>
                <w:b/>
              </w:rPr>
              <w:t xml:space="preserve">Net cash </w:t>
            </w:r>
            <w:r>
              <w:rPr>
                <w:b/>
              </w:rPr>
              <w:t xml:space="preserve">generated from </w:t>
            </w:r>
            <w:r w:rsidRPr="00811BA1">
              <w:rPr>
                <w:b/>
              </w:rPr>
              <w:t>investing activities</w:t>
            </w:r>
          </w:p>
        </w:tc>
        <w:tc>
          <w:tcPr>
            <w:tcW w:w="1701" w:type="dxa"/>
            <w:tcBorders>
              <w:top w:val="single" w:sz="4" w:space="0" w:color="auto"/>
              <w:bottom w:val="single" w:sz="4" w:space="0" w:color="auto"/>
            </w:tcBorders>
            <w:vAlign w:val="center"/>
          </w:tcPr>
          <w:p w14:paraId="20096D5E" w14:textId="77777777" w:rsidR="003B6A80" w:rsidRPr="00811BA1" w:rsidRDefault="003B6A80" w:rsidP="003B6A80">
            <w:pPr>
              <w:pStyle w:val="Bodytext"/>
              <w:jc w:val="right"/>
              <w:rPr>
                <w:i/>
                <w:sz w:val="18"/>
              </w:rPr>
            </w:pPr>
          </w:p>
        </w:tc>
        <w:tc>
          <w:tcPr>
            <w:tcW w:w="1701" w:type="dxa"/>
            <w:tcBorders>
              <w:top w:val="single" w:sz="4" w:space="0" w:color="auto"/>
              <w:bottom w:val="single" w:sz="4" w:space="0" w:color="auto"/>
            </w:tcBorders>
            <w:vAlign w:val="center"/>
          </w:tcPr>
          <w:p w14:paraId="24B569E5" w14:textId="75CBE722" w:rsidR="003B6A80" w:rsidRPr="00331349" w:rsidRDefault="007F0E8A" w:rsidP="003B6A80">
            <w:pPr>
              <w:pStyle w:val="Bodytext"/>
              <w:jc w:val="right"/>
              <w:rPr>
                <w:b/>
                <w:bCs/>
              </w:rPr>
            </w:pPr>
            <w:r w:rsidRPr="007F0E8A">
              <w:rPr>
                <w:b/>
                <w:bCs/>
              </w:rPr>
              <w:t>2,100</w:t>
            </w:r>
          </w:p>
        </w:tc>
        <w:tc>
          <w:tcPr>
            <w:tcW w:w="1701" w:type="dxa"/>
            <w:tcBorders>
              <w:top w:val="single" w:sz="4" w:space="0" w:color="auto"/>
              <w:bottom w:val="single" w:sz="4" w:space="0" w:color="auto"/>
            </w:tcBorders>
          </w:tcPr>
          <w:p w14:paraId="5FE6F969" w14:textId="3FC72C2B" w:rsidR="003B6A80" w:rsidRPr="003C54FD" w:rsidRDefault="003B6A80" w:rsidP="003B6A80">
            <w:pPr>
              <w:pStyle w:val="Bodytext"/>
              <w:jc w:val="right"/>
            </w:pPr>
            <w:r w:rsidRPr="00762570">
              <w:t>77,064</w:t>
            </w:r>
          </w:p>
        </w:tc>
      </w:tr>
      <w:tr w:rsidR="003B6A80" w:rsidRPr="005A1972" w14:paraId="37312A13" w14:textId="77777777" w:rsidTr="003B6A80">
        <w:tc>
          <w:tcPr>
            <w:tcW w:w="4649" w:type="dxa"/>
            <w:tcBorders>
              <w:top w:val="single" w:sz="4" w:space="0" w:color="auto"/>
            </w:tcBorders>
            <w:vAlign w:val="center"/>
          </w:tcPr>
          <w:p w14:paraId="4C8F8C65" w14:textId="77777777" w:rsidR="003B6A80" w:rsidRPr="00811BA1" w:rsidRDefault="003B6A80" w:rsidP="003B6A80">
            <w:pPr>
              <w:pStyle w:val="Bodytext"/>
            </w:pPr>
          </w:p>
        </w:tc>
        <w:tc>
          <w:tcPr>
            <w:tcW w:w="1701" w:type="dxa"/>
            <w:tcBorders>
              <w:top w:val="single" w:sz="4" w:space="0" w:color="auto"/>
            </w:tcBorders>
            <w:vAlign w:val="center"/>
          </w:tcPr>
          <w:p w14:paraId="3A09CE1E" w14:textId="77777777" w:rsidR="003B6A80" w:rsidRPr="00811BA1" w:rsidRDefault="003B6A80" w:rsidP="003B6A80">
            <w:pPr>
              <w:pStyle w:val="Bodytext"/>
              <w:jc w:val="right"/>
              <w:rPr>
                <w:i/>
                <w:sz w:val="18"/>
              </w:rPr>
            </w:pPr>
          </w:p>
        </w:tc>
        <w:tc>
          <w:tcPr>
            <w:tcW w:w="1701" w:type="dxa"/>
            <w:tcBorders>
              <w:top w:val="single" w:sz="4" w:space="0" w:color="auto"/>
            </w:tcBorders>
            <w:vAlign w:val="center"/>
          </w:tcPr>
          <w:p w14:paraId="25351D0E" w14:textId="1F93125B" w:rsidR="003B6A80" w:rsidRPr="00331349" w:rsidRDefault="003B6A80" w:rsidP="003B6A80">
            <w:pPr>
              <w:pStyle w:val="Bodytext"/>
              <w:jc w:val="right"/>
              <w:rPr>
                <w:b/>
                <w:bCs/>
              </w:rPr>
            </w:pPr>
          </w:p>
        </w:tc>
        <w:tc>
          <w:tcPr>
            <w:tcW w:w="1701" w:type="dxa"/>
            <w:tcBorders>
              <w:top w:val="single" w:sz="4" w:space="0" w:color="auto"/>
            </w:tcBorders>
          </w:tcPr>
          <w:p w14:paraId="4C657145" w14:textId="56F642AA" w:rsidR="003B6A80" w:rsidRPr="003C54FD" w:rsidRDefault="003B6A80" w:rsidP="003B6A80">
            <w:pPr>
              <w:pStyle w:val="Bodytext"/>
              <w:jc w:val="right"/>
            </w:pPr>
          </w:p>
        </w:tc>
      </w:tr>
      <w:tr w:rsidR="003B6A80" w:rsidRPr="005A1972" w14:paraId="3A61DB15" w14:textId="77777777" w:rsidTr="003B6A80">
        <w:tc>
          <w:tcPr>
            <w:tcW w:w="4649" w:type="dxa"/>
            <w:vAlign w:val="center"/>
          </w:tcPr>
          <w:p w14:paraId="7427DD70" w14:textId="166A2D0D" w:rsidR="003B6A80" w:rsidRPr="00811BA1" w:rsidRDefault="003B6A80" w:rsidP="003B6A80">
            <w:pPr>
              <w:pStyle w:val="Bodytext"/>
              <w:rPr>
                <w:b/>
              </w:rPr>
            </w:pPr>
            <w:r w:rsidRPr="00811BA1">
              <w:rPr>
                <w:b/>
              </w:rPr>
              <w:t xml:space="preserve">Cash flow </w:t>
            </w:r>
            <w:r>
              <w:rPr>
                <w:b/>
              </w:rPr>
              <w:t>used in</w:t>
            </w:r>
            <w:r w:rsidRPr="00811BA1">
              <w:rPr>
                <w:b/>
              </w:rPr>
              <w:t xml:space="preserve"> financing activities</w:t>
            </w:r>
          </w:p>
        </w:tc>
        <w:tc>
          <w:tcPr>
            <w:tcW w:w="1701" w:type="dxa"/>
            <w:vAlign w:val="center"/>
          </w:tcPr>
          <w:p w14:paraId="38670261" w14:textId="77777777" w:rsidR="003B6A80" w:rsidRPr="00811BA1" w:rsidRDefault="003B6A80" w:rsidP="003B6A80">
            <w:pPr>
              <w:pStyle w:val="Bodytext"/>
              <w:jc w:val="right"/>
              <w:rPr>
                <w:i/>
                <w:sz w:val="18"/>
              </w:rPr>
            </w:pPr>
          </w:p>
        </w:tc>
        <w:tc>
          <w:tcPr>
            <w:tcW w:w="1701" w:type="dxa"/>
            <w:vAlign w:val="center"/>
          </w:tcPr>
          <w:p w14:paraId="62D32445" w14:textId="0BE5CBC4" w:rsidR="003B6A80" w:rsidRPr="00331349" w:rsidRDefault="003B6A80" w:rsidP="003B6A80">
            <w:pPr>
              <w:pStyle w:val="Bodytext"/>
              <w:jc w:val="right"/>
              <w:rPr>
                <w:b/>
                <w:bCs/>
              </w:rPr>
            </w:pPr>
          </w:p>
        </w:tc>
        <w:tc>
          <w:tcPr>
            <w:tcW w:w="1701" w:type="dxa"/>
          </w:tcPr>
          <w:p w14:paraId="1313BBDA" w14:textId="084A2E36" w:rsidR="003B6A80" w:rsidRPr="003C54FD" w:rsidRDefault="003B6A80" w:rsidP="003B6A80">
            <w:pPr>
              <w:pStyle w:val="Bodytext"/>
              <w:jc w:val="right"/>
            </w:pPr>
          </w:p>
        </w:tc>
      </w:tr>
      <w:tr w:rsidR="003B6A80" w:rsidRPr="005A1972" w14:paraId="5F871892" w14:textId="77777777" w:rsidTr="003B6A80">
        <w:tc>
          <w:tcPr>
            <w:tcW w:w="4649" w:type="dxa"/>
            <w:tcBorders>
              <w:bottom w:val="single" w:sz="4" w:space="0" w:color="auto"/>
            </w:tcBorders>
            <w:vAlign w:val="center"/>
          </w:tcPr>
          <w:p w14:paraId="60231A98" w14:textId="44EBAF9C" w:rsidR="003B6A80" w:rsidRPr="00811BA1" w:rsidRDefault="003B6A80" w:rsidP="003B6A80">
            <w:pPr>
              <w:pStyle w:val="Bodytext"/>
            </w:pPr>
            <w:r>
              <w:t>Buyback of shares</w:t>
            </w:r>
          </w:p>
        </w:tc>
        <w:tc>
          <w:tcPr>
            <w:tcW w:w="1701" w:type="dxa"/>
            <w:tcBorders>
              <w:bottom w:val="single" w:sz="4" w:space="0" w:color="auto"/>
            </w:tcBorders>
            <w:vAlign w:val="center"/>
          </w:tcPr>
          <w:p w14:paraId="3DC01528" w14:textId="0DE32188" w:rsidR="003B6A80" w:rsidRPr="00811BA1" w:rsidRDefault="003B6A80" w:rsidP="003B6A80">
            <w:pPr>
              <w:pStyle w:val="Bodytext"/>
              <w:jc w:val="right"/>
              <w:rPr>
                <w:i/>
                <w:sz w:val="18"/>
              </w:rPr>
            </w:pPr>
            <w:r>
              <w:rPr>
                <w:i/>
                <w:sz w:val="18"/>
              </w:rPr>
              <w:t>8</w:t>
            </w:r>
          </w:p>
        </w:tc>
        <w:tc>
          <w:tcPr>
            <w:tcW w:w="1701" w:type="dxa"/>
            <w:tcBorders>
              <w:bottom w:val="single" w:sz="4" w:space="0" w:color="auto"/>
            </w:tcBorders>
            <w:vAlign w:val="center"/>
          </w:tcPr>
          <w:p w14:paraId="0CF87481" w14:textId="4708DCC2" w:rsidR="003B6A80" w:rsidRPr="007F0E8A" w:rsidRDefault="007F0E8A" w:rsidP="003B6A80">
            <w:pPr>
              <w:pStyle w:val="Bodytext"/>
              <w:jc w:val="right"/>
              <w:rPr>
                <w:b/>
                <w:bCs/>
              </w:rPr>
            </w:pPr>
            <w:r w:rsidRPr="007F0E8A">
              <w:rPr>
                <w:b/>
              </w:rPr>
              <w:t>–</w:t>
            </w:r>
          </w:p>
        </w:tc>
        <w:tc>
          <w:tcPr>
            <w:tcW w:w="1701" w:type="dxa"/>
            <w:tcBorders>
              <w:bottom w:val="single" w:sz="4" w:space="0" w:color="auto"/>
            </w:tcBorders>
          </w:tcPr>
          <w:p w14:paraId="7FBCEA89" w14:textId="0BFEC3EE" w:rsidR="003B6A80" w:rsidRPr="003C54FD" w:rsidRDefault="003B6A80" w:rsidP="003B6A80">
            <w:pPr>
              <w:pStyle w:val="Bodytext"/>
              <w:jc w:val="right"/>
            </w:pPr>
            <w:r w:rsidRPr="00762570">
              <w:t>(70,937)</w:t>
            </w:r>
          </w:p>
        </w:tc>
      </w:tr>
      <w:tr w:rsidR="003B6A80" w:rsidRPr="005A1972" w14:paraId="6F4B8B32" w14:textId="77777777" w:rsidTr="003B6A80">
        <w:tc>
          <w:tcPr>
            <w:tcW w:w="4649" w:type="dxa"/>
            <w:tcBorders>
              <w:top w:val="single" w:sz="4" w:space="0" w:color="auto"/>
              <w:bottom w:val="single" w:sz="4" w:space="0" w:color="auto"/>
            </w:tcBorders>
            <w:vAlign w:val="center"/>
          </w:tcPr>
          <w:p w14:paraId="5CC67546" w14:textId="67D3073D" w:rsidR="003B6A80" w:rsidRPr="00811BA1" w:rsidRDefault="003B6A80" w:rsidP="003B6A80">
            <w:pPr>
              <w:pStyle w:val="Bodytext"/>
              <w:rPr>
                <w:b/>
              </w:rPr>
            </w:pPr>
            <w:r w:rsidRPr="00811BA1">
              <w:rPr>
                <w:b/>
              </w:rPr>
              <w:t xml:space="preserve">Net cash </w:t>
            </w:r>
            <w:r>
              <w:rPr>
                <w:b/>
              </w:rPr>
              <w:t xml:space="preserve">used in </w:t>
            </w:r>
            <w:r w:rsidRPr="00811BA1">
              <w:rPr>
                <w:b/>
              </w:rPr>
              <w:t>financing activities</w:t>
            </w:r>
          </w:p>
        </w:tc>
        <w:tc>
          <w:tcPr>
            <w:tcW w:w="1701" w:type="dxa"/>
            <w:tcBorders>
              <w:top w:val="single" w:sz="4" w:space="0" w:color="auto"/>
              <w:bottom w:val="single" w:sz="4" w:space="0" w:color="auto"/>
            </w:tcBorders>
            <w:vAlign w:val="center"/>
          </w:tcPr>
          <w:p w14:paraId="448DEF46" w14:textId="77777777" w:rsidR="003B6A80" w:rsidRPr="00811BA1" w:rsidRDefault="003B6A80" w:rsidP="003B6A80">
            <w:pPr>
              <w:pStyle w:val="Bodytext"/>
              <w:jc w:val="right"/>
              <w:rPr>
                <w:i/>
                <w:sz w:val="18"/>
              </w:rPr>
            </w:pPr>
          </w:p>
        </w:tc>
        <w:tc>
          <w:tcPr>
            <w:tcW w:w="1701" w:type="dxa"/>
            <w:tcBorders>
              <w:top w:val="single" w:sz="4" w:space="0" w:color="auto"/>
              <w:bottom w:val="single" w:sz="4" w:space="0" w:color="auto"/>
            </w:tcBorders>
            <w:vAlign w:val="center"/>
          </w:tcPr>
          <w:p w14:paraId="1421190A" w14:textId="6288A2AC" w:rsidR="003B6A80" w:rsidRPr="00835D77" w:rsidRDefault="007F0E8A" w:rsidP="003B6A80">
            <w:pPr>
              <w:pStyle w:val="Bodytext"/>
              <w:jc w:val="right"/>
              <w:rPr>
                <w:b/>
                <w:bCs/>
              </w:rPr>
            </w:pPr>
            <w:r w:rsidRPr="007F0E8A">
              <w:rPr>
                <w:b/>
              </w:rPr>
              <w:t>–</w:t>
            </w:r>
          </w:p>
        </w:tc>
        <w:tc>
          <w:tcPr>
            <w:tcW w:w="1701" w:type="dxa"/>
            <w:tcBorders>
              <w:top w:val="single" w:sz="4" w:space="0" w:color="auto"/>
              <w:bottom w:val="single" w:sz="4" w:space="0" w:color="auto"/>
            </w:tcBorders>
          </w:tcPr>
          <w:p w14:paraId="4C8B0FAB" w14:textId="2A7A0B3C" w:rsidR="003B6A80" w:rsidRPr="003C54FD" w:rsidRDefault="003B6A80" w:rsidP="003B6A80">
            <w:pPr>
              <w:pStyle w:val="Bodytext"/>
              <w:jc w:val="right"/>
            </w:pPr>
            <w:r w:rsidRPr="00762570">
              <w:t>(70,937)</w:t>
            </w:r>
          </w:p>
        </w:tc>
      </w:tr>
      <w:tr w:rsidR="003B6A80" w:rsidRPr="005A1972" w14:paraId="02B73429" w14:textId="77777777" w:rsidTr="003B6A80">
        <w:tc>
          <w:tcPr>
            <w:tcW w:w="4649" w:type="dxa"/>
            <w:tcBorders>
              <w:top w:val="single" w:sz="4" w:space="0" w:color="auto"/>
            </w:tcBorders>
            <w:vAlign w:val="center"/>
          </w:tcPr>
          <w:p w14:paraId="4027E850" w14:textId="77777777" w:rsidR="003B6A80" w:rsidRPr="00811BA1" w:rsidRDefault="003B6A80" w:rsidP="003B6A80">
            <w:pPr>
              <w:pStyle w:val="Bodytext"/>
            </w:pPr>
          </w:p>
        </w:tc>
        <w:tc>
          <w:tcPr>
            <w:tcW w:w="1701" w:type="dxa"/>
            <w:tcBorders>
              <w:top w:val="single" w:sz="4" w:space="0" w:color="auto"/>
            </w:tcBorders>
            <w:vAlign w:val="center"/>
          </w:tcPr>
          <w:p w14:paraId="5608154F" w14:textId="77777777" w:rsidR="003B6A80" w:rsidRPr="00811BA1" w:rsidRDefault="003B6A80" w:rsidP="003B6A80">
            <w:pPr>
              <w:pStyle w:val="Bodytext"/>
              <w:jc w:val="right"/>
              <w:rPr>
                <w:i/>
                <w:sz w:val="18"/>
              </w:rPr>
            </w:pPr>
          </w:p>
        </w:tc>
        <w:tc>
          <w:tcPr>
            <w:tcW w:w="1701" w:type="dxa"/>
            <w:tcBorders>
              <w:top w:val="single" w:sz="4" w:space="0" w:color="auto"/>
            </w:tcBorders>
            <w:vAlign w:val="center"/>
          </w:tcPr>
          <w:p w14:paraId="0F266626" w14:textId="17710BFD" w:rsidR="003B6A80" w:rsidRPr="00331349" w:rsidRDefault="003B6A80" w:rsidP="003B6A80">
            <w:pPr>
              <w:pStyle w:val="Bodytext"/>
              <w:jc w:val="right"/>
              <w:rPr>
                <w:b/>
                <w:bCs/>
              </w:rPr>
            </w:pPr>
          </w:p>
        </w:tc>
        <w:tc>
          <w:tcPr>
            <w:tcW w:w="1701" w:type="dxa"/>
            <w:tcBorders>
              <w:top w:val="single" w:sz="4" w:space="0" w:color="auto"/>
            </w:tcBorders>
          </w:tcPr>
          <w:p w14:paraId="2032E443" w14:textId="6A4343D9" w:rsidR="003B6A80" w:rsidRPr="003C54FD" w:rsidRDefault="003B6A80" w:rsidP="003B6A80">
            <w:pPr>
              <w:pStyle w:val="Bodytext"/>
              <w:jc w:val="right"/>
            </w:pPr>
          </w:p>
        </w:tc>
      </w:tr>
      <w:tr w:rsidR="003B6A80" w:rsidRPr="005A1972" w14:paraId="2A863204" w14:textId="77777777" w:rsidTr="002248AA">
        <w:tc>
          <w:tcPr>
            <w:tcW w:w="4649" w:type="dxa"/>
            <w:tcBorders>
              <w:bottom w:val="single" w:sz="4" w:space="0" w:color="auto"/>
            </w:tcBorders>
            <w:vAlign w:val="center"/>
          </w:tcPr>
          <w:p w14:paraId="4958CB0E" w14:textId="4B6823C9" w:rsidR="003B6A80" w:rsidRPr="00811BA1" w:rsidRDefault="003B6A80" w:rsidP="003B6A80">
            <w:pPr>
              <w:pStyle w:val="Bodytext"/>
            </w:pPr>
            <w:r w:rsidRPr="00811BA1">
              <w:t>Net movement in cash and cash equivalents during the year</w:t>
            </w:r>
          </w:p>
        </w:tc>
        <w:tc>
          <w:tcPr>
            <w:tcW w:w="1701" w:type="dxa"/>
            <w:tcBorders>
              <w:bottom w:val="single" w:sz="4" w:space="0" w:color="auto"/>
            </w:tcBorders>
            <w:vAlign w:val="center"/>
          </w:tcPr>
          <w:p w14:paraId="6E72C0D6" w14:textId="77777777" w:rsidR="003B6A80" w:rsidRPr="00811BA1" w:rsidRDefault="003B6A80" w:rsidP="003B6A80">
            <w:pPr>
              <w:pStyle w:val="Bodytext"/>
              <w:jc w:val="right"/>
              <w:rPr>
                <w:i/>
                <w:sz w:val="18"/>
              </w:rPr>
            </w:pPr>
          </w:p>
        </w:tc>
        <w:tc>
          <w:tcPr>
            <w:tcW w:w="1701" w:type="dxa"/>
            <w:tcBorders>
              <w:bottom w:val="single" w:sz="4" w:space="0" w:color="auto"/>
            </w:tcBorders>
          </w:tcPr>
          <w:p w14:paraId="435CC009" w14:textId="0D5156CC" w:rsidR="003B6A80" w:rsidRPr="00331349" w:rsidRDefault="007F0E8A" w:rsidP="007F0E8A">
            <w:pPr>
              <w:pStyle w:val="Bodytext"/>
              <w:jc w:val="right"/>
              <w:rPr>
                <w:b/>
                <w:bCs/>
              </w:rPr>
            </w:pPr>
            <w:r w:rsidRPr="007F0E8A">
              <w:rPr>
                <w:b/>
                <w:bCs/>
              </w:rPr>
              <w:t>(1,910)</w:t>
            </w:r>
          </w:p>
        </w:tc>
        <w:tc>
          <w:tcPr>
            <w:tcW w:w="1701" w:type="dxa"/>
            <w:tcBorders>
              <w:bottom w:val="single" w:sz="4" w:space="0" w:color="auto"/>
            </w:tcBorders>
          </w:tcPr>
          <w:p w14:paraId="4866F4DD" w14:textId="586C2ADE" w:rsidR="003B6A80" w:rsidRPr="003C54FD" w:rsidRDefault="003B6A80" w:rsidP="003B6A80">
            <w:pPr>
              <w:pStyle w:val="Bodytext"/>
              <w:jc w:val="right"/>
            </w:pPr>
            <w:r w:rsidRPr="00762570">
              <w:t>2,192</w:t>
            </w:r>
          </w:p>
        </w:tc>
      </w:tr>
      <w:tr w:rsidR="003B6A80" w:rsidRPr="005A1972" w14:paraId="2CB4A3C9" w14:textId="77777777" w:rsidTr="002248AA">
        <w:tc>
          <w:tcPr>
            <w:tcW w:w="4649" w:type="dxa"/>
            <w:tcBorders>
              <w:top w:val="single" w:sz="4" w:space="0" w:color="auto"/>
            </w:tcBorders>
            <w:vAlign w:val="center"/>
          </w:tcPr>
          <w:p w14:paraId="793984DD" w14:textId="474B7A23" w:rsidR="003B6A80" w:rsidRPr="00811BA1" w:rsidRDefault="003B6A80" w:rsidP="003B6A80">
            <w:pPr>
              <w:pStyle w:val="Bodytext"/>
            </w:pPr>
            <w:r w:rsidRPr="00811BA1">
              <w:t>Cash and cash equivalents at the beginning of the year</w:t>
            </w:r>
          </w:p>
        </w:tc>
        <w:tc>
          <w:tcPr>
            <w:tcW w:w="1701" w:type="dxa"/>
            <w:tcBorders>
              <w:top w:val="single" w:sz="4" w:space="0" w:color="auto"/>
            </w:tcBorders>
            <w:vAlign w:val="center"/>
          </w:tcPr>
          <w:p w14:paraId="2EAB0214" w14:textId="77777777" w:rsidR="003B6A80" w:rsidRPr="00811BA1" w:rsidRDefault="003B6A80" w:rsidP="003B6A80">
            <w:pPr>
              <w:pStyle w:val="Bodytext"/>
              <w:jc w:val="right"/>
              <w:rPr>
                <w:i/>
                <w:sz w:val="18"/>
              </w:rPr>
            </w:pPr>
          </w:p>
        </w:tc>
        <w:tc>
          <w:tcPr>
            <w:tcW w:w="1701" w:type="dxa"/>
            <w:tcBorders>
              <w:top w:val="single" w:sz="4" w:space="0" w:color="auto"/>
            </w:tcBorders>
          </w:tcPr>
          <w:p w14:paraId="717B9367" w14:textId="14EE10E1" w:rsidR="003B6A80" w:rsidRPr="00331349" w:rsidRDefault="007B1217" w:rsidP="007B1217">
            <w:pPr>
              <w:pStyle w:val="Bodytext"/>
              <w:jc w:val="right"/>
              <w:rPr>
                <w:b/>
                <w:bCs/>
              </w:rPr>
            </w:pPr>
            <w:r w:rsidRPr="007B1217">
              <w:rPr>
                <w:b/>
                <w:bCs/>
              </w:rPr>
              <w:t>2,132</w:t>
            </w:r>
          </w:p>
        </w:tc>
        <w:tc>
          <w:tcPr>
            <w:tcW w:w="1701" w:type="dxa"/>
            <w:tcBorders>
              <w:top w:val="single" w:sz="4" w:space="0" w:color="auto"/>
            </w:tcBorders>
          </w:tcPr>
          <w:p w14:paraId="379F05FE" w14:textId="7096F4D7" w:rsidR="003B6A80" w:rsidRPr="003C54FD" w:rsidRDefault="003B6A80" w:rsidP="003B6A80">
            <w:pPr>
              <w:pStyle w:val="Bodytext"/>
              <w:jc w:val="right"/>
            </w:pPr>
            <w:r w:rsidRPr="00762570">
              <w:t>789</w:t>
            </w:r>
          </w:p>
        </w:tc>
      </w:tr>
      <w:tr w:rsidR="003B6A80" w:rsidRPr="005A1972" w14:paraId="6903CD20" w14:textId="77777777" w:rsidTr="003B6A80">
        <w:tc>
          <w:tcPr>
            <w:tcW w:w="4649" w:type="dxa"/>
            <w:tcBorders>
              <w:bottom w:val="single" w:sz="4" w:space="0" w:color="auto"/>
            </w:tcBorders>
            <w:vAlign w:val="center"/>
          </w:tcPr>
          <w:p w14:paraId="28FC33AE" w14:textId="77777777" w:rsidR="003B6A80" w:rsidRPr="00811BA1" w:rsidRDefault="003B6A80" w:rsidP="003B6A80">
            <w:pPr>
              <w:pStyle w:val="Bodytext"/>
            </w:pPr>
            <w:r w:rsidRPr="00811BA1">
              <w:t>Effect of foreign exchange rate changes</w:t>
            </w:r>
          </w:p>
        </w:tc>
        <w:tc>
          <w:tcPr>
            <w:tcW w:w="1701" w:type="dxa"/>
            <w:tcBorders>
              <w:bottom w:val="single" w:sz="4" w:space="0" w:color="auto"/>
            </w:tcBorders>
            <w:vAlign w:val="center"/>
          </w:tcPr>
          <w:p w14:paraId="6E5775FF" w14:textId="77777777" w:rsidR="003B6A80" w:rsidRPr="00811BA1" w:rsidRDefault="003B6A80" w:rsidP="003B6A80">
            <w:pPr>
              <w:pStyle w:val="Bodytext"/>
              <w:jc w:val="right"/>
              <w:rPr>
                <w:i/>
                <w:sz w:val="18"/>
              </w:rPr>
            </w:pPr>
          </w:p>
        </w:tc>
        <w:tc>
          <w:tcPr>
            <w:tcW w:w="1701" w:type="dxa"/>
            <w:tcBorders>
              <w:bottom w:val="single" w:sz="4" w:space="0" w:color="auto"/>
            </w:tcBorders>
            <w:vAlign w:val="center"/>
          </w:tcPr>
          <w:p w14:paraId="2C56A509" w14:textId="24FE3643" w:rsidR="003B6A80" w:rsidRPr="00331349" w:rsidRDefault="007B1217" w:rsidP="003B6A80">
            <w:pPr>
              <w:pStyle w:val="Bodytext"/>
              <w:jc w:val="right"/>
              <w:rPr>
                <w:b/>
                <w:bCs/>
              </w:rPr>
            </w:pPr>
            <w:r w:rsidRPr="007B1217">
              <w:rPr>
                <w:b/>
                <w:bCs/>
              </w:rPr>
              <w:t>(11)</w:t>
            </w:r>
          </w:p>
        </w:tc>
        <w:tc>
          <w:tcPr>
            <w:tcW w:w="1701" w:type="dxa"/>
            <w:tcBorders>
              <w:bottom w:val="single" w:sz="4" w:space="0" w:color="auto"/>
            </w:tcBorders>
          </w:tcPr>
          <w:p w14:paraId="56E6CF94" w14:textId="123DF9F4" w:rsidR="003B6A80" w:rsidRPr="003C54FD" w:rsidRDefault="003B6A80" w:rsidP="003B6A80">
            <w:pPr>
              <w:pStyle w:val="Bodytext"/>
              <w:jc w:val="right"/>
            </w:pPr>
            <w:r w:rsidRPr="00762570">
              <w:t>(849)</w:t>
            </w:r>
          </w:p>
        </w:tc>
      </w:tr>
      <w:tr w:rsidR="003B6A80" w:rsidRPr="005A1972" w14:paraId="01EA0F59" w14:textId="77777777" w:rsidTr="003B6A80">
        <w:tc>
          <w:tcPr>
            <w:tcW w:w="4649" w:type="dxa"/>
            <w:tcBorders>
              <w:top w:val="single" w:sz="4" w:space="0" w:color="auto"/>
            </w:tcBorders>
            <w:vAlign w:val="center"/>
          </w:tcPr>
          <w:p w14:paraId="51E127E7" w14:textId="77777777" w:rsidR="003B6A80" w:rsidRPr="00811BA1" w:rsidRDefault="003B6A80" w:rsidP="003B6A80">
            <w:pPr>
              <w:pStyle w:val="Bodytext"/>
            </w:pPr>
          </w:p>
        </w:tc>
        <w:tc>
          <w:tcPr>
            <w:tcW w:w="1701" w:type="dxa"/>
            <w:tcBorders>
              <w:top w:val="single" w:sz="4" w:space="0" w:color="auto"/>
            </w:tcBorders>
            <w:vAlign w:val="center"/>
          </w:tcPr>
          <w:p w14:paraId="45C4BC9B" w14:textId="77777777" w:rsidR="003B6A80" w:rsidRPr="00811BA1" w:rsidRDefault="003B6A80" w:rsidP="003B6A80">
            <w:pPr>
              <w:pStyle w:val="Bodytext"/>
              <w:jc w:val="right"/>
              <w:rPr>
                <w:i/>
                <w:sz w:val="18"/>
              </w:rPr>
            </w:pPr>
          </w:p>
        </w:tc>
        <w:tc>
          <w:tcPr>
            <w:tcW w:w="1701" w:type="dxa"/>
            <w:tcBorders>
              <w:top w:val="single" w:sz="4" w:space="0" w:color="auto"/>
            </w:tcBorders>
            <w:vAlign w:val="center"/>
          </w:tcPr>
          <w:p w14:paraId="27847188" w14:textId="1D87957B" w:rsidR="003B6A80" w:rsidRPr="00331349" w:rsidRDefault="003B6A80" w:rsidP="003B6A80">
            <w:pPr>
              <w:pStyle w:val="Bodytext"/>
              <w:jc w:val="right"/>
              <w:rPr>
                <w:b/>
                <w:bCs/>
              </w:rPr>
            </w:pPr>
          </w:p>
        </w:tc>
        <w:tc>
          <w:tcPr>
            <w:tcW w:w="1701" w:type="dxa"/>
            <w:tcBorders>
              <w:top w:val="single" w:sz="4" w:space="0" w:color="auto"/>
            </w:tcBorders>
          </w:tcPr>
          <w:p w14:paraId="403D5817" w14:textId="6EAAC57A" w:rsidR="003B6A80" w:rsidRPr="003C54FD" w:rsidRDefault="003B6A80" w:rsidP="003B6A80">
            <w:pPr>
              <w:pStyle w:val="Bodytext"/>
              <w:jc w:val="right"/>
            </w:pPr>
          </w:p>
        </w:tc>
      </w:tr>
      <w:tr w:rsidR="003B6A80" w:rsidRPr="005A1972" w14:paraId="51539BEE" w14:textId="77777777" w:rsidTr="002248AA">
        <w:tc>
          <w:tcPr>
            <w:tcW w:w="4649" w:type="dxa"/>
            <w:tcBorders>
              <w:bottom w:val="single" w:sz="18" w:space="0" w:color="auto"/>
            </w:tcBorders>
            <w:vAlign w:val="center"/>
          </w:tcPr>
          <w:p w14:paraId="0B5B7B63" w14:textId="2E855A4F" w:rsidR="003B6A80" w:rsidRPr="00811BA1" w:rsidRDefault="003B6A80" w:rsidP="003B6A80">
            <w:pPr>
              <w:pStyle w:val="Bodytext"/>
              <w:rPr>
                <w:b/>
              </w:rPr>
            </w:pPr>
            <w:r w:rsidRPr="00811BA1">
              <w:rPr>
                <w:b/>
              </w:rPr>
              <w:t>Cash and cash equivalents at the end of the year</w:t>
            </w:r>
          </w:p>
        </w:tc>
        <w:tc>
          <w:tcPr>
            <w:tcW w:w="1701" w:type="dxa"/>
            <w:tcBorders>
              <w:bottom w:val="single" w:sz="18" w:space="0" w:color="auto"/>
            </w:tcBorders>
            <w:vAlign w:val="center"/>
          </w:tcPr>
          <w:p w14:paraId="4F994554" w14:textId="77777777" w:rsidR="003B6A80" w:rsidRPr="00811BA1" w:rsidRDefault="003B6A80" w:rsidP="003B6A80">
            <w:pPr>
              <w:pStyle w:val="Bodytext"/>
              <w:jc w:val="center"/>
              <w:rPr>
                <w:i/>
                <w:sz w:val="18"/>
              </w:rPr>
            </w:pPr>
          </w:p>
        </w:tc>
        <w:tc>
          <w:tcPr>
            <w:tcW w:w="1701" w:type="dxa"/>
            <w:tcBorders>
              <w:bottom w:val="single" w:sz="18" w:space="0" w:color="auto"/>
            </w:tcBorders>
          </w:tcPr>
          <w:p w14:paraId="46059979" w14:textId="2CF4F24A" w:rsidR="003B6A80" w:rsidRPr="00331349" w:rsidRDefault="007B1217" w:rsidP="007B1217">
            <w:pPr>
              <w:pStyle w:val="Bodytext"/>
              <w:jc w:val="right"/>
              <w:rPr>
                <w:b/>
                <w:bCs/>
              </w:rPr>
            </w:pPr>
            <w:r w:rsidRPr="007B1217">
              <w:rPr>
                <w:b/>
                <w:bCs/>
              </w:rPr>
              <w:t>211</w:t>
            </w:r>
          </w:p>
        </w:tc>
        <w:tc>
          <w:tcPr>
            <w:tcW w:w="1701" w:type="dxa"/>
            <w:tcBorders>
              <w:bottom w:val="single" w:sz="18" w:space="0" w:color="auto"/>
            </w:tcBorders>
          </w:tcPr>
          <w:p w14:paraId="3AA123E9" w14:textId="0B4F4B77" w:rsidR="003B6A80" w:rsidRPr="003C54FD" w:rsidRDefault="003B6A80" w:rsidP="003B6A80">
            <w:pPr>
              <w:pStyle w:val="Bodytext"/>
              <w:jc w:val="right"/>
            </w:pPr>
            <w:r w:rsidRPr="00762570">
              <w:t>2,132</w:t>
            </w:r>
          </w:p>
        </w:tc>
      </w:tr>
    </w:tbl>
    <w:p w14:paraId="394E5AC2" w14:textId="77777777" w:rsidR="006300F7" w:rsidRPr="00811BA1" w:rsidRDefault="006300F7" w:rsidP="00EB7E49">
      <w:pPr>
        <w:pStyle w:val="Bodytext"/>
      </w:pPr>
    </w:p>
    <w:p w14:paraId="2891D108" w14:textId="4AE633C2" w:rsidR="006049D8" w:rsidRDefault="006300F7" w:rsidP="007B606F">
      <w:pPr>
        <w:pStyle w:val="Bodytext"/>
        <w:rPr>
          <w:rFonts w:eastAsiaTheme="majorEastAsia" w:cstheme="majorBidi"/>
          <w:b/>
          <w:bCs/>
          <w:caps/>
          <w:sz w:val="30"/>
          <w:szCs w:val="32"/>
        </w:rPr>
      </w:pPr>
      <w:r w:rsidRPr="00811BA1">
        <w:t>The accompanying notes</w:t>
      </w:r>
      <w:r w:rsidR="008934A9">
        <w:t xml:space="preserve"> </w:t>
      </w:r>
      <w:r w:rsidRPr="00811BA1">
        <w:t>form an integral part of the Company’s Financial Statements.</w:t>
      </w:r>
    </w:p>
    <w:p w14:paraId="2FF073FC" w14:textId="2FB41555" w:rsidR="00C6116F" w:rsidRPr="00811BA1" w:rsidRDefault="00C6116F" w:rsidP="00EB7E49">
      <w:pPr>
        <w:pStyle w:val="Heading1"/>
      </w:pPr>
      <w:r w:rsidRPr="00811BA1">
        <w:t>Notes to the Financial Statements</w:t>
      </w:r>
    </w:p>
    <w:p w14:paraId="369E6775" w14:textId="605C4939" w:rsidR="00C6116F" w:rsidRPr="00811BA1" w:rsidRDefault="00C6116F" w:rsidP="00EB7E49">
      <w:pPr>
        <w:pStyle w:val="Bodytext"/>
      </w:pPr>
      <w:r w:rsidRPr="00811BA1">
        <w:t xml:space="preserve">For the year ended </w:t>
      </w:r>
      <w:r w:rsidR="00610498">
        <w:t>31 December 201</w:t>
      </w:r>
      <w:r w:rsidR="009C4AF8">
        <w:t>9</w:t>
      </w:r>
    </w:p>
    <w:p w14:paraId="75F3D655" w14:textId="77777777" w:rsidR="00C6116F" w:rsidRPr="00811BA1" w:rsidRDefault="00C6116F" w:rsidP="00EB7E49">
      <w:pPr>
        <w:pStyle w:val="Bodytext"/>
      </w:pPr>
    </w:p>
    <w:p w14:paraId="26726B20" w14:textId="77777777" w:rsidR="00234DF1" w:rsidRPr="00811BA1" w:rsidRDefault="00234DF1" w:rsidP="007B606F">
      <w:pPr>
        <w:pStyle w:val="Heading2"/>
        <w:jc w:val="both"/>
      </w:pPr>
      <w:r w:rsidRPr="00811BA1">
        <w:t>1.</w:t>
      </w:r>
      <w:r w:rsidRPr="00811BA1">
        <w:tab/>
        <w:t>General information</w:t>
      </w:r>
    </w:p>
    <w:p w14:paraId="0766D66B" w14:textId="51A7F6A4" w:rsidR="003B6A80" w:rsidRPr="002D1A2F" w:rsidRDefault="00184565" w:rsidP="007B606F">
      <w:pPr>
        <w:autoSpaceDE w:val="0"/>
        <w:autoSpaceDN w:val="0"/>
        <w:adjustRightInd w:val="0"/>
        <w:ind w:left="567"/>
        <w:jc w:val="both"/>
      </w:pPr>
      <w:r w:rsidRPr="002D1A2F">
        <w:rPr>
          <w:rFonts w:eastAsia="Arial"/>
        </w:rPr>
        <w:t>Riverstone Energy Limited is a company limited by shares, which was incorporated on 23 May 2013 in Guernsey with an unlimited life and registered with the GFSC as a Registered Closed-ended Collective Investment Scheme pursuant to the POI Law</w:t>
      </w:r>
      <w:r w:rsidRPr="005E501E">
        <w:rPr>
          <w:rFonts w:eastAsia="Arial"/>
        </w:rPr>
        <w:t xml:space="preserve">. The Company’s </w:t>
      </w:r>
      <w:r w:rsidR="00695CA1" w:rsidRPr="005E501E">
        <w:rPr>
          <w:rFonts w:eastAsia="Arial"/>
        </w:rPr>
        <w:t>O</w:t>
      </w:r>
      <w:r w:rsidRPr="005E501E">
        <w:rPr>
          <w:rFonts w:eastAsia="Arial"/>
        </w:rPr>
        <w:t xml:space="preserve">rdinary </w:t>
      </w:r>
      <w:r w:rsidR="00695CA1" w:rsidRPr="005E501E">
        <w:rPr>
          <w:rFonts w:eastAsia="Arial"/>
        </w:rPr>
        <w:t>S</w:t>
      </w:r>
      <w:r w:rsidRPr="005E501E">
        <w:rPr>
          <w:rFonts w:eastAsia="Arial"/>
        </w:rPr>
        <w:t>hares were admitted to the UK Listing Authority’s Official List and to trading on the London Stock Exchange as part of its IPO which completed on 29 October 2013.</w:t>
      </w:r>
      <w:r w:rsidRPr="002D1A2F">
        <w:rPr>
          <w:rFonts w:eastAsia="Arial"/>
        </w:rPr>
        <w:t xml:space="preserve"> </w:t>
      </w:r>
      <w:r w:rsidR="003B6A80" w:rsidRPr="006A4CA2">
        <w:t>With effect from 29 April 2019, the registered office of the Company is PO Box 286, Floor 2, Trafalgar Court, Les Banques, St Peter Port, Guernsey, GY1 4LY.</w:t>
      </w:r>
    </w:p>
    <w:p w14:paraId="712BA493" w14:textId="77777777" w:rsidR="00184565" w:rsidRPr="002D1A2F" w:rsidRDefault="00184565" w:rsidP="007B606F">
      <w:pPr>
        <w:autoSpaceDE w:val="0"/>
        <w:autoSpaceDN w:val="0"/>
        <w:adjustRightInd w:val="0"/>
        <w:ind w:left="567"/>
        <w:jc w:val="both"/>
        <w:rPr>
          <w:rFonts w:eastAsia="Arial"/>
        </w:rPr>
      </w:pPr>
    </w:p>
    <w:p w14:paraId="32559E4E" w14:textId="77777777" w:rsidR="00184565" w:rsidRPr="002D1A2F" w:rsidRDefault="00184565" w:rsidP="007B606F">
      <w:pPr>
        <w:tabs>
          <w:tab w:val="left" w:pos="6903"/>
        </w:tabs>
        <w:ind w:left="567"/>
        <w:jc w:val="both"/>
        <w:rPr>
          <w:rFonts w:eastAsia="Arial"/>
        </w:rPr>
      </w:pPr>
      <w:r w:rsidRPr="002D1A2F">
        <w:rPr>
          <w:rFonts w:eastAsia="Arial"/>
        </w:rPr>
        <w:t>The Company makes its investments through the Partnership, a Cayman Islands registered exempted limited partnership, in which the Company is the sole limited partner. The principal place of business of the Partnership is the Cayman Islands. Both the Company and the Partnership are subject to the Investment Management Agreement with the Investment Manager, a company registered in the Cayman Islands.</w:t>
      </w:r>
    </w:p>
    <w:p w14:paraId="19A6D667" w14:textId="77777777" w:rsidR="00184565" w:rsidRPr="002D1A2F" w:rsidRDefault="00184565" w:rsidP="007B606F">
      <w:pPr>
        <w:tabs>
          <w:tab w:val="left" w:pos="6903"/>
        </w:tabs>
        <w:ind w:left="567"/>
        <w:jc w:val="both"/>
        <w:rPr>
          <w:rFonts w:eastAsia="Arial"/>
        </w:rPr>
      </w:pPr>
    </w:p>
    <w:p w14:paraId="487BCEF4" w14:textId="4CE375BF" w:rsidR="003B6A80" w:rsidRPr="002D1A2F" w:rsidRDefault="003B6A80" w:rsidP="007B606F">
      <w:pPr>
        <w:tabs>
          <w:tab w:val="left" w:pos="6903"/>
        </w:tabs>
        <w:ind w:left="567"/>
        <w:jc w:val="both"/>
      </w:pPr>
      <w:r w:rsidRPr="00233789">
        <w:t>The Partnership has the right to invest alongside the Private Riverstone Funds in all Qualifying Investments in which the Private Riverstone Funds participate. The</w:t>
      </w:r>
      <w:r w:rsidRPr="002D1A2F">
        <w:t xml:space="preserve">se funds are managed and advised by affiliates of the Investment Manager. </w:t>
      </w:r>
      <w:r>
        <w:rPr>
          <w:rFonts w:eastAsia="Calibri"/>
          <w:lang w:val="en-US"/>
        </w:rPr>
        <w:t>The Partnership’s recent investment in Ridgebury H3 demonstrate</w:t>
      </w:r>
      <w:r w:rsidR="00267236">
        <w:rPr>
          <w:rFonts w:eastAsia="Calibri"/>
          <w:lang w:val="en-US"/>
        </w:rPr>
        <w:t>s</w:t>
      </w:r>
      <w:r>
        <w:rPr>
          <w:rFonts w:eastAsia="Calibri"/>
          <w:lang w:val="en-US"/>
        </w:rPr>
        <w:t xml:space="preserve"> its modified investment strategy as the Private Riverstone Funds did not participate</w:t>
      </w:r>
      <w:r>
        <w:t xml:space="preserve">. </w:t>
      </w:r>
      <w:r w:rsidRPr="002D1A2F">
        <w:t>Further detail of these investments is provided in the Investment Manager’s Report.</w:t>
      </w:r>
    </w:p>
    <w:p w14:paraId="635781DB" w14:textId="77777777" w:rsidR="002A2BCF" w:rsidRPr="00811BA1" w:rsidRDefault="002A2BCF" w:rsidP="007B606F">
      <w:pPr>
        <w:pStyle w:val="Bodytext"/>
      </w:pPr>
    </w:p>
    <w:p w14:paraId="3EF140B0" w14:textId="77777777" w:rsidR="00234DF1" w:rsidRPr="00811BA1" w:rsidRDefault="00234DF1" w:rsidP="00EB7E49">
      <w:pPr>
        <w:pStyle w:val="Heading2"/>
      </w:pPr>
      <w:r w:rsidRPr="00811BA1">
        <w:t>2.</w:t>
      </w:r>
      <w:r w:rsidRPr="00811BA1">
        <w:tab/>
        <w:t>Accounting policies</w:t>
      </w:r>
    </w:p>
    <w:p w14:paraId="484B756E" w14:textId="77777777" w:rsidR="00234DF1" w:rsidRPr="00811BA1" w:rsidRDefault="00234DF1" w:rsidP="007B606F">
      <w:pPr>
        <w:pStyle w:val="Heading3"/>
        <w:ind w:left="567"/>
        <w:jc w:val="both"/>
      </w:pPr>
      <w:r w:rsidRPr="00811BA1">
        <w:t>Basis of preparation</w:t>
      </w:r>
    </w:p>
    <w:p w14:paraId="11E4E078" w14:textId="7C89D70E" w:rsidR="00234DF1" w:rsidRPr="00811BA1" w:rsidRDefault="00234DF1" w:rsidP="007B606F">
      <w:pPr>
        <w:pStyle w:val="Bodytext"/>
        <w:ind w:left="567"/>
        <w:jc w:val="both"/>
      </w:pPr>
      <w:r w:rsidRPr="00811BA1">
        <w:t xml:space="preserve">The Financial Statements for the year ended </w:t>
      </w:r>
      <w:r w:rsidR="00610498">
        <w:t>31 December 201</w:t>
      </w:r>
      <w:r w:rsidR="003B6A80">
        <w:t>9</w:t>
      </w:r>
      <w:r w:rsidRPr="00811BA1">
        <w:t xml:space="preserve"> have been prepared in accordance with IFRS and with the Companies Law.</w:t>
      </w:r>
    </w:p>
    <w:p w14:paraId="14841777" w14:textId="77777777" w:rsidR="00742097" w:rsidRDefault="00742097" w:rsidP="007B606F">
      <w:pPr>
        <w:pStyle w:val="Bodytext"/>
        <w:ind w:left="567"/>
        <w:jc w:val="both"/>
      </w:pPr>
    </w:p>
    <w:p w14:paraId="273D3C2C" w14:textId="3609FD16" w:rsidR="00694104" w:rsidRDefault="00694104" w:rsidP="007B606F">
      <w:pPr>
        <w:pStyle w:val="Bodytext"/>
        <w:tabs>
          <w:tab w:val="left" w:pos="3261"/>
        </w:tabs>
        <w:ind w:left="567"/>
        <w:jc w:val="both"/>
      </w:pPr>
      <w:r w:rsidRPr="00694104">
        <w:lastRenderedPageBreak/>
        <w:t xml:space="preserve">In the preparation of these </w:t>
      </w:r>
      <w:r w:rsidR="00E80D62">
        <w:t>F</w:t>
      </w:r>
      <w:r w:rsidRPr="00694104">
        <w:t xml:space="preserve">inancial </w:t>
      </w:r>
      <w:r w:rsidR="00E80D62">
        <w:t>S</w:t>
      </w:r>
      <w:r w:rsidRPr="00694104">
        <w:t>tatements, the Company followed the same accounting policies and methods of computation as compared with those applied in the previous year.</w:t>
      </w:r>
    </w:p>
    <w:p w14:paraId="383EFCED" w14:textId="088198BF" w:rsidR="00193B16" w:rsidRDefault="00193B16" w:rsidP="007B606F">
      <w:pPr>
        <w:pStyle w:val="Bodytext"/>
        <w:tabs>
          <w:tab w:val="left" w:pos="3261"/>
        </w:tabs>
        <w:ind w:left="567"/>
        <w:jc w:val="both"/>
      </w:pPr>
    </w:p>
    <w:p w14:paraId="186A572B" w14:textId="78D794CE" w:rsidR="00193B16" w:rsidRDefault="00193B16" w:rsidP="007B606F">
      <w:pPr>
        <w:tabs>
          <w:tab w:val="left" w:pos="6903"/>
        </w:tabs>
        <w:ind w:left="567"/>
        <w:jc w:val="both"/>
      </w:pPr>
      <w:r w:rsidRPr="00A31BAC">
        <w:t>The Company applied, for the first time, certain standards and amendments, which are effective for annual periods</w:t>
      </w:r>
      <w:r>
        <w:t xml:space="preserve"> </w:t>
      </w:r>
      <w:r w:rsidRPr="00A31BAC">
        <w:t>beginning on or after 1 January 2019. The new standards or amendments to existing standards and interpretations,</w:t>
      </w:r>
      <w:r>
        <w:t xml:space="preserve"> </w:t>
      </w:r>
      <w:r w:rsidRPr="00A31BAC">
        <w:t>effective from 1 January 2019, did not have a material impact o</w:t>
      </w:r>
      <w:r>
        <w:t>n the Company’s Financial Statements, as detailed in the Company’s Interim Financial Report</w:t>
      </w:r>
      <w:r w:rsidRPr="00A31BAC">
        <w:t>. It is not anticipated that any standard which is not yet effective, will have a material impact on the Company's</w:t>
      </w:r>
      <w:r>
        <w:t xml:space="preserve"> </w:t>
      </w:r>
      <w:r w:rsidR="00DC507F">
        <w:t>Financial S</w:t>
      </w:r>
      <w:r w:rsidRPr="00A31BAC">
        <w:t>tatements.</w:t>
      </w:r>
    </w:p>
    <w:p w14:paraId="1ADCBD7D" w14:textId="77777777" w:rsidR="002A2BCF" w:rsidRPr="00193B16" w:rsidRDefault="002A2BCF" w:rsidP="007B606F">
      <w:pPr>
        <w:pStyle w:val="Bodytext"/>
        <w:jc w:val="both"/>
      </w:pPr>
    </w:p>
    <w:p w14:paraId="1921EF26" w14:textId="77777777" w:rsidR="00234DF1" w:rsidRPr="00193B16" w:rsidRDefault="00234DF1" w:rsidP="007B606F">
      <w:pPr>
        <w:pStyle w:val="Heading3"/>
        <w:ind w:left="567"/>
        <w:jc w:val="both"/>
      </w:pPr>
      <w:r w:rsidRPr="00193B16">
        <w:t>Foreign currencies</w:t>
      </w:r>
    </w:p>
    <w:p w14:paraId="45E0386E" w14:textId="77777777" w:rsidR="00234DF1" w:rsidRPr="00193B16" w:rsidRDefault="00234DF1" w:rsidP="007B606F">
      <w:pPr>
        <w:pStyle w:val="Bodytext"/>
        <w:ind w:left="567"/>
        <w:jc w:val="both"/>
      </w:pPr>
      <w:r w:rsidRPr="00193B16">
        <w:t>The functional currency of the Company is U.S. Dollars reflecting the primary economic environment in which the Company operates, that being the exploration and production and midstream energy sectors, where most transactions are expected to take place in U.S. Dollars.</w:t>
      </w:r>
    </w:p>
    <w:p w14:paraId="45E1B392" w14:textId="77777777" w:rsidR="00DE39FC" w:rsidRPr="00193B16" w:rsidRDefault="00DE39FC" w:rsidP="007B606F">
      <w:pPr>
        <w:pStyle w:val="Bodytext"/>
        <w:ind w:left="567"/>
        <w:jc w:val="both"/>
      </w:pPr>
    </w:p>
    <w:p w14:paraId="7EB2B92F" w14:textId="77777777" w:rsidR="00234DF1" w:rsidRPr="00193B16" w:rsidRDefault="00234DF1" w:rsidP="007B606F">
      <w:pPr>
        <w:pStyle w:val="Bodytext"/>
        <w:ind w:left="567"/>
        <w:jc w:val="both"/>
      </w:pPr>
      <w:r w:rsidRPr="00193B16">
        <w:t>The Company has chosen U.S. Dollars as its presentation currency for financial reporting purposes.</w:t>
      </w:r>
    </w:p>
    <w:p w14:paraId="2977356A" w14:textId="77777777" w:rsidR="00DE39FC" w:rsidRPr="00193B16" w:rsidRDefault="00DE39FC" w:rsidP="007B606F">
      <w:pPr>
        <w:pStyle w:val="Bodytext"/>
        <w:ind w:left="567"/>
        <w:jc w:val="both"/>
      </w:pPr>
    </w:p>
    <w:p w14:paraId="5D48E85E" w14:textId="49D330EE" w:rsidR="00234DF1" w:rsidRPr="00193B16" w:rsidRDefault="00234DF1" w:rsidP="007B606F">
      <w:pPr>
        <w:pStyle w:val="Bodytext"/>
        <w:ind w:left="567"/>
        <w:jc w:val="both"/>
      </w:pPr>
      <w:r w:rsidRPr="00193B16">
        <w:t xml:space="preserve">Transactions during the </w:t>
      </w:r>
      <w:r w:rsidR="007126BF" w:rsidRPr="00193B16">
        <w:t>year</w:t>
      </w:r>
      <w:r w:rsidRPr="00193B16">
        <w:t xml:space="preserve">, including purchases and sales of investments, income and expenses are translated into U.S. Dollars at the rate of exchange prevailing on the date of the transaction. Monetary assets and liabilities denominated in currencies other than U.S. Dollars are retranslated at the functional currency rate of exchange ruling at the reporting date. Non-monetary items that are measured in terms of historical cost in a currency other than U.S. Dollars are translated using the exchange rates as at the dates of the initial transactions. Non-monetary items measured at fair value in a currency other than U.S. Dollars are translated using the exchange rates at the date when the fair value was determined. Foreign currency transaction gains and losses on financial instruments classified as at fair value through profit or loss are included in profit or loss in the Statement of Comprehensive Income as part of the “Change in fair value of investments </w:t>
      </w:r>
      <w:r w:rsidR="00B42896" w:rsidRPr="00193B16">
        <w:t xml:space="preserve">at fair value </w:t>
      </w:r>
      <w:r w:rsidRPr="00193B16">
        <w:t xml:space="preserve">through profit or loss”. Exchange differences on other financial instruments are included in profit or loss in the Statement of Comprehensive Income as “Foreign exchange </w:t>
      </w:r>
      <w:r w:rsidR="00BF6A7E" w:rsidRPr="00193B16">
        <w:t>(loss)/</w:t>
      </w:r>
      <w:r w:rsidR="00B42896" w:rsidRPr="00193B16">
        <w:t>gain</w:t>
      </w:r>
      <w:r w:rsidRPr="00193B16">
        <w:t>”.</w:t>
      </w:r>
    </w:p>
    <w:p w14:paraId="51073537" w14:textId="77777777" w:rsidR="00DE39FC" w:rsidRPr="00193B16" w:rsidRDefault="00DE39FC" w:rsidP="007B606F">
      <w:pPr>
        <w:pStyle w:val="Bodytext"/>
        <w:ind w:left="567"/>
        <w:jc w:val="both"/>
      </w:pPr>
    </w:p>
    <w:p w14:paraId="6FA0AE98" w14:textId="4C99B073" w:rsidR="00234DF1" w:rsidRPr="00193B16" w:rsidRDefault="00234DF1" w:rsidP="007B606F">
      <w:pPr>
        <w:pStyle w:val="Heading3"/>
        <w:ind w:left="567"/>
        <w:jc w:val="both"/>
      </w:pPr>
      <w:r w:rsidRPr="00193B16">
        <w:t>Financial instruments</w:t>
      </w:r>
    </w:p>
    <w:p w14:paraId="0256EAB1" w14:textId="704D4DBA" w:rsidR="00234DF1" w:rsidRPr="00193B16" w:rsidRDefault="003D2FAD" w:rsidP="007B606F">
      <w:pPr>
        <w:pStyle w:val="Bodytext"/>
        <w:ind w:left="567"/>
        <w:jc w:val="both"/>
      </w:pPr>
      <w:r w:rsidRPr="00193B16">
        <w:t>In accordance with IFRS 9, f</w:t>
      </w:r>
      <w:r w:rsidR="00234DF1" w:rsidRPr="00193B16">
        <w:t>inancial assets and financial liabilities are recognised</w:t>
      </w:r>
      <w:r w:rsidRPr="00193B16">
        <w:t xml:space="preserve"> </w:t>
      </w:r>
      <w:r w:rsidR="00234DF1" w:rsidRPr="00193B16">
        <w:t xml:space="preserve">in the Company’s Statement of Financial Position when the Company becomes a party to the contractual provisions of the instrument. Financial assets and financial liabilities are only offset and the net amount reported in the </w:t>
      </w:r>
      <w:r w:rsidR="00E303FE" w:rsidRPr="00193B16">
        <w:t>S</w:t>
      </w:r>
      <w:r w:rsidR="00234DF1" w:rsidRPr="00193B16">
        <w:t xml:space="preserve">tatement of </w:t>
      </w:r>
      <w:r w:rsidR="00E303FE" w:rsidRPr="00193B16">
        <w:t>F</w:t>
      </w:r>
      <w:r w:rsidR="00234DF1" w:rsidRPr="00193B16">
        <w:t xml:space="preserve">inancial </w:t>
      </w:r>
      <w:r w:rsidR="00E303FE" w:rsidRPr="00193B16">
        <w:t>P</w:t>
      </w:r>
      <w:r w:rsidR="00234DF1" w:rsidRPr="00193B16">
        <w:t xml:space="preserve">osition and </w:t>
      </w:r>
      <w:r w:rsidR="00E303FE" w:rsidRPr="00193B16">
        <w:t>S</w:t>
      </w:r>
      <w:r w:rsidR="00234DF1" w:rsidRPr="00193B16">
        <w:t xml:space="preserve">tatement of </w:t>
      </w:r>
      <w:r w:rsidR="00E303FE" w:rsidRPr="00193B16">
        <w:t>C</w:t>
      </w:r>
      <w:r w:rsidR="00234DF1" w:rsidRPr="00193B16">
        <w:t xml:space="preserve">omprehensive </w:t>
      </w:r>
      <w:r w:rsidR="00E303FE" w:rsidRPr="00193B16">
        <w:t>I</w:t>
      </w:r>
      <w:r w:rsidR="00234DF1" w:rsidRPr="00193B16">
        <w:t>ncome when there is a currently enforceable legal right to offset the recognised amounts and the Company intends to settle on a net basis or realise the asset and liability simultaneously.</w:t>
      </w:r>
    </w:p>
    <w:p w14:paraId="5B764A50" w14:textId="77777777" w:rsidR="00DE39FC" w:rsidRPr="00193B16" w:rsidRDefault="00DE39FC" w:rsidP="007B606F">
      <w:pPr>
        <w:pStyle w:val="Bodytext"/>
        <w:ind w:left="567"/>
        <w:jc w:val="both"/>
      </w:pPr>
    </w:p>
    <w:p w14:paraId="640DB9E0" w14:textId="77777777" w:rsidR="00234DF1" w:rsidRPr="00193B16" w:rsidRDefault="00234DF1" w:rsidP="007B606F">
      <w:pPr>
        <w:pStyle w:val="Heading3"/>
        <w:ind w:left="567"/>
        <w:jc w:val="both"/>
      </w:pPr>
      <w:r w:rsidRPr="00193B16">
        <w:t>Financial assets</w:t>
      </w:r>
    </w:p>
    <w:p w14:paraId="7DA0BCE8" w14:textId="41CD9654" w:rsidR="00234DF1" w:rsidRPr="00186C1D" w:rsidRDefault="00186C1D" w:rsidP="007B606F">
      <w:pPr>
        <w:pStyle w:val="wordsection1"/>
        <w:ind w:left="567"/>
        <w:jc w:val="both"/>
        <w:rPr>
          <w:rFonts w:ascii="Arial" w:hAnsi="Arial" w:cs="Arial"/>
          <w:sz w:val="20"/>
          <w:lang w:eastAsia="en-US"/>
        </w:rPr>
      </w:pPr>
      <w:r w:rsidRPr="00186C1D">
        <w:rPr>
          <w:rFonts w:ascii="Arial" w:hAnsi="Arial" w:cs="Arial"/>
          <w:sz w:val="20"/>
          <w:lang w:eastAsia="en-US"/>
        </w:rPr>
        <w:t>At initial recognition, financial assets are classified based on the Company’s business model for managing the financial assets and the contractual cash flow characteristics of the financial asset. The Company initially measures a financial asset at its fair value. The Company does not hold any</w:t>
      </w:r>
      <w:r w:rsidR="00ED411D">
        <w:rPr>
          <w:rFonts w:ascii="Arial" w:hAnsi="Arial" w:cs="Arial"/>
          <w:sz w:val="20"/>
          <w:lang w:eastAsia="en-US"/>
        </w:rPr>
        <w:t xml:space="preserve"> material</w:t>
      </w:r>
      <w:r w:rsidRPr="00186C1D">
        <w:rPr>
          <w:rFonts w:ascii="Arial" w:hAnsi="Arial" w:cs="Arial"/>
          <w:sz w:val="20"/>
          <w:lang w:eastAsia="en-US"/>
        </w:rPr>
        <w:t xml:space="preserve"> financial asset which gives rise to cash flows that are ‘solely payments of principal and interest (SPPI)’ and hence they are measured at FVTPL, irrespective of the business model.</w:t>
      </w:r>
      <w:r w:rsidR="00234DF1" w:rsidRPr="00186C1D">
        <w:rPr>
          <w:rFonts w:ascii="Arial" w:hAnsi="Arial" w:cs="Arial"/>
          <w:sz w:val="20"/>
          <w:lang w:eastAsia="en-US"/>
        </w:rPr>
        <w:t xml:space="preserve"> Fair value is defined as the price that would be received to sell an asset or paid to transfer a liability in an orderly transaction between market participants at the measurement date.</w:t>
      </w:r>
    </w:p>
    <w:p w14:paraId="5165154B" w14:textId="77777777" w:rsidR="00DE39FC" w:rsidRPr="00193B16" w:rsidRDefault="00DE39FC" w:rsidP="007B606F">
      <w:pPr>
        <w:pStyle w:val="Bodytext"/>
        <w:ind w:left="567"/>
        <w:jc w:val="both"/>
      </w:pPr>
    </w:p>
    <w:p w14:paraId="2DEEB04B" w14:textId="16171C9C" w:rsidR="00234DF1" w:rsidRPr="00193B16" w:rsidRDefault="00234DF1" w:rsidP="007B606F">
      <w:pPr>
        <w:pStyle w:val="Bodytext"/>
        <w:ind w:left="907" w:hanging="340"/>
        <w:jc w:val="both"/>
        <w:rPr>
          <w:b/>
          <w:i/>
        </w:rPr>
      </w:pPr>
      <w:r w:rsidRPr="00193B16">
        <w:rPr>
          <w:b/>
          <w:i/>
        </w:rPr>
        <w:t>a)</w:t>
      </w:r>
      <w:r w:rsidRPr="00193B16">
        <w:rPr>
          <w:b/>
          <w:i/>
        </w:rPr>
        <w:tab/>
        <w:t>Investment at fair value through profit or loss</w:t>
      </w:r>
    </w:p>
    <w:p w14:paraId="38EE031D" w14:textId="77777777" w:rsidR="00234DF1" w:rsidRPr="00193B16" w:rsidRDefault="00234DF1" w:rsidP="007B606F">
      <w:pPr>
        <w:pStyle w:val="Bodytext"/>
        <w:ind w:left="1247" w:hanging="340"/>
        <w:jc w:val="both"/>
        <w:rPr>
          <w:i/>
        </w:rPr>
      </w:pPr>
      <w:r w:rsidRPr="00193B16">
        <w:rPr>
          <w:i/>
        </w:rPr>
        <w:t>i.</w:t>
      </w:r>
      <w:r w:rsidRPr="00193B16">
        <w:rPr>
          <w:i/>
        </w:rPr>
        <w:tab/>
        <w:t>Classification</w:t>
      </w:r>
    </w:p>
    <w:p w14:paraId="1DFA4F85" w14:textId="24A94110" w:rsidR="00DE39FC" w:rsidRPr="00193B16" w:rsidRDefault="00186C1D" w:rsidP="007B606F">
      <w:pPr>
        <w:pStyle w:val="Bodytext"/>
        <w:ind w:left="1247"/>
        <w:jc w:val="both"/>
      </w:pPr>
      <w:r w:rsidRPr="00982ACF">
        <w:t xml:space="preserve">Financial assets classified at FVTPL are those that are managed and their performance evaluated on a fair value basis in accordance with the Company’s investment strategy. </w:t>
      </w:r>
      <w:r w:rsidR="007311F5" w:rsidRPr="00982ACF">
        <w:t>T</w:t>
      </w:r>
      <w:r w:rsidR="00234DF1" w:rsidRPr="00982ACF">
        <w:t xml:space="preserve">he </w:t>
      </w:r>
      <w:r w:rsidR="00234DF1" w:rsidRPr="00193B16">
        <w:t>Company</w:t>
      </w:r>
      <w:r>
        <w:t xml:space="preserve"> includes in this category its only</w:t>
      </w:r>
      <w:r w:rsidR="00234DF1" w:rsidRPr="00193B16">
        <w:t xml:space="preserve"> </w:t>
      </w:r>
      <w:r w:rsidR="00B42896" w:rsidRPr="00193B16">
        <w:t>investment</w:t>
      </w:r>
      <w:r>
        <w:t>,</w:t>
      </w:r>
      <w:r w:rsidR="00B42896" w:rsidRPr="00193B16">
        <w:t xml:space="preserve"> </w:t>
      </w:r>
      <w:r>
        <w:t>being</w:t>
      </w:r>
      <w:r w:rsidR="00B42896" w:rsidRPr="00193B16">
        <w:t xml:space="preserve"> the Partnership</w:t>
      </w:r>
      <w:r w:rsidR="00234DF1" w:rsidRPr="00193B16">
        <w:t>.</w:t>
      </w:r>
    </w:p>
    <w:p w14:paraId="26C96EF2" w14:textId="77777777" w:rsidR="00234DF1" w:rsidRPr="00193B16" w:rsidRDefault="00234DF1" w:rsidP="007B606F">
      <w:pPr>
        <w:pStyle w:val="Bodytext"/>
        <w:ind w:left="1247"/>
        <w:jc w:val="both"/>
      </w:pPr>
    </w:p>
    <w:p w14:paraId="6CF0D973" w14:textId="77777777" w:rsidR="009B7F3B" w:rsidRPr="00193B16" w:rsidRDefault="00234DF1" w:rsidP="007B606F">
      <w:pPr>
        <w:pStyle w:val="Bodytext"/>
        <w:ind w:left="1247" w:hanging="340"/>
        <w:jc w:val="both"/>
        <w:rPr>
          <w:i/>
        </w:rPr>
      </w:pPr>
      <w:r w:rsidRPr="00193B16">
        <w:rPr>
          <w:i/>
        </w:rPr>
        <w:t>ii.</w:t>
      </w:r>
      <w:r w:rsidRPr="00193B16">
        <w:rPr>
          <w:i/>
        </w:rPr>
        <w:tab/>
      </w:r>
      <w:r w:rsidR="009B7F3B" w:rsidRPr="00193B16">
        <w:rPr>
          <w:i/>
        </w:rPr>
        <w:t>Measurement</w:t>
      </w:r>
    </w:p>
    <w:p w14:paraId="6ED2F82D" w14:textId="79682EF9" w:rsidR="009B7F3B" w:rsidRPr="00193B16" w:rsidRDefault="00FA25B8" w:rsidP="007B606F">
      <w:pPr>
        <w:pStyle w:val="Bodytext"/>
        <w:ind w:left="1247"/>
        <w:jc w:val="both"/>
      </w:pPr>
      <w:r w:rsidRPr="00193B16">
        <w:t xml:space="preserve">Investments </w:t>
      </w:r>
      <w:r w:rsidR="009B7F3B" w:rsidRPr="00193B16">
        <w:t xml:space="preserve">made by the Company in the Partnership are measured </w:t>
      </w:r>
      <w:r w:rsidR="00BF6A7E" w:rsidRPr="00193B16">
        <w:t xml:space="preserve">initially and subsequently </w:t>
      </w:r>
      <w:r w:rsidR="009B7F3B" w:rsidRPr="00193B16">
        <w:t>at fair value</w:t>
      </w:r>
      <w:r w:rsidR="00BF6A7E" w:rsidRPr="00193B16">
        <w:t>, with changes in fair value taken to the Statement of Comprehensive Income</w:t>
      </w:r>
      <w:r w:rsidR="009B7F3B" w:rsidRPr="00193B16">
        <w:t>.</w:t>
      </w:r>
    </w:p>
    <w:p w14:paraId="4196B908" w14:textId="77777777" w:rsidR="00234DF1" w:rsidRPr="00193B16" w:rsidRDefault="00234DF1" w:rsidP="007B606F">
      <w:pPr>
        <w:pStyle w:val="Bodytext"/>
        <w:ind w:left="1247" w:hanging="340"/>
        <w:jc w:val="both"/>
      </w:pPr>
    </w:p>
    <w:p w14:paraId="4E454E68" w14:textId="2EA035E1" w:rsidR="00234DF1" w:rsidRPr="00193B16" w:rsidRDefault="00234DF1" w:rsidP="007B606F">
      <w:pPr>
        <w:pStyle w:val="Bodytext"/>
        <w:ind w:left="1247" w:hanging="340"/>
        <w:jc w:val="both"/>
        <w:rPr>
          <w:i/>
        </w:rPr>
      </w:pPr>
      <w:r w:rsidRPr="00193B16">
        <w:rPr>
          <w:i/>
        </w:rPr>
        <w:t>i</w:t>
      </w:r>
      <w:r w:rsidR="007311F5" w:rsidRPr="00193B16">
        <w:rPr>
          <w:i/>
        </w:rPr>
        <w:t>ii</w:t>
      </w:r>
      <w:r w:rsidRPr="00193B16">
        <w:rPr>
          <w:i/>
        </w:rPr>
        <w:t>.</w:t>
      </w:r>
      <w:r w:rsidRPr="00193B16">
        <w:rPr>
          <w:i/>
        </w:rPr>
        <w:tab/>
        <w:t>Fair value estimation</w:t>
      </w:r>
    </w:p>
    <w:p w14:paraId="53DDD834" w14:textId="77777777" w:rsidR="00234DF1" w:rsidRPr="00193B16" w:rsidRDefault="00234DF1" w:rsidP="007B606F">
      <w:pPr>
        <w:pStyle w:val="Bodytext"/>
        <w:ind w:left="1247"/>
        <w:jc w:val="both"/>
      </w:pPr>
      <w:r w:rsidRPr="00193B16">
        <w:t>A summary of the more relevant aspects of IPEV valuations is set out below:</w:t>
      </w:r>
    </w:p>
    <w:p w14:paraId="00BC165D" w14:textId="77777777" w:rsidR="00DE39FC" w:rsidRPr="00193B16" w:rsidRDefault="00DE39FC" w:rsidP="007B606F">
      <w:pPr>
        <w:pStyle w:val="Bodytext"/>
        <w:ind w:left="1247"/>
        <w:jc w:val="both"/>
      </w:pPr>
    </w:p>
    <w:p w14:paraId="4AB2AE99" w14:textId="77777777" w:rsidR="00234DF1" w:rsidRPr="00193B16" w:rsidRDefault="00234DF1" w:rsidP="007B606F">
      <w:pPr>
        <w:pStyle w:val="Bodytext"/>
        <w:ind w:left="1247"/>
        <w:jc w:val="both"/>
      </w:pPr>
      <w:r w:rsidRPr="00193B16">
        <w:t xml:space="preserve">Marketable (Listed) Securities – where an active market exists for the security, the value is stated at the bid price on the last trading day in the period. Marketability discounts are not generally applied unless there is some contractual, governmental or other legally enforceable restriction preventing realisation at the reporting date. </w:t>
      </w:r>
    </w:p>
    <w:p w14:paraId="43E101FE" w14:textId="77777777" w:rsidR="00DE39FC" w:rsidRPr="00193B16" w:rsidRDefault="00DE39FC" w:rsidP="007B606F">
      <w:pPr>
        <w:pStyle w:val="Bodytext"/>
        <w:ind w:left="1247"/>
        <w:jc w:val="both"/>
      </w:pPr>
    </w:p>
    <w:p w14:paraId="2A164D7C" w14:textId="0DBD0188" w:rsidR="00DE39FC" w:rsidRPr="00193B16" w:rsidRDefault="00D8581E" w:rsidP="007B606F">
      <w:pPr>
        <w:pStyle w:val="Bodytext"/>
        <w:ind w:left="1247"/>
        <w:jc w:val="both"/>
        <w:rPr>
          <w:rFonts w:eastAsia="Times New Roman" w:cs="Times New Roman"/>
        </w:rPr>
      </w:pPr>
      <w:r w:rsidRPr="00193B16">
        <w:rPr>
          <w:rFonts w:eastAsia="Times New Roman" w:cs="Times New Roman"/>
        </w:rPr>
        <w:t>Unlisted Investments – are carried at such fair value as the Investment Manager considers appropriate</w:t>
      </w:r>
      <w:r w:rsidR="006A20C7" w:rsidRPr="00193B16">
        <w:rPr>
          <w:rFonts w:eastAsia="Times New Roman" w:cs="Times New Roman"/>
        </w:rPr>
        <w:t>, and as approved or adjusted by the Board, taking into account</w:t>
      </w:r>
      <w:r w:rsidRPr="00193B16">
        <w:rPr>
          <w:rFonts w:eastAsia="Times New Roman" w:cs="Times New Roman"/>
        </w:rPr>
        <w:t xml:space="preserve"> the performance of each investee company and the exercise of ratchets, options or other incentive schemes. Methodologies used in arriving at the fair value include prices of recent investment, earnings multiples, net assets, discounted cash flows analysis and industry valuation benchmarks. Valuations may be derived by reference to observable valuation measures for comparable companies or transactions (examples include discount rates, forward oil prices, production multiples and multiplying a key performance metric of the investee company such as EBITDA by a relevant valuation multiple observed in the range of comparable companies or transactions), adjusted for differences between the investment and the referenced comparable. </w:t>
      </w:r>
    </w:p>
    <w:p w14:paraId="25C26C11" w14:textId="77777777" w:rsidR="00A70D45" w:rsidRPr="00193B16" w:rsidRDefault="00A70D45" w:rsidP="007B606F">
      <w:pPr>
        <w:pStyle w:val="Bodytext"/>
        <w:ind w:left="1247"/>
        <w:jc w:val="both"/>
        <w:rPr>
          <w:rFonts w:eastAsia="Times New Roman" w:cs="Times New Roman"/>
        </w:rPr>
      </w:pPr>
    </w:p>
    <w:p w14:paraId="2EB892F5" w14:textId="3712B1B3" w:rsidR="00A70D45" w:rsidRPr="00193B16" w:rsidRDefault="00A70D45" w:rsidP="007B606F">
      <w:pPr>
        <w:pStyle w:val="Bodytext"/>
        <w:ind w:left="1247"/>
        <w:jc w:val="both"/>
        <w:rPr>
          <w:rFonts w:eastAsia="Times New Roman" w:cs="Times New Roman"/>
        </w:rPr>
      </w:pPr>
      <w:r w:rsidRPr="00193B16">
        <w:rPr>
          <w:rFonts w:eastAsia="Times New Roman" w:cs="Times New Roman"/>
        </w:rPr>
        <w:t xml:space="preserve">The Company </w:t>
      </w:r>
      <w:r w:rsidR="00767FB1" w:rsidRPr="00193B16">
        <w:rPr>
          <w:rFonts w:eastAsia="Times New Roman" w:cs="Times New Roman"/>
        </w:rPr>
        <w:t xml:space="preserve">has determined that the fair value of its investment in the Partnership is </w:t>
      </w:r>
      <w:r w:rsidR="00DB2A5B" w:rsidRPr="00193B16">
        <w:rPr>
          <w:rFonts w:eastAsia="Times New Roman" w:cs="Times New Roman"/>
        </w:rPr>
        <w:t>$</w:t>
      </w:r>
      <w:r w:rsidR="003E45C9">
        <w:rPr>
          <w:rFonts w:eastAsia="Times New Roman" w:cs="Times New Roman"/>
        </w:rPr>
        <w:t>773</w:t>
      </w:r>
      <w:r w:rsidR="00DB2A5B" w:rsidRPr="00193B16">
        <w:rPr>
          <w:rFonts w:eastAsia="Times New Roman" w:cs="Times New Roman"/>
        </w:rPr>
        <w:t xml:space="preserve"> </w:t>
      </w:r>
      <w:r w:rsidR="000E5D51" w:rsidRPr="00193B16">
        <w:rPr>
          <w:rFonts w:eastAsia="Times New Roman" w:cs="Times New Roman"/>
        </w:rPr>
        <w:t>million</w:t>
      </w:r>
      <w:r w:rsidR="00331349" w:rsidRPr="00193B16">
        <w:rPr>
          <w:rFonts w:eastAsia="Times New Roman" w:cs="Times New Roman"/>
        </w:rPr>
        <w:t xml:space="preserve"> (</w:t>
      </w:r>
      <w:r w:rsidR="00610498" w:rsidRPr="00193B16">
        <w:rPr>
          <w:rFonts w:eastAsia="Times New Roman" w:cs="Times New Roman"/>
        </w:rPr>
        <w:t>31 December 201</w:t>
      </w:r>
      <w:r w:rsidR="00193B16">
        <w:rPr>
          <w:rFonts w:eastAsia="Times New Roman" w:cs="Times New Roman"/>
        </w:rPr>
        <w:t>8</w:t>
      </w:r>
      <w:r w:rsidR="00331349" w:rsidRPr="00193B16">
        <w:rPr>
          <w:rFonts w:eastAsia="Times New Roman" w:cs="Times New Roman"/>
        </w:rPr>
        <w:t>: $1,</w:t>
      </w:r>
      <w:r w:rsidR="00193B16">
        <w:rPr>
          <w:rFonts w:eastAsia="Times New Roman" w:cs="Times New Roman"/>
        </w:rPr>
        <w:t>429</w:t>
      </w:r>
      <w:r w:rsidR="00331349" w:rsidRPr="00193B16">
        <w:rPr>
          <w:rFonts w:eastAsia="Times New Roman" w:cs="Times New Roman"/>
        </w:rPr>
        <w:t xml:space="preserve"> million)</w:t>
      </w:r>
      <w:r w:rsidR="00767FB1" w:rsidRPr="00193B16">
        <w:rPr>
          <w:rFonts w:eastAsia="Times New Roman" w:cs="Times New Roman"/>
        </w:rPr>
        <w:t xml:space="preserve"> and is calculated in accordance with applicable IFRS accounting standards and IPEV Valuation Guidelines. </w:t>
      </w:r>
      <w:r w:rsidR="00A1471A" w:rsidRPr="00193B16">
        <w:t>No adjustment to the net asset value of the Partnership has been made, as this is deemed equivalent to fair value.</w:t>
      </w:r>
    </w:p>
    <w:p w14:paraId="4D6A6066" w14:textId="77777777" w:rsidR="00DE39FC" w:rsidRPr="00193B16" w:rsidRDefault="00DE39FC" w:rsidP="007B606F">
      <w:pPr>
        <w:pStyle w:val="Bodytext"/>
        <w:ind w:left="567"/>
        <w:jc w:val="both"/>
      </w:pPr>
    </w:p>
    <w:p w14:paraId="05010239" w14:textId="31032E56" w:rsidR="00234DF1" w:rsidRPr="00193B16" w:rsidRDefault="00446EF8" w:rsidP="007B606F">
      <w:pPr>
        <w:pStyle w:val="Bodytext"/>
        <w:ind w:left="900" w:hanging="360"/>
        <w:jc w:val="both"/>
        <w:rPr>
          <w:b/>
          <w:i/>
        </w:rPr>
      </w:pPr>
      <w:r w:rsidRPr="00193B16">
        <w:rPr>
          <w:b/>
          <w:i/>
        </w:rPr>
        <w:t>b</w:t>
      </w:r>
      <w:r w:rsidR="00234DF1" w:rsidRPr="00193B16">
        <w:rPr>
          <w:b/>
          <w:i/>
        </w:rPr>
        <w:t>)</w:t>
      </w:r>
      <w:r w:rsidR="00234DF1" w:rsidRPr="00193B16">
        <w:rPr>
          <w:b/>
          <w:i/>
        </w:rPr>
        <w:tab/>
        <w:t>Cash and cash equivalents</w:t>
      </w:r>
    </w:p>
    <w:p w14:paraId="12BEFE08" w14:textId="2CDEF979" w:rsidR="00552CA0" w:rsidRPr="00193B16" w:rsidRDefault="00234DF1" w:rsidP="007B606F">
      <w:pPr>
        <w:pStyle w:val="Bodytext"/>
        <w:ind w:left="1260"/>
        <w:jc w:val="both"/>
      </w:pPr>
      <w:r w:rsidRPr="00193B16">
        <w:t>Cash and cash equivalents comprise cash on hand and demand deposits and other short-term highly liquid investments with an original maturity of three months or less that are readily convertible to a known amount of cash and are subject to an insignificant risk of changes in value.</w:t>
      </w:r>
    </w:p>
    <w:p w14:paraId="011569E8" w14:textId="2D8C9FAE" w:rsidR="00BF6A7E" w:rsidRPr="00193B16" w:rsidRDefault="00BF6A7E" w:rsidP="007B606F">
      <w:pPr>
        <w:pStyle w:val="Bodytext"/>
        <w:ind w:left="1260"/>
        <w:jc w:val="both"/>
      </w:pPr>
    </w:p>
    <w:p w14:paraId="5B5E24E3" w14:textId="242B5527" w:rsidR="00BF6A7E" w:rsidRPr="00193B16" w:rsidRDefault="00BF6A7E" w:rsidP="007B606F">
      <w:pPr>
        <w:pStyle w:val="Bodytext"/>
        <w:ind w:left="900" w:hanging="360"/>
        <w:jc w:val="both"/>
        <w:rPr>
          <w:b/>
          <w:i/>
        </w:rPr>
      </w:pPr>
      <w:r w:rsidRPr="00193B16">
        <w:rPr>
          <w:b/>
          <w:i/>
        </w:rPr>
        <w:t>c)</w:t>
      </w:r>
      <w:r w:rsidRPr="00193B16">
        <w:rPr>
          <w:b/>
          <w:i/>
        </w:rPr>
        <w:tab/>
        <w:t>Trade receivables</w:t>
      </w:r>
    </w:p>
    <w:p w14:paraId="61FFAF21" w14:textId="77777777" w:rsidR="00BF6A7E" w:rsidRPr="00193B16" w:rsidRDefault="00BF6A7E" w:rsidP="007B606F">
      <w:pPr>
        <w:pStyle w:val="Bodytext"/>
        <w:ind w:left="1247"/>
        <w:jc w:val="both"/>
      </w:pPr>
      <w:r w:rsidRPr="00193B16">
        <w:t>Trade receivables are classified as financial assets at amortised cost.  They are measured at amortised cost less impairment assessed using the simplified approach of the expected credit loss model based on experience of previous losses and expectations of future losses.</w:t>
      </w:r>
    </w:p>
    <w:p w14:paraId="3918D198" w14:textId="673B1E20" w:rsidR="004F6DDF" w:rsidRPr="00193B16" w:rsidRDefault="002F6F5D" w:rsidP="007B606F">
      <w:pPr>
        <w:pStyle w:val="Bodytext"/>
        <w:ind w:left="1247"/>
        <w:jc w:val="both"/>
      </w:pPr>
      <w:r w:rsidRPr="00193B16">
        <w:tab/>
      </w:r>
    </w:p>
    <w:p w14:paraId="0289A852" w14:textId="77777777" w:rsidR="000206FA" w:rsidRPr="00193B16" w:rsidRDefault="000206FA" w:rsidP="007B606F">
      <w:pPr>
        <w:pStyle w:val="Bodytext"/>
        <w:spacing w:after="80"/>
        <w:ind w:left="540"/>
        <w:jc w:val="both"/>
      </w:pPr>
      <w:r w:rsidRPr="00193B16">
        <w:t>A financial asset is derecognised (in whole or in part) either:</w:t>
      </w:r>
    </w:p>
    <w:p w14:paraId="760B1526" w14:textId="77777777" w:rsidR="000206FA" w:rsidRPr="00193B16" w:rsidRDefault="000206FA" w:rsidP="007B606F">
      <w:pPr>
        <w:pStyle w:val="Bodytext"/>
        <w:numPr>
          <w:ilvl w:val="0"/>
          <w:numId w:val="14"/>
        </w:numPr>
        <w:tabs>
          <w:tab w:val="left" w:pos="810"/>
        </w:tabs>
        <w:spacing w:after="80"/>
        <w:ind w:left="810" w:hanging="270"/>
        <w:jc w:val="both"/>
      </w:pPr>
      <w:r w:rsidRPr="00193B16">
        <w:t>when the Company has transferred substantially all the risks and rewards of ownership; or</w:t>
      </w:r>
    </w:p>
    <w:p w14:paraId="223737F6" w14:textId="77777777" w:rsidR="000206FA" w:rsidRPr="00193B16" w:rsidRDefault="000206FA" w:rsidP="007B606F">
      <w:pPr>
        <w:pStyle w:val="Bodytext"/>
        <w:numPr>
          <w:ilvl w:val="0"/>
          <w:numId w:val="14"/>
        </w:numPr>
        <w:tabs>
          <w:tab w:val="left" w:pos="810"/>
        </w:tabs>
        <w:spacing w:after="80"/>
        <w:ind w:left="810" w:hanging="270"/>
        <w:jc w:val="both"/>
      </w:pPr>
      <w:r w:rsidRPr="00193B16">
        <w:t>when it has neither transferred nor retained substantially all the risks and rewards and when it no longer has control over the assets or a portion of the asset; or</w:t>
      </w:r>
    </w:p>
    <w:p w14:paraId="3B6AAB04" w14:textId="77777777" w:rsidR="000206FA" w:rsidRPr="00193B16" w:rsidRDefault="000206FA" w:rsidP="007B606F">
      <w:pPr>
        <w:pStyle w:val="Bodytext"/>
        <w:numPr>
          <w:ilvl w:val="0"/>
          <w:numId w:val="14"/>
        </w:numPr>
        <w:tabs>
          <w:tab w:val="left" w:pos="810"/>
        </w:tabs>
        <w:ind w:left="810" w:hanging="270"/>
        <w:jc w:val="both"/>
      </w:pPr>
      <w:r w:rsidRPr="00193B16">
        <w:t>when the contractual right to receive cash flow has expired.</w:t>
      </w:r>
    </w:p>
    <w:p w14:paraId="062F7958" w14:textId="28EE6858" w:rsidR="000206FA" w:rsidRPr="00193B16" w:rsidRDefault="000206FA" w:rsidP="00EB7E49">
      <w:pPr>
        <w:pStyle w:val="Heading3"/>
        <w:ind w:left="567"/>
      </w:pPr>
    </w:p>
    <w:p w14:paraId="75359000" w14:textId="628A75B7" w:rsidR="00BF6A7E" w:rsidRPr="00193B16" w:rsidRDefault="00BF6A7E" w:rsidP="00BF6A7E">
      <w:pPr>
        <w:pStyle w:val="Heading3"/>
        <w:ind w:left="567"/>
      </w:pPr>
      <w:r w:rsidRPr="00193B16">
        <w:t>Financial liabilities</w:t>
      </w:r>
    </w:p>
    <w:p w14:paraId="74D2D135" w14:textId="77777777" w:rsidR="00BF6A7E" w:rsidRPr="00193B16" w:rsidRDefault="00BF6A7E" w:rsidP="00BF6A7E"/>
    <w:p w14:paraId="22E24989" w14:textId="77777777" w:rsidR="00BF6A7E" w:rsidRPr="00193B16" w:rsidRDefault="00BF6A7E" w:rsidP="00C32021">
      <w:pPr>
        <w:pStyle w:val="Bodytext"/>
        <w:ind w:left="1276" w:hanging="709"/>
        <w:jc w:val="both"/>
        <w:rPr>
          <w:b/>
          <w:i/>
        </w:rPr>
      </w:pPr>
      <w:r w:rsidRPr="00193B16">
        <w:rPr>
          <w:b/>
          <w:i/>
        </w:rPr>
        <w:t>a)         Trade payables</w:t>
      </w:r>
    </w:p>
    <w:p w14:paraId="5E2BD839" w14:textId="58F72FF9" w:rsidR="00BF6A7E" w:rsidRPr="00193B16" w:rsidRDefault="00BF6A7E" w:rsidP="00C32021">
      <w:pPr>
        <w:pStyle w:val="Bodytext"/>
        <w:ind w:left="1276"/>
        <w:jc w:val="both"/>
      </w:pPr>
      <w:r w:rsidRPr="00193B16">
        <w:t xml:space="preserve">Trade payables are classified as financial liabilities at amortised cost.  </w:t>
      </w:r>
    </w:p>
    <w:p w14:paraId="5D25CC43" w14:textId="0E1A0D72" w:rsidR="00BF6A7E" w:rsidRPr="00193B16" w:rsidRDefault="00BF6A7E" w:rsidP="00C32021">
      <w:pPr>
        <w:jc w:val="both"/>
      </w:pPr>
    </w:p>
    <w:p w14:paraId="18827F7F" w14:textId="77777777" w:rsidR="00BF6A7E" w:rsidRPr="00193B16" w:rsidRDefault="00BF6A7E" w:rsidP="00C32021">
      <w:pPr>
        <w:jc w:val="both"/>
      </w:pPr>
    </w:p>
    <w:p w14:paraId="082D85E5" w14:textId="77777777" w:rsidR="00234DF1" w:rsidRPr="00193B16" w:rsidRDefault="00234DF1" w:rsidP="00C32021">
      <w:pPr>
        <w:pStyle w:val="Heading3"/>
        <w:ind w:left="567"/>
        <w:jc w:val="both"/>
      </w:pPr>
      <w:r w:rsidRPr="00193B16">
        <w:t>Equity</w:t>
      </w:r>
    </w:p>
    <w:p w14:paraId="55765537" w14:textId="73829E3C" w:rsidR="00234DF1" w:rsidRPr="00193B16" w:rsidRDefault="00234DF1" w:rsidP="00C32021">
      <w:pPr>
        <w:pStyle w:val="Bodytext"/>
        <w:ind w:left="567"/>
        <w:jc w:val="both"/>
      </w:pPr>
      <w:r w:rsidRPr="00193B16">
        <w:t>The Company’s Ordinary Shares are classified as equity and upon issuance</w:t>
      </w:r>
      <w:r w:rsidR="00F3022B" w:rsidRPr="00193B16">
        <w:t>,</w:t>
      </w:r>
      <w:r w:rsidRPr="00193B16">
        <w:t xml:space="preserve"> the fair value of the consideration received is included in equity</w:t>
      </w:r>
      <w:r w:rsidR="009C2B2B" w:rsidRPr="00193B16">
        <w:t xml:space="preserve">, net of share issue costs (excluding share issue costs of </w:t>
      </w:r>
      <w:r w:rsidR="00F3022B" w:rsidRPr="00193B16">
        <w:t xml:space="preserve">the </w:t>
      </w:r>
      <w:r w:rsidR="009C2B2B" w:rsidRPr="00193B16">
        <w:t>IPO)</w:t>
      </w:r>
      <w:r w:rsidRPr="00193B16">
        <w:t xml:space="preserve">. All </w:t>
      </w:r>
      <w:r w:rsidR="009C2B2B" w:rsidRPr="00193B16">
        <w:t>formation and initial expenses of the Company</w:t>
      </w:r>
      <w:r w:rsidRPr="00193B16">
        <w:t>, including</w:t>
      </w:r>
      <w:r w:rsidR="009C2B2B" w:rsidRPr="00193B16">
        <w:t xml:space="preserve"> the</w:t>
      </w:r>
      <w:r w:rsidRPr="00193B16">
        <w:t xml:space="preserve"> share issue costs</w:t>
      </w:r>
      <w:r w:rsidR="009C2B2B" w:rsidRPr="00193B16">
        <w:t xml:space="preserve"> of</w:t>
      </w:r>
      <w:r w:rsidR="00F3022B" w:rsidRPr="00193B16">
        <w:t xml:space="preserve"> its</w:t>
      </w:r>
      <w:r w:rsidR="009C2B2B" w:rsidRPr="00193B16">
        <w:t xml:space="preserve"> IPO,</w:t>
      </w:r>
      <w:r w:rsidRPr="00193B16">
        <w:t xml:space="preserve"> have been borne by the Investment Manager. In the event that the Investment Management Agreement terminates, </w:t>
      </w:r>
      <w:r w:rsidR="009B7F3B" w:rsidRPr="00193B16">
        <w:t>the Company</w:t>
      </w:r>
      <w:r w:rsidRPr="00193B16">
        <w:t xml:space="preserve"> would become liable for those costs. For further details please see Note </w:t>
      </w:r>
      <w:r w:rsidR="005F4790" w:rsidRPr="00193B16">
        <w:t>9</w:t>
      </w:r>
      <w:r w:rsidRPr="00193B16">
        <w:t>.</w:t>
      </w:r>
      <w:r w:rsidR="009C2B2B" w:rsidRPr="00193B16">
        <w:t xml:space="preserve"> </w:t>
      </w:r>
    </w:p>
    <w:p w14:paraId="37B01392" w14:textId="77777777" w:rsidR="00234DF1" w:rsidRPr="00193B16" w:rsidRDefault="00234DF1" w:rsidP="00C32021">
      <w:pPr>
        <w:pStyle w:val="Bodytext"/>
        <w:ind w:left="567"/>
        <w:jc w:val="both"/>
      </w:pPr>
    </w:p>
    <w:p w14:paraId="55AD069E" w14:textId="77777777" w:rsidR="00234DF1" w:rsidRPr="00193B16" w:rsidRDefault="00234DF1" w:rsidP="00C32021">
      <w:pPr>
        <w:pStyle w:val="Heading3"/>
        <w:ind w:left="567"/>
        <w:jc w:val="both"/>
      </w:pPr>
      <w:r w:rsidRPr="00193B16">
        <w:t>Finance income</w:t>
      </w:r>
    </w:p>
    <w:p w14:paraId="69E3B456" w14:textId="78D0FB49" w:rsidR="00234DF1" w:rsidRPr="00193B16" w:rsidRDefault="00BF6A7E" w:rsidP="00C32021">
      <w:pPr>
        <w:pStyle w:val="Bodytext"/>
        <w:ind w:left="567"/>
        <w:jc w:val="both"/>
      </w:pPr>
      <w:r w:rsidRPr="00193B16">
        <w:t>I</w:t>
      </w:r>
      <w:r w:rsidR="00234DF1" w:rsidRPr="00193B16">
        <w:t>nterest income is recognised on a time apportioned basis.</w:t>
      </w:r>
    </w:p>
    <w:p w14:paraId="5F8A3862" w14:textId="77777777" w:rsidR="00196E67" w:rsidRPr="00193B16" w:rsidRDefault="00196E67" w:rsidP="00C32021">
      <w:pPr>
        <w:pStyle w:val="Bodytext"/>
        <w:ind w:left="567"/>
        <w:jc w:val="both"/>
      </w:pPr>
    </w:p>
    <w:p w14:paraId="54A1EC14" w14:textId="77777777" w:rsidR="00234DF1" w:rsidRPr="00193B16" w:rsidRDefault="00234DF1" w:rsidP="00C32021">
      <w:pPr>
        <w:pStyle w:val="Heading3"/>
        <w:ind w:left="567"/>
        <w:jc w:val="both"/>
      </w:pPr>
      <w:r w:rsidRPr="00193B16">
        <w:t>Expenses</w:t>
      </w:r>
    </w:p>
    <w:p w14:paraId="6930E6C6" w14:textId="70B31932" w:rsidR="00234DF1" w:rsidRPr="00193B16" w:rsidRDefault="00234DF1" w:rsidP="00C32021">
      <w:pPr>
        <w:pStyle w:val="Bodytext"/>
        <w:ind w:left="567"/>
        <w:jc w:val="both"/>
      </w:pPr>
      <w:r w:rsidRPr="00193B16">
        <w:t xml:space="preserve">Expenses include legal, accounting, auditing and other operating expenses. They are recognised </w:t>
      </w:r>
      <w:r w:rsidR="002A142F" w:rsidRPr="00193B16">
        <w:t xml:space="preserve">on an accruals basis </w:t>
      </w:r>
      <w:r w:rsidRPr="00193B16">
        <w:t>in the Statement of Comprehensive Income in the period in which they are incurred.</w:t>
      </w:r>
    </w:p>
    <w:p w14:paraId="029678AB" w14:textId="77777777" w:rsidR="00A1471A" w:rsidRPr="003B6A80" w:rsidRDefault="00A1471A" w:rsidP="00C32021">
      <w:pPr>
        <w:pStyle w:val="Bodytext"/>
        <w:jc w:val="both"/>
        <w:rPr>
          <w:highlight w:val="yellow"/>
        </w:rPr>
      </w:pPr>
    </w:p>
    <w:p w14:paraId="50EFC94E" w14:textId="77777777" w:rsidR="00A1471A" w:rsidRPr="00193B16" w:rsidRDefault="00A1471A" w:rsidP="00C32021">
      <w:pPr>
        <w:jc w:val="both"/>
      </w:pPr>
    </w:p>
    <w:p w14:paraId="1A0A964C" w14:textId="77777777" w:rsidR="00A1471A" w:rsidRPr="00193B16" w:rsidDel="0057313F" w:rsidRDefault="00A1471A" w:rsidP="00C32021">
      <w:pPr>
        <w:pStyle w:val="Heading3"/>
        <w:ind w:left="567"/>
        <w:jc w:val="both"/>
      </w:pPr>
      <w:r w:rsidRPr="00193B16" w:rsidDel="0057313F">
        <w:t>Amended standards and interpretations not applied by the Company</w:t>
      </w:r>
    </w:p>
    <w:p w14:paraId="386CA53F" w14:textId="77777777" w:rsidR="00B22A0C" w:rsidRDefault="00B22A0C" w:rsidP="00C32021">
      <w:pPr>
        <w:pStyle w:val="Bodytext"/>
        <w:ind w:left="567"/>
        <w:jc w:val="both"/>
        <w:rPr>
          <w:rFonts w:eastAsiaTheme="minorEastAsia"/>
        </w:rPr>
      </w:pPr>
      <w:r>
        <w:t>The following are relevant amended standards and interpretations in issue effective from 1 January 2020:</w:t>
      </w:r>
    </w:p>
    <w:p w14:paraId="3B0C4039" w14:textId="77777777" w:rsidR="00B22A0C" w:rsidRDefault="00B22A0C" w:rsidP="00B22A0C">
      <w:pPr>
        <w:pStyle w:val="Bodytext"/>
        <w:ind w:left="567"/>
      </w:pPr>
    </w:p>
    <w:tbl>
      <w:tblPr>
        <w:tblW w:w="0" w:type="auto"/>
        <w:tblInd w:w="567" w:type="dxa"/>
        <w:tblCellMar>
          <w:left w:w="0" w:type="dxa"/>
          <w:right w:w="0" w:type="dxa"/>
        </w:tblCellMar>
        <w:tblLook w:val="04A0" w:firstRow="1" w:lastRow="0" w:firstColumn="1" w:lastColumn="0" w:noHBand="0" w:noVBand="1"/>
      </w:tblPr>
      <w:tblGrid>
        <w:gridCol w:w="1316"/>
        <w:gridCol w:w="5513"/>
        <w:gridCol w:w="1846"/>
      </w:tblGrid>
      <w:tr w:rsidR="00B22A0C" w14:paraId="44448266" w14:textId="77777777" w:rsidTr="00B22A0C">
        <w:tc>
          <w:tcPr>
            <w:tcW w:w="6829" w:type="dxa"/>
            <w:gridSpan w:val="2"/>
            <w:tcBorders>
              <w:top w:val="single" w:sz="8" w:space="0" w:color="auto"/>
              <w:left w:val="nil"/>
              <w:bottom w:val="single" w:sz="8" w:space="0" w:color="auto"/>
              <w:right w:val="nil"/>
            </w:tcBorders>
            <w:tcMar>
              <w:top w:w="0" w:type="dxa"/>
              <w:left w:w="108" w:type="dxa"/>
              <w:bottom w:w="0" w:type="dxa"/>
              <w:right w:w="108" w:type="dxa"/>
            </w:tcMar>
            <w:hideMark/>
          </w:tcPr>
          <w:p w14:paraId="6008987B" w14:textId="77777777" w:rsidR="00B22A0C" w:rsidRDefault="00B22A0C">
            <w:pPr>
              <w:pStyle w:val="Bodytext"/>
              <w:rPr>
                <w:b/>
                <w:bCs/>
              </w:rPr>
            </w:pPr>
            <w:r>
              <w:rPr>
                <w:b/>
                <w:bCs/>
              </w:rPr>
              <w:t>Amended standards and interpretations</w:t>
            </w:r>
          </w:p>
        </w:tc>
        <w:tc>
          <w:tcPr>
            <w:tcW w:w="1846" w:type="dxa"/>
            <w:tcBorders>
              <w:top w:val="single" w:sz="8" w:space="0" w:color="auto"/>
              <w:left w:val="nil"/>
              <w:bottom w:val="single" w:sz="8" w:space="0" w:color="auto"/>
              <w:right w:val="nil"/>
            </w:tcBorders>
            <w:tcMar>
              <w:top w:w="0" w:type="dxa"/>
              <w:left w:w="108" w:type="dxa"/>
              <w:bottom w:w="0" w:type="dxa"/>
              <w:right w:w="108" w:type="dxa"/>
            </w:tcMar>
            <w:vAlign w:val="center"/>
          </w:tcPr>
          <w:p w14:paraId="44CE955A" w14:textId="77777777" w:rsidR="00B22A0C" w:rsidRDefault="00B22A0C">
            <w:pPr>
              <w:pStyle w:val="Bodytext"/>
              <w:jc w:val="right"/>
            </w:pPr>
          </w:p>
        </w:tc>
      </w:tr>
      <w:tr w:rsidR="00B22A0C" w14:paraId="370C010D" w14:textId="77777777" w:rsidTr="00B22A0C">
        <w:tc>
          <w:tcPr>
            <w:tcW w:w="1316" w:type="dxa"/>
            <w:tcBorders>
              <w:top w:val="nil"/>
              <w:left w:val="nil"/>
              <w:bottom w:val="single" w:sz="8" w:space="0" w:color="auto"/>
              <w:right w:val="nil"/>
            </w:tcBorders>
            <w:tcMar>
              <w:top w:w="0" w:type="dxa"/>
              <w:left w:w="108" w:type="dxa"/>
              <w:bottom w:w="0" w:type="dxa"/>
              <w:right w:w="108" w:type="dxa"/>
            </w:tcMar>
            <w:hideMark/>
          </w:tcPr>
          <w:p w14:paraId="134B61B1" w14:textId="77777777" w:rsidR="00B22A0C" w:rsidRDefault="00B22A0C">
            <w:pPr>
              <w:pStyle w:val="Bodytext"/>
            </w:pPr>
            <w:r>
              <w:t>IFRS 3</w:t>
            </w:r>
          </w:p>
        </w:tc>
        <w:tc>
          <w:tcPr>
            <w:tcW w:w="5513" w:type="dxa"/>
            <w:tcBorders>
              <w:top w:val="nil"/>
              <w:left w:val="nil"/>
              <w:bottom w:val="single" w:sz="8" w:space="0" w:color="auto"/>
              <w:right w:val="nil"/>
            </w:tcBorders>
            <w:tcMar>
              <w:top w:w="0" w:type="dxa"/>
              <w:left w:w="108" w:type="dxa"/>
              <w:bottom w:w="0" w:type="dxa"/>
              <w:right w:w="108" w:type="dxa"/>
            </w:tcMar>
            <w:hideMark/>
          </w:tcPr>
          <w:p w14:paraId="4DEF8696" w14:textId="77777777" w:rsidR="00B22A0C" w:rsidRDefault="00B22A0C">
            <w:pPr>
              <w:pStyle w:val="Bodytext"/>
            </w:pPr>
            <w:r>
              <w:t>Definition of a Business</w:t>
            </w:r>
          </w:p>
        </w:tc>
        <w:tc>
          <w:tcPr>
            <w:tcW w:w="1846" w:type="dxa"/>
            <w:tcBorders>
              <w:top w:val="nil"/>
              <w:left w:val="nil"/>
              <w:bottom w:val="single" w:sz="8" w:space="0" w:color="auto"/>
              <w:right w:val="nil"/>
            </w:tcBorders>
            <w:tcMar>
              <w:top w:w="0" w:type="dxa"/>
              <w:left w:w="108" w:type="dxa"/>
              <w:bottom w:w="0" w:type="dxa"/>
              <w:right w:w="108" w:type="dxa"/>
            </w:tcMar>
            <w:hideMark/>
          </w:tcPr>
          <w:p w14:paraId="790B06AD" w14:textId="77777777" w:rsidR="00B22A0C" w:rsidRDefault="00B22A0C">
            <w:pPr>
              <w:pStyle w:val="Bodytext"/>
              <w:jc w:val="right"/>
            </w:pPr>
            <w:r>
              <w:t>1 January 2020</w:t>
            </w:r>
          </w:p>
        </w:tc>
      </w:tr>
      <w:tr w:rsidR="00B22A0C" w14:paraId="3EB51B1F" w14:textId="77777777" w:rsidTr="00B22A0C">
        <w:tc>
          <w:tcPr>
            <w:tcW w:w="1316" w:type="dxa"/>
            <w:tcBorders>
              <w:top w:val="nil"/>
              <w:left w:val="nil"/>
              <w:bottom w:val="single" w:sz="8" w:space="0" w:color="auto"/>
              <w:right w:val="nil"/>
            </w:tcBorders>
            <w:tcMar>
              <w:top w:w="0" w:type="dxa"/>
              <w:left w:w="108" w:type="dxa"/>
              <w:bottom w:w="0" w:type="dxa"/>
              <w:right w:w="108" w:type="dxa"/>
            </w:tcMar>
            <w:hideMark/>
          </w:tcPr>
          <w:p w14:paraId="44AABB60" w14:textId="77777777" w:rsidR="00B22A0C" w:rsidRDefault="00B22A0C">
            <w:pPr>
              <w:pStyle w:val="Bodytext"/>
            </w:pPr>
            <w:r>
              <w:lastRenderedPageBreak/>
              <w:t>IAS 1</w:t>
            </w:r>
          </w:p>
        </w:tc>
        <w:tc>
          <w:tcPr>
            <w:tcW w:w="5513" w:type="dxa"/>
            <w:tcBorders>
              <w:top w:val="nil"/>
              <w:left w:val="nil"/>
              <w:bottom w:val="single" w:sz="8" w:space="0" w:color="auto"/>
              <w:right w:val="nil"/>
            </w:tcBorders>
            <w:tcMar>
              <w:top w:w="0" w:type="dxa"/>
              <w:left w:w="108" w:type="dxa"/>
              <w:bottom w:w="0" w:type="dxa"/>
              <w:right w:w="108" w:type="dxa"/>
            </w:tcMar>
            <w:hideMark/>
          </w:tcPr>
          <w:p w14:paraId="64E330CF" w14:textId="77777777" w:rsidR="00B22A0C" w:rsidRDefault="00B22A0C">
            <w:pPr>
              <w:pStyle w:val="Bodytext"/>
            </w:pPr>
            <w:r>
              <w:t>Presentation of Financial statements (Amendments regarding the definition of material)</w:t>
            </w:r>
          </w:p>
        </w:tc>
        <w:tc>
          <w:tcPr>
            <w:tcW w:w="1846" w:type="dxa"/>
            <w:tcBorders>
              <w:top w:val="nil"/>
              <w:left w:val="nil"/>
              <w:bottom w:val="single" w:sz="8" w:space="0" w:color="auto"/>
              <w:right w:val="nil"/>
            </w:tcBorders>
            <w:tcMar>
              <w:top w:w="0" w:type="dxa"/>
              <w:left w:w="108" w:type="dxa"/>
              <w:bottom w:w="0" w:type="dxa"/>
              <w:right w:w="108" w:type="dxa"/>
            </w:tcMar>
            <w:hideMark/>
          </w:tcPr>
          <w:p w14:paraId="7AD4545B" w14:textId="77777777" w:rsidR="00B22A0C" w:rsidRDefault="00B22A0C">
            <w:pPr>
              <w:pStyle w:val="Bodytext"/>
              <w:jc w:val="right"/>
            </w:pPr>
            <w:r>
              <w:t>1 January 2020</w:t>
            </w:r>
          </w:p>
        </w:tc>
      </w:tr>
      <w:tr w:rsidR="00B22A0C" w14:paraId="586957D2" w14:textId="77777777" w:rsidTr="00B22A0C">
        <w:tc>
          <w:tcPr>
            <w:tcW w:w="1316" w:type="dxa"/>
            <w:tcBorders>
              <w:top w:val="nil"/>
              <w:left w:val="nil"/>
              <w:bottom w:val="single" w:sz="8" w:space="0" w:color="auto"/>
              <w:right w:val="nil"/>
            </w:tcBorders>
            <w:tcMar>
              <w:top w:w="0" w:type="dxa"/>
              <w:left w:w="108" w:type="dxa"/>
              <w:bottom w:w="0" w:type="dxa"/>
              <w:right w:w="108" w:type="dxa"/>
            </w:tcMar>
            <w:hideMark/>
          </w:tcPr>
          <w:p w14:paraId="44DE5C0A" w14:textId="77777777" w:rsidR="00B22A0C" w:rsidRDefault="00B22A0C">
            <w:pPr>
              <w:pStyle w:val="Bodytext"/>
            </w:pPr>
            <w:r>
              <w:t>IAS 8</w:t>
            </w:r>
          </w:p>
        </w:tc>
        <w:tc>
          <w:tcPr>
            <w:tcW w:w="5513" w:type="dxa"/>
            <w:tcBorders>
              <w:top w:val="nil"/>
              <w:left w:val="nil"/>
              <w:bottom w:val="single" w:sz="8" w:space="0" w:color="auto"/>
              <w:right w:val="nil"/>
            </w:tcBorders>
            <w:tcMar>
              <w:top w:w="0" w:type="dxa"/>
              <w:left w:w="108" w:type="dxa"/>
              <w:bottom w:w="0" w:type="dxa"/>
              <w:right w:w="108" w:type="dxa"/>
            </w:tcMar>
            <w:hideMark/>
          </w:tcPr>
          <w:p w14:paraId="217DB511" w14:textId="77777777" w:rsidR="00B22A0C" w:rsidRDefault="00B22A0C">
            <w:pPr>
              <w:pStyle w:val="Bodytext"/>
            </w:pPr>
            <w:r>
              <w:t>Accounting policies, Changes in Accounting Estimates and Errors (Amendments regarding the definition of material)</w:t>
            </w:r>
          </w:p>
        </w:tc>
        <w:tc>
          <w:tcPr>
            <w:tcW w:w="1846" w:type="dxa"/>
            <w:tcBorders>
              <w:top w:val="nil"/>
              <w:left w:val="nil"/>
              <w:bottom w:val="single" w:sz="8" w:space="0" w:color="auto"/>
              <w:right w:val="nil"/>
            </w:tcBorders>
            <w:tcMar>
              <w:top w:w="0" w:type="dxa"/>
              <w:left w:w="108" w:type="dxa"/>
              <w:bottom w:w="0" w:type="dxa"/>
              <w:right w:w="108" w:type="dxa"/>
            </w:tcMar>
            <w:hideMark/>
          </w:tcPr>
          <w:p w14:paraId="6E9800F3" w14:textId="77777777" w:rsidR="00B22A0C" w:rsidRDefault="00B22A0C">
            <w:pPr>
              <w:pStyle w:val="Bodytext"/>
              <w:jc w:val="right"/>
            </w:pPr>
            <w:r>
              <w:t>1 January 2020</w:t>
            </w:r>
          </w:p>
        </w:tc>
      </w:tr>
    </w:tbl>
    <w:p w14:paraId="411C0627" w14:textId="77777777" w:rsidR="00384F1D" w:rsidRPr="00811BA1" w:rsidRDefault="00384F1D" w:rsidP="00EB7E49">
      <w:pPr>
        <w:pStyle w:val="Bodytext"/>
        <w:ind w:left="567"/>
      </w:pPr>
    </w:p>
    <w:p w14:paraId="14123138" w14:textId="0B44D9FF" w:rsidR="00234DF1" w:rsidRPr="00811BA1" w:rsidRDefault="00E23070" w:rsidP="00C32021">
      <w:pPr>
        <w:pStyle w:val="Heading2"/>
        <w:jc w:val="both"/>
      </w:pPr>
      <w:r w:rsidRPr="00EE08EA">
        <w:t>3</w:t>
      </w:r>
      <w:r w:rsidR="00234DF1" w:rsidRPr="00EE08EA">
        <w:t>.</w:t>
      </w:r>
      <w:r w:rsidR="00234DF1" w:rsidRPr="00EE08EA">
        <w:tab/>
      </w:r>
      <w:r w:rsidR="00087CB7" w:rsidRPr="00EE08EA">
        <w:t xml:space="preserve">Significant </w:t>
      </w:r>
      <w:r w:rsidR="00234DF1" w:rsidRPr="00EE08EA">
        <w:t>accounting judgement</w:t>
      </w:r>
      <w:r w:rsidR="00087CB7" w:rsidRPr="00EE08EA">
        <w:t>s,</w:t>
      </w:r>
      <w:r w:rsidR="00234DF1" w:rsidRPr="00EE08EA">
        <w:t xml:space="preserve"> estimat</w:t>
      </w:r>
      <w:r w:rsidR="00087CB7" w:rsidRPr="00EE08EA">
        <w:t>es and assumptions</w:t>
      </w:r>
    </w:p>
    <w:p w14:paraId="53B21294" w14:textId="77777777" w:rsidR="00234DF1" w:rsidRPr="00811BA1" w:rsidRDefault="00234DF1" w:rsidP="00C32021">
      <w:pPr>
        <w:pStyle w:val="Bodytext"/>
        <w:ind w:left="567"/>
        <w:jc w:val="both"/>
      </w:pPr>
      <w:r w:rsidRPr="00811BA1">
        <w:t>The preparation of Financial Statements requires management to make judgements, estimates and assumptions that affect the application of accounting policies and the reported amounts of assets, liabilities, income and expenses.</w:t>
      </w:r>
    </w:p>
    <w:p w14:paraId="717FA622" w14:textId="77777777" w:rsidR="00103722" w:rsidRPr="00811BA1" w:rsidRDefault="00103722" w:rsidP="00C32021">
      <w:pPr>
        <w:pStyle w:val="Bodytext"/>
        <w:ind w:left="567"/>
        <w:jc w:val="both"/>
      </w:pPr>
    </w:p>
    <w:p w14:paraId="4915558B" w14:textId="77777777" w:rsidR="00234DF1" w:rsidRDefault="00234DF1" w:rsidP="00C32021">
      <w:pPr>
        <w:pStyle w:val="Bodytext"/>
        <w:ind w:left="567"/>
        <w:jc w:val="both"/>
      </w:pPr>
      <w:r w:rsidRPr="00811BA1">
        <w:t>Estimates and judgements are continually evaluated and are based on historical experience and other factors, including expectations of future events that are believed to be reasonable under the circumstances.</w:t>
      </w:r>
    </w:p>
    <w:p w14:paraId="1192D260" w14:textId="77777777" w:rsidR="00087CB7" w:rsidRDefault="00087CB7" w:rsidP="00C32021">
      <w:pPr>
        <w:pStyle w:val="Bodytext"/>
        <w:ind w:left="567"/>
        <w:jc w:val="both"/>
      </w:pPr>
    </w:p>
    <w:p w14:paraId="45C080B4" w14:textId="77777777" w:rsidR="00087CB7" w:rsidRPr="00087CB7" w:rsidRDefault="00087CB7" w:rsidP="00C32021">
      <w:pPr>
        <w:pStyle w:val="Bodytext"/>
        <w:ind w:left="567"/>
        <w:jc w:val="both"/>
        <w:rPr>
          <w:b/>
        </w:rPr>
      </w:pPr>
      <w:r w:rsidRPr="00087CB7">
        <w:rPr>
          <w:b/>
        </w:rPr>
        <w:t xml:space="preserve">Judgements </w:t>
      </w:r>
    </w:p>
    <w:p w14:paraId="489D7482" w14:textId="2F06D28E" w:rsidR="00087CB7" w:rsidRDefault="00087CB7" w:rsidP="00C32021">
      <w:pPr>
        <w:pStyle w:val="Bodytext"/>
        <w:ind w:left="567"/>
        <w:jc w:val="both"/>
      </w:pPr>
      <w:r>
        <w:t>In the process of applying the Company’s accounting policies, management has made the following judgements, which have the most significant effect on the amounts recognised in the Financial Statements:</w:t>
      </w:r>
    </w:p>
    <w:p w14:paraId="0EEBD050" w14:textId="77777777" w:rsidR="00087CB7" w:rsidRDefault="00087CB7" w:rsidP="00C32021">
      <w:pPr>
        <w:pStyle w:val="Bodytext"/>
        <w:ind w:left="567"/>
        <w:jc w:val="both"/>
      </w:pPr>
    </w:p>
    <w:p w14:paraId="07A3450A" w14:textId="6B6BBFC9" w:rsidR="00087CB7" w:rsidRPr="00087CB7" w:rsidRDefault="00087CB7" w:rsidP="00C32021">
      <w:pPr>
        <w:pStyle w:val="Bodytext"/>
        <w:ind w:left="567"/>
        <w:jc w:val="both"/>
        <w:rPr>
          <w:bCs/>
          <w:i/>
        </w:rPr>
      </w:pPr>
      <w:r w:rsidRPr="00087CB7">
        <w:rPr>
          <w:bCs/>
          <w:i/>
        </w:rPr>
        <w:t>Assessment as an Investment Entity</w:t>
      </w:r>
    </w:p>
    <w:p w14:paraId="0D1EECAB" w14:textId="77777777" w:rsidR="00087CB7" w:rsidRDefault="00087CB7" w:rsidP="00C32021">
      <w:pPr>
        <w:pStyle w:val="Bodytext"/>
        <w:ind w:left="567"/>
        <w:jc w:val="both"/>
      </w:pPr>
      <w:r>
        <w:t>The Company meets the definition of an investment entity on the basis of the following criteria:</w:t>
      </w:r>
    </w:p>
    <w:p w14:paraId="766A1A75" w14:textId="77777777" w:rsidR="00087CB7" w:rsidRDefault="00087CB7" w:rsidP="00C32021">
      <w:pPr>
        <w:pStyle w:val="Bodytext"/>
        <w:numPr>
          <w:ilvl w:val="0"/>
          <w:numId w:val="19"/>
        </w:numPr>
        <w:ind w:left="1418" w:hanging="284"/>
        <w:jc w:val="both"/>
      </w:pPr>
      <w:r>
        <w:t>the Company obtains funds from multiple investors for the purpose of providing those investors with investment management services;</w:t>
      </w:r>
    </w:p>
    <w:p w14:paraId="5F85FF80" w14:textId="77777777" w:rsidR="00087CB7" w:rsidRDefault="00087CB7" w:rsidP="00C32021">
      <w:pPr>
        <w:pStyle w:val="Bodytext"/>
        <w:numPr>
          <w:ilvl w:val="0"/>
          <w:numId w:val="19"/>
        </w:numPr>
        <w:ind w:left="1418" w:hanging="284"/>
        <w:jc w:val="both"/>
      </w:pPr>
      <w:r>
        <w:t>the Company commits to its investors that its business purpose is to invest funds solely for returns from capital appreciation, investment income, or both; and</w:t>
      </w:r>
    </w:p>
    <w:p w14:paraId="32A7BB3A" w14:textId="77777777" w:rsidR="00087CB7" w:rsidRDefault="00087CB7" w:rsidP="00C32021">
      <w:pPr>
        <w:pStyle w:val="Bodytext"/>
        <w:numPr>
          <w:ilvl w:val="0"/>
          <w:numId w:val="19"/>
        </w:numPr>
        <w:ind w:left="1418" w:hanging="284"/>
        <w:jc w:val="both"/>
      </w:pPr>
      <w:r>
        <w:t>the Company measures and evaluates the performance of substantially all of its investments on a fair value basis.</w:t>
      </w:r>
    </w:p>
    <w:p w14:paraId="67C65EDC" w14:textId="77777777" w:rsidR="00087CB7" w:rsidRDefault="00087CB7" w:rsidP="00C32021">
      <w:pPr>
        <w:pStyle w:val="Bodytext"/>
        <w:ind w:left="1440"/>
        <w:jc w:val="both"/>
      </w:pPr>
    </w:p>
    <w:p w14:paraId="40320001" w14:textId="77777777" w:rsidR="00087CB7" w:rsidRDefault="00087CB7" w:rsidP="00C32021">
      <w:pPr>
        <w:pStyle w:val="Bodytext"/>
        <w:ind w:left="567"/>
        <w:jc w:val="both"/>
      </w:pPr>
      <w:r>
        <w:t>To determine that the Company meets the definition of an investment entity, further consideration is given to the characteristics of an investment entity that are demonstrated by the Company.</w:t>
      </w:r>
    </w:p>
    <w:p w14:paraId="16CDA0E5" w14:textId="77777777" w:rsidR="00390025" w:rsidRDefault="00390025" w:rsidP="00C32021">
      <w:pPr>
        <w:pStyle w:val="Bodytext"/>
        <w:ind w:left="567"/>
        <w:jc w:val="both"/>
      </w:pPr>
    </w:p>
    <w:p w14:paraId="12F3CB9B" w14:textId="2DD6BA33" w:rsidR="007949A1" w:rsidRPr="007949A1" w:rsidRDefault="007949A1" w:rsidP="00C32021">
      <w:pPr>
        <w:pStyle w:val="Bodytext"/>
        <w:ind w:left="567"/>
        <w:jc w:val="both"/>
        <w:rPr>
          <w:i/>
        </w:rPr>
      </w:pPr>
      <w:r>
        <w:rPr>
          <w:i/>
        </w:rPr>
        <w:t>Assessment of control over the Partnership</w:t>
      </w:r>
    </w:p>
    <w:p w14:paraId="6B159BB5" w14:textId="77777777" w:rsidR="00390025" w:rsidRDefault="00390025" w:rsidP="00C32021">
      <w:pPr>
        <w:pStyle w:val="Bodytext"/>
        <w:ind w:left="567"/>
        <w:jc w:val="both"/>
      </w:pPr>
      <w:r>
        <w:t>The Company makes its investments through the Partnership in which it is the sole limited partner.</w:t>
      </w:r>
    </w:p>
    <w:p w14:paraId="7A2595AC" w14:textId="420FD937" w:rsidR="00087CB7" w:rsidRDefault="00390025" w:rsidP="00C32021">
      <w:pPr>
        <w:pStyle w:val="Bodytext"/>
        <w:ind w:left="567"/>
        <w:jc w:val="both"/>
      </w:pPr>
      <w:r>
        <w:t xml:space="preserve">The Board has assessed whether the Company has all the elements of control as prescribed by IFRS 10 in relation to the Company’s investment in the Partnership and has concluded that although the Company is the sole limited partner, it does not control the Partnership but instead has significant influence and therefore accounts for the Partnership as an investment in associate at fair value in accordance with IAS 28. </w:t>
      </w:r>
    </w:p>
    <w:p w14:paraId="1A4DF43E" w14:textId="77777777" w:rsidR="00390025" w:rsidRDefault="00390025" w:rsidP="00C32021">
      <w:pPr>
        <w:pStyle w:val="Bodytext"/>
        <w:ind w:left="567"/>
        <w:jc w:val="both"/>
      </w:pPr>
    </w:p>
    <w:p w14:paraId="21B1F58B" w14:textId="77777777" w:rsidR="007949A1" w:rsidRDefault="007949A1" w:rsidP="00C32021">
      <w:pPr>
        <w:pStyle w:val="Bodytext"/>
        <w:ind w:left="567"/>
        <w:jc w:val="both"/>
        <w:rPr>
          <w:i/>
        </w:rPr>
      </w:pPr>
      <w:r>
        <w:rPr>
          <w:i/>
        </w:rPr>
        <w:t>Assessment of the Partnership as a structured entity</w:t>
      </w:r>
    </w:p>
    <w:p w14:paraId="6963B22B" w14:textId="4325A61E" w:rsidR="00390025" w:rsidRDefault="00390025" w:rsidP="00C32021">
      <w:pPr>
        <w:pStyle w:val="Bodytext"/>
        <w:ind w:left="567"/>
        <w:jc w:val="both"/>
      </w:pPr>
      <w:r>
        <w:t>The Company considers the Partnership to be a structured entity under IFRS 12. Transfer of funds by the Partnership to the Company is determined by the General Partner (see Note 10). The risks associated with the Company’s investment in the Partnership are disclosed in Note 11. The summarised financial information for the Company’s investment in the Partnership is disclosed in Note 6.</w:t>
      </w:r>
    </w:p>
    <w:p w14:paraId="3B9FA5BF" w14:textId="77777777" w:rsidR="00390025" w:rsidRDefault="00390025" w:rsidP="00C32021">
      <w:pPr>
        <w:pStyle w:val="Bodytext"/>
        <w:ind w:left="567"/>
        <w:jc w:val="both"/>
      </w:pPr>
    </w:p>
    <w:p w14:paraId="3841812B" w14:textId="77777777" w:rsidR="0070239A" w:rsidRPr="0070239A" w:rsidRDefault="0070239A" w:rsidP="00C32021">
      <w:pPr>
        <w:pStyle w:val="Bodytext"/>
        <w:ind w:left="567"/>
        <w:jc w:val="both"/>
        <w:rPr>
          <w:bCs/>
          <w:i/>
        </w:rPr>
      </w:pPr>
      <w:r w:rsidRPr="0070239A">
        <w:rPr>
          <w:bCs/>
          <w:i/>
        </w:rPr>
        <w:t>Going concern</w:t>
      </w:r>
    </w:p>
    <w:p w14:paraId="44053353" w14:textId="028155BE" w:rsidR="0070239A" w:rsidRPr="00811BA1" w:rsidRDefault="003A689D" w:rsidP="00C32021">
      <w:pPr>
        <w:pStyle w:val="Bodytext"/>
        <w:ind w:left="567"/>
        <w:jc w:val="both"/>
      </w:pPr>
      <w:r>
        <w:t>I</w:t>
      </w:r>
      <w:r w:rsidRPr="0028468D">
        <w:t>n the context of the uncertain outcome of the D</w:t>
      </w:r>
      <w:r>
        <w:t xml:space="preserve">iscontinuation Resolution </w:t>
      </w:r>
      <w:r w:rsidR="00BF4E59">
        <w:t>V</w:t>
      </w:r>
      <w:r>
        <w:t>ote in Q4 2020</w:t>
      </w:r>
      <w:r w:rsidR="00982ACF">
        <w:t xml:space="preserve"> (see </w:t>
      </w:r>
      <w:r w:rsidR="005656E3">
        <w:t>N</w:t>
      </w:r>
      <w:r w:rsidR="00982ACF">
        <w:t>ote 10)</w:t>
      </w:r>
      <w:r>
        <w:t>,</w:t>
      </w:r>
      <w:r w:rsidRPr="0028468D">
        <w:t xml:space="preserve"> </w:t>
      </w:r>
      <w:r w:rsidR="001F46F0">
        <w:t xml:space="preserve">and </w:t>
      </w:r>
      <w:r>
        <w:t xml:space="preserve">the recent </w:t>
      </w:r>
      <w:r w:rsidRPr="0028468D">
        <w:t xml:space="preserve">oil </w:t>
      </w:r>
      <w:r>
        <w:t>and</w:t>
      </w:r>
      <w:r w:rsidRPr="0028468D">
        <w:t xml:space="preserve"> gas market decline and C</w:t>
      </w:r>
      <w:r>
        <w:t>OVID</w:t>
      </w:r>
      <w:r w:rsidRPr="0028468D">
        <w:t>-19</w:t>
      </w:r>
      <w:r w:rsidR="008F2FB2">
        <w:t xml:space="preserve"> (see </w:t>
      </w:r>
      <w:r w:rsidR="005656E3">
        <w:t>N</w:t>
      </w:r>
      <w:r w:rsidR="008F2FB2">
        <w:t>ote 16)</w:t>
      </w:r>
      <w:r>
        <w:t xml:space="preserve">, </w:t>
      </w:r>
      <w:r w:rsidR="00E4713D">
        <w:t>there is a material uncertainty which casts significant doubt over the ability of the Company to continue as a Going Concern. However,</w:t>
      </w:r>
      <w:r w:rsidR="00E4713D" w:rsidRPr="00811BA1" w:rsidDel="003A689D">
        <w:t xml:space="preserve"> </w:t>
      </w:r>
      <w:r>
        <w:t>t</w:t>
      </w:r>
      <w:r w:rsidR="0070239A" w:rsidRPr="00811BA1">
        <w:t xml:space="preserve">he </w:t>
      </w:r>
      <w:r w:rsidR="00BF6A7E">
        <w:t xml:space="preserve">Financial Statements have been prepared on a going concern basis </w:t>
      </w:r>
      <w:r w:rsidR="00E4713D">
        <w:t xml:space="preserve">for the reasons set out below and </w:t>
      </w:r>
      <w:r w:rsidR="00BF6A7E">
        <w:t xml:space="preserve">as the </w:t>
      </w:r>
      <w:r w:rsidR="0070239A" w:rsidRPr="00811BA1">
        <w:t>Directors</w:t>
      </w:r>
      <w:r w:rsidR="000036A3">
        <w:t xml:space="preserve"> </w:t>
      </w:r>
      <w:r w:rsidR="0070239A" w:rsidRPr="00811BA1">
        <w:t>have a reasonable expectation that the Company ha</w:t>
      </w:r>
      <w:r w:rsidR="0070239A">
        <w:t>s</w:t>
      </w:r>
      <w:r w:rsidR="0070239A" w:rsidRPr="00811BA1">
        <w:t xml:space="preserve"> adequate resources to continue in operational existence for the foreseeable future.</w:t>
      </w:r>
    </w:p>
    <w:p w14:paraId="168ED5CA" w14:textId="77777777" w:rsidR="0070239A" w:rsidRPr="00811BA1" w:rsidRDefault="0070239A" w:rsidP="00C32021">
      <w:pPr>
        <w:pStyle w:val="Bodytext"/>
        <w:ind w:left="567"/>
        <w:jc w:val="both"/>
      </w:pPr>
    </w:p>
    <w:p w14:paraId="5ADEE062" w14:textId="5A594843" w:rsidR="00444E65" w:rsidRDefault="0070239A" w:rsidP="00C32021">
      <w:pPr>
        <w:pStyle w:val="Bodytext"/>
        <w:ind w:left="567"/>
        <w:jc w:val="both"/>
      </w:pPr>
      <w:r w:rsidRPr="00811BA1">
        <w:t>In reaching this conclusion</w:t>
      </w:r>
      <w:r>
        <w:t>,</w:t>
      </w:r>
      <w:r w:rsidRPr="00811BA1">
        <w:t xml:space="preserve"> the Board has considered the risks that could impact the Company’s liquidity over the next 12 months</w:t>
      </w:r>
      <w:r>
        <w:t xml:space="preserve"> from the date of approval of the Financial Statements</w:t>
      </w:r>
      <w:r w:rsidR="00444E65">
        <w:t xml:space="preserve">, as well as the following </w:t>
      </w:r>
      <w:r w:rsidR="00A11CF8">
        <w:t>five</w:t>
      </w:r>
      <w:r w:rsidR="00444E65">
        <w:t xml:space="preserve"> key considerations</w:t>
      </w:r>
      <w:r w:rsidR="003A689D">
        <w:t>, which are discussed further below</w:t>
      </w:r>
      <w:r w:rsidR="00444E65">
        <w:t xml:space="preserve">: </w:t>
      </w:r>
    </w:p>
    <w:p w14:paraId="6C17C3A5" w14:textId="1BC7C935" w:rsidR="00444E65" w:rsidRDefault="00444E65" w:rsidP="00C32021">
      <w:pPr>
        <w:pStyle w:val="Bodytext"/>
        <w:numPr>
          <w:ilvl w:val="0"/>
          <w:numId w:val="33"/>
        </w:numPr>
        <w:jc w:val="both"/>
      </w:pPr>
      <w:r>
        <w:t>Available liquid resources versus expected liabilities of the Company over the next twelve months;</w:t>
      </w:r>
    </w:p>
    <w:p w14:paraId="66B97D83" w14:textId="35ACB49C" w:rsidR="00444E65" w:rsidRDefault="00444E65" w:rsidP="00C32021">
      <w:pPr>
        <w:pStyle w:val="ListParagraph"/>
        <w:numPr>
          <w:ilvl w:val="0"/>
          <w:numId w:val="33"/>
        </w:numPr>
        <w:autoSpaceDE w:val="0"/>
        <w:autoSpaceDN w:val="0"/>
        <w:adjustRightInd w:val="0"/>
        <w:jc w:val="both"/>
      </w:pPr>
      <w:r>
        <w:t xml:space="preserve">Available liquid resources versus </w:t>
      </w:r>
      <w:r w:rsidR="00F579AC">
        <w:t xml:space="preserve">potential </w:t>
      </w:r>
      <w:r>
        <w:t>unfunded commitments of the Partnership;</w:t>
      </w:r>
    </w:p>
    <w:p w14:paraId="75E297AF" w14:textId="77777777" w:rsidR="00444E65" w:rsidRDefault="00444E65" w:rsidP="00C32021">
      <w:pPr>
        <w:pStyle w:val="ListParagraph"/>
        <w:numPr>
          <w:ilvl w:val="0"/>
          <w:numId w:val="33"/>
        </w:numPr>
        <w:autoSpaceDE w:val="0"/>
        <w:autoSpaceDN w:val="0"/>
        <w:adjustRightInd w:val="0"/>
        <w:jc w:val="both"/>
      </w:pPr>
      <w:r>
        <w:t>Discontinuation Resolution; and</w:t>
      </w:r>
    </w:p>
    <w:p w14:paraId="4751DE74" w14:textId="3C578572" w:rsidR="00444E65" w:rsidRDefault="00444E65" w:rsidP="00C32021">
      <w:pPr>
        <w:pStyle w:val="ListParagraph"/>
        <w:numPr>
          <w:ilvl w:val="0"/>
          <w:numId w:val="33"/>
        </w:numPr>
        <w:autoSpaceDE w:val="0"/>
        <w:autoSpaceDN w:val="0"/>
        <w:adjustRightInd w:val="0"/>
        <w:jc w:val="both"/>
      </w:pPr>
      <w:r>
        <w:t>Discount to NAV of the Company</w:t>
      </w:r>
    </w:p>
    <w:p w14:paraId="04A7286E" w14:textId="53B9DADD" w:rsidR="001B2829" w:rsidRDefault="001B2829" w:rsidP="00C32021">
      <w:pPr>
        <w:pStyle w:val="ListParagraph"/>
        <w:numPr>
          <w:ilvl w:val="0"/>
          <w:numId w:val="33"/>
        </w:numPr>
        <w:autoSpaceDE w:val="0"/>
        <w:autoSpaceDN w:val="0"/>
        <w:adjustRightInd w:val="0"/>
        <w:jc w:val="both"/>
      </w:pPr>
      <w:r>
        <w:t>COVID-19</w:t>
      </w:r>
    </w:p>
    <w:p w14:paraId="51DD07CD" w14:textId="77777777" w:rsidR="003A689D" w:rsidRDefault="003A689D" w:rsidP="00C32021">
      <w:pPr>
        <w:pStyle w:val="Bodytext"/>
        <w:jc w:val="both"/>
      </w:pPr>
    </w:p>
    <w:p w14:paraId="27812CC0" w14:textId="77777777" w:rsidR="003A689D" w:rsidRDefault="003A689D" w:rsidP="00C32021">
      <w:pPr>
        <w:autoSpaceDE w:val="0"/>
        <w:autoSpaceDN w:val="0"/>
        <w:adjustRightInd w:val="0"/>
        <w:spacing w:after="120"/>
        <w:ind w:left="360" w:firstLine="180"/>
        <w:jc w:val="both"/>
      </w:pPr>
      <w:r>
        <w:rPr>
          <w:i/>
          <w:iCs/>
          <w:u w:val="single"/>
        </w:rPr>
        <w:t xml:space="preserve">1. </w:t>
      </w:r>
      <w:r w:rsidRPr="00871FFB">
        <w:rPr>
          <w:i/>
          <w:iCs/>
          <w:u w:val="single"/>
        </w:rPr>
        <w:t>Available liquid resources versus expected liabilities of the Company over the next twelve months</w:t>
      </w:r>
    </w:p>
    <w:p w14:paraId="219E7D18" w14:textId="743FF54B" w:rsidR="003A689D" w:rsidRPr="005E501E" w:rsidRDefault="003A689D" w:rsidP="00C32021">
      <w:pPr>
        <w:autoSpaceDE w:val="0"/>
        <w:autoSpaceDN w:val="0"/>
        <w:adjustRightInd w:val="0"/>
        <w:ind w:left="540"/>
        <w:jc w:val="both"/>
      </w:pPr>
      <w:r w:rsidRPr="00811BA1">
        <w:lastRenderedPageBreak/>
        <w:t xml:space="preserve">The </w:t>
      </w:r>
      <w:r>
        <w:t>Directors</w:t>
      </w:r>
      <w:r w:rsidRPr="00811BA1">
        <w:t xml:space="preserve"> ha</w:t>
      </w:r>
      <w:r>
        <w:t>ve</w:t>
      </w:r>
      <w:r w:rsidRPr="00811BA1">
        <w:t xml:space="preserve"> a reasonable expectation that the Company has adequate resources to continue in </w:t>
      </w:r>
      <w:r w:rsidRPr="00BD7DC4">
        <w:t>operational existence for the next twelve months, as explained below.</w:t>
      </w:r>
      <w:r>
        <w:t xml:space="preserve"> </w:t>
      </w:r>
      <w:r w:rsidRPr="001460DE">
        <w:t xml:space="preserve">The Company retained $11.5 million of cash in the IPO and Placing and Open Offer, and </w:t>
      </w:r>
      <w:r>
        <w:t xml:space="preserve">has </w:t>
      </w:r>
      <w:r w:rsidRPr="001460DE">
        <w:t xml:space="preserve">received </w:t>
      </w:r>
      <w:r>
        <w:t xml:space="preserve">five </w:t>
      </w:r>
      <w:r w:rsidRPr="001460DE">
        <w:t xml:space="preserve">distributions </w:t>
      </w:r>
      <w:r>
        <w:t xml:space="preserve">in </w:t>
      </w:r>
      <w:r w:rsidRPr="005E501E">
        <w:t>aggregate of $</w:t>
      </w:r>
      <w:r>
        <w:t>14.3</w:t>
      </w:r>
      <w:r w:rsidRPr="005E501E">
        <w:t xml:space="preserve"> million from the Partnership cumulatively through </w:t>
      </w:r>
      <w:r>
        <w:t>31 December</w:t>
      </w:r>
      <w:r w:rsidRPr="005E501E">
        <w:t xml:space="preserve"> 2019, of which $</w:t>
      </w:r>
      <w:r>
        <w:t>0.2</w:t>
      </w:r>
      <w:r w:rsidRPr="005E501E">
        <w:t xml:space="preserve"> million remains at 31 December 2019 (31 December 2018: $2.1 million). This cash balance is</w:t>
      </w:r>
      <w:r>
        <w:t xml:space="preserve"> not</w:t>
      </w:r>
      <w:r w:rsidRPr="005E501E">
        <w:t xml:space="preserve"> sufficient to cover the Company’s existing liabilities at 31 December 2019 of $</w:t>
      </w:r>
      <w:r>
        <w:t>1.7</w:t>
      </w:r>
      <w:r w:rsidRPr="005E501E">
        <w:t xml:space="preserve"> million, </w:t>
      </w:r>
      <w:r>
        <w:t>so</w:t>
      </w:r>
      <w:r w:rsidRPr="005E501E">
        <w:t xml:space="preserve"> the Company will require a distribution of $</w:t>
      </w:r>
      <w:r>
        <w:t>5.5</w:t>
      </w:r>
      <w:r w:rsidRPr="005E501E">
        <w:t xml:space="preserve"> million</w:t>
      </w:r>
      <w:r>
        <w:t xml:space="preserve"> </w:t>
      </w:r>
      <w:r w:rsidRPr="005E501E">
        <w:t>to cover</w:t>
      </w:r>
      <w:r>
        <w:t xml:space="preserve"> these liabilities at 31 December 2019 and</w:t>
      </w:r>
      <w:r w:rsidRPr="005E501E">
        <w:t xml:space="preserve"> its forecasted annual expenses for 2020 of approximately $</w:t>
      </w:r>
      <w:r>
        <w:t>4.0</w:t>
      </w:r>
      <w:r w:rsidRPr="005E501E">
        <w:t xml:space="preserve"> million. </w:t>
      </w:r>
      <w:r w:rsidR="006F0918">
        <w:t>As in prior years, i</w:t>
      </w:r>
      <w:r w:rsidRPr="005E501E">
        <w:t xml:space="preserve">n accordance with the Partnership Agreement, </w:t>
      </w:r>
      <w:r w:rsidR="00327293">
        <w:t xml:space="preserve">if </w:t>
      </w:r>
      <w:r w:rsidRPr="005E501E">
        <w:t>the Company requir</w:t>
      </w:r>
      <w:r w:rsidR="00327293">
        <w:t>es</w:t>
      </w:r>
      <w:r w:rsidRPr="005E501E">
        <w:t xml:space="preserve"> additional funds for working capital, it is entitled to receive another distribution from the Partnership.</w:t>
      </w:r>
      <w:r w:rsidR="00E4713D">
        <w:t xml:space="preserve"> In order to do so, the Company would submit a distribution request approved by the Board to the Partnership, which would then be required to arrange for the payment of the requested amount. Since REL’s inception, the Company has requested and received five distributions from the Partnership for working capital needs. As detailed further in section 2 below, as of the date of this report, the Partnership has available liquid resources in excess of potential unfunded commitments</w:t>
      </w:r>
      <w:r w:rsidR="001B0FA5" w:rsidRPr="001B0FA5">
        <w:t xml:space="preserve"> </w:t>
      </w:r>
      <w:r w:rsidR="001B0FA5">
        <w:t>of $212 million at year end and currently $135 million</w:t>
      </w:r>
      <w:r w:rsidR="00E4713D">
        <w:t>, which enable</w:t>
      </w:r>
      <w:r w:rsidR="001B0FA5">
        <w:t>s</w:t>
      </w:r>
      <w:r w:rsidR="00E4713D">
        <w:t xml:space="preserve"> the Partnership to satisfy the aforementioned $5.5 million distribution </w:t>
      </w:r>
      <w:r w:rsidR="001B0FA5">
        <w:t xml:space="preserve">requirement </w:t>
      </w:r>
      <w:r w:rsidR="00E4713D">
        <w:t>from the Company.</w:t>
      </w:r>
      <w:r w:rsidR="001B0FA5">
        <w:t xml:space="preserve"> In Q1 2020, the Company requested and</w:t>
      </w:r>
      <w:r w:rsidR="001B0FA5" w:rsidRPr="002E4628">
        <w:t xml:space="preserve"> </w:t>
      </w:r>
      <w:r w:rsidR="001B0FA5">
        <w:t>received a distribution of $5.0 million from the Partnership for working capital.</w:t>
      </w:r>
    </w:p>
    <w:p w14:paraId="5831D629" w14:textId="77777777" w:rsidR="003A689D" w:rsidRPr="005E501E" w:rsidRDefault="003A689D" w:rsidP="00C32021">
      <w:pPr>
        <w:autoSpaceDE w:val="0"/>
        <w:autoSpaceDN w:val="0"/>
        <w:adjustRightInd w:val="0"/>
        <w:jc w:val="both"/>
      </w:pPr>
    </w:p>
    <w:p w14:paraId="0AF1D7F0" w14:textId="77777777" w:rsidR="003A689D" w:rsidRDefault="003A689D" w:rsidP="00C32021">
      <w:pPr>
        <w:autoSpaceDE w:val="0"/>
        <w:autoSpaceDN w:val="0"/>
        <w:adjustRightInd w:val="0"/>
        <w:spacing w:after="120"/>
        <w:ind w:firstLine="540"/>
        <w:jc w:val="both"/>
      </w:pPr>
      <w:r>
        <w:rPr>
          <w:i/>
          <w:iCs/>
          <w:u w:val="single"/>
        </w:rPr>
        <w:t xml:space="preserve">2. </w:t>
      </w:r>
      <w:r w:rsidRPr="00871FFB">
        <w:rPr>
          <w:i/>
          <w:iCs/>
          <w:u w:val="single"/>
        </w:rPr>
        <w:t>Available liquid resources versus</w:t>
      </w:r>
      <w:r>
        <w:rPr>
          <w:i/>
          <w:iCs/>
          <w:u w:val="single"/>
        </w:rPr>
        <w:t xml:space="preserve"> potential</w:t>
      </w:r>
      <w:r w:rsidRPr="00871FFB">
        <w:rPr>
          <w:i/>
          <w:iCs/>
          <w:u w:val="single"/>
        </w:rPr>
        <w:t xml:space="preserve"> unfunded commitments of the Partnership</w:t>
      </w:r>
    </w:p>
    <w:p w14:paraId="7AF5BB05" w14:textId="67294F16" w:rsidR="003A689D" w:rsidRDefault="003A689D" w:rsidP="00C32021">
      <w:pPr>
        <w:autoSpaceDE w:val="0"/>
        <w:autoSpaceDN w:val="0"/>
        <w:adjustRightInd w:val="0"/>
        <w:ind w:left="540"/>
        <w:jc w:val="both"/>
        <w:rPr>
          <w:rFonts w:ascii="DINCLSLight" w:hAnsi="DINCLSLight" w:cs="DINCLSLight"/>
          <w:color w:val="272626"/>
          <w:sz w:val="18"/>
          <w:szCs w:val="18"/>
        </w:rPr>
      </w:pPr>
      <w:r w:rsidRPr="005E501E">
        <w:t xml:space="preserve">As at 31 December 2019, the Partnership, including its wholly-owned subsidiaries, </w:t>
      </w:r>
      <w:r>
        <w:t xml:space="preserve">REL Cayman Holdings, LP, </w:t>
      </w:r>
      <w:r w:rsidRPr="005E501E">
        <w:t>REL US Corp and REL US Centennial Holdings, LLC, had $</w:t>
      </w:r>
      <w:r>
        <w:t>182</w:t>
      </w:r>
      <w:r w:rsidRPr="005E501E">
        <w:t xml:space="preserve"> million of uninvested funds held as cash and money market fixed deposits (31 December 2018: $135 million), and has no material going concern risk.</w:t>
      </w:r>
      <w:r w:rsidRPr="005E501E">
        <w:rPr>
          <w:rFonts w:ascii="DINCLSLight" w:hAnsi="DINCLSLight" w:cs="DINCLSLight"/>
          <w:color w:val="272626"/>
          <w:sz w:val="18"/>
          <w:szCs w:val="18"/>
        </w:rPr>
        <w:t xml:space="preserve"> </w:t>
      </w:r>
      <w:r w:rsidR="00E4713D" w:rsidRPr="00253487">
        <w:t>Th</w:t>
      </w:r>
      <w:r w:rsidR="00E4713D">
        <w:t>is</w:t>
      </w:r>
      <w:r w:rsidR="00E4713D" w:rsidRPr="00253487">
        <w:t xml:space="preserve"> </w:t>
      </w:r>
      <w:r w:rsidR="00E4713D">
        <w:t>amount is</w:t>
      </w:r>
      <w:r w:rsidR="00E4713D" w:rsidRPr="00253487">
        <w:t xml:space="preserve"> comprised of $163 million held at the Partnership and $19 million held at REL US Corp. Based on current and cumulative earnings and profit, the distribution of </w:t>
      </w:r>
      <w:r w:rsidR="00F573BD">
        <w:t xml:space="preserve">the $19 million of </w:t>
      </w:r>
      <w:r w:rsidR="00E4713D" w:rsidRPr="00253487">
        <w:t>cash from REL US Corp to the Partnership for the year ended 31 December 2019 is subject to the U.S. federal tax rate of 30 per cent., or $5.7 million as of 31 December 2019.</w:t>
      </w:r>
      <w:r w:rsidR="00E4713D">
        <w:t xml:space="preserve"> </w:t>
      </w:r>
      <w:r w:rsidR="00E4713D" w:rsidRPr="004A19B6">
        <w:t xml:space="preserve">In Q1 2020, </w:t>
      </w:r>
      <w:r w:rsidR="00E4713D">
        <w:t xml:space="preserve">the Company, through the Partnership, received </w:t>
      </w:r>
      <w:r w:rsidR="00E4713D" w:rsidRPr="004A19B6">
        <w:t>$23 million</w:t>
      </w:r>
      <w:r w:rsidR="00E4713D">
        <w:t xml:space="preserve"> of proceeds</w:t>
      </w:r>
      <w:r w:rsidR="00E4713D" w:rsidRPr="004A19B6">
        <w:t xml:space="preserve"> upon closing of the</w:t>
      </w:r>
      <w:r w:rsidR="00E4713D">
        <w:t xml:space="preserve"> Aleph</w:t>
      </w:r>
      <w:r w:rsidR="00A11CF8">
        <w:t xml:space="preserve"> Midstream</w:t>
      </w:r>
      <w:r w:rsidR="00E4713D">
        <w:t xml:space="preserve"> investment</w:t>
      </w:r>
      <w:r w:rsidR="00E4713D" w:rsidRPr="004A19B6">
        <w:t xml:space="preserve"> winddown</w:t>
      </w:r>
      <w:r w:rsidR="00E4713D">
        <w:t>, as well as proceeds of $8 million from the partial realisation of Ridgebury H3 LLC and $7 million from the sale of Castex Energy 2014 LLC</w:t>
      </w:r>
      <w:r w:rsidR="00E4713D" w:rsidRPr="004A19B6">
        <w:t>, which</w:t>
      </w:r>
      <w:r w:rsidR="00E4713D">
        <w:t>, in aggregate,</w:t>
      </w:r>
      <w:r w:rsidR="00E4713D" w:rsidRPr="004A19B6">
        <w:t xml:space="preserve"> brought the</w:t>
      </w:r>
      <w:r w:rsidR="006356DE">
        <w:t xml:space="preserve"> Partnership’s</w:t>
      </w:r>
      <w:r w:rsidR="00E4713D" w:rsidRPr="004A19B6">
        <w:t xml:space="preserve"> uninvested cash balance to $2</w:t>
      </w:r>
      <w:r w:rsidR="00E4713D">
        <w:t>07</w:t>
      </w:r>
      <w:r w:rsidR="00E4713D" w:rsidRPr="004A19B6">
        <w:t xml:space="preserve"> million</w:t>
      </w:r>
      <w:r w:rsidR="00E4713D">
        <w:t xml:space="preserve"> after funding $7 million to Onyx Power, distributing $5 million of the aforementioned request to the Company and paying </w:t>
      </w:r>
      <w:r w:rsidR="00407D9F">
        <w:t>$1.2 million</w:t>
      </w:r>
      <w:r w:rsidR="00E4713D">
        <w:t xml:space="preserve"> of the 31 December 2019 </w:t>
      </w:r>
      <w:r w:rsidR="00407D9F">
        <w:t>M</w:t>
      </w:r>
      <w:r w:rsidR="00E4713D">
        <w:t xml:space="preserve">anagement </w:t>
      </w:r>
      <w:r w:rsidR="00407D9F">
        <w:t>F</w:t>
      </w:r>
      <w:r w:rsidR="00E4713D">
        <w:t>ee</w:t>
      </w:r>
      <w:r w:rsidR="00407D9F">
        <w:t xml:space="preserve"> of $2.4 million</w:t>
      </w:r>
      <w:r w:rsidR="00E4713D" w:rsidRPr="004A19B6">
        <w:t>.</w:t>
      </w:r>
      <w:r w:rsidR="00E4713D">
        <w:t xml:space="preserve"> </w:t>
      </w:r>
      <w:r>
        <w:t xml:space="preserve">In January 2020, the Company announced that its Management Engagement Committee and the Investment Manager had agreed amendments to the terms on which the Company is required to pay a performance allocation. </w:t>
      </w:r>
      <w:r w:rsidRPr="00B72208">
        <w:rPr>
          <w:rFonts w:eastAsia="Calibri"/>
          <w:lang w:val="en-US"/>
        </w:rPr>
        <w:t>In accordance with the</w:t>
      </w:r>
      <w:r>
        <w:rPr>
          <w:rFonts w:eastAsia="Calibri"/>
          <w:lang w:val="en-US"/>
        </w:rPr>
        <w:t xml:space="preserve"> </w:t>
      </w:r>
      <w:r w:rsidRPr="00B72208">
        <w:rPr>
          <w:rFonts w:eastAsia="Calibri"/>
          <w:lang w:val="en-US"/>
        </w:rPr>
        <w:t xml:space="preserve">revised terms, REL did not meet the </w:t>
      </w:r>
      <w:r>
        <w:rPr>
          <w:rFonts w:eastAsia="Calibri"/>
          <w:lang w:val="en-US"/>
        </w:rPr>
        <w:t>portfolio level c</w:t>
      </w:r>
      <w:r w:rsidRPr="00B72208">
        <w:rPr>
          <w:rFonts w:eastAsia="Calibri"/>
          <w:lang w:val="en-US"/>
        </w:rPr>
        <w:t xml:space="preserve">ost </w:t>
      </w:r>
      <w:r>
        <w:rPr>
          <w:rFonts w:eastAsia="Calibri"/>
          <w:lang w:val="en-US"/>
        </w:rPr>
        <w:t>b</w:t>
      </w:r>
      <w:r w:rsidRPr="00B72208">
        <w:rPr>
          <w:rFonts w:eastAsia="Calibri"/>
          <w:lang w:val="en-US"/>
        </w:rPr>
        <w:t>enchmark at 31 Dec</w:t>
      </w:r>
      <w:r>
        <w:rPr>
          <w:rFonts w:eastAsia="Calibri"/>
          <w:lang w:val="en-US"/>
        </w:rPr>
        <w:t>ember</w:t>
      </w:r>
      <w:r w:rsidRPr="00B72208">
        <w:rPr>
          <w:rFonts w:eastAsia="Calibri"/>
          <w:lang w:val="en-US"/>
        </w:rPr>
        <w:t xml:space="preserve"> 2019; therefore, any unreali</w:t>
      </w:r>
      <w:r>
        <w:rPr>
          <w:rFonts w:eastAsia="Calibri"/>
          <w:lang w:val="en-US"/>
        </w:rPr>
        <w:t>s</w:t>
      </w:r>
      <w:r w:rsidRPr="00B72208">
        <w:rPr>
          <w:rFonts w:eastAsia="Calibri"/>
          <w:lang w:val="en-US"/>
        </w:rPr>
        <w:t>ed performance allocation has been deferred. If the</w:t>
      </w:r>
      <w:r>
        <w:rPr>
          <w:rFonts w:eastAsia="Calibri"/>
          <w:lang w:val="en-US"/>
        </w:rPr>
        <w:t>se</w:t>
      </w:r>
      <w:r w:rsidRPr="00B72208">
        <w:rPr>
          <w:rFonts w:eastAsia="Calibri"/>
          <w:lang w:val="en-US"/>
        </w:rPr>
        <w:t xml:space="preserve"> changes had not been accepted, then the </w:t>
      </w:r>
      <w:r>
        <w:rPr>
          <w:rFonts w:eastAsia="Calibri"/>
          <w:lang w:val="en-US"/>
        </w:rPr>
        <w:t>accrued</w:t>
      </w:r>
      <w:r w:rsidRPr="00B72208">
        <w:rPr>
          <w:rFonts w:eastAsia="Calibri"/>
          <w:lang w:val="en-US"/>
        </w:rPr>
        <w:t xml:space="preserve"> GP Performance Allocation would have been $8.5 million as of 31 Dec</w:t>
      </w:r>
      <w:r>
        <w:rPr>
          <w:rFonts w:eastAsia="Calibri"/>
          <w:lang w:val="en-US"/>
        </w:rPr>
        <w:t>ember</w:t>
      </w:r>
      <w:r w:rsidRPr="00B72208">
        <w:rPr>
          <w:rFonts w:eastAsia="Calibri"/>
          <w:lang w:val="en-US"/>
        </w:rPr>
        <w:t xml:space="preserve"> 2019.</w:t>
      </w:r>
    </w:p>
    <w:p w14:paraId="4014AECB" w14:textId="77777777" w:rsidR="003A689D" w:rsidRDefault="003A689D" w:rsidP="00C32021">
      <w:pPr>
        <w:autoSpaceDE w:val="0"/>
        <w:autoSpaceDN w:val="0"/>
        <w:adjustRightInd w:val="0"/>
        <w:jc w:val="both"/>
        <w:rPr>
          <w:rFonts w:ascii="DINCLSLight" w:hAnsi="DINCLSLight" w:cs="DINCLSLight"/>
          <w:color w:val="272626"/>
          <w:sz w:val="18"/>
          <w:szCs w:val="18"/>
        </w:rPr>
      </w:pPr>
    </w:p>
    <w:p w14:paraId="62FF1161" w14:textId="6E8BC3B2" w:rsidR="004C7088" w:rsidRDefault="003A689D" w:rsidP="00C32021">
      <w:pPr>
        <w:autoSpaceDE w:val="0"/>
        <w:autoSpaceDN w:val="0"/>
        <w:adjustRightInd w:val="0"/>
        <w:ind w:left="540"/>
        <w:jc w:val="both"/>
      </w:pPr>
      <w:r w:rsidRPr="005E501E">
        <w:t>Although the Company’s</w:t>
      </w:r>
      <w:r>
        <w:t xml:space="preserve"> </w:t>
      </w:r>
      <w:r w:rsidR="00F579AC">
        <w:t xml:space="preserve">potential </w:t>
      </w:r>
      <w:r>
        <w:t>unfunded</w:t>
      </w:r>
      <w:r w:rsidRPr="005E501E">
        <w:t xml:space="preserve"> commitments</w:t>
      </w:r>
      <w:r>
        <w:t xml:space="preserve"> of $212 million as at 31 December 201</w:t>
      </w:r>
      <w:r w:rsidR="00E4713D">
        <w:t>9</w:t>
      </w:r>
      <w:r>
        <w:t xml:space="preserve"> (31 December 2018: $156 million)</w:t>
      </w:r>
      <w:r w:rsidRPr="005E501E">
        <w:t>, through the Partnership, exceed</w:t>
      </w:r>
      <w:r w:rsidR="00E4713D">
        <w:t>ed</w:t>
      </w:r>
      <w:r w:rsidRPr="005E501E">
        <w:t xml:space="preserve"> its available liquid resources</w:t>
      </w:r>
      <w:r w:rsidR="00E4713D" w:rsidRPr="00E4713D">
        <w:t xml:space="preserve"> </w:t>
      </w:r>
      <w:r w:rsidR="00E4713D">
        <w:t>as at 31 December 2019</w:t>
      </w:r>
      <w:r w:rsidRPr="005E501E">
        <w:t xml:space="preserve">, </w:t>
      </w:r>
      <w:r w:rsidR="00E4713D" w:rsidRPr="004A19B6">
        <w:t>the</w:t>
      </w:r>
      <w:r w:rsidR="00E4713D">
        <w:t xml:space="preserve"> withdrawal of the</w:t>
      </w:r>
      <w:r w:rsidR="00E4713D" w:rsidRPr="004A19B6">
        <w:t xml:space="preserve"> commitment to Aleph Midstream </w:t>
      </w:r>
      <w:r w:rsidR="00E4713D">
        <w:t>in Q1 2020</w:t>
      </w:r>
      <w:r w:rsidR="00E4713D" w:rsidRPr="004A19B6">
        <w:t xml:space="preserve"> brought the </w:t>
      </w:r>
      <w:r w:rsidR="00E4713D">
        <w:t>potential</w:t>
      </w:r>
      <w:r w:rsidR="00E4713D" w:rsidRPr="004A19B6">
        <w:t xml:space="preserve"> unfunded commitments</w:t>
      </w:r>
      <w:r w:rsidR="00E4713D">
        <w:t xml:space="preserve"> down</w:t>
      </w:r>
      <w:r w:rsidR="00E4713D" w:rsidRPr="004A19B6">
        <w:t xml:space="preserve"> to $135 million</w:t>
      </w:r>
      <w:r w:rsidR="00E4713D">
        <w:t>. Therefore, as of the date of this report, the Company, through the Partnership, has available liquid resources in excess of potential unfunded commitments, which enable</w:t>
      </w:r>
      <w:r w:rsidR="001B0FA5">
        <w:t>s</w:t>
      </w:r>
      <w:r w:rsidR="00E4713D">
        <w:t xml:space="preserve"> the Partnership to satisfy the aforementioned $5.5 million distribution </w:t>
      </w:r>
      <w:r w:rsidR="001B0FA5">
        <w:t xml:space="preserve">requirement </w:t>
      </w:r>
      <w:r w:rsidR="00E4713D">
        <w:t>from the Company.</w:t>
      </w:r>
      <w:r w:rsidR="001B0FA5">
        <w:t xml:space="preserve"> In Q1 2020, the Company requested and</w:t>
      </w:r>
      <w:r w:rsidR="001B0FA5" w:rsidRPr="002E4628">
        <w:t xml:space="preserve"> </w:t>
      </w:r>
      <w:r w:rsidR="001B0FA5">
        <w:t>received a distribution of $5.0 million from the Partnership for working capital.</w:t>
      </w:r>
      <w:r w:rsidR="00E4713D">
        <w:t xml:space="preserve"> Further,</w:t>
      </w:r>
      <w:r w:rsidR="00E4713D" w:rsidRPr="005E501E">
        <w:t xml:space="preserve"> </w:t>
      </w:r>
      <w:r w:rsidRPr="005E501E">
        <w:t xml:space="preserve">it is not expected that all commitments will be drawn due to a variety of factors, such as </w:t>
      </w:r>
      <w:r w:rsidR="004C7088">
        <w:t xml:space="preserve">the ability for the commitment to be reduced and/or cancelled by </w:t>
      </w:r>
      <w:r w:rsidR="004C7088" w:rsidRPr="00AA3ED9">
        <w:t>the Investment Manager</w:t>
      </w:r>
      <w:r w:rsidR="004C7088">
        <w:t xml:space="preserve"> with consideration from the Board, the present market conditions do not warrant presently further capital expenditure as the returns would not be incrementally positive,</w:t>
      </w:r>
      <w:r w:rsidR="004C7088" w:rsidRPr="005010B5">
        <w:t xml:space="preserve"> </w:t>
      </w:r>
      <w:r w:rsidRPr="005E501E">
        <w:t>a portfolio company being sold earlier than anticipated or a targeted investment opportunity changing or disappearing.</w:t>
      </w:r>
    </w:p>
    <w:p w14:paraId="41A2319B" w14:textId="77777777" w:rsidR="004C7088" w:rsidRDefault="004C7088" w:rsidP="00C32021">
      <w:pPr>
        <w:autoSpaceDE w:val="0"/>
        <w:autoSpaceDN w:val="0"/>
        <w:adjustRightInd w:val="0"/>
        <w:ind w:left="540"/>
        <w:jc w:val="both"/>
      </w:pPr>
    </w:p>
    <w:p w14:paraId="748284E0" w14:textId="3C5C191D" w:rsidR="003A689D" w:rsidRDefault="003A689D" w:rsidP="00C32021">
      <w:pPr>
        <w:autoSpaceDE w:val="0"/>
        <w:autoSpaceDN w:val="0"/>
        <w:adjustRightInd w:val="0"/>
        <w:ind w:left="540"/>
        <w:jc w:val="both"/>
      </w:pPr>
      <w:r>
        <w:t>As at 31 December 2019, the Company, through the Partnership, has realised eight investments for $559 million of gross proceeds on invested capital of $387 million, respectively in aggregate, resulting in an average Gross MOIC of approximately 1.44x. The initial commitments to these eight investments were in excess of $664 million, so approximately 58 per cent. had been funded before realisation.</w:t>
      </w:r>
      <w:r w:rsidRPr="005010B5">
        <w:t xml:space="preserve"> </w:t>
      </w:r>
      <w:r w:rsidRPr="005E501E">
        <w:t>In addition, the board of each underlying portfolio company, more often than not</w:t>
      </w:r>
      <w:r>
        <w:t xml:space="preserve"> are</w:t>
      </w:r>
      <w:r w:rsidRPr="005E501E">
        <w:t xml:space="preserve"> controlled by Riverstone, </w:t>
      </w:r>
      <w:r>
        <w:t xml:space="preserve">which </w:t>
      </w:r>
      <w:r w:rsidRPr="005E501E">
        <w:t>has discretion over whether or not that capital is ultimately invested. Moreover, REL’s arrangements with Riverstone allow</w:t>
      </w:r>
      <w:r>
        <w:t xml:space="preserve"> the Company’s</w:t>
      </w:r>
      <w:r w:rsidRPr="005E501E">
        <w:t xml:space="preserve"> </w:t>
      </w:r>
      <w:r w:rsidR="00F579AC">
        <w:t xml:space="preserve">potential </w:t>
      </w:r>
      <w:r w:rsidRPr="005E501E">
        <w:t>unfunded commitments of</w:t>
      </w:r>
      <w:r w:rsidRPr="00081323">
        <w:t xml:space="preserve"> to be </w:t>
      </w:r>
      <w:r>
        <w:t>reduced and/or cancelled</w:t>
      </w:r>
      <w:r w:rsidRPr="00081323">
        <w:t xml:space="preserve"> by the Investment Manager with consideration from the Board</w:t>
      </w:r>
      <w:r>
        <w:t>, although this has yet to happen</w:t>
      </w:r>
      <w:r w:rsidRPr="00081323">
        <w:t>.</w:t>
      </w:r>
    </w:p>
    <w:p w14:paraId="4E306B21" w14:textId="77777777" w:rsidR="003A689D" w:rsidRDefault="003A689D" w:rsidP="00C32021">
      <w:pPr>
        <w:autoSpaceDE w:val="0"/>
        <w:autoSpaceDN w:val="0"/>
        <w:adjustRightInd w:val="0"/>
        <w:jc w:val="both"/>
      </w:pPr>
    </w:p>
    <w:p w14:paraId="328A9E3E" w14:textId="77777777" w:rsidR="003A689D" w:rsidRDefault="003A689D" w:rsidP="00C32021">
      <w:pPr>
        <w:spacing w:after="120"/>
        <w:ind w:firstLine="540"/>
        <w:jc w:val="both"/>
      </w:pPr>
      <w:r>
        <w:rPr>
          <w:i/>
          <w:iCs/>
          <w:u w:val="single"/>
        </w:rPr>
        <w:t xml:space="preserve">3. </w:t>
      </w:r>
      <w:r w:rsidRPr="00871FFB">
        <w:rPr>
          <w:i/>
          <w:iCs/>
          <w:u w:val="single"/>
        </w:rPr>
        <w:t>Discontinuation Resolution</w:t>
      </w:r>
    </w:p>
    <w:p w14:paraId="0AE56E6B" w14:textId="02DF6586" w:rsidR="003A689D" w:rsidRDefault="00FF0927" w:rsidP="00C32021">
      <w:pPr>
        <w:spacing w:after="210" w:line="264" w:lineRule="auto"/>
        <w:ind w:left="540"/>
        <w:jc w:val="both"/>
      </w:pPr>
      <w:r>
        <w:lastRenderedPageBreak/>
        <w:t>T</w:t>
      </w:r>
      <w:r w:rsidR="003A689D">
        <w:t>he Company's Articles of Incorporation provide that if, on 29 October 2020 (the seventh anniversary of the Company's London listing), both of the following are true:</w:t>
      </w:r>
    </w:p>
    <w:p w14:paraId="1EC9B3B3" w14:textId="1CB4333E" w:rsidR="003A689D" w:rsidRPr="003A689D" w:rsidRDefault="003A689D" w:rsidP="00C32021">
      <w:pPr>
        <w:numPr>
          <w:ilvl w:val="0"/>
          <w:numId w:val="22"/>
        </w:numPr>
        <w:spacing w:after="210" w:line="264" w:lineRule="auto"/>
        <w:ind w:left="810" w:hanging="180"/>
        <w:jc w:val="both"/>
        <w:rPr>
          <w:rFonts w:eastAsia="Cambria"/>
        </w:rPr>
      </w:pPr>
      <w:r>
        <w:t>the trading price for the Company's ordinary shares has not at any time exceeded £14.70 (initially £15.00, subject to adjustments for dividends, stock splits or consolidations and below NAV equity issuances); and</w:t>
      </w:r>
    </w:p>
    <w:p w14:paraId="3AFF8FAD" w14:textId="77777777" w:rsidR="003A689D" w:rsidRDefault="003A689D" w:rsidP="00C32021">
      <w:pPr>
        <w:numPr>
          <w:ilvl w:val="0"/>
          <w:numId w:val="22"/>
        </w:numPr>
        <w:spacing w:after="210" w:line="264" w:lineRule="auto"/>
        <w:ind w:left="810" w:hanging="180"/>
        <w:jc w:val="both"/>
        <w:rPr>
          <w:rFonts w:eastAsia="Cambria"/>
        </w:rPr>
      </w:pPr>
      <w:r>
        <w:t>a gross IRR of 8 per cent. has not been achieved on the Company's capital, calculated by reference to the prevailing valuation or sale proceeds achieved on each of the Company's investments from the date of the initial investment or commitment of capital to that investment and prior to the deduction of fees or taxes,</w:t>
      </w:r>
      <w:r>
        <w:rPr>
          <w:rFonts w:eastAsia="Cambria"/>
        </w:rPr>
        <w:t xml:space="preserve"> </w:t>
      </w:r>
    </w:p>
    <w:p w14:paraId="19FA001C" w14:textId="77777777" w:rsidR="00E72D25" w:rsidRDefault="003A689D" w:rsidP="00C32021">
      <w:pPr>
        <w:widowControl w:val="0"/>
        <w:ind w:left="540"/>
        <w:jc w:val="both"/>
      </w:pPr>
      <w:r>
        <w:t>then a special resolution must be proposed to the Company's Shareholders to discontinue the Company ("Discontinuation Resolution").  Both tests must be triggered for the requirement to propose a Discontinuation Resolution to apply.  If a Discontinuation Resolution is proposed to Shareholders and passed (which requires 75 per cent. approval of those shareholders that vote their shares), the Company will be liquidated. With an all time high trading price of £13.70 and Gross IRR of approximately -6 per cent. as at 31 December 2019, both tests have not yet been met, so the Board has assumed for the purposes of this going concern and viability statement that the Discontinuation Resolution is likely to be required to be proposed to Shareholders.</w:t>
      </w:r>
    </w:p>
    <w:p w14:paraId="6C73A1BD" w14:textId="77777777" w:rsidR="00E72D25" w:rsidRDefault="00E72D25" w:rsidP="00C32021">
      <w:pPr>
        <w:widowControl w:val="0"/>
        <w:ind w:left="540"/>
        <w:jc w:val="both"/>
      </w:pPr>
    </w:p>
    <w:p w14:paraId="7937BBC8" w14:textId="54B22619" w:rsidR="003A689D" w:rsidRDefault="00E72D25" w:rsidP="00C32021">
      <w:pPr>
        <w:widowControl w:val="0"/>
        <w:ind w:left="540"/>
        <w:jc w:val="both"/>
      </w:pPr>
      <w:r>
        <w:t>The Investment Manager and Cornerstone Investors have 8.35 per cent. and 40.4 per cent., respectively, of the votes and can block approval. Given the Investment Manager has indicated that it will not vote for the resolution, in March 2020, the Investment Manager contacted</w:t>
      </w:r>
      <w:r w:rsidR="00BF4E59">
        <w:t xml:space="preserve"> one of</w:t>
      </w:r>
      <w:r>
        <w:t xml:space="preserve"> the Cornerstone Investor</w:t>
      </w:r>
      <w:r w:rsidR="00BF4E59">
        <w:t>s</w:t>
      </w:r>
      <w:r>
        <w:t xml:space="preserve"> </w:t>
      </w:r>
      <w:r w:rsidR="00DB2271">
        <w:t xml:space="preserve">regarding its voting intentions in respect of the </w:t>
      </w:r>
      <w:r>
        <w:t>Discontinuation Resolution</w:t>
      </w:r>
      <w:r w:rsidR="00F601A7">
        <w:t>,</w:t>
      </w:r>
      <w:r w:rsidR="00DB2271">
        <w:t xml:space="preserve"> but did not receive a firm indication. No Cornerstone Investor has </w:t>
      </w:r>
      <w:r w:rsidR="00327293">
        <w:t xml:space="preserve">yet </w:t>
      </w:r>
      <w:r w:rsidR="00DB2271">
        <w:t>expressed how</w:t>
      </w:r>
      <w:r w:rsidR="00327293">
        <w:t xml:space="preserve"> it would intend to</w:t>
      </w:r>
      <w:r w:rsidR="00DB2271">
        <w:t xml:space="preserve"> vote</w:t>
      </w:r>
      <w:r w:rsidR="00327293">
        <w:t xml:space="preserve"> on the Discontinuation Resolution Vote</w:t>
      </w:r>
      <w:r w:rsidR="00DB2271">
        <w:t>.</w:t>
      </w:r>
    </w:p>
    <w:p w14:paraId="6A2BE2FC" w14:textId="77777777" w:rsidR="003A689D" w:rsidRDefault="003A689D" w:rsidP="00C32021">
      <w:pPr>
        <w:autoSpaceDE w:val="0"/>
        <w:autoSpaceDN w:val="0"/>
        <w:adjustRightInd w:val="0"/>
        <w:jc w:val="both"/>
      </w:pPr>
    </w:p>
    <w:p w14:paraId="30AFDD27" w14:textId="6FAF5FA6" w:rsidR="003A689D" w:rsidRDefault="00E72D25" w:rsidP="00C32021">
      <w:pPr>
        <w:autoSpaceDE w:val="0"/>
        <w:autoSpaceDN w:val="0"/>
        <w:adjustRightInd w:val="0"/>
        <w:ind w:left="540"/>
        <w:jc w:val="both"/>
      </w:pPr>
      <w:r>
        <w:t>However, t</w:t>
      </w:r>
      <w:r w:rsidR="003A689D" w:rsidRPr="00C81A2A">
        <w:t xml:space="preserve">he </w:t>
      </w:r>
      <w:r w:rsidR="00FF0927">
        <w:t xml:space="preserve">understanding of the </w:t>
      </w:r>
      <w:r w:rsidR="003A689D" w:rsidRPr="00C81A2A">
        <w:t>Investment Manager</w:t>
      </w:r>
      <w:r>
        <w:t xml:space="preserve"> is</w:t>
      </w:r>
      <w:r w:rsidR="003A689D" w:rsidRPr="00C81A2A">
        <w:t xml:space="preserve"> for a </w:t>
      </w:r>
      <w:r w:rsidR="003A689D">
        <w:t>non-Cornerstone Investor</w:t>
      </w:r>
      <w:r w:rsidR="003A689D" w:rsidRPr="00C81A2A">
        <w:t xml:space="preserve"> shareholder</w:t>
      </w:r>
      <w:r w:rsidR="003A689D">
        <w:t xml:space="preserve"> of REL</w:t>
      </w:r>
      <w:r w:rsidR="003A689D" w:rsidRPr="00C81A2A">
        <w:t xml:space="preserve"> to vote against the Discontinuation Resolution because</w:t>
      </w:r>
      <w:r w:rsidR="004C7088" w:rsidRPr="004C7088">
        <w:t xml:space="preserve"> </w:t>
      </w:r>
      <w:r w:rsidR="004C7088">
        <w:t xml:space="preserve">of the opportunity to continue to develop the </w:t>
      </w:r>
      <w:r w:rsidR="004C7088">
        <w:rPr>
          <w:rFonts w:eastAsia="Calibri"/>
          <w:lang w:val="en-US"/>
        </w:rPr>
        <w:t>modified investment program</w:t>
      </w:r>
      <w:r w:rsidR="00407D9F">
        <w:rPr>
          <w:rFonts w:eastAsia="Calibri"/>
          <w:lang w:val="en-US"/>
        </w:rPr>
        <w:t>me</w:t>
      </w:r>
      <w:r w:rsidR="004C7088">
        <w:rPr>
          <w:rFonts w:eastAsia="Calibri"/>
          <w:lang w:val="en-US"/>
        </w:rPr>
        <w:t xml:space="preserve"> started </w:t>
      </w:r>
      <w:r w:rsidR="00F43CA1">
        <w:rPr>
          <w:rFonts w:eastAsia="Calibri"/>
          <w:lang w:val="en-US"/>
        </w:rPr>
        <w:t xml:space="preserve">in </w:t>
      </w:r>
      <w:r w:rsidR="004C7088">
        <w:rPr>
          <w:rFonts w:eastAsia="Calibri"/>
          <w:lang w:val="en-US"/>
        </w:rPr>
        <w:t>2019, which could avail opportunistic transactions during the current market conditions</w:t>
      </w:r>
      <w:r w:rsidR="004C7088">
        <w:t>. Additionally,</w:t>
      </w:r>
      <w:r w:rsidR="003A689D" w:rsidRPr="00C81A2A">
        <w:t xml:space="preserve"> if it were to pass, then the following adverse consequences for REL would occur:</w:t>
      </w:r>
    </w:p>
    <w:p w14:paraId="36EA6412" w14:textId="77777777" w:rsidR="003A689D" w:rsidRDefault="003A689D" w:rsidP="00C32021">
      <w:pPr>
        <w:autoSpaceDE w:val="0"/>
        <w:autoSpaceDN w:val="0"/>
        <w:adjustRightInd w:val="0"/>
        <w:ind w:left="630"/>
        <w:jc w:val="both"/>
      </w:pPr>
    </w:p>
    <w:p w14:paraId="65C3E174" w14:textId="154718F0" w:rsidR="003A689D" w:rsidRDefault="00A05ABA" w:rsidP="00C32021">
      <w:pPr>
        <w:autoSpaceDE w:val="0"/>
        <w:autoSpaceDN w:val="0"/>
        <w:adjustRightInd w:val="0"/>
        <w:ind w:left="540"/>
        <w:jc w:val="both"/>
      </w:pPr>
      <w:r>
        <w:t>3.</w:t>
      </w:r>
      <w:r w:rsidR="003A689D" w:rsidRPr="00C81A2A">
        <w:t xml:space="preserve">1) </w:t>
      </w:r>
      <w:r w:rsidR="003A689D">
        <w:t>T</w:t>
      </w:r>
      <w:r w:rsidR="003A689D" w:rsidRPr="00C81A2A">
        <w:t>he Investment Manager</w:t>
      </w:r>
      <w:r w:rsidR="003A689D">
        <w:t xml:space="preserve"> and Cornerstone Investors</w:t>
      </w:r>
      <w:r w:rsidR="003A689D" w:rsidRPr="00C81A2A">
        <w:t xml:space="preserve"> would</w:t>
      </w:r>
      <w:r w:rsidR="003A689D">
        <w:t xml:space="preserve"> share (83 per cent. / 17 per cent.)</w:t>
      </w:r>
      <w:r w:rsidR="003A689D" w:rsidRPr="00C81A2A">
        <w:t xml:space="preserve">  a lump sum payment of 20x the previous quarter’s </w:t>
      </w:r>
      <w:r w:rsidR="00407D9F">
        <w:t>M</w:t>
      </w:r>
      <w:r w:rsidR="003A689D" w:rsidRPr="00C81A2A">
        <w:t xml:space="preserve">anagement </w:t>
      </w:r>
      <w:r w:rsidR="00407D9F">
        <w:t>F</w:t>
      </w:r>
      <w:r w:rsidR="003A689D" w:rsidRPr="00C81A2A">
        <w:t>ee</w:t>
      </w:r>
      <w:r w:rsidR="003A689D">
        <w:t>. Based on the NAV at 31 December 2019, this would total approximately $57.9 million. Although the NAV at 30 September 2020 is likely to be lower given current global conditions, the amount due will still be a significant percentage of the NAV</w:t>
      </w:r>
      <w:r w:rsidR="003A689D" w:rsidRPr="00AC031C">
        <w:t>;</w:t>
      </w:r>
    </w:p>
    <w:p w14:paraId="592B9C7B" w14:textId="77777777" w:rsidR="003A689D" w:rsidRDefault="003A689D" w:rsidP="00C32021">
      <w:pPr>
        <w:autoSpaceDE w:val="0"/>
        <w:autoSpaceDN w:val="0"/>
        <w:adjustRightInd w:val="0"/>
        <w:ind w:left="630"/>
        <w:jc w:val="both"/>
      </w:pPr>
    </w:p>
    <w:p w14:paraId="59B80EBA" w14:textId="4E9B9421" w:rsidR="003A689D" w:rsidRDefault="00A05ABA" w:rsidP="00C32021">
      <w:pPr>
        <w:autoSpaceDE w:val="0"/>
        <w:autoSpaceDN w:val="0"/>
        <w:adjustRightInd w:val="0"/>
        <w:ind w:left="540"/>
        <w:jc w:val="both"/>
      </w:pPr>
      <w:r>
        <w:t>3.</w:t>
      </w:r>
      <w:r w:rsidR="001B2829">
        <w:t>2</w:t>
      </w:r>
      <w:r w:rsidR="003A689D" w:rsidRPr="00AC031C">
        <w:t xml:space="preserve">) </w:t>
      </w:r>
      <w:r w:rsidR="003A689D">
        <w:t>T</w:t>
      </w:r>
      <w:r w:rsidR="003A689D" w:rsidRPr="00AC031C">
        <w:t xml:space="preserve">he Company’s investments held through the Partnership </w:t>
      </w:r>
      <w:r w:rsidR="003A689D">
        <w:t>c</w:t>
      </w:r>
      <w:r w:rsidR="003A689D" w:rsidRPr="00AC031C">
        <w:t>ould be</w:t>
      </w:r>
      <w:r w:rsidR="003A689D" w:rsidRPr="00C81A2A">
        <w:t xml:space="preserve"> made available for</w:t>
      </w:r>
      <w:r w:rsidR="003A689D">
        <w:t xml:space="preserve"> secondary</w:t>
      </w:r>
      <w:r w:rsidR="003A689D" w:rsidRPr="00C81A2A">
        <w:t xml:space="preserve"> sale, likely at a large discount to current fair market value, which is representative of REL’s minority ownership</w:t>
      </w:r>
      <w:r w:rsidR="003A689D">
        <w:t>. Alternatively, the investments could be held and participate in the future sales by the Private Riverstone Funds, which could lessen any cash discount</w:t>
      </w:r>
      <w:r w:rsidR="003A689D" w:rsidRPr="00C81A2A">
        <w:t>; and</w:t>
      </w:r>
    </w:p>
    <w:p w14:paraId="6451DA77" w14:textId="77777777" w:rsidR="003A689D" w:rsidRDefault="003A689D" w:rsidP="00C32021">
      <w:pPr>
        <w:autoSpaceDE w:val="0"/>
        <w:autoSpaceDN w:val="0"/>
        <w:adjustRightInd w:val="0"/>
        <w:ind w:firstLine="630"/>
        <w:jc w:val="both"/>
      </w:pPr>
    </w:p>
    <w:p w14:paraId="0519DD80" w14:textId="418E89D5" w:rsidR="003A689D" w:rsidRDefault="00A05ABA" w:rsidP="00C32021">
      <w:pPr>
        <w:autoSpaceDE w:val="0"/>
        <w:autoSpaceDN w:val="0"/>
        <w:adjustRightInd w:val="0"/>
        <w:ind w:firstLine="540"/>
        <w:jc w:val="both"/>
      </w:pPr>
      <w:r>
        <w:t>3.</w:t>
      </w:r>
      <w:r w:rsidR="001B2829">
        <w:t>3</w:t>
      </w:r>
      <w:r w:rsidR="003A689D" w:rsidRPr="00C81A2A">
        <w:t xml:space="preserve">) </w:t>
      </w:r>
      <w:r w:rsidR="003A689D">
        <w:t>T</w:t>
      </w:r>
      <w:r w:rsidR="003A689D" w:rsidRPr="00C81A2A">
        <w:t xml:space="preserve">he lock-up of </w:t>
      </w:r>
      <w:r w:rsidR="003A689D">
        <w:t xml:space="preserve">listed </w:t>
      </w:r>
      <w:r w:rsidR="003A689D" w:rsidRPr="00C81A2A">
        <w:t xml:space="preserve">shares impeding </w:t>
      </w:r>
      <w:r w:rsidR="003A689D">
        <w:t>S</w:t>
      </w:r>
      <w:r w:rsidR="003A689D" w:rsidRPr="00C81A2A">
        <w:t>hareholders’ liquidity.</w:t>
      </w:r>
    </w:p>
    <w:p w14:paraId="654E36C5" w14:textId="77777777" w:rsidR="003A689D" w:rsidRDefault="003A689D" w:rsidP="00C32021">
      <w:pPr>
        <w:autoSpaceDE w:val="0"/>
        <w:autoSpaceDN w:val="0"/>
        <w:adjustRightInd w:val="0"/>
        <w:jc w:val="both"/>
      </w:pPr>
    </w:p>
    <w:p w14:paraId="04980BCC" w14:textId="77777777" w:rsidR="003A689D" w:rsidRDefault="003A689D" w:rsidP="00C32021">
      <w:pPr>
        <w:widowControl w:val="0"/>
        <w:spacing w:after="120"/>
        <w:ind w:firstLine="540"/>
        <w:jc w:val="both"/>
      </w:pPr>
      <w:r>
        <w:rPr>
          <w:i/>
          <w:iCs/>
          <w:u w:val="single"/>
        </w:rPr>
        <w:t xml:space="preserve">4. </w:t>
      </w:r>
      <w:r w:rsidRPr="00DC3D5C">
        <w:rPr>
          <w:i/>
          <w:iCs/>
          <w:u w:val="single"/>
        </w:rPr>
        <w:t>Discount to NAV of the Company</w:t>
      </w:r>
    </w:p>
    <w:p w14:paraId="5809379F" w14:textId="0B1991EE" w:rsidR="003A689D" w:rsidRPr="003677FC" w:rsidRDefault="003A689D" w:rsidP="00C32021">
      <w:pPr>
        <w:widowControl w:val="0"/>
        <w:ind w:left="540"/>
        <w:jc w:val="both"/>
      </w:pPr>
      <w:r w:rsidRPr="003677FC">
        <w:t>Since its inception, the Company’s trading discount to NAV percentage has remained consistent with a population of comparable publicly</w:t>
      </w:r>
      <w:r w:rsidRPr="003677FC">
        <w:rPr>
          <w:rFonts w:ascii="Cambria Math" w:hAnsi="Cambria Math" w:cs="Cambria Math"/>
        </w:rPr>
        <w:t>‐</w:t>
      </w:r>
      <w:r w:rsidRPr="003677FC">
        <w:t xml:space="preserve">traded PE funds as their life to date average trading discount percentages are 17.7 per cent. and 20.1 per cent., respectively. However, from December 2015 to January 2016 and November 2018 to December 2018, as well as </w:t>
      </w:r>
      <w:r w:rsidR="003E158F">
        <w:t xml:space="preserve">from </w:t>
      </w:r>
      <w:r w:rsidRPr="003677FC">
        <w:t>December 2019</w:t>
      </w:r>
      <w:r w:rsidR="003E158F">
        <w:t xml:space="preserve"> to the present</w:t>
      </w:r>
      <w:r w:rsidRPr="003677FC">
        <w:t>, declines in the price of oil adversely impacted the market sentiment for oil companies, which resulted in the Company’s trading discount percentage increasing at a faster rate than the population of comparable publicly-traded PE funds, as it is solely invested in the global energy</w:t>
      </w:r>
      <w:r>
        <w:t xml:space="preserve"> industry across all</w:t>
      </w:r>
      <w:r w:rsidRPr="003677FC">
        <w:t xml:space="preserve"> sector</w:t>
      </w:r>
      <w:r>
        <w:t>s</w:t>
      </w:r>
      <w:r w:rsidRPr="003677FC">
        <w:t>. The Company’s trading discount to NAV percentage at 31 December 2019 spiked to 43.</w:t>
      </w:r>
      <w:r>
        <w:t>8</w:t>
      </w:r>
      <w:r w:rsidRPr="003677FC">
        <w:t xml:space="preserve"> per cent.</w:t>
      </w:r>
      <w:r w:rsidR="001C2A75" w:rsidRPr="001C2A75">
        <w:t xml:space="preserve"> (or 57.4 per cent. on a cash-adjusted basis)</w:t>
      </w:r>
      <w:r w:rsidRPr="00EB56B3">
        <w:t xml:space="preserve"> </w:t>
      </w:r>
      <w:r w:rsidRPr="003677FC">
        <w:t xml:space="preserve">because the Company’s price per share decline of 60 per cent. outpaced the decrease in the Company’s NAV per share of over 45 per cent. for the year ended 31 December 2019. From year-end through the date of this </w:t>
      </w:r>
      <w:r>
        <w:t>report</w:t>
      </w:r>
      <w:r w:rsidRPr="003677FC">
        <w:t>, the Company’s trading discount has continued to increase due to the further decline in the Company’s share price</w:t>
      </w:r>
      <w:r>
        <w:t xml:space="preserve"> and </w:t>
      </w:r>
      <w:r w:rsidR="00982ACF">
        <w:t>was</w:t>
      </w:r>
      <w:r>
        <w:t xml:space="preserve"> 81.1 per cent.</w:t>
      </w:r>
      <w:r w:rsidRPr="003677FC">
        <w:t xml:space="preserve"> </w:t>
      </w:r>
      <w:r w:rsidR="00F579AC">
        <w:t>as of 31 March 2020</w:t>
      </w:r>
      <w:r w:rsidR="001C2A75">
        <w:t xml:space="preserve"> </w:t>
      </w:r>
      <w:r w:rsidR="001C2A75" w:rsidRPr="001C2A75">
        <w:t xml:space="preserve">(or </w:t>
      </w:r>
      <w:r w:rsidR="001C2A75">
        <w:t>106.2</w:t>
      </w:r>
      <w:r w:rsidR="001C2A75" w:rsidRPr="001C2A75">
        <w:t xml:space="preserve"> per cent. on a cash-adjusted basis)</w:t>
      </w:r>
      <w:r w:rsidR="00F579AC">
        <w:t>.</w:t>
      </w:r>
    </w:p>
    <w:p w14:paraId="74A7B689" w14:textId="77777777" w:rsidR="003A689D" w:rsidRPr="003677FC" w:rsidRDefault="003A689D" w:rsidP="00C32021">
      <w:pPr>
        <w:widowControl w:val="0"/>
        <w:jc w:val="both"/>
      </w:pPr>
    </w:p>
    <w:p w14:paraId="61129590" w14:textId="40DA2DDA" w:rsidR="003A689D" w:rsidRDefault="003A689D" w:rsidP="00C32021">
      <w:pPr>
        <w:widowControl w:val="0"/>
        <w:ind w:left="540"/>
        <w:jc w:val="both"/>
      </w:pPr>
      <w:r w:rsidRPr="003677FC">
        <w:t xml:space="preserve">The Board, with consultation of the Investment Manager, regularly monitors the Company’s trading discount percentage and, when possible, executes corporate actions aimed at managing it, such as the Tender Offer share repurchase in November 2018, which attributed to a 1.5 per cent. increase in the </w:t>
      </w:r>
      <w:r w:rsidRPr="003677FC">
        <w:lastRenderedPageBreak/>
        <w:t xml:space="preserve">Company’s NAV, and partially offset the increase of the trading discount percentage. </w:t>
      </w:r>
      <w:r w:rsidRPr="00986B39">
        <w:t xml:space="preserve">The Board continues to discuss various corporate actions, but nothing has been determined as at the date of this report. </w:t>
      </w:r>
      <w:r w:rsidRPr="003677FC">
        <w:t>If the aforementioned Discontinuation Resolution receives the required 75 per cent. of votes cast</w:t>
      </w:r>
      <w:r w:rsidR="00F601A7">
        <w:t xml:space="preserve"> in favour</w:t>
      </w:r>
      <w:r w:rsidRPr="003677FC">
        <w:t xml:space="preserve">, any potential decrease in the trading discount percentage will be significantly reduced by the lump sum </w:t>
      </w:r>
      <w:r w:rsidR="00407D9F">
        <w:t>M</w:t>
      </w:r>
      <w:r w:rsidRPr="003677FC">
        <w:t xml:space="preserve">anagement </w:t>
      </w:r>
      <w:r w:rsidR="00407D9F">
        <w:t>F</w:t>
      </w:r>
      <w:r w:rsidRPr="003677FC">
        <w:t>ee</w:t>
      </w:r>
      <w:r w:rsidRPr="00986B39">
        <w:rPr>
          <w:rFonts w:ascii="Calibri" w:hAnsi="Calibri" w:cs="Calibri"/>
        </w:rPr>
        <w:t xml:space="preserve"> </w:t>
      </w:r>
      <w:r w:rsidRPr="00986B39">
        <w:t>payment</w:t>
      </w:r>
      <w:r w:rsidRPr="003677FC">
        <w:t xml:space="preserve"> owed to the Investment Manager</w:t>
      </w:r>
      <w:r>
        <w:t>, as well as</w:t>
      </w:r>
      <w:r w:rsidRPr="003677FC">
        <w:t xml:space="preserve"> the inherent discount to the current fair value of the Company’s investments.</w:t>
      </w:r>
    </w:p>
    <w:p w14:paraId="1519BB14" w14:textId="172A98AE" w:rsidR="004C7088" w:rsidRDefault="004C7088" w:rsidP="00C32021">
      <w:pPr>
        <w:widowControl w:val="0"/>
        <w:ind w:left="630"/>
        <w:jc w:val="both"/>
      </w:pPr>
    </w:p>
    <w:p w14:paraId="4330C449" w14:textId="73849B0B" w:rsidR="004C7088" w:rsidRPr="00CB6181" w:rsidRDefault="001B2829" w:rsidP="00C32021">
      <w:pPr>
        <w:ind w:firstLine="540"/>
        <w:jc w:val="both"/>
        <w:rPr>
          <w:rFonts w:eastAsia="Cambria"/>
          <w:i/>
          <w:iCs/>
          <w:u w:val="single"/>
        </w:rPr>
      </w:pPr>
      <w:r>
        <w:rPr>
          <w:rFonts w:eastAsia="Cambria"/>
          <w:i/>
          <w:iCs/>
          <w:u w:val="single"/>
        </w:rPr>
        <w:t xml:space="preserve">5. </w:t>
      </w:r>
      <w:r w:rsidR="004C7088" w:rsidRPr="00CB6181">
        <w:rPr>
          <w:rFonts w:eastAsia="Cambria"/>
          <w:i/>
          <w:iCs/>
          <w:u w:val="single"/>
        </w:rPr>
        <w:t>COVID-19</w:t>
      </w:r>
    </w:p>
    <w:p w14:paraId="40E6EBC7" w14:textId="77777777" w:rsidR="004C7088" w:rsidRDefault="004C7088" w:rsidP="00C32021">
      <w:pPr>
        <w:ind w:left="540"/>
        <w:jc w:val="both"/>
        <w:rPr>
          <w:rFonts w:eastAsia="Cambria"/>
        </w:rPr>
      </w:pPr>
      <w:r w:rsidRPr="006F5FE4">
        <w:rPr>
          <w:rFonts w:eastAsia="Cambria"/>
        </w:rPr>
        <w:t xml:space="preserve">The Board and Investment Manager have been in continuous dialogue regarding the impact of COVID-19 and appropriate disclosures within the Company’s </w:t>
      </w:r>
      <w:r>
        <w:rPr>
          <w:rFonts w:eastAsia="Cambria"/>
        </w:rPr>
        <w:t xml:space="preserve">2019 Annual Report and </w:t>
      </w:r>
      <w:r w:rsidRPr="006F5FE4">
        <w:rPr>
          <w:rFonts w:eastAsia="Cambria"/>
        </w:rPr>
        <w:t>Financial Statements</w:t>
      </w:r>
      <w:r>
        <w:rPr>
          <w:rFonts w:eastAsia="Cambria"/>
        </w:rPr>
        <w:t>,</w:t>
      </w:r>
      <w:r w:rsidRPr="006F5FE4">
        <w:rPr>
          <w:rFonts w:eastAsia="Cambria"/>
        </w:rPr>
        <w:t xml:space="preserve"> given that it's an evolving situation.</w:t>
      </w:r>
      <w:r>
        <w:rPr>
          <w:rFonts w:eastAsia="Cambria"/>
        </w:rPr>
        <w:t xml:space="preserve"> </w:t>
      </w:r>
      <w:r w:rsidRPr="006F5FE4">
        <w:rPr>
          <w:rFonts w:eastAsia="Cambria"/>
        </w:rPr>
        <w:t>The Company’s Management Engagement Committee requested and received updates from REL’s key service providers, including the Investment Manager, regarding the</w:t>
      </w:r>
      <w:r>
        <w:rPr>
          <w:rFonts w:eastAsia="Cambria"/>
        </w:rPr>
        <w:t>ir response to COVID-19, including an update on their</w:t>
      </w:r>
      <w:r w:rsidRPr="006F5FE4">
        <w:rPr>
          <w:rFonts w:eastAsia="Cambria"/>
        </w:rPr>
        <w:t xml:space="preserve"> respective business continuity plans.</w:t>
      </w:r>
    </w:p>
    <w:p w14:paraId="75F0012A" w14:textId="77777777" w:rsidR="004C7088" w:rsidRDefault="004C7088" w:rsidP="00C32021">
      <w:pPr>
        <w:jc w:val="both"/>
        <w:rPr>
          <w:rFonts w:eastAsia="Cambria"/>
        </w:rPr>
      </w:pPr>
    </w:p>
    <w:p w14:paraId="582FF758" w14:textId="13699A3A" w:rsidR="004C7088" w:rsidRDefault="004C7088" w:rsidP="00C32021">
      <w:pPr>
        <w:widowControl w:val="0"/>
        <w:ind w:left="540"/>
        <w:jc w:val="both"/>
      </w:pPr>
      <w:r w:rsidRPr="006F5FE4">
        <w:rPr>
          <w:rFonts w:eastAsia="Cambria"/>
        </w:rPr>
        <w:t>The Investment Manager activat</w:t>
      </w:r>
      <w:r>
        <w:rPr>
          <w:rFonts w:eastAsia="Cambria"/>
        </w:rPr>
        <w:t>ed</w:t>
      </w:r>
      <w:r w:rsidRPr="006F5FE4">
        <w:rPr>
          <w:rFonts w:eastAsia="Cambria"/>
        </w:rPr>
        <w:t xml:space="preserve"> its business continuity plan</w:t>
      </w:r>
      <w:r>
        <w:rPr>
          <w:rFonts w:eastAsia="Cambria"/>
        </w:rPr>
        <w:t xml:space="preserve"> and its </w:t>
      </w:r>
      <w:r>
        <w:t>regular working pattern has changed to remote working, though all staff are continuing to assume their day-to-day responsibilities remotely.</w:t>
      </w:r>
      <w:r>
        <w:rPr>
          <w:rFonts w:eastAsia="Cambria"/>
        </w:rPr>
        <w:t xml:space="preserve"> There</w:t>
      </w:r>
      <w:r w:rsidRPr="006F5FE4">
        <w:rPr>
          <w:rFonts w:eastAsia="Cambria"/>
        </w:rPr>
        <w:t xml:space="preserve"> has been regular communication with its employees</w:t>
      </w:r>
      <w:r>
        <w:rPr>
          <w:rFonts w:eastAsia="Cambria"/>
        </w:rPr>
        <w:t xml:space="preserve">, as well as its investors. </w:t>
      </w:r>
      <w:r>
        <w:t xml:space="preserve">In addition, the Investment Manager’s partners are hosting weekly calls on potential investment opportunities in this new environment (caused by COVID and OPEC+ news), so that Riverstone can best position the portfolio for the future. </w:t>
      </w:r>
      <w:r>
        <w:rPr>
          <w:rFonts w:eastAsia="Cambria"/>
        </w:rPr>
        <w:t>The Investment Manager has contacted its</w:t>
      </w:r>
      <w:r w:rsidRPr="006F5FE4">
        <w:rPr>
          <w:rFonts w:eastAsia="Cambria"/>
        </w:rPr>
        <w:t xml:space="preserve"> portfolio companies </w:t>
      </w:r>
      <w:r>
        <w:t>to make sure that they have the appropriate plans and resources in place to prioritize the health and safety of their employees, as well as to assess supply chain disruptions and ensure the normal operations of our businesses</w:t>
      </w:r>
      <w:r w:rsidRPr="006F5FE4">
        <w:rPr>
          <w:rFonts w:eastAsia="Cambria"/>
        </w:rPr>
        <w:t>.</w:t>
      </w:r>
    </w:p>
    <w:p w14:paraId="21008F74" w14:textId="77777777" w:rsidR="003A689D" w:rsidRPr="00811BA1" w:rsidRDefault="003A689D" w:rsidP="00C32021">
      <w:pPr>
        <w:pStyle w:val="Bodytext"/>
        <w:jc w:val="both"/>
      </w:pPr>
    </w:p>
    <w:p w14:paraId="1848B481" w14:textId="22D081EC" w:rsidR="0070239A" w:rsidRDefault="003A689D" w:rsidP="00C32021">
      <w:pPr>
        <w:pStyle w:val="Bodytext"/>
        <w:ind w:left="567"/>
        <w:jc w:val="both"/>
      </w:pPr>
      <w:r>
        <w:t>Based on</w:t>
      </w:r>
      <w:r w:rsidRPr="00811BA1">
        <w:t xml:space="preserve"> the</w:t>
      </w:r>
      <w:r>
        <w:t xml:space="preserve"> reasons outlined</w:t>
      </w:r>
      <w:r w:rsidRPr="00811BA1">
        <w:t xml:space="preserve"> above,</w:t>
      </w:r>
      <w:r>
        <w:t xml:space="preserve"> on balance,</w:t>
      </w:r>
      <w:r w:rsidRPr="00811BA1">
        <w:t xml:space="preserve"> the Directors are satisfied</w:t>
      </w:r>
      <w:r>
        <w:t>, as of today’s date,</w:t>
      </w:r>
      <w:r w:rsidRPr="00811BA1">
        <w:t xml:space="preserve"> that it is appropriate to </w:t>
      </w:r>
      <w:r>
        <w:t>adopt</w:t>
      </w:r>
      <w:r w:rsidRPr="00811BA1">
        <w:t xml:space="preserve"> the going concern basis in preparing the </w:t>
      </w:r>
      <w:r>
        <w:t>F</w:t>
      </w:r>
      <w:r w:rsidRPr="00811BA1">
        <w:t xml:space="preserve">inancial </w:t>
      </w:r>
      <w:r>
        <w:t>S</w:t>
      </w:r>
      <w:r w:rsidRPr="00811BA1">
        <w:t>tatements.</w:t>
      </w:r>
      <w:r w:rsidR="004366A1">
        <w:t xml:space="preserve"> As of the date of this report, the Partnership has available liquid resources of $207 million, which are in excess of potential unfunded commitments of $135 million and the liabilities at 31 December 2019 and forecasted annual expenses for the foreseeable future.</w:t>
      </w:r>
      <w:r>
        <w:t xml:space="preserve"> However, </w:t>
      </w:r>
      <w:r>
        <w:rPr>
          <w:rFonts w:eastAsia="Times New Roman"/>
        </w:rPr>
        <w:t>as the direction of the EGM vote is not known at this time,</w:t>
      </w:r>
      <w:r w:rsidR="004366A1">
        <w:rPr>
          <w:rFonts w:eastAsia="Times New Roman"/>
        </w:rPr>
        <w:t xml:space="preserve"> and the recent oil and gas market decline and COVID-19,</w:t>
      </w:r>
      <w:r>
        <w:rPr>
          <w:rFonts w:eastAsia="Times New Roman"/>
        </w:rPr>
        <w:t xml:space="preserve"> there is a material uncertainty.</w:t>
      </w:r>
    </w:p>
    <w:p w14:paraId="3E9AA68A" w14:textId="77777777" w:rsidR="008C47A8" w:rsidRDefault="008C47A8" w:rsidP="00087CB7">
      <w:pPr>
        <w:pStyle w:val="Bodytext"/>
        <w:ind w:left="567"/>
        <w:rPr>
          <w:b/>
        </w:rPr>
      </w:pPr>
    </w:p>
    <w:p w14:paraId="17F90339" w14:textId="6CC78DDF" w:rsidR="0070239A" w:rsidRPr="0070239A" w:rsidRDefault="0070239A" w:rsidP="00087CB7">
      <w:pPr>
        <w:pStyle w:val="Bodytext"/>
        <w:ind w:left="567"/>
        <w:rPr>
          <w:b/>
        </w:rPr>
      </w:pPr>
      <w:r w:rsidRPr="0070239A">
        <w:rPr>
          <w:b/>
        </w:rPr>
        <w:t>Estimates and assumptions</w:t>
      </w:r>
    </w:p>
    <w:p w14:paraId="05DB0330" w14:textId="6F07C90D" w:rsidR="00234DF1" w:rsidRPr="00811BA1" w:rsidRDefault="00234DF1" w:rsidP="00C32021">
      <w:pPr>
        <w:pStyle w:val="Bodytext"/>
        <w:ind w:left="567"/>
        <w:jc w:val="both"/>
      </w:pPr>
      <w:r w:rsidRPr="00811BA1">
        <w:t xml:space="preserve">The area involving a high degree of judgement or complexity and where assumptions and estimates are significant to the Financial Statements has been identified as the risk of misstatement of the valuation of the investment in the Partnership (see Note </w:t>
      </w:r>
      <w:r w:rsidR="009B7F3B" w:rsidRPr="00811BA1">
        <w:t>5</w:t>
      </w:r>
      <w:r w:rsidRPr="00811BA1">
        <w:t xml:space="preserve">). Revisions to accounting estimates are recognised in the period in which the estimate is revised and in any future periods affected. </w:t>
      </w:r>
      <w:r w:rsidR="00F65B81">
        <w:t xml:space="preserve">With the going concern assumption being used as the basis of preparing the Financial Statements, no adjustment to carrying values of assets or liabilities have been required. </w:t>
      </w:r>
      <w:r w:rsidRPr="00811BA1">
        <w:t>The Board’s determination that no discount or premium should be applied to the net asset value of the Partnership involves a degree of judgement due to the nature of the Partnership’s investments and other assets and liabilities</w:t>
      </w:r>
      <w:r w:rsidR="007949A1">
        <w:t xml:space="preserve"> </w:t>
      </w:r>
      <w:r w:rsidRPr="00811BA1">
        <w:t>(see Note 2: Financial assets a) iii.)</w:t>
      </w:r>
      <w:r w:rsidR="00386C5B">
        <w:t xml:space="preserve"> and the valuation techniques and procedures adopted by the Partnership.</w:t>
      </w:r>
    </w:p>
    <w:p w14:paraId="7C518854" w14:textId="5EE7FF8A" w:rsidR="00C32021" w:rsidRDefault="00C32021" w:rsidP="00C32021">
      <w:pPr>
        <w:pStyle w:val="Bodytext"/>
        <w:ind w:left="567"/>
        <w:jc w:val="both"/>
      </w:pPr>
    </w:p>
    <w:p w14:paraId="7E9D091F" w14:textId="77777777" w:rsidR="00234DF1" w:rsidRDefault="00234DF1" w:rsidP="00C32021">
      <w:pPr>
        <w:pStyle w:val="Bodytext"/>
        <w:ind w:left="567"/>
        <w:jc w:val="both"/>
      </w:pPr>
      <w:r w:rsidRPr="00811BA1">
        <w:t>The resulting accounting estimates will, by definition, seldom equal the related actual results.</w:t>
      </w:r>
    </w:p>
    <w:p w14:paraId="233A5341" w14:textId="77777777" w:rsidR="00AF11A0" w:rsidRPr="00811BA1" w:rsidRDefault="00AF11A0" w:rsidP="00DF0125">
      <w:pPr>
        <w:pStyle w:val="Bodytext"/>
      </w:pPr>
    </w:p>
    <w:p w14:paraId="204CB9AA" w14:textId="008B3ECC" w:rsidR="00234DF1" w:rsidRPr="00811BA1" w:rsidRDefault="00E23070" w:rsidP="00EB7E49">
      <w:pPr>
        <w:pStyle w:val="Heading2"/>
      </w:pPr>
      <w:r w:rsidRPr="00811BA1">
        <w:t>4</w:t>
      </w:r>
      <w:r w:rsidR="00234DF1" w:rsidRPr="00811BA1">
        <w:t>.</w:t>
      </w:r>
      <w:r w:rsidR="00234DF1" w:rsidRPr="00811BA1">
        <w:tab/>
        <w:t>Taxation</w:t>
      </w:r>
    </w:p>
    <w:p w14:paraId="2909582B" w14:textId="38B063A4" w:rsidR="00234DF1" w:rsidRDefault="00234DF1" w:rsidP="00C32021">
      <w:pPr>
        <w:pStyle w:val="Bodytext"/>
        <w:ind w:left="567"/>
        <w:jc w:val="both"/>
      </w:pPr>
      <w:r w:rsidRPr="00811BA1">
        <w:t>The Company has made an election to, and currently expects to conduct its activities so as to be treated as a partnership for U.S. federal income tax purposes. Therefore, the Company expects that it generally will not be liable for U.S. federal income taxes.</w:t>
      </w:r>
      <w:r w:rsidR="0087238A">
        <w:t xml:space="preserve"> In the normal course of business, </w:t>
      </w:r>
      <w:r w:rsidR="00AA159F">
        <w:t>REL</w:t>
      </w:r>
      <w:r w:rsidR="0087238A">
        <w:t xml:space="preserve"> may form wholly</w:t>
      </w:r>
      <w:r w:rsidR="00DD5CB5">
        <w:t xml:space="preserve"> </w:t>
      </w:r>
      <w:r w:rsidR="0087238A">
        <w:t xml:space="preserve">owned subsidiaries, to be treated as </w:t>
      </w:r>
      <w:r w:rsidR="004E028B" w:rsidRPr="004E028B">
        <w:t xml:space="preserve">C </w:t>
      </w:r>
      <w:r w:rsidR="0087238A" w:rsidRPr="004E028B">
        <w:t>Corporations</w:t>
      </w:r>
      <w:r w:rsidR="0087238A">
        <w:t xml:space="preserve"> for U.S. tax purposes. The</w:t>
      </w:r>
      <w:r w:rsidR="00E847A2">
        <w:t xml:space="preserve"> C</w:t>
      </w:r>
      <w:r w:rsidR="0087238A">
        <w:t xml:space="preserve"> Corporations serve to protect </w:t>
      </w:r>
      <w:r w:rsidR="00AA159F">
        <w:t xml:space="preserve">REL’s </w:t>
      </w:r>
      <w:r w:rsidR="0087238A">
        <w:t xml:space="preserve">public investors from incurring U.S. ECI. The </w:t>
      </w:r>
      <w:r w:rsidR="00E847A2">
        <w:t xml:space="preserve">C </w:t>
      </w:r>
      <w:r w:rsidR="0087238A">
        <w:t>Corporations file U.S. corporate tax returns with the U.S. IRS and pay U.S. corporate taxes on its income. E</w:t>
      </w:r>
      <w:r w:rsidRPr="00811BA1">
        <w:t xml:space="preserve">ach of the Company’s Shareholders who are liable </w:t>
      </w:r>
      <w:r w:rsidR="00183FC1">
        <w:t>for</w:t>
      </w:r>
      <w:r w:rsidR="00183FC1" w:rsidRPr="00811BA1">
        <w:t xml:space="preserve"> </w:t>
      </w:r>
      <w:r w:rsidRPr="00811BA1">
        <w:t>U.S. taxes will take into account</w:t>
      </w:r>
      <w:r w:rsidR="00EE65AA">
        <w:t xml:space="preserve"> their</w:t>
      </w:r>
      <w:r w:rsidRPr="00811BA1">
        <w:t xml:space="preserve"> respective share of the Company’s items of income, gain, loss and deduction in computing its U.S. federal income tax liability as if such </w:t>
      </w:r>
      <w:r w:rsidR="00B1088B">
        <w:t>S</w:t>
      </w:r>
      <w:r w:rsidRPr="00811BA1">
        <w:t xml:space="preserve">hareholder had earned such income directly, even if no cash distributions are made to the </w:t>
      </w:r>
      <w:r w:rsidR="00B1088B">
        <w:t>S</w:t>
      </w:r>
      <w:r w:rsidRPr="00811BA1">
        <w:t>hareholder.</w:t>
      </w:r>
    </w:p>
    <w:p w14:paraId="239DB952" w14:textId="77777777" w:rsidR="002A142F" w:rsidRPr="00811BA1" w:rsidRDefault="002A142F" w:rsidP="00C32021">
      <w:pPr>
        <w:pStyle w:val="Bodytext"/>
        <w:ind w:left="567"/>
        <w:jc w:val="both"/>
      </w:pPr>
    </w:p>
    <w:p w14:paraId="5C28C86C" w14:textId="77777777" w:rsidR="002A142F" w:rsidRPr="00811BA1" w:rsidRDefault="002A142F" w:rsidP="00C32021">
      <w:pPr>
        <w:pStyle w:val="Bodytext"/>
        <w:ind w:left="567"/>
        <w:jc w:val="both"/>
      </w:pPr>
      <w:r w:rsidRPr="00811BA1">
        <w:t xml:space="preserve">The Company is exempt from taxation in Guernsey under the provisions of the Income Tax (Exempt Bodies) (Guernsey) Ordinance, 2008 and is charged an annual exemption fee of £1,200. </w:t>
      </w:r>
    </w:p>
    <w:p w14:paraId="668831C6" w14:textId="77777777" w:rsidR="00214B91" w:rsidRPr="00811BA1" w:rsidRDefault="00214B91" w:rsidP="00C32021">
      <w:pPr>
        <w:pStyle w:val="Bodytext"/>
        <w:ind w:left="567"/>
        <w:jc w:val="both"/>
      </w:pPr>
    </w:p>
    <w:p w14:paraId="11EA7610" w14:textId="77777777" w:rsidR="00234DF1" w:rsidRPr="00811BA1" w:rsidRDefault="00234DF1" w:rsidP="00C32021">
      <w:pPr>
        <w:pStyle w:val="Bodytext"/>
        <w:ind w:left="567"/>
        <w:jc w:val="both"/>
      </w:pPr>
      <w:r w:rsidRPr="00811BA1">
        <w:t>The Cayman Islands at present impose no taxes on profit, income, capital gains or appreciations in value of the Partnership. There are also currently no taxes imposed in the Cayman Islands by withholding or otherwise on the Company as a limited partner of the Partnership on profit, income, capital gains or appreciations in respect of its partnership interest nor any taxes on the Company as a limited partner of the Partnership in the nature of estate duty, inheritance or capital transfer tax.</w:t>
      </w:r>
    </w:p>
    <w:p w14:paraId="6AC00453" w14:textId="77777777" w:rsidR="001816AC" w:rsidRPr="00811BA1" w:rsidRDefault="001816AC" w:rsidP="00C32021">
      <w:pPr>
        <w:pStyle w:val="Bodytext"/>
        <w:ind w:left="567"/>
        <w:jc w:val="both"/>
      </w:pPr>
    </w:p>
    <w:p w14:paraId="6372CD0D" w14:textId="61EB55BB" w:rsidR="00234DF1" w:rsidRPr="00811BA1" w:rsidRDefault="00234DF1" w:rsidP="00C32021">
      <w:pPr>
        <w:pStyle w:val="Bodytext"/>
        <w:ind w:left="567"/>
        <w:jc w:val="both"/>
      </w:pPr>
      <w:r w:rsidRPr="00811BA1">
        <w:lastRenderedPageBreak/>
        <w:t xml:space="preserve">Local taxes may apply at the jurisdictional level on profits arising in operating entity investments. Further taxes may apply on distributions from such operating entity investments. </w:t>
      </w:r>
      <w:r w:rsidR="00C14D88" w:rsidRPr="00C14D88">
        <w:t>The company is structured, and has structured its investments, to eliminate the incurrence of ECI by REL’s investors.</w:t>
      </w:r>
      <w:r w:rsidR="00C14D88" w:rsidRPr="00811BA1">
        <w:t xml:space="preserve"> </w:t>
      </w:r>
      <w:r w:rsidRPr="00811BA1">
        <w:t xml:space="preserve">Based upon the current commitments </w:t>
      </w:r>
      <w:r w:rsidRPr="00D82567">
        <w:t>and investments in Liberty II, Eagle II, Rock Oil, Fieldwood, Castex 2014</w:t>
      </w:r>
      <w:r w:rsidR="000B0FB0" w:rsidRPr="00D82567">
        <w:t>, Carrier II</w:t>
      </w:r>
      <w:r w:rsidR="006E6E9E" w:rsidRPr="00D82567">
        <w:t>,</w:t>
      </w:r>
      <w:r w:rsidR="00BD250A" w:rsidRPr="00D82567">
        <w:t xml:space="preserve"> ILX III</w:t>
      </w:r>
      <w:r w:rsidR="006E6E9E" w:rsidRPr="00D82567">
        <w:t>, and Centennial,</w:t>
      </w:r>
      <w:r w:rsidR="000B0FB0" w:rsidRPr="00D82567">
        <w:t xml:space="preserve"> </w:t>
      </w:r>
      <w:r w:rsidRPr="00D82567">
        <w:t>the</w:t>
      </w:r>
      <w:r w:rsidRPr="006E6E9E">
        <w:t xml:space="preserve"> future U.S. tax liability on profits is expected to be in the range of </w:t>
      </w:r>
      <w:r w:rsidR="00C238D0">
        <w:t>21</w:t>
      </w:r>
      <w:r w:rsidR="009D4A2B" w:rsidRPr="006E6E9E">
        <w:t xml:space="preserve"> </w:t>
      </w:r>
      <w:r w:rsidRPr="006E6E9E">
        <w:t xml:space="preserve">to </w:t>
      </w:r>
      <w:r w:rsidR="00C238D0">
        <w:t>27.5</w:t>
      </w:r>
      <w:r w:rsidR="00567C20">
        <w:t xml:space="preserve"> </w:t>
      </w:r>
      <w:r w:rsidRPr="00C50AB9">
        <w:t>per cent.</w:t>
      </w:r>
      <w:r w:rsidR="007949A1">
        <w:t xml:space="preserve"> (</w:t>
      </w:r>
      <w:r w:rsidR="00610498">
        <w:t>31 December 201</w:t>
      </w:r>
      <w:r w:rsidR="00EE65AA">
        <w:t>8</w:t>
      </w:r>
      <w:r w:rsidR="007949A1">
        <w:t xml:space="preserve">: </w:t>
      </w:r>
      <w:r w:rsidR="00E0068A">
        <w:t>21</w:t>
      </w:r>
      <w:r w:rsidR="007949A1">
        <w:t xml:space="preserve"> to </w:t>
      </w:r>
      <w:r w:rsidR="00E0068A">
        <w:t>27</w:t>
      </w:r>
      <w:r w:rsidR="007949A1">
        <w:t>.5 per cent.)</w:t>
      </w:r>
      <w:r w:rsidR="00BB3620" w:rsidRPr="00C50AB9">
        <w:t>.</w:t>
      </w:r>
      <w:r w:rsidR="0031324C">
        <w:t xml:space="preserve"> </w:t>
      </w:r>
    </w:p>
    <w:p w14:paraId="463150F3" w14:textId="77777777" w:rsidR="00234DF1" w:rsidRDefault="00234DF1" w:rsidP="00C32021">
      <w:pPr>
        <w:pStyle w:val="Bodytext"/>
        <w:ind w:left="567"/>
        <w:jc w:val="both"/>
      </w:pPr>
    </w:p>
    <w:p w14:paraId="6CFB6353" w14:textId="12212EF9" w:rsidR="00234DF1" w:rsidRPr="00811BA1" w:rsidRDefault="00E23070" w:rsidP="00EB7E49">
      <w:pPr>
        <w:pStyle w:val="Heading2"/>
      </w:pPr>
      <w:r w:rsidRPr="00811BA1">
        <w:t>5</w:t>
      </w:r>
      <w:r w:rsidR="00234DF1" w:rsidRPr="00811BA1">
        <w:t>.</w:t>
      </w:r>
      <w:r w:rsidR="00234DF1" w:rsidRPr="00811BA1">
        <w:tab/>
        <w:t>Fair value</w:t>
      </w:r>
    </w:p>
    <w:p w14:paraId="031E5A52" w14:textId="77777777" w:rsidR="00234DF1" w:rsidRPr="00811BA1" w:rsidRDefault="00234DF1" w:rsidP="00C32021">
      <w:pPr>
        <w:pStyle w:val="Bodytext"/>
        <w:ind w:left="567"/>
        <w:jc w:val="both"/>
      </w:pPr>
      <w:r w:rsidRPr="00811BA1">
        <w:t>IFRS 13 ‘Fair Value Measurement’ requires disclosure of fair value measurement by level. The level in the fair value hierarchy within which the financial assets or financial liabilities are categorised is determined on the basis of the lowest level input that is significant to the fair value measurement, adjusted if necessary.</w:t>
      </w:r>
    </w:p>
    <w:p w14:paraId="3E7BB64F" w14:textId="77777777" w:rsidR="001816AC" w:rsidRPr="00811BA1" w:rsidRDefault="001816AC" w:rsidP="00C32021">
      <w:pPr>
        <w:pStyle w:val="Bodytext"/>
        <w:ind w:left="567"/>
        <w:jc w:val="both"/>
      </w:pPr>
    </w:p>
    <w:p w14:paraId="2B0DC939" w14:textId="514CE213" w:rsidR="00234DF1" w:rsidRDefault="00234DF1" w:rsidP="00C32021">
      <w:pPr>
        <w:pStyle w:val="Bodytext"/>
        <w:ind w:left="567"/>
        <w:jc w:val="both"/>
      </w:pPr>
      <w:r w:rsidRPr="00811BA1">
        <w:t>Financial assets and financial liabilities are classified in their entirety in</w:t>
      </w:r>
      <w:r w:rsidR="00567C20">
        <w:t>to only one of the three levels:</w:t>
      </w:r>
    </w:p>
    <w:p w14:paraId="7C71B056" w14:textId="77777777" w:rsidR="00125618" w:rsidRPr="00811BA1" w:rsidRDefault="00125618" w:rsidP="00C32021">
      <w:pPr>
        <w:pStyle w:val="Bodytext"/>
        <w:ind w:left="567"/>
        <w:jc w:val="both"/>
      </w:pPr>
    </w:p>
    <w:p w14:paraId="7ED2D254" w14:textId="77777777" w:rsidR="00234DF1" w:rsidRPr="00811BA1" w:rsidRDefault="00234DF1" w:rsidP="00C32021">
      <w:pPr>
        <w:pStyle w:val="Bodytext"/>
        <w:numPr>
          <w:ilvl w:val="0"/>
          <w:numId w:val="15"/>
        </w:numPr>
        <w:spacing w:after="80"/>
        <w:ind w:left="907" w:hanging="340"/>
        <w:jc w:val="both"/>
      </w:pPr>
      <w:r w:rsidRPr="00811BA1">
        <w:t>Level 1 – quoted prices (unadjusted) in active markets for identical assets or liabilities;</w:t>
      </w:r>
    </w:p>
    <w:p w14:paraId="78DBE669" w14:textId="77777777" w:rsidR="00234DF1" w:rsidRPr="00811BA1" w:rsidRDefault="00234DF1" w:rsidP="00C32021">
      <w:pPr>
        <w:pStyle w:val="Bodytext"/>
        <w:numPr>
          <w:ilvl w:val="0"/>
          <w:numId w:val="15"/>
        </w:numPr>
        <w:spacing w:after="80"/>
        <w:ind w:left="907" w:hanging="340"/>
        <w:jc w:val="both"/>
      </w:pPr>
      <w:r w:rsidRPr="00811BA1">
        <w:t>Level 2 – inputs other than quoted prices included within Level 1 that are observable for the assets or liabilities, either directly (i.e. as prices) or indirectly (i.e. derived from prices);</w:t>
      </w:r>
    </w:p>
    <w:p w14:paraId="27233AC3" w14:textId="77777777" w:rsidR="00234DF1" w:rsidRPr="00811BA1" w:rsidRDefault="00234DF1" w:rsidP="00C32021">
      <w:pPr>
        <w:pStyle w:val="Bodytext"/>
        <w:numPr>
          <w:ilvl w:val="0"/>
          <w:numId w:val="15"/>
        </w:numPr>
        <w:ind w:left="907" w:hanging="340"/>
        <w:jc w:val="both"/>
      </w:pPr>
      <w:r w:rsidRPr="00811BA1">
        <w:t>Level 3 – inputs for the assets or liabilities that are not based on observable market data (unobservable inputs).</w:t>
      </w:r>
    </w:p>
    <w:p w14:paraId="0D9224FB" w14:textId="77777777" w:rsidR="001816AC" w:rsidRPr="00811BA1" w:rsidRDefault="001816AC" w:rsidP="00C32021">
      <w:pPr>
        <w:pStyle w:val="Bodytext"/>
        <w:ind w:left="567"/>
        <w:jc w:val="both"/>
      </w:pPr>
    </w:p>
    <w:p w14:paraId="3AA1785E" w14:textId="75B308BB" w:rsidR="00234DF1" w:rsidRPr="00811BA1" w:rsidRDefault="00234DF1" w:rsidP="00C32021">
      <w:pPr>
        <w:pStyle w:val="Bodytext"/>
        <w:ind w:left="567"/>
        <w:jc w:val="both"/>
      </w:pPr>
      <w:r w:rsidRPr="00811BA1">
        <w:t xml:space="preserve">The Company’s only financial instrument carried at fair value is its investment in the Partnership which has been classified within Level 3 as it </w:t>
      </w:r>
      <w:r w:rsidR="00221DDA">
        <w:t>i</w:t>
      </w:r>
      <w:r w:rsidRPr="00811BA1">
        <w:t>s</w:t>
      </w:r>
      <w:r w:rsidR="00221DDA">
        <w:t xml:space="preserve"> derived using</w:t>
      </w:r>
      <w:r w:rsidRPr="00811BA1">
        <w:t xml:space="preserve"> unobservable inputs</w:t>
      </w:r>
      <w:r w:rsidR="00221DDA">
        <w:t>.</w:t>
      </w:r>
      <w:r w:rsidRPr="00811BA1">
        <w:t xml:space="preserve"> Amounts classified under Level 3 for the year ended </w:t>
      </w:r>
      <w:r w:rsidR="00610498">
        <w:t xml:space="preserve">31 </w:t>
      </w:r>
      <w:r w:rsidR="00610498" w:rsidRPr="00141BF4">
        <w:t>December 201</w:t>
      </w:r>
      <w:r w:rsidR="00EE65AA" w:rsidRPr="00141BF4">
        <w:t>9</w:t>
      </w:r>
      <w:r w:rsidRPr="00141BF4">
        <w:t xml:space="preserve"> </w:t>
      </w:r>
      <w:r w:rsidR="00D15581" w:rsidRPr="00141BF4">
        <w:t>w</w:t>
      </w:r>
      <w:r w:rsidR="00221DDA" w:rsidRPr="00141BF4">
        <w:t>ere</w:t>
      </w:r>
      <w:r w:rsidR="00D15581" w:rsidRPr="00141BF4">
        <w:t xml:space="preserve"> </w:t>
      </w:r>
      <w:r w:rsidR="00DB2A5B" w:rsidRPr="00141BF4">
        <w:t>$</w:t>
      </w:r>
      <w:r w:rsidR="003A4D6D" w:rsidRPr="00141BF4">
        <w:t>773</w:t>
      </w:r>
      <w:r w:rsidR="00DB2A5B" w:rsidRPr="00141BF4">
        <w:t xml:space="preserve"> </w:t>
      </w:r>
      <w:r w:rsidR="00D15581" w:rsidRPr="00141BF4">
        <w:t>million (</w:t>
      </w:r>
      <w:r w:rsidR="00610498" w:rsidRPr="00141BF4">
        <w:t>31 December 201</w:t>
      </w:r>
      <w:r w:rsidR="00EE65AA" w:rsidRPr="00141BF4">
        <w:t>8</w:t>
      </w:r>
      <w:r w:rsidR="0078149D" w:rsidRPr="00141BF4">
        <w:t>:</w:t>
      </w:r>
      <w:r w:rsidR="00D15581" w:rsidRPr="00141BF4">
        <w:t xml:space="preserve"> $</w:t>
      </w:r>
      <w:r w:rsidR="00E0068A" w:rsidRPr="00141BF4">
        <w:t>1,</w:t>
      </w:r>
      <w:r w:rsidR="00EE65AA" w:rsidRPr="00141BF4">
        <w:t>429</w:t>
      </w:r>
      <w:r w:rsidR="00D15581" w:rsidRPr="00141BF4">
        <w:t xml:space="preserve"> million)</w:t>
      </w:r>
      <w:r w:rsidR="00EA5464" w:rsidRPr="00141BF4">
        <w:t>.</w:t>
      </w:r>
    </w:p>
    <w:p w14:paraId="5F93770D" w14:textId="77777777" w:rsidR="00E76677" w:rsidRPr="00811BA1" w:rsidRDefault="00E76677" w:rsidP="00C32021">
      <w:pPr>
        <w:pStyle w:val="Bodytext"/>
        <w:ind w:left="567"/>
        <w:jc w:val="both"/>
      </w:pPr>
    </w:p>
    <w:p w14:paraId="374B23CF" w14:textId="09368FB3" w:rsidR="00234DF1" w:rsidRPr="00811BA1" w:rsidRDefault="00234DF1" w:rsidP="00C32021">
      <w:pPr>
        <w:pStyle w:val="Bodytext"/>
        <w:ind w:left="567"/>
        <w:jc w:val="both"/>
      </w:pPr>
      <w:r w:rsidRPr="00811BA1">
        <w:t>The fair value of all other financial instruments approximates</w:t>
      </w:r>
      <w:r w:rsidR="00BD1F7B" w:rsidRPr="00811BA1">
        <w:t xml:space="preserve"> to</w:t>
      </w:r>
      <w:r w:rsidRPr="00811BA1">
        <w:t xml:space="preserve"> their carrying value.</w:t>
      </w:r>
    </w:p>
    <w:p w14:paraId="58A9A03A" w14:textId="77777777" w:rsidR="00E76677" w:rsidRPr="00811BA1" w:rsidRDefault="00E76677" w:rsidP="00C32021">
      <w:pPr>
        <w:pStyle w:val="Bodytext"/>
        <w:ind w:left="567"/>
        <w:jc w:val="both"/>
      </w:pPr>
    </w:p>
    <w:p w14:paraId="7E74BDB6" w14:textId="77777777" w:rsidR="00234DF1" w:rsidRPr="00811BA1" w:rsidRDefault="00234DF1" w:rsidP="00C32021">
      <w:pPr>
        <w:pStyle w:val="Heading3"/>
        <w:ind w:left="567"/>
        <w:jc w:val="both"/>
      </w:pPr>
      <w:r w:rsidRPr="00811BA1">
        <w:t>Transfers during the period</w:t>
      </w:r>
    </w:p>
    <w:p w14:paraId="5F9EFDDB" w14:textId="311AA893" w:rsidR="00234DF1" w:rsidRPr="00811BA1" w:rsidRDefault="00234DF1" w:rsidP="00C32021">
      <w:pPr>
        <w:pStyle w:val="Bodytext"/>
        <w:ind w:left="567"/>
        <w:jc w:val="both"/>
      </w:pPr>
      <w:r w:rsidRPr="00811BA1">
        <w:t xml:space="preserve">There have been no transfers between levels during the year ended </w:t>
      </w:r>
      <w:r w:rsidR="00610498">
        <w:t>31 December 201</w:t>
      </w:r>
      <w:r w:rsidR="00EE65AA">
        <w:t>9</w:t>
      </w:r>
      <w:r w:rsidR="00A1471A">
        <w:t xml:space="preserve"> (31 December 201</w:t>
      </w:r>
      <w:r w:rsidR="00EE65AA">
        <w:t>8</w:t>
      </w:r>
      <w:r w:rsidR="00A1471A">
        <w:t>: Nil)</w:t>
      </w:r>
      <w:r w:rsidR="00E303FE" w:rsidRPr="00811BA1">
        <w:t>.</w:t>
      </w:r>
      <w:r w:rsidR="00EA5464" w:rsidRPr="00811BA1">
        <w:t xml:space="preserve"> </w:t>
      </w:r>
      <w:r w:rsidRPr="00811BA1">
        <w:t xml:space="preserve">Any transfers between the levels will be accounted for on the last day of each financial period. Due </w:t>
      </w:r>
      <w:r w:rsidR="007949A1">
        <w:t>to the nature of the investment in the Partnership</w:t>
      </w:r>
      <w:r w:rsidRPr="00811BA1">
        <w:t xml:space="preserve">, </w:t>
      </w:r>
      <w:r w:rsidR="007949A1">
        <w:t>it is</w:t>
      </w:r>
      <w:r w:rsidRPr="00811BA1">
        <w:t xml:space="preserve"> always expected to be classified under Level 3.</w:t>
      </w:r>
    </w:p>
    <w:p w14:paraId="717D9572" w14:textId="77777777" w:rsidR="00234DF1" w:rsidRPr="00811BA1" w:rsidRDefault="00234DF1" w:rsidP="00C32021">
      <w:pPr>
        <w:pStyle w:val="Bodytext"/>
        <w:ind w:left="567"/>
        <w:jc w:val="both"/>
      </w:pPr>
    </w:p>
    <w:p w14:paraId="79DB1CEA" w14:textId="77777777" w:rsidR="00234DF1" w:rsidRPr="00811BA1" w:rsidRDefault="00234DF1" w:rsidP="00C32021">
      <w:pPr>
        <w:pStyle w:val="Heading3"/>
        <w:ind w:left="567"/>
        <w:jc w:val="both"/>
      </w:pPr>
      <w:r w:rsidRPr="00811BA1">
        <w:t>Valuation methodology and process</w:t>
      </w:r>
    </w:p>
    <w:p w14:paraId="727C83B5" w14:textId="58C2943E" w:rsidR="00C352D2" w:rsidRDefault="00C352D2" w:rsidP="00C32021">
      <w:pPr>
        <w:pStyle w:val="Bodytext"/>
        <w:ind w:left="567"/>
        <w:jc w:val="both"/>
      </w:pPr>
      <w:r w:rsidRPr="00811BA1">
        <w:t>The Directors base the fair value of the investment in the Partnership on the value of its limited partnership capital account received from the General Partner</w:t>
      </w:r>
      <w:r>
        <w:t>, which is determined on the basis of the fair value of its assets and liabilities</w:t>
      </w:r>
      <w:r w:rsidRPr="00811BA1">
        <w:t>, adjusted if necessary</w:t>
      </w:r>
      <w:r>
        <w:t>,</w:t>
      </w:r>
      <w:r w:rsidRPr="006A20C7">
        <w:t xml:space="preserve"> </w:t>
      </w:r>
      <w:r w:rsidRPr="00811BA1">
        <w:t>to reflect liquidity, future commitments, and other specific factors of the Partnership and Investment Manager</w:t>
      </w:r>
      <w:r>
        <w:t xml:space="preserve">. </w:t>
      </w:r>
      <w:r w:rsidRPr="00811BA1">
        <w:t>This is based on the components within the Partnership, principally the value of the Partnership’s investments in addition to cash</w:t>
      </w:r>
      <w:r>
        <w:t xml:space="preserve"> and </w:t>
      </w:r>
      <w:r w:rsidRPr="00811BA1">
        <w:t>short-term money market fixed deposits. Any fluctuation in the value of the Partnership’s investments in addition to cash</w:t>
      </w:r>
      <w:r>
        <w:t xml:space="preserve"> and </w:t>
      </w:r>
      <w:r w:rsidRPr="00811BA1">
        <w:t>short-term money market fixed deposits held will directly impact on the value of the Company’s investment in the Partnership.</w:t>
      </w:r>
    </w:p>
    <w:p w14:paraId="7B0C646B" w14:textId="77777777" w:rsidR="00C352D2" w:rsidRDefault="00C352D2" w:rsidP="00C32021">
      <w:pPr>
        <w:pStyle w:val="Bodytext"/>
        <w:ind w:left="567"/>
        <w:jc w:val="both"/>
      </w:pPr>
    </w:p>
    <w:p w14:paraId="5BE856FB" w14:textId="5251EC9B" w:rsidR="00C352D2" w:rsidRDefault="00C352D2" w:rsidP="00C32021">
      <w:pPr>
        <w:pStyle w:val="Bodytext"/>
        <w:ind w:left="567"/>
        <w:jc w:val="both"/>
      </w:pPr>
      <w:r w:rsidRPr="00811BA1">
        <w:t xml:space="preserve">The Partnership’s investments are valued using the techniques described in the Company’s valuation policy. The Investment Manager’s assessment of fair value of investments held by the Partnership, through Investment Undertakings, is determined in accordance with IPEV Valuation Guidelines. </w:t>
      </w:r>
      <w:r w:rsidR="00A56774" w:rsidRPr="00811BA1">
        <w:t>When valuing the Partnership’s investments, the Investment Manager reviews information provided by the underlying investee companies and other business partners and applies IPEV methodologies, to estimate a fair value as at the date of the Statement of Financial Position</w:t>
      </w:r>
      <w:r w:rsidR="00A56774">
        <w:t>, subject to Board approval</w:t>
      </w:r>
      <w:r w:rsidR="00A56774" w:rsidRPr="00811BA1">
        <w:t>.</w:t>
      </w:r>
      <w:r w:rsidR="00A56774">
        <w:t xml:space="preserve"> </w:t>
      </w:r>
      <w:r w:rsidRPr="00811BA1">
        <w:t>It is the opinion of the Directors, that the IPEV valuation methodology used in deriving a fair value is generally not different from the fair value requirements of IFRS 13.</w:t>
      </w:r>
      <w:r w:rsidR="002A142F">
        <w:t xml:space="preserve"> In the event that there is a difference, the requirements of</w:t>
      </w:r>
      <w:r w:rsidR="00B215E6">
        <w:t xml:space="preserve"> IFRS 13</w:t>
      </w:r>
      <w:r w:rsidR="002A142F">
        <w:t xml:space="preserve"> override the IPE</w:t>
      </w:r>
      <w:r w:rsidR="00B215E6">
        <w:t>V</w:t>
      </w:r>
      <w:r w:rsidR="002A142F">
        <w:t xml:space="preserve"> requirements.</w:t>
      </w:r>
    </w:p>
    <w:p w14:paraId="7114D3B7" w14:textId="77777777" w:rsidR="00E76677" w:rsidRPr="00811BA1" w:rsidRDefault="00E76677" w:rsidP="00C32021">
      <w:pPr>
        <w:pStyle w:val="Bodytext"/>
        <w:ind w:left="567"/>
        <w:jc w:val="both"/>
      </w:pPr>
    </w:p>
    <w:p w14:paraId="470B06F2" w14:textId="5E8E19BA" w:rsidR="00234DF1" w:rsidRPr="00811BA1" w:rsidRDefault="00074E4A" w:rsidP="00C32021">
      <w:pPr>
        <w:pStyle w:val="Bodytext"/>
        <w:ind w:left="567"/>
        <w:jc w:val="both"/>
      </w:pPr>
      <w:r>
        <w:t>T</w:t>
      </w:r>
      <w:r w:rsidR="00234DF1" w:rsidRPr="00811BA1">
        <w:t>he Investment Manager values the investments on a quarterly basis using common industry valuation techniques, including comparable public market valuation, comparable merger and acquisition transaction valuation and discounted cash flow valuation. For early stage private investments, Riverstone’s investment due diligence process includes assumptions about short-term financial results in determining the appropriate purchase price for the investment. The techniques used in determining the fair value of the Company’s investments through the Partnership are selected on an investment by investment basis so as to maximise the use of market based observable inputs.</w:t>
      </w:r>
    </w:p>
    <w:p w14:paraId="7812BA42" w14:textId="77777777" w:rsidR="00F649F0" w:rsidRDefault="00F649F0" w:rsidP="00C32021">
      <w:pPr>
        <w:pStyle w:val="Bodytext"/>
        <w:ind w:left="567"/>
        <w:jc w:val="both"/>
      </w:pPr>
    </w:p>
    <w:p w14:paraId="0D47018A" w14:textId="1C5CF5D8" w:rsidR="00F649F0" w:rsidRPr="00BF231B" w:rsidRDefault="00F649F0" w:rsidP="00C32021">
      <w:pPr>
        <w:pStyle w:val="Bodytext"/>
        <w:ind w:left="567"/>
        <w:jc w:val="both"/>
      </w:pPr>
      <w:r w:rsidRPr="00BF231B">
        <w:t>REL’s valuation policy is compliant with both IFRS and IPEV Valuation Guidelines and is applied consistently from period to period. </w:t>
      </w:r>
      <w:r w:rsidR="00BA3803">
        <w:t xml:space="preserve">As the Company’s investments are generally not publicly quoted, </w:t>
      </w:r>
      <w:r w:rsidR="00BA3803">
        <w:lastRenderedPageBreak/>
        <w:t>valuations require</w:t>
      </w:r>
      <w:r w:rsidR="00BA3803" w:rsidRPr="00576C1B">
        <w:t xml:space="preserve"> meaningful judg</w:t>
      </w:r>
      <w:r w:rsidR="007F5B63">
        <w:t>e</w:t>
      </w:r>
      <w:r w:rsidR="00BA3803" w:rsidRPr="00576C1B">
        <w:t>ment to establish a range of values</w:t>
      </w:r>
      <w:r w:rsidR="00BA3803">
        <w:t>,</w:t>
      </w:r>
      <w:r w:rsidR="00BA3803" w:rsidRPr="00576C1B">
        <w:t xml:space="preserve"> </w:t>
      </w:r>
      <w:r w:rsidR="00BA3803">
        <w:t>and the ultimate</w:t>
      </w:r>
      <w:r w:rsidR="00BA3803" w:rsidRPr="00576C1B">
        <w:t xml:space="preserve"> value</w:t>
      </w:r>
      <w:r w:rsidR="00BA3803">
        <w:t xml:space="preserve"> at which an investment is realised may differ from its most recent valuation</w:t>
      </w:r>
      <w:r w:rsidR="000663E1">
        <w:t xml:space="preserve"> and the difference may be significant</w:t>
      </w:r>
      <w:r w:rsidR="00BA3803" w:rsidRPr="00576C1B">
        <w:t>.</w:t>
      </w:r>
    </w:p>
    <w:p w14:paraId="440BB07B" w14:textId="77777777" w:rsidR="009B7F3B" w:rsidRPr="00811BA1" w:rsidRDefault="009B7F3B" w:rsidP="00C32021">
      <w:pPr>
        <w:pStyle w:val="Bodytext"/>
        <w:ind w:left="567"/>
        <w:jc w:val="both"/>
      </w:pPr>
    </w:p>
    <w:p w14:paraId="5DB90D57" w14:textId="543CDB71" w:rsidR="00AF11A0" w:rsidRDefault="00E73716" w:rsidP="00C32021">
      <w:pPr>
        <w:pStyle w:val="Bodytext"/>
        <w:ind w:left="567"/>
        <w:jc w:val="both"/>
      </w:pPr>
      <w:r w:rsidRPr="00811BA1">
        <w:t xml:space="preserve">For the year ended </w:t>
      </w:r>
      <w:r w:rsidR="00610498">
        <w:t>31 December 201</w:t>
      </w:r>
      <w:r w:rsidR="00F25B8F">
        <w:t>9</w:t>
      </w:r>
      <w:r w:rsidRPr="00811BA1">
        <w:t>, t</w:t>
      </w:r>
      <w:r w:rsidR="009B7F3B" w:rsidRPr="00811BA1">
        <w:t>he valuations</w:t>
      </w:r>
      <w:r w:rsidRPr="00811BA1">
        <w:t xml:space="preserve"> of the Company’s </w:t>
      </w:r>
      <w:r w:rsidR="004D4736">
        <w:t>i</w:t>
      </w:r>
      <w:r w:rsidRPr="00811BA1">
        <w:t xml:space="preserve">nvestments, through the Partnership, </w:t>
      </w:r>
      <w:r w:rsidR="009B7F3B" w:rsidRPr="00811BA1">
        <w:t>are detailed in the Investment Manager’s Report</w:t>
      </w:r>
    </w:p>
    <w:p w14:paraId="349FA1A1" w14:textId="6B08639E" w:rsidR="00AF11A0" w:rsidRDefault="00AF11A0" w:rsidP="00EB7E49">
      <w:pPr>
        <w:pStyle w:val="Bodytext"/>
        <w:ind w:left="567"/>
      </w:pPr>
    </w:p>
    <w:p w14:paraId="4C657C5A" w14:textId="6749C48E" w:rsidR="00AF11A0" w:rsidRDefault="00F25B8F" w:rsidP="00DF0125">
      <w:pPr>
        <w:pStyle w:val="Heading3"/>
        <w:ind w:left="567"/>
      </w:pPr>
      <w:r w:rsidRPr="00811BA1">
        <w:t>Quantitative information about Level 3 fair value measurements</w:t>
      </w:r>
      <w:r>
        <w:t xml:space="preserve"> </w:t>
      </w:r>
      <w:r w:rsidRPr="00F25B8F">
        <w:t xml:space="preserve">as at </w:t>
      </w:r>
      <w:r>
        <w:t>31 December 2019</w:t>
      </w:r>
    </w:p>
    <w:tbl>
      <w:tblPr>
        <w:tblW w:w="5513" w:type="pct"/>
        <w:tblInd w:w="-450" w:type="dxa"/>
        <w:tblLayout w:type="fixed"/>
        <w:tblLook w:val="04A0" w:firstRow="1" w:lastRow="0" w:firstColumn="1" w:lastColumn="0" w:noHBand="0" w:noVBand="1"/>
      </w:tblPr>
      <w:tblGrid>
        <w:gridCol w:w="1260"/>
        <w:gridCol w:w="1257"/>
        <w:gridCol w:w="1438"/>
        <w:gridCol w:w="901"/>
        <w:gridCol w:w="807"/>
        <w:gridCol w:w="106"/>
        <w:gridCol w:w="132"/>
        <w:gridCol w:w="856"/>
        <w:gridCol w:w="2249"/>
        <w:gridCol w:w="1614"/>
      </w:tblGrid>
      <w:tr w:rsidR="00542ABB" w:rsidRPr="00205F72" w14:paraId="542A6BD5" w14:textId="77777777" w:rsidTr="004A417D">
        <w:trPr>
          <w:trHeight w:val="315"/>
        </w:trPr>
        <w:tc>
          <w:tcPr>
            <w:tcW w:w="1185" w:type="pct"/>
            <w:gridSpan w:val="2"/>
            <w:tcBorders>
              <w:top w:val="nil"/>
              <w:left w:val="nil"/>
              <w:bottom w:val="nil"/>
              <w:right w:val="nil"/>
            </w:tcBorders>
            <w:shd w:val="clear" w:color="auto" w:fill="auto"/>
            <w:noWrap/>
            <w:hideMark/>
          </w:tcPr>
          <w:p w14:paraId="272E9891" w14:textId="77777777" w:rsidR="00205F72" w:rsidRPr="00205F72" w:rsidRDefault="00205F72" w:rsidP="00205F72">
            <w:pPr>
              <w:rPr>
                <w:rFonts w:eastAsia="Times New Roman"/>
                <w:color w:val="000000"/>
                <w:sz w:val="16"/>
                <w:szCs w:val="16"/>
                <w:lang w:eastAsia="en-GB"/>
              </w:rPr>
            </w:pPr>
            <w:r w:rsidRPr="00205F72">
              <w:rPr>
                <w:rFonts w:eastAsia="Times New Roman"/>
                <w:b/>
                <w:bCs/>
                <w:color w:val="000000"/>
                <w:sz w:val="16"/>
                <w:szCs w:val="16"/>
                <w:lang w:eastAsia="en-GB"/>
              </w:rPr>
              <w:t>Industry: Energy</w:t>
            </w:r>
          </w:p>
        </w:tc>
        <w:tc>
          <w:tcPr>
            <w:tcW w:w="677" w:type="pct"/>
            <w:tcBorders>
              <w:top w:val="nil"/>
              <w:left w:val="nil"/>
              <w:bottom w:val="nil"/>
              <w:right w:val="nil"/>
            </w:tcBorders>
            <w:shd w:val="clear" w:color="auto" w:fill="auto"/>
            <w:noWrap/>
            <w:vAlign w:val="bottom"/>
            <w:hideMark/>
          </w:tcPr>
          <w:p w14:paraId="419FB896" w14:textId="77777777" w:rsidR="00205F72" w:rsidRPr="00205F72" w:rsidRDefault="00205F72" w:rsidP="00205F72">
            <w:pPr>
              <w:rPr>
                <w:rFonts w:eastAsia="Times New Roman"/>
                <w:color w:val="000000"/>
                <w:sz w:val="16"/>
                <w:szCs w:val="16"/>
                <w:lang w:eastAsia="en-GB"/>
              </w:rPr>
            </w:pPr>
          </w:p>
        </w:tc>
        <w:tc>
          <w:tcPr>
            <w:tcW w:w="804" w:type="pct"/>
            <w:gridSpan w:val="2"/>
            <w:tcBorders>
              <w:top w:val="nil"/>
              <w:left w:val="nil"/>
              <w:bottom w:val="nil"/>
              <w:right w:val="nil"/>
            </w:tcBorders>
            <w:shd w:val="clear" w:color="auto" w:fill="auto"/>
            <w:noWrap/>
            <w:vAlign w:val="bottom"/>
            <w:hideMark/>
          </w:tcPr>
          <w:p w14:paraId="27791807" w14:textId="77777777" w:rsidR="00205F72" w:rsidRPr="00205F72" w:rsidRDefault="00205F72" w:rsidP="00205F72">
            <w:pPr>
              <w:jc w:val="center"/>
              <w:rPr>
                <w:rFonts w:eastAsia="Times New Roman"/>
                <w:color w:val="000000"/>
                <w:sz w:val="16"/>
                <w:szCs w:val="16"/>
                <w:lang w:eastAsia="en-GB"/>
              </w:rPr>
            </w:pPr>
          </w:p>
        </w:tc>
        <w:tc>
          <w:tcPr>
            <w:tcW w:w="112" w:type="pct"/>
            <w:gridSpan w:val="2"/>
            <w:tcBorders>
              <w:top w:val="nil"/>
              <w:left w:val="nil"/>
              <w:bottom w:val="nil"/>
              <w:right w:val="nil"/>
            </w:tcBorders>
            <w:shd w:val="clear" w:color="auto" w:fill="auto"/>
            <w:noWrap/>
            <w:vAlign w:val="bottom"/>
            <w:hideMark/>
          </w:tcPr>
          <w:p w14:paraId="6B9B8D99" w14:textId="77777777" w:rsidR="00205F72" w:rsidRPr="00205F72" w:rsidRDefault="00205F72" w:rsidP="00205F72">
            <w:pPr>
              <w:jc w:val="center"/>
              <w:rPr>
                <w:rFonts w:eastAsia="Times New Roman"/>
                <w:color w:val="000000"/>
                <w:sz w:val="16"/>
                <w:szCs w:val="16"/>
                <w:lang w:eastAsia="en-GB"/>
              </w:rPr>
            </w:pPr>
          </w:p>
        </w:tc>
        <w:tc>
          <w:tcPr>
            <w:tcW w:w="403" w:type="pct"/>
            <w:tcBorders>
              <w:top w:val="nil"/>
              <w:left w:val="nil"/>
              <w:bottom w:val="nil"/>
              <w:right w:val="nil"/>
            </w:tcBorders>
            <w:shd w:val="clear" w:color="auto" w:fill="auto"/>
            <w:noWrap/>
            <w:vAlign w:val="bottom"/>
            <w:hideMark/>
          </w:tcPr>
          <w:p w14:paraId="4994043E" w14:textId="77777777" w:rsidR="00205F72" w:rsidRPr="00205F72" w:rsidRDefault="00205F72" w:rsidP="00205F72">
            <w:pPr>
              <w:ind w:firstLineChars="100" w:firstLine="160"/>
              <w:jc w:val="right"/>
              <w:rPr>
                <w:rFonts w:eastAsia="Times New Roman"/>
                <w:color w:val="000000"/>
                <w:sz w:val="16"/>
                <w:szCs w:val="16"/>
                <w:lang w:eastAsia="en-GB"/>
              </w:rPr>
            </w:pPr>
          </w:p>
        </w:tc>
        <w:tc>
          <w:tcPr>
            <w:tcW w:w="1059" w:type="pct"/>
            <w:tcBorders>
              <w:top w:val="nil"/>
              <w:left w:val="nil"/>
              <w:bottom w:val="nil"/>
              <w:right w:val="nil"/>
            </w:tcBorders>
            <w:shd w:val="clear" w:color="auto" w:fill="auto"/>
            <w:noWrap/>
            <w:vAlign w:val="bottom"/>
            <w:hideMark/>
          </w:tcPr>
          <w:p w14:paraId="4E739A76" w14:textId="77777777" w:rsidR="00205F72" w:rsidRPr="00205F72" w:rsidRDefault="00205F72" w:rsidP="00205F72">
            <w:pPr>
              <w:rPr>
                <w:rFonts w:eastAsia="Times New Roman"/>
                <w:color w:val="000000"/>
                <w:sz w:val="16"/>
                <w:szCs w:val="16"/>
                <w:lang w:eastAsia="en-GB"/>
              </w:rPr>
            </w:pPr>
          </w:p>
        </w:tc>
        <w:tc>
          <w:tcPr>
            <w:tcW w:w="760" w:type="pct"/>
            <w:tcBorders>
              <w:top w:val="nil"/>
              <w:left w:val="nil"/>
              <w:bottom w:val="nil"/>
              <w:right w:val="nil"/>
            </w:tcBorders>
            <w:shd w:val="clear" w:color="auto" w:fill="auto"/>
            <w:noWrap/>
            <w:vAlign w:val="bottom"/>
            <w:hideMark/>
          </w:tcPr>
          <w:p w14:paraId="43F975D6" w14:textId="77777777" w:rsidR="00205F72" w:rsidRPr="00205F72" w:rsidRDefault="00205F72" w:rsidP="00205F72">
            <w:pPr>
              <w:rPr>
                <w:rFonts w:eastAsia="Times New Roman"/>
                <w:color w:val="000000"/>
                <w:sz w:val="16"/>
                <w:szCs w:val="16"/>
                <w:lang w:eastAsia="en-GB"/>
              </w:rPr>
            </w:pPr>
          </w:p>
        </w:tc>
      </w:tr>
      <w:tr w:rsidR="00542ABB" w:rsidRPr="00205F72" w14:paraId="638193D8" w14:textId="77777777" w:rsidTr="004A417D">
        <w:trPr>
          <w:trHeight w:val="215"/>
        </w:trPr>
        <w:tc>
          <w:tcPr>
            <w:tcW w:w="593" w:type="pct"/>
            <w:tcBorders>
              <w:top w:val="nil"/>
              <w:left w:val="nil"/>
              <w:bottom w:val="nil"/>
              <w:right w:val="nil"/>
            </w:tcBorders>
            <w:shd w:val="clear" w:color="auto" w:fill="auto"/>
            <w:noWrap/>
            <w:hideMark/>
          </w:tcPr>
          <w:p w14:paraId="7A77A317" w14:textId="77777777" w:rsidR="00205F72" w:rsidRPr="00205F72" w:rsidRDefault="00205F72" w:rsidP="00205F72">
            <w:pPr>
              <w:rPr>
                <w:rFonts w:eastAsia="Times New Roman"/>
                <w:b/>
                <w:bCs/>
                <w:sz w:val="16"/>
                <w:szCs w:val="16"/>
                <w:lang w:eastAsia="en-GB"/>
              </w:rPr>
            </w:pPr>
            <w:r w:rsidRPr="00205F72">
              <w:rPr>
                <w:rFonts w:eastAsia="Times New Roman"/>
                <w:b/>
                <w:bCs/>
                <w:sz w:val="16"/>
                <w:szCs w:val="16"/>
                <w:lang w:eastAsia="en-GB"/>
              </w:rPr>
              <w:t xml:space="preserve">Fair value </w:t>
            </w:r>
            <w:r w:rsidRPr="00205F72">
              <w:rPr>
                <w:b/>
                <w:bCs/>
                <w:sz w:val="16"/>
                <w:szCs w:val="16"/>
              </w:rPr>
              <w:t xml:space="preserve">of Level 3 </w:t>
            </w:r>
          </w:p>
        </w:tc>
        <w:tc>
          <w:tcPr>
            <w:tcW w:w="592" w:type="pct"/>
            <w:tcBorders>
              <w:top w:val="nil"/>
              <w:left w:val="nil"/>
              <w:bottom w:val="nil"/>
              <w:right w:val="nil"/>
            </w:tcBorders>
            <w:shd w:val="clear" w:color="auto" w:fill="auto"/>
            <w:noWrap/>
            <w:vAlign w:val="bottom"/>
            <w:hideMark/>
          </w:tcPr>
          <w:p w14:paraId="5AB8ABF4" w14:textId="77777777" w:rsidR="00205F72" w:rsidRPr="00205F72" w:rsidRDefault="00205F72" w:rsidP="00205F72">
            <w:pPr>
              <w:rPr>
                <w:rFonts w:eastAsia="Times New Roman"/>
                <w:b/>
                <w:bCs/>
                <w:sz w:val="16"/>
                <w:szCs w:val="16"/>
                <w:lang w:eastAsia="en-GB"/>
              </w:rPr>
            </w:pPr>
          </w:p>
        </w:tc>
        <w:tc>
          <w:tcPr>
            <w:tcW w:w="677" w:type="pct"/>
            <w:tcBorders>
              <w:top w:val="nil"/>
              <w:left w:val="nil"/>
              <w:bottom w:val="nil"/>
              <w:right w:val="nil"/>
            </w:tcBorders>
            <w:shd w:val="clear" w:color="auto" w:fill="auto"/>
            <w:noWrap/>
            <w:vAlign w:val="bottom"/>
            <w:hideMark/>
          </w:tcPr>
          <w:p w14:paraId="79A9A08E" w14:textId="77777777" w:rsidR="00205F72" w:rsidRPr="00205F72" w:rsidRDefault="00205F72" w:rsidP="00205F72">
            <w:pPr>
              <w:rPr>
                <w:rFonts w:eastAsia="Times New Roman"/>
                <w:b/>
                <w:bCs/>
                <w:sz w:val="16"/>
                <w:szCs w:val="16"/>
                <w:lang w:eastAsia="en-GB"/>
              </w:rPr>
            </w:pPr>
          </w:p>
        </w:tc>
        <w:tc>
          <w:tcPr>
            <w:tcW w:w="804" w:type="pct"/>
            <w:gridSpan w:val="2"/>
            <w:tcBorders>
              <w:top w:val="nil"/>
              <w:left w:val="nil"/>
              <w:bottom w:val="nil"/>
              <w:right w:val="nil"/>
            </w:tcBorders>
            <w:shd w:val="clear" w:color="auto" w:fill="auto"/>
            <w:noWrap/>
            <w:vAlign w:val="bottom"/>
            <w:hideMark/>
          </w:tcPr>
          <w:p w14:paraId="7B815D85" w14:textId="77777777" w:rsidR="00205F72" w:rsidRPr="00205F72" w:rsidRDefault="00205F72" w:rsidP="00205F72">
            <w:pPr>
              <w:rPr>
                <w:rFonts w:eastAsia="Times New Roman"/>
                <w:color w:val="000000"/>
                <w:sz w:val="16"/>
                <w:szCs w:val="16"/>
                <w:lang w:eastAsia="en-GB"/>
              </w:rPr>
            </w:pPr>
          </w:p>
        </w:tc>
        <w:tc>
          <w:tcPr>
            <w:tcW w:w="112" w:type="pct"/>
            <w:gridSpan w:val="2"/>
            <w:tcBorders>
              <w:top w:val="nil"/>
              <w:left w:val="nil"/>
              <w:bottom w:val="nil"/>
              <w:right w:val="nil"/>
            </w:tcBorders>
            <w:shd w:val="clear" w:color="auto" w:fill="auto"/>
            <w:noWrap/>
            <w:vAlign w:val="bottom"/>
            <w:hideMark/>
          </w:tcPr>
          <w:p w14:paraId="2CEDB3EC" w14:textId="77777777" w:rsidR="00205F72" w:rsidRPr="00205F72" w:rsidRDefault="00205F72" w:rsidP="00205F72">
            <w:pPr>
              <w:rPr>
                <w:rFonts w:eastAsia="Times New Roman"/>
                <w:color w:val="000000"/>
                <w:sz w:val="16"/>
                <w:szCs w:val="16"/>
                <w:lang w:eastAsia="en-GB"/>
              </w:rPr>
            </w:pPr>
          </w:p>
        </w:tc>
        <w:tc>
          <w:tcPr>
            <w:tcW w:w="403" w:type="pct"/>
            <w:tcBorders>
              <w:top w:val="nil"/>
              <w:left w:val="nil"/>
              <w:bottom w:val="nil"/>
              <w:right w:val="nil"/>
            </w:tcBorders>
            <w:shd w:val="clear" w:color="auto" w:fill="auto"/>
            <w:noWrap/>
            <w:vAlign w:val="bottom"/>
            <w:hideMark/>
          </w:tcPr>
          <w:p w14:paraId="361C4146" w14:textId="77777777" w:rsidR="00205F72" w:rsidRPr="00205F72" w:rsidRDefault="00205F72" w:rsidP="00205F72">
            <w:pPr>
              <w:rPr>
                <w:rFonts w:eastAsia="Times New Roman"/>
                <w:color w:val="000000"/>
                <w:sz w:val="16"/>
                <w:szCs w:val="16"/>
                <w:lang w:eastAsia="en-GB"/>
              </w:rPr>
            </w:pPr>
          </w:p>
        </w:tc>
        <w:tc>
          <w:tcPr>
            <w:tcW w:w="1059" w:type="pct"/>
            <w:tcBorders>
              <w:top w:val="nil"/>
              <w:left w:val="nil"/>
              <w:bottom w:val="nil"/>
              <w:right w:val="nil"/>
            </w:tcBorders>
            <w:shd w:val="clear" w:color="auto" w:fill="auto"/>
            <w:noWrap/>
            <w:vAlign w:val="bottom"/>
            <w:hideMark/>
          </w:tcPr>
          <w:p w14:paraId="7500DA6A" w14:textId="77777777" w:rsidR="00205F72" w:rsidRPr="00205F72" w:rsidRDefault="00205F72" w:rsidP="00205F72">
            <w:pPr>
              <w:jc w:val="right"/>
              <w:rPr>
                <w:rFonts w:eastAsia="Times New Roman"/>
                <w:b/>
                <w:bCs/>
                <w:sz w:val="16"/>
                <w:szCs w:val="16"/>
                <w:lang w:eastAsia="en-GB"/>
              </w:rPr>
            </w:pPr>
            <w:r w:rsidRPr="00205F72">
              <w:rPr>
                <w:b/>
                <w:bCs/>
                <w:sz w:val="16"/>
                <w:szCs w:val="16"/>
              </w:rPr>
              <w:t>Sensitivity of the</w:t>
            </w:r>
          </w:p>
        </w:tc>
        <w:tc>
          <w:tcPr>
            <w:tcW w:w="760" w:type="pct"/>
            <w:tcBorders>
              <w:top w:val="nil"/>
              <w:left w:val="nil"/>
              <w:bottom w:val="nil"/>
              <w:right w:val="nil"/>
            </w:tcBorders>
            <w:shd w:val="clear" w:color="auto" w:fill="auto"/>
            <w:noWrap/>
            <w:vAlign w:val="bottom"/>
            <w:hideMark/>
          </w:tcPr>
          <w:p w14:paraId="3CC8195B" w14:textId="77777777" w:rsidR="00205F72" w:rsidRPr="00205F72" w:rsidRDefault="00205F72" w:rsidP="00205F72">
            <w:pPr>
              <w:jc w:val="right"/>
              <w:rPr>
                <w:rFonts w:eastAsia="Times New Roman"/>
                <w:color w:val="000000"/>
                <w:sz w:val="16"/>
                <w:szCs w:val="16"/>
                <w:lang w:eastAsia="en-GB"/>
              </w:rPr>
            </w:pPr>
            <w:r w:rsidRPr="00205F72">
              <w:rPr>
                <w:b/>
                <w:bCs/>
                <w:sz w:val="16"/>
                <w:szCs w:val="16"/>
              </w:rPr>
              <w:t>Fair value of Level 3</w:t>
            </w:r>
          </w:p>
        </w:tc>
      </w:tr>
      <w:tr w:rsidR="00542ABB" w:rsidRPr="00205F72" w14:paraId="18B6797D" w14:textId="77777777" w:rsidTr="004A417D">
        <w:trPr>
          <w:trHeight w:val="133"/>
        </w:trPr>
        <w:tc>
          <w:tcPr>
            <w:tcW w:w="593" w:type="pct"/>
            <w:tcBorders>
              <w:top w:val="nil"/>
              <w:left w:val="nil"/>
              <w:right w:val="nil"/>
            </w:tcBorders>
            <w:shd w:val="clear" w:color="auto" w:fill="auto"/>
            <w:noWrap/>
            <w:hideMark/>
          </w:tcPr>
          <w:p w14:paraId="7D11B2DC" w14:textId="77777777" w:rsidR="00205F72" w:rsidRPr="00205F72" w:rsidRDefault="00205F72" w:rsidP="00205F72">
            <w:pPr>
              <w:rPr>
                <w:rFonts w:eastAsia="Times New Roman"/>
                <w:b/>
                <w:bCs/>
                <w:color w:val="000000"/>
                <w:sz w:val="16"/>
                <w:szCs w:val="16"/>
                <w:lang w:eastAsia="en-GB"/>
              </w:rPr>
            </w:pPr>
            <w:r w:rsidRPr="00205F72">
              <w:rPr>
                <w:b/>
                <w:bCs/>
                <w:sz w:val="16"/>
                <w:szCs w:val="16"/>
              </w:rPr>
              <w:t>investments</w:t>
            </w:r>
          </w:p>
        </w:tc>
        <w:tc>
          <w:tcPr>
            <w:tcW w:w="592" w:type="pct"/>
            <w:tcBorders>
              <w:top w:val="nil"/>
              <w:left w:val="nil"/>
              <w:right w:val="nil"/>
            </w:tcBorders>
            <w:shd w:val="clear" w:color="auto" w:fill="auto"/>
            <w:noWrap/>
            <w:vAlign w:val="bottom"/>
            <w:hideMark/>
          </w:tcPr>
          <w:p w14:paraId="2B07A99E" w14:textId="77777777" w:rsidR="00205F72" w:rsidRPr="00205F72" w:rsidRDefault="00205F72" w:rsidP="00205F72">
            <w:pPr>
              <w:jc w:val="right"/>
              <w:rPr>
                <w:rFonts w:eastAsia="Times New Roman"/>
                <w:b/>
                <w:bCs/>
                <w:sz w:val="16"/>
                <w:szCs w:val="16"/>
                <w:lang w:eastAsia="en-GB"/>
              </w:rPr>
            </w:pPr>
            <w:r w:rsidRPr="00205F72">
              <w:rPr>
                <w:rFonts w:eastAsia="Times New Roman"/>
                <w:b/>
                <w:bCs/>
                <w:sz w:val="16"/>
                <w:szCs w:val="16"/>
                <w:lang w:eastAsia="en-GB"/>
              </w:rPr>
              <w:t>Valuation</w:t>
            </w:r>
          </w:p>
        </w:tc>
        <w:tc>
          <w:tcPr>
            <w:tcW w:w="677" w:type="pct"/>
            <w:tcBorders>
              <w:top w:val="nil"/>
              <w:left w:val="nil"/>
              <w:right w:val="nil"/>
            </w:tcBorders>
            <w:shd w:val="clear" w:color="auto" w:fill="auto"/>
            <w:noWrap/>
            <w:vAlign w:val="bottom"/>
            <w:hideMark/>
          </w:tcPr>
          <w:p w14:paraId="6002EA70" w14:textId="77777777" w:rsidR="00205F72" w:rsidRPr="00205F72" w:rsidRDefault="00205F72" w:rsidP="00205F72">
            <w:pPr>
              <w:jc w:val="right"/>
              <w:rPr>
                <w:rFonts w:eastAsia="Times New Roman"/>
                <w:b/>
                <w:bCs/>
                <w:sz w:val="16"/>
                <w:szCs w:val="16"/>
                <w:lang w:eastAsia="en-GB"/>
              </w:rPr>
            </w:pPr>
            <w:r w:rsidRPr="00205F72">
              <w:rPr>
                <w:rFonts w:eastAsia="Times New Roman"/>
                <w:b/>
                <w:bCs/>
                <w:sz w:val="16"/>
                <w:szCs w:val="16"/>
                <w:lang w:eastAsia="en-GB"/>
              </w:rPr>
              <w:t>Unobservable</w:t>
            </w:r>
          </w:p>
        </w:tc>
        <w:tc>
          <w:tcPr>
            <w:tcW w:w="854" w:type="pct"/>
            <w:gridSpan w:val="3"/>
            <w:tcBorders>
              <w:top w:val="nil"/>
              <w:left w:val="nil"/>
              <w:right w:val="nil"/>
            </w:tcBorders>
            <w:shd w:val="clear" w:color="auto" w:fill="auto"/>
            <w:noWrap/>
            <w:vAlign w:val="bottom"/>
            <w:hideMark/>
          </w:tcPr>
          <w:p w14:paraId="6AE8B4EF" w14:textId="77777777" w:rsidR="00205F72" w:rsidRPr="00205F72" w:rsidRDefault="00205F72" w:rsidP="00205F72">
            <w:pPr>
              <w:jc w:val="center"/>
              <w:rPr>
                <w:rFonts w:eastAsia="Times New Roman"/>
                <w:b/>
                <w:bCs/>
                <w:sz w:val="16"/>
                <w:szCs w:val="16"/>
                <w:lang w:eastAsia="en-GB"/>
              </w:rPr>
            </w:pPr>
            <w:r w:rsidRPr="00205F72">
              <w:rPr>
                <w:rFonts w:eastAsia="Times New Roman"/>
                <w:b/>
                <w:bCs/>
                <w:sz w:val="16"/>
                <w:szCs w:val="16"/>
                <w:lang w:eastAsia="en-GB"/>
              </w:rPr>
              <w:t>Range</w:t>
            </w:r>
          </w:p>
        </w:tc>
        <w:tc>
          <w:tcPr>
            <w:tcW w:w="465" w:type="pct"/>
            <w:gridSpan w:val="2"/>
            <w:vMerge w:val="restart"/>
            <w:tcBorders>
              <w:top w:val="nil"/>
              <w:left w:val="nil"/>
              <w:right w:val="nil"/>
            </w:tcBorders>
            <w:shd w:val="clear" w:color="auto" w:fill="auto"/>
            <w:vAlign w:val="bottom"/>
            <w:hideMark/>
          </w:tcPr>
          <w:p w14:paraId="7C722464" w14:textId="77777777" w:rsidR="00205F72" w:rsidRPr="00205F72" w:rsidRDefault="00205F72" w:rsidP="00205F72">
            <w:pPr>
              <w:jc w:val="right"/>
              <w:rPr>
                <w:rFonts w:eastAsia="Times New Roman"/>
                <w:b/>
                <w:bCs/>
                <w:sz w:val="16"/>
                <w:szCs w:val="16"/>
                <w:lang w:eastAsia="en-GB"/>
              </w:rPr>
            </w:pPr>
            <w:r w:rsidRPr="00205F72">
              <w:rPr>
                <w:rFonts w:eastAsia="Times New Roman"/>
                <w:b/>
                <w:bCs/>
                <w:sz w:val="16"/>
                <w:szCs w:val="16"/>
                <w:lang w:eastAsia="en-GB"/>
              </w:rPr>
              <w:t xml:space="preserve">Weighted Average </w:t>
            </w:r>
            <w:r w:rsidRPr="00205F72">
              <w:rPr>
                <w:rFonts w:eastAsia="Times New Roman"/>
                <w:b/>
                <w:bCs/>
                <w:sz w:val="16"/>
                <w:szCs w:val="16"/>
                <w:vertAlign w:val="superscript"/>
                <w:lang w:eastAsia="en-GB"/>
              </w:rPr>
              <w:t>(1)</w:t>
            </w:r>
          </w:p>
        </w:tc>
        <w:tc>
          <w:tcPr>
            <w:tcW w:w="1059" w:type="pct"/>
            <w:tcBorders>
              <w:top w:val="nil"/>
              <w:left w:val="nil"/>
              <w:right w:val="nil"/>
            </w:tcBorders>
            <w:shd w:val="clear" w:color="auto" w:fill="auto"/>
            <w:noWrap/>
            <w:vAlign w:val="bottom"/>
            <w:hideMark/>
          </w:tcPr>
          <w:p w14:paraId="41EAFC00" w14:textId="77777777" w:rsidR="00205F72" w:rsidRPr="00205F72" w:rsidRDefault="00205F72" w:rsidP="00205F72">
            <w:pPr>
              <w:jc w:val="right"/>
              <w:rPr>
                <w:rFonts w:eastAsia="Times New Roman"/>
                <w:b/>
                <w:bCs/>
                <w:sz w:val="16"/>
                <w:szCs w:val="16"/>
                <w:lang w:eastAsia="en-GB"/>
              </w:rPr>
            </w:pPr>
            <w:r w:rsidRPr="00205F72">
              <w:rPr>
                <w:b/>
                <w:bCs/>
                <w:sz w:val="16"/>
                <w:szCs w:val="16"/>
              </w:rPr>
              <w:t>input to fair value of</w:t>
            </w:r>
          </w:p>
        </w:tc>
        <w:tc>
          <w:tcPr>
            <w:tcW w:w="760" w:type="pct"/>
            <w:tcBorders>
              <w:top w:val="nil"/>
              <w:left w:val="nil"/>
              <w:right w:val="nil"/>
            </w:tcBorders>
            <w:shd w:val="clear" w:color="auto" w:fill="auto"/>
            <w:noWrap/>
            <w:vAlign w:val="bottom"/>
            <w:hideMark/>
          </w:tcPr>
          <w:p w14:paraId="6ED26696" w14:textId="3776D4B2" w:rsidR="00205F72" w:rsidRPr="00205F72" w:rsidRDefault="00205F72" w:rsidP="00205F72">
            <w:pPr>
              <w:jc w:val="right"/>
              <w:rPr>
                <w:rFonts w:eastAsia="Times New Roman"/>
                <w:b/>
                <w:bCs/>
                <w:sz w:val="16"/>
                <w:szCs w:val="16"/>
                <w:lang w:eastAsia="en-GB"/>
              </w:rPr>
            </w:pPr>
            <w:r w:rsidRPr="00205F72">
              <w:rPr>
                <w:b/>
                <w:bCs/>
                <w:sz w:val="16"/>
                <w:szCs w:val="16"/>
              </w:rPr>
              <w:t xml:space="preserve">Investments affected by unobservable input </w:t>
            </w:r>
            <w:r w:rsidRPr="00205F72">
              <w:rPr>
                <w:b/>
                <w:bCs/>
                <w:sz w:val="16"/>
                <w:szCs w:val="16"/>
                <w:vertAlign w:val="superscript"/>
              </w:rPr>
              <w:t>(</w:t>
            </w:r>
            <w:r w:rsidR="004A417D">
              <w:rPr>
                <w:b/>
                <w:bCs/>
                <w:sz w:val="16"/>
                <w:szCs w:val="16"/>
                <w:vertAlign w:val="superscript"/>
              </w:rPr>
              <w:t>3</w:t>
            </w:r>
            <w:r w:rsidRPr="00205F72">
              <w:rPr>
                <w:b/>
                <w:bCs/>
                <w:sz w:val="16"/>
                <w:szCs w:val="16"/>
                <w:vertAlign w:val="superscript"/>
              </w:rPr>
              <w:t>)</w:t>
            </w:r>
          </w:p>
        </w:tc>
      </w:tr>
      <w:tr w:rsidR="00542ABB" w:rsidRPr="00205F72" w14:paraId="14D072DE" w14:textId="77777777" w:rsidTr="004A417D">
        <w:trPr>
          <w:trHeight w:val="239"/>
        </w:trPr>
        <w:tc>
          <w:tcPr>
            <w:tcW w:w="593" w:type="pct"/>
            <w:tcBorders>
              <w:top w:val="nil"/>
              <w:left w:val="nil"/>
              <w:bottom w:val="single" w:sz="4" w:space="0" w:color="auto"/>
              <w:right w:val="nil"/>
            </w:tcBorders>
            <w:shd w:val="clear" w:color="auto" w:fill="auto"/>
            <w:noWrap/>
            <w:hideMark/>
          </w:tcPr>
          <w:p w14:paraId="2B5F6097" w14:textId="77777777" w:rsidR="00205F72" w:rsidRPr="00205F72" w:rsidRDefault="00205F72" w:rsidP="00205F72">
            <w:pPr>
              <w:rPr>
                <w:rFonts w:eastAsia="Times New Roman"/>
                <w:b/>
                <w:bCs/>
                <w:sz w:val="16"/>
                <w:szCs w:val="16"/>
                <w:lang w:eastAsia="en-GB"/>
              </w:rPr>
            </w:pPr>
            <w:r w:rsidRPr="00205F72">
              <w:rPr>
                <w:rFonts w:eastAsia="Times New Roman"/>
                <w:b/>
                <w:bCs/>
                <w:color w:val="000000"/>
                <w:sz w:val="16"/>
                <w:szCs w:val="16"/>
                <w:lang w:eastAsia="en-GB"/>
              </w:rPr>
              <w:t>(in thousands)</w:t>
            </w:r>
          </w:p>
        </w:tc>
        <w:tc>
          <w:tcPr>
            <w:tcW w:w="592" w:type="pct"/>
            <w:tcBorders>
              <w:top w:val="nil"/>
              <w:left w:val="nil"/>
              <w:bottom w:val="single" w:sz="4" w:space="0" w:color="auto"/>
              <w:right w:val="nil"/>
            </w:tcBorders>
            <w:shd w:val="clear" w:color="auto" w:fill="auto"/>
            <w:noWrap/>
            <w:vAlign w:val="bottom"/>
            <w:hideMark/>
          </w:tcPr>
          <w:p w14:paraId="050952D5" w14:textId="77777777" w:rsidR="00205F72" w:rsidRPr="00205F72" w:rsidRDefault="00205F72" w:rsidP="00205F72">
            <w:pPr>
              <w:jc w:val="right"/>
              <w:rPr>
                <w:rFonts w:eastAsia="Times New Roman"/>
                <w:b/>
                <w:bCs/>
                <w:sz w:val="16"/>
                <w:szCs w:val="16"/>
                <w:lang w:eastAsia="en-GB"/>
              </w:rPr>
            </w:pPr>
            <w:r w:rsidRPr="00205F72">
              <w:rPr>
                <w:rFonts w:eastAsia="Times New Roman"/>
                <w:b/>
                <w:bCs/>
                <w:sz w:val="16"/>
                <w:szCs w:val="16"/>
                <w:lang w:eastAsia="en-GB"/>
              </w:rPr>
              <w:t>technique(s)</w:t>
            </w:r>
          </w:p>
        </w:tc>
        <w:tc>
          <w:tcPr>
            <w:tcW w:w="677" w:type="pct"/>
            <w:tcBorders>
              <w:top w:val="nil"/>
              <w:left w:val="nil"/>
              <w:bottom w:val="single" w:sz="4" w:space="0" w:color="auto"/>
              <w:right w:val="nil"/>
            </w:tcBorders>
            <w:shd w:val="clear" w:color="auto" w:fill="auto"/>
            <w:noWrap/>
            <w:vAlign w:val="bottom"/>
            <w:hideMark/>
          </w:tcPr>
          <w:p w14:paraId="51BB5DEA" w14:textId="77777777" w:rsidR="00205F72" w:rsidRPr="00205F72" w:rsidRDefault="00205F72" w:rsidP="00205F72">
            <w:pPr>
              <w:jc w:val="right"/>
              <w:rPr>
                <w:rFonts w:eastAsia="Times New Roman"/>
                <w:b/>
                <w:bCs/>
                <w:sz w:val="16"/>
                <w:szCs w:val="16"/>
                <w:lang w:eastAsia="en-GB"/>
              </w:rPr>
            </w:pPr>
            <w:r w:rsidRPr="00205F72">
              <w:rPr>
                <w:rFonts w:eastAsia="Times New Roman"/>
                <w:b/>
                <w:bCs/>
                <w:sz w:val="16"/>
                <w:szCs w:val="16"/>
                <w:lang w:eastAsia="en-GB"/>
              </w:rPr>
              <w:t>input(s)</w:t>
            </w:r>
          </w:p>
        </w:tc>
        <w:tc>
          <w:tcPr>
            <w:tcW w:w="424" w:type="pct"/>
            <w:tcBorders>
              <w:top w:val="nil"/>
              <w:left w:val="nil"/>
              <w:bottom w:val="single" w:sz="4" w:space="0" w:color="auto"/>
              <w:right w:val="nil"/>
            </w:tcBorders>
            <w:shd w:val="clear" w:color="auto" w:fill="auto"/>
            <w:noWrap/>
            <w:vAlign w:val="bottom"/>
            <w:hideMark/>
          </w:tcPr>
          <w:p w14:paraId="1C0EBE1D" w14:textId="77777777" w:rsidR="00205F72" w:rsidRPr="00205F72" w:rsidRDefault="00205F72" w:rsidP="00205F72">
            <w:pPr>
              <w:jc w:val="right"/>
              <w:rPr>
                <w:rFonts w:eastAsia="Times New Roman"/>
                <w:b/>
                <w:bCs/>
                <w:sz w:val="16"/>
                <w:szCs w:val="16"/>
                <w:lang w:eastAsia="en-GB"/>
              </w:rPr>
            </w:pPr>
            <w:r w:rsidRPr="00205F72">
              <w:rPr>
                <w:rFonts w:eastAsia="Times New Roman"/>
                <w:b/>
                <w:bCs/>
                <w:sz w:val="16"/>
                <w:szCs w:val="16"/>
                <w:lang w:eastAsia="en-GB"/>
              </w:rPr>
              <w:t xml:space="preserve">Low </w:t>
            </w:r>
            <w:r w:rsidRPr="00205F72">
              <w:rPr>
                <w:rFonts w:eastAsia="Times New Roman"/>
                <w:b/>
                <w:bCs/>
                <w:sz w:val="16"/>
                <w:szCs w:val="16"/>
                <w:vertAlign w:val="superscript"/>
                <w:lang w:eastAsia="en-GB"/>
              </w:rPr>
              <w:t>(1)</w:t>
            </w:r>
          </w:p>
        </w:tc>
        <w:tc>
          <w:tcPr>
            <w:tcW w:w="430" w:type="pct"/>
            <w:gridSpan w:val="2"/>
            <w:tcBorders>
              <w:top w:val="nil"/>
              <w:left w:val="nil"/>
              <w:bottom w:val="single" w:sz="4" w:space="0" w:color="auto"/>
              <w:right w:val="nil"/>
            </w:tcBorders>
            <w:shd w:val="clear" w:color="auto" w:fill="auto"/>
            <w:noWrap/>
            <w:vAlign w:val="bottom"/>
            <w:hideMark/>
          </w:tcPr>
          <w:p w14:paraId="7CA02BC8" w14:textId="77777777" w:rsidR="00205F72" w:rsidRPr="00205F72" w:rsidRDefault="00205F72" w:rsidP="00205F72">
            <w:pPr>
              <w:jc w:val="right"/>
              <w:rPr>
                <w:rFonts w:eastAsia="Times New Roman"/>
                <w:b/>
                <w:bCs/>
                <w:sz w:val="16"/>
                <w:szCs w:val="16"/>
                <w:lang w:eastAsia="en-GB"/>
              </w:rPr>
            </w:pPr>
            <w:r w:rsidRPr="00205F72">
              <w:rPr>
                <w:rFonts w:eastAsia="Times New Roman"/>
                <w:b/>
                <w:bCs/>
                <w:sz w:val="16"/>
                <w:szCs w:val="16"/>
                <w:lang w:eastAsia="en-GB"/>
              </w:rPr>
              <w:t xml:space="preserve">High </w:t>
            </w:r>
            <w:r w:rsidRPr="00205F72">
              <w:rPr>
                <w:rFonts w:eastAsia="Times New Roman"/>
                <w:b/>
                <w:bCs/>
                <w:sz w:val="16"/>
                <w:szCs w:val="16"/>
                <w:vertAlign w:val="superscript"/>
                <w:lang w:eastAsia="en-GB"/>
              </w:rPr>
              <w:t>(1)</w:t>
            </w:r>
          </w:p>
        </w:tc>
        <w:tc>
          <w:tcPr>
            <w:tcW w:w="465" w:type="pct"/>
            <w:gridSpan w:val="2"/>
            <w:vMerge/>
            <w:tcBorders>
              <w:top w:val="nil"/>
              <w:left w:val="nil"/>
              <w:bottom w:val="single" w:sz="4" w:space="0" w:color="auto"/>
              <w:right w:val="nil"/>
            </w:tcBorders>
            <w:vAlign w:val="bottom"/>
            <w:hideMark/>
          </w:tcPr>
          <w:p w14:paraId="27BCA247" w14:textId="77777777" w:rsidR="00205F72" w:rsidRPr="00205F72" w:rsidRDefault="00205F72" w:rsidP="00205F72">
            <w:pPr>
              <w:jc w:val="right"/>
              <w:rPr>
                <w:rFonts w:eastAsia="Times New Roman"/>
                <w:b/>
                <w:bCs/>
                <w:sz w:val="16"/>
                <w:szCs w:val="16"/>
                <w:lang w:eastAsia="en-GB"/>
              </w:rPr>
            </w:pPr>
          </w:p>
        </w:tc>
        <w:tc>
          <w:tcPr>
            <w:tcW w:w="1059" w:type="pct"/>
            <w:tcBorders>
              <w:top w:val="nil"/>
              <w:left w:val="nil"/>
              <w:bottom w:val="single" w:sz="4" w:space="0" w:color="auto"/>
              <w:right w:val="nil"/>
            </w:tcBorders>
            <w:shd w:val="clear" w:color="auto" w:fill="auto"/>
            <w:noWrap/>
            <w:vAlign w:val="bottom"/>
            <w:hideMark/>
          </w:tcPr>
          <w:p w14:paraId="0AAA32C5" w14:textId="672951B4" w:rsidR="00205F72" w:rsidRPr="00205F72" w:rsidRDefault="00205F72" w:rsidP="00205F72">
            <w:pPr>
              <w:jc w:val="right"/>
              <w:rPr>
                <w:rFonts w:eastAsia="Times New Roman"/>
                <w:b/>
                <w:bCs/>
                <w:sz w:val="16"/>
                <w:szCs w:val="16"/>
                <w:lang w:eastAsia="en-GB"/>
              </w:rPr>
            </w:pPr>
            <w:r w:rsidRPr="00205F72">
              <w:rPr>
                <w:b/>
                <w:bCs/>
                <w:sz w:val="16"/>
                <w:szCs w:val="16"/>
              </w:rPr>
              <w:t>Level 3 investments</w:t>
            </w:r>
            <w:r w:rsidR="004A417D" w:rsidRPr="004A417D">
              <w:rPr>
                <w:b/>
                <w:bCs/>
                <w:sz w:val="16"/>
                <w:szCs w:val="16"/>
                <w:vertAlign w:val="superscript"/>
              </w:rPr>
              <w:t>(2)</w:t>
            </w:r>
          </w:p>
        </w:tc>
        <w:tc>
          <w:tcPr>
            <w:tcW w:w="760" w:type="pct"/>
            <w:tcBorders>
              <w:top w:val="nil"/>
              <w:left w:val="nil"/>
              <w:bottom w:val="single" w:sz="4" w:space="0" w:color="auto"/>
              <w:right w:val="nil"/>
            </w:tcBorders>
            <w:shd w:val="clear" w:color="auto" w:fill="auto"/>
            <w:noWrap/>
            <w:vAlign w:val="bottom"/>
            <w:hideMark/>
          </w:tcPr>
          <w:p w14:paraId="3E6A7327" w14:textId="77777777" w:rsidR="00205F72" w:rsidRPr="00205F72" w:rsidRDefault="00205F72" w:rsidP="00205F72">
            <w:pPr>
              <w:jc w:val="right"/>
              <w:rPr>
                <w:rFonts w:eastAsia="Times New Roman"/>
                <w:b/>
                <w:bCs/>
                <w:sz w:val="16"/>
                <w:szCs w:val="16"/>
                <w:lang w:eastAsia="en-GB"/>
              </w:rPr>
            </w:pPr>
            <w:r w:rsidRPr="00205F72">
              <w:rPr>
                <w:b/>
                <w:bCs/>
                <w:sz w:val="16"/>
                <w:szCs w:val="16"/>
              </w:rPr>
              <w:t>(in thousands)</w:t>
            </w:r>
          </w:p>
        </w:tc>
      </w:tr>
      <w:tr w:rsidR="00542ABB" w:rsidRPr="00205F72" w14:paraId="09F11BAC" w14:textId="77777777" w:rsidTr="004A417D">
        <w:trPr>
          <w:trHeight w:val="75"/>
        </w:trPr>
        <w:tc>
          <w:tcPr>
            <w:tcW w:w="593" w:type="pct"/>
            <w:tcBorders>
              <w:top w:val="single" w:sz="4" w:space="0" w:color="auto"/>
              <w:left w:val="nil"/>
              <w:right w:val="nil"/>
            </w:tcBorders>
            <w:shd w:val="clear" w:color="auto" w:fill="auto"/>
            <w:noWrap/>
            <w:vAlign w:val="bottom"/>
            <w:hideMark/>
          </w:tcPr>
          <w:p w14:paraId="1BD35E01"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592" w:type="pct"/>
            <w:tcBorders>
              <w:top w:val="single" w:sz="4" w:space="0" w:color="auto"/>
              <w:left w:val="nil"/>
              <w:right w:val="nil"/>
            </w:tcBorders>
            <w:shd w:val="clear" w:color="auto" w:fill="auto"/>
            <w:noWrap/>
            <w:vAlign w:val="bottom"/>
            <w:hideMark/>
          </w:tcPr>
          <w:p w14:paraId="16CA1E6A"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677" w:type="pct"/>
            <w:tcBorders>
              <w:top w:val="single" w:sz="4" w:space="0" w:color="auto"/>
              <w:left w:val="nil"/>
              <w:right w:val="nil"/>
            </w:tcBorders>
            <w:shd w:val="clear" w:color="auto" w:fill="auto"/>
            <w:noWrap/>
            <w:vAlign w:val="bottom"/>
            <w:hideMark/>
          </w:tcPr>
          <w:p w14:paraId="62FD7803"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424" w:type="pct"/>
            <w:tcBorders>
              <w:top w:val="single" w:sz="4" w:space="0" w:color="auto"/>
              <w:left w:val="nil"/>
              <w:right w:val="nil"/>
            </w:tcBorders>
            <w:shd w:val="clear" w:color="auto" w:fill="auto"/>
            <w:noWrap/>
            <w:vAlign w:val="bottom"/>
            <w:hideMark/>
          </w:tcPr>
          <w:p w14:paraId="30F1EB13" w14:textId="77777777" w:rsidR="00205F72" w:rsidRPr="00205F72" w:rsidRDefault="00205F72" w:rsidP="00205F72">
            <w:pPr>
              <w:ind w:firstLineChars="100" w:firstLine="160"/>
              <w:jc w:val="right"/>
              <w:rPr>
                <w:rFonts w:eastAsia="Times New Roman"/>
                <w:color w:val="000000"/>
                <w:sz w:val="16"/>
                <w:szCs w:val="16"/>
                <w:lang w:eastAsia="en-GB"/>
              </w:rPr>
            </w:pPr>
            <w:r w:rsidRPr="00205F72">
              <w:rPr>
                <w:rFonts w:eastAsia="Times New Roman"/>
                <w:color w:val="000000"/>
                <w:sz w:val="16"/>
                <w:szCs w:val="16"/>
                <w:lang w:eastAsia="en-GB"/>
              </w:rPr>
              <w:t> </w:t>
            </w:r>
          </w:p>
        </w:tc>
        <w:tc>
          <w:tcPr>
            <w:tcW w:w="430" w:type="pct"/>
            <w:gridSpan w:val="2"/>
            <w:tcBorders>
              <w:top w:val="single" w:sz="4" w:space="0" w:color="auto"/>
              <w:left w:val="nil"/>
              <w:right w:val="nil"/>
            </w:tcBorders>
            <w:shd w:val="clear" w:color="auto" w:fill="auto"/>
            <w:noWrap/>
            <w:vAlign w:val="bottom"/>
            <w:hideMark/>
          </w:tcPr>
          <w:p w14:paraId="4BD40587" w14:textId="77777777" w:rsidR="00205F72" w:rsidRPr="00205F72" w:rsidRDefault="00205F72" w:rsidP="00205F72">
            <w:pPr>
              <w:ind w:firstLineChars="100" w:firstLine="160"/>
              <w:jc w:val="right"/>
              <w:rPr>
                <w:rFonts w:eastAsia="Times New Roman"/>
                <w:color w:val="000000"/>
                <w:sz w:val="16"/>
                <w:szCs w:val="16"/>
                <w:lang w:eastAsia="en-GB"/>
              </w:rPr>
            </w:pPr>
            <w:r w:rsidRPr="00205F72">
              <w:rPr>
                <w:rFonts w:eastAsia="Times New Roman"/>
                <w:color w:val="000000"/>
                <w:sz w:val="16"/>
                <w:szCs w:val="16"/>
                <w:lang w:eastAsia="en-GB"/>
              </w:rPr>
              <w:t> </w:t>
            </w:r>
          </w:p>
        </w:tc>
        <w:tc>
          <w:tcPr>
            <w:tcW w:w="465" w:type="pct"/>
            <w:gridSpan w:val="2"/>
            <w:tcBorders>
              <w:top w:val="single" w:sz="4" w:space="0" w:color="auto"/>
              <w:left w:val="nil"/>
              <w:right w:val="nil"/>
            </w:tcBorders>
            <w:shd w:val="clear" w:color="auto" w:fill="auto"/>
            <w:noWrap/>
            <w:vAlign w:val="bottom"/>
            <w:hideMark/>
          </w:tcPr>
          <w:p w14:paraId="1FE4ECC7" w14:textId="77777777" w:rsidR="00205F72" w:rsidRPr="00205F72" w:rsidRDefault="00205F72" w:rsidP="00205F72">
            <w:pPr>
              <w:ind w:firstLineChars="200" w:firstLine="320"/>
              <w:jc w:val="right"/>
              <w:rPr>
                <w:rFonts w:eastAsia="Times New Roman"/>
                <w:color w:val="000000"/>
                <w:sz w:val="16"/>
                <w:szCs w:val="16"/>
                <w:lang w:eastAsia="en-GB"/>
              </w:rPr>
            </w:pPr>
            <w:r w:rsidRPr="00205F72">
              <w:rPr>
                <w:rFonts w:eastAsia="Times New Roman"/>
                <w:color w:val="000000"/>
                <w:sz w:val="16"/>
                <w:szCs w:val="16"/>
                <w:lang w:eastAsia="en-GB"/>
              </w:rPr>
              <w:t> </w:t>
            </w:r>
          </w:p>
        </w:tc>
        <w:tc>
          <w:tcPr>
            <w:tcW w:w="1059" w:type="pct"/>
            <w:tcBorders>
              <w:top w:val="single" w:sz="4" w:space="0" w:color="auto"/>
              <w:left w:val="nil"/>
              <w:right w:val="nil"/>
            </w:tcBorders>
            <w:shd w:val="clear" w:color="auto" w:fill="auto"/>
            <w:noWrap/>
            <w:vAlign w:val="bottom"/>
            <w:hideMark/>
          </w:tcPr>
          <w:p w14:paraId="2C5C54E0" w14:textId="77777777" w:rsidR="00205F72" w:rsidRPr="00205F72" w:rsidRDefault="00205F72" w:rsidP="00205F72">
            <w:pPr>
              <w:rPr>
                <w:rFonts w:eastAsia="Times New Roman"/>
                <w:color w:val="000000"/>
                <w:sz w:val="16"/>
                <w:szCs w:val="16"/>
                <w:lang w:eastAsia="en-GB"/>
              </w:rPr>
            </w:pPr>
          </w:p>
        </w:tc>
        <w:tc>
          <w:tcPr>
            <w:tcW w:w="760" w:type="pct"/>
            <w:tcBorders>
              <w:top w:val="single" w:sz="4" w:space="0" w:color="auto"/>
              <w:left w:val="nil"/>
              <w:right w:val="nil"/>
            </w:tcBorders>
            <w:shd w:val="clear" w:color="auto" w:fill="auto"/>
            <w:noWrap/>
            <w:vAlign w:val="bottom"/>
            <w:hideMark/>
          </w:tcPr>
          <w:p w14:paraId="6D30F342"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r>
      <w:tr w:rsidR="00542ABB" w:rsidRPr="00205F72" w14:paraId="09E5A002" w14:textId="77777777" w:rsidTr="004A417D">
        <w:trPr>
          <w:trHeight w:val="799"/>
        </w:trPr>
        <w:tc>
          <w:tcPr>
            <w:tcW w:w="593" w:type="pct"/>
            <w:tcBorders>
              <w:top w:val="nil"/>
              <w:left w:val="nil"/>
              <w:bottom w:val="nil"/>
              <w:right w:val="nil"/>
            </w:tcBorders>
            <w:shd w:val="clear" w:color="auto" w:fill="auto"/>
            <w:noWrap/>
            <w:vAlign w:val="bottom"/>
          </w:tcPr>
          <w:p w14:paraId="01BF5028" w14:textId="64CA7872"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w:t>
            </w:r>
            <w:r w:rsidR="00586B9B">
              <w:rPr>
                <w:rFonts w:eastAsia="Times New Roman"/>
                <w:color w:val="000000"/>
                <w:sz w:val="16"/>
                <w:szCs w:val="16"/>
                <w:lang w:eastAsia="en-GB"/>
              </w:rPr>
              <w:t>405,752</w:t>
            </w:r>
          </w:p>
        </w:tc>
        <w:tc>
          <w:tcPr>
            <w:tcW w:w="592" w:type="pct"/>
            <w:tcBorders>
              <w:top w:val="nil"/>
              <w:left w:val="nil"/>
              <w:bottom w:val="nil"/>
              <w:right w:val="nil"/>
            </w:tcBorders>
            <w:shd w:val="clear" w:color="auto" w:fill="auto"/>
            <w:noWrap/>
            <w:vAlign w:val="bottom"/>
          </w:tcPr>
          <w:p w14:paraId="2372CAA0"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Public comparables</w:t>
            </w:r>
          </w:p>
        </w:tc>
        <w:tc>
          <w:tcPr>
            <w:tcW w:w="677" w:type="pct"/>
            <w:tcBorders>
              <w:top w:val="nil"/>
              <w:left w:val="nil"/>
              <w:bottom w:val="nil"/>
              <w:right w:val="nil"/>
            </w:tcBorders>
            <w:shd w:val="clear" w:color="auto" w:fill="auto"/>
            <w:noWrap/>
            <w:vAlign w:val="bottom"/>
          </w:tcPr>
          <w:p w14:paraId="05D42988" w14:textId="467B87B4"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2019 EV</w:t>
            </w:r>
            <w:r w:rsidR="00DC4925">
              <w:rPr>
                <w:rFonts w:eastAsia="Times New Roman"/>
                <w:color w:val="000000"/>
                <w:sz w:val="16"/>
                <w:szCs w:val="16"/>
                <w:lang w:eastAsia="en-GB"/>
              </w:rPr>
              <w:t xml:space="preserve"> </w:t>
            </w:r>
            <w:r w:rsidRPr="00205F72">
              <w:rPr>
                <w:rFonts w:eastAsia="Times New Roman"/>
                <w:color w:val="000000"/>
                <w:sz w:val="16"/>
                <w:szCs w:val="16"/>
                <w:lang w:eastAsia="en-GB"/>
              </w:rPr>
              <w:t>/</w:t>
            </w:r>
            <w:r w:rsidR="00DC4925">
              <w:rPr>
                <w:rFonts w:eastAsia="Times New Roman"/>
                <w:color w:val="000000"/>
                <w:sz w:val="16"/>
                <w:szCs w:val="16"/>
                <w:lang w:eastAsia="en-GB"/>
              </w:rPr>
              <w:t xml:space="preserve"> </w:t>
            </w:r>
            <w:r w:rsidRPr="00205F72">
              <w:rPr>
                <w:rFonts w:eastAsia="Times New Roman"/>
                <w:color w:val="000000"/>
                <w:sz w:val="16"/>
                <w:szCs w:val="16"/>
                <w:lang w:eastAsia="en-GB"/>
              </w:rPr>
              <w:t>EBITDA Multiple</w:t>
            </w:r>
            <w:r w:rsidRPr="00205F72">
              <w:rPr>
                <w:rFonts w:eastAsia="Times New Roman"/>
                <w:color w:val="000000"/>
                <w:sz w:val="16"/>
                <w:szCs w:val="16"/>
                <w:vertAlign w:val="superscript"/>
                <w:lang w:eastAsia="en-GB"/>
              </w:rPr>
              <w:t>(</w:t>
            </w:r>
            <w:r w:rsidR="00542ABB">
              <w:rPr>
                <w:rFonts w:eastAsia="Times New Roman"/>
                <w:color w:val="000000"/>
                <w:sz w:val="16"/>
                <w:szCs w:val="16"/>
                <w:vertAlign w:val="superscript"/>
                <w:lang w:eastAsia="en-GB"/>
              </w:rPr>
              <w:t>4</w:t>
            </w:r>
            <w:r w:rsidRPr="00205F72">
              <w:rPr>
                <w:rFonts w:eastAsia="Times New Roman"/>
                <w:color w:val="000000"/>
                <w:sz w:val="16"/>
                <w:szCs w:val="16"/>
                <w:vertAlign w:val="superscript"/>
                <w:lang w:eastAsia="en-GB"/>
              </w:rPr>
              <w:t>)</w:t>
            </w:r>
          </w:p>
        </w:tc>
        <w:tc>
          <w:tcPr>
            <w:tcW w:w="424" w:type="pct"/>
            <w:tcBorders>
              <w:top w:val="nil"/>
              <w:left w:val="nil"/>
              <w:bottom w:val="nil"/>
              <w:right w:val="nil"/>
            </w:tcBorders>
            <w:shd w:val="clear" w:color="auto" w:fill="auto"/>
            <w:noWrap/>
            <w:vAlign w:val="bottom"/>
          </w:tcPr>
          <w:p w14:paraId="374A02E0"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3.5x</w:t>
            </w:r>
          </w:p>
        </w:tc>
        <w:tc>
          <w:tcPr>
            <w:tcW w:w="430" w:type="pct"/>
            <w:gridSpan w:val="2"/>
            <w:tcBorders>
              <w:top w:val="nil"/>
              <w:left w:val="nil"/>
              <w:bottom w:val="nil"/>
              <w:right w:val="nil"/>
            </w:tcBorders>
            <w:shd w:val="clear" w:color="auto" w:fill="auto"/>
            <w:noWrap/>
            <w:vAlign w:val="bottom"/>
          </w:tcPr>
          <w:p w14:paraId="2D5D1541" w14:textId="0C11D983"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4.</w:t>
            </w:r>
            <w:r w:rsidR="00542ABB">
              <w:rPr>
                <w:rFonts w:eastAsia="Times New Roman"/>
                <w:color w:val="000000"/>
                <w:sz w:val="16"/>
                <w:szCs w:val="16"/>
                <w:lang w:eastAsia="en-GB"/>
              </w:rPr>
              <w:t>1</w:t>
            </w:r>
            <w:r w:rsidRPr="00205F72">
              <w:rPr>
                <w:rFonts w:eastAsia="Times New Roman"/>
                <w:color w:val="000000"/>
                <w:sz w:val="16"/>
                <w:szCs w:val="16"/>
                <w:lang w:eastAsia="en-GB"/>
              </w:rPr>
              <w:t>x</w:t>
            </w:r>
          </w:p>
        </w:tc>
        <w:tc>
          <w:tcPr>
            <w:tcW w:w="465" w:type="pct"/>
            <w:gridSpan w:val="2"/>
            <w:tcBorders>
              <w:top w:val="nil"/>
              <w:left w:val="nil"/>
              <w:bottom w:val="nil"/>
              <w:right w:val="nil"/>
            </w:tcBorders>
            <w:shd w:val="clear" w:color="auto" w:fill="auto"/>
            <w:noWrap/>
            <w:vAlign w:val="bottom"/>
          </w:tcPr>
          <w:p w14:paraId="67053C32" w14:textId="529E8916" w:rsidR="00205F72" w:rsidRPr="00205F72" w:rsidRDefault="00542ABB" w:rsidP="00205F72">
            <w:pPr>
              <w:jc w:val="right"/>
              <w:rPr>
                <w:rFonts w:eastAsia="Times New Roman"/>
                <w:color w:val="000000"/>
                <w:sz w:val="16"/>
                <w:szCs w:val="16"/>
                <w:lang w:eastAsia="en-GB"/>
              </w:rPr>
            </w:pPr>
            <w:r>
              <w:rPr>
                <w:rFonts w:eastAsia="Times New Roman"/>
                <w:color w:val="000000"/>
                <w:sz w:val="16"/>
                <w:szCs w:val="16"/>
                <w:lang w:eastAsia="en-GB"/>
              </w:rPr>
              <w:t>3</w:t>
            </w:r>
            <w:r w:rsidR="00205F72" w:rsidRPr="00205F72">
              <w:rPr>
                <w:rFonts w:eastAsia="Times New Roman"/>
                <w:color w:val="000000"/>
                <w:sz w:val="16"/>
                <w:szCs w:val="16"/>
                <w:lang w:eastAsia="en-GB"/>
              </w:rPr>
              <w:t>.</w:t>
            </w:r>
            <w:r>
              <w:rPr>
                <w:rFonts w:eastAsia="Times New Roman"/>
                <w:color w:val="000000"/>
                <w:sz w:val="16"/>
                <w:szCs w:val="16"/>
                <w:lang w:eastAsia="en-GB"/>
              </w:rPr>
              <w:t>8</w:t>
            </w:r>
            <w:r w:rsidR="00205F72" w:rsidRPr="00205F72">
              <w:rPr>
                <w:rFonts w:eastAsia="Times New Roman"/>
                <w:color w:val="000000"/>
                <w:sz w:val="16"/>
                <w:szCs w:val="16"/>
                <w:lang w:eastAsia="en-GB"/>
              </w:rPr>
              <w:t>x</w:t>
            </w:r>
          </w:p>
        </w:tc>
        <w:tc>
          <w:tcPr>
            <w:tcW w:w="1059" w:type="pct"/>
            <w:tcBorders>
              <w:top w:val="nil"/>
              <w:left w:val="nil"/>
              <w:bottom w:val="nil"/>
              <w:right w:val="nil"/>
            </w:tcBorders>
            <w:shd w:val="clear" w:color="000000" w:fill="FFFFFF"/>
          </w:tcPr>
          <w:p w14:paraId="4EE34558" w14:textId="0555B6D6" w:rsidR="00205F72" w:rsidRPr="00205F72" w:rsidRDefault="00023CC2" w:rsidP="00205F72">
            <w:pPr>
              <w:jc w:val="right"/>
              <w:rPr>
                <w:rFonts w:eastAsia="Times New Roman"/>
                <w:color w:val="000000"/>
                <w:sz w:val="16"/>
                <w:szCs w:val="16"/>
                <w:lang w:eastAsia="en-GB"/>
              </w:rPr>
            </w:pPr>
            <w:r>
              <w:rPr>
                <w:rFonts w:eastAsia="Times New Roman"/>
                <w:color w:val="000000"/>
                <w:sz w:val="16"/>
                <w:szCs w:val="16"/>
                <w:lang w:eastAsia="en-GB"/>
              </w:rPr>
              <w:t>40</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weighted average change in the input would result in </w:t>
            </w:r>
            <w:r w:rsidR="005650F5">
              <w:rPr>
                <w:rFonts w:eastAsia="Times New Roman"/>
                <w:color w:val="000000"/>
                <w:sz w:val="16"/>
                <w:szCs w:val="16"/>
                <w:lang w:eastAsia="en-GB"/>
              </w:rPr>
              <w:t>3</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change in the total fair value of Level 3 investments</w:t>
            </w:r>
          </w:p>
        </w:tc>
        <w:tc>
          <w:tcPr>
            <w:tcW w:w="760" w:type="pct"/>
            <w:tcBorders>
              <w:top w:val="nil"/>
              <w:left w:val="nil"/>
              <w:bottom w:val="nil"/>
              <w:right w:val="nil"/>
            </w:tcBorders>
            <w:shd w:val="clear" w:color="auto" w:fill="auto"/>
            <w:noWrap/>
            <w:vAlign w:val="bottom"/>
          </w:tcPr>
          <w:p w14:paraId="7FE8327B" w14:textId="5F098E85"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1</w:t>
            </w:r>
            <w:r w:rsidRPr="00205F72">
              <w:rPr>
                <w:rFonts w:eastAsia="Times New Roman"/>
                <w:color w:val="000000"/>
                <w:sz w:val="16"/>
                <w:szCs w:val="16"/>
                <w:lang w:eastAsia="en-GB"/>
              </w:rPr>
              <w:t>76,</w:t>
            </w:r>
            <w:r w:rsidR="00542ABB">
              <w:rPr>
                <w:rFonts w:eastAsia="Times New Roman"/>
                <w:color w:val="000000"/>
                <w:sz w:val="16"/>
                <w:szCs w:val="16"/>
                <w:lang w:eastAsia="en-GB"/>
              </w:rPr>
              <w:t>048</w:t>
            </w:r>
          </w:p>
        </w:tc>
      </w:tr>
      <w:tr w:rsidR="00542ABB" w:rsidRPr="00205F72" w14:paraId="391EEEFA" w14:textId="77777777" w:rsidTr="004A417D">
        <w:trPr>
          <w:trHeight w:val="799"/>
        </w:trPr>
        <w:tc>
          <w:tcPr>
            <w:tcW w:w="593" w:type="pct"/>
            <w:tcBorders>
              <w:top w:val="nil"/>
              <w:left w:val="nil"/>
              <w:bottom w:val="nil"/>
              <w:right w:val="nil"/>
            </w:tcBorders>
            <w:shd w:val="clear" w:color="auto" w:fill="auto"/>
            <w:noWrap/>
            <w:vAlign w:val="bottom"/>
          </w:tcPr>
          <w:p w14:paraId="6962593F" w14:textId="77777777" w:rsidR="00586B9B" w:rsidRPr="00205F72" w:rsidRDefault="00586B9B" w:rsidP="00205F72">
            <w:pPr>
              <w:rPr>
                <w:rFonts w:eastAsia="Times New Roman"/>
                <w:color w:val="000000"/>
                <w:sz w:val="16"/>
                <w:szCs w:val="16"/>
                <w:lang w:eastAsia="en-GB"/>
              </w:rPr>
            </w:pPr>
          </w:p>
        </w:tc>
        <w:tc>
          <w:tcPr>
            <w:tcW w:w="592" w:type="pct"/>
            <w:tcBorders>
              <w:top w:val="nil"/>
              <w:left w:val="nil"/>
              <w:bottom w:val="nil"/>
              <w:right w:val="nil"/>
            </w:tcBorders>
            <w:shd w:val="clear" w:color="auto" w:fill="auto"/>
            <w:noWrap/>
            <w:vAlign w:val="bottom"/>
          </w:tcPr>
          <w:p w14:paraId="7D06B00F" w14:textId="77777777" w:rsidR="00586B9B" w:rsidRPr="00205F72" w:rsidRDefault="00586B9B" w:rsidP="00205F72">
            <w:pPr>
              <w:jc w:val="right"/>
              <w:rPr>
                <w:rFonts w:eastAsia="Times New Roman"/>
                <w:color w:val="000000"/>
                <w:sz w:val="16"/>
                <w:szCs w:val="16"/>
                <w:lang w:eastAsia="en-GB"/>
              </w:rPr>
            </w:pPr>
          </w:p>
        </w:tc>
        <w:tc>
          <w:tcPr>
            <w:tcW w:w="677" w:type="pct"/>
            <w:tcBorders>
              <w:top w:val="nil"/>
              <w:left w:val="nil"/>
              <w:bottom w:val="nil"/>
              <w:right w:val="nil"/>
            </w:tcBorders>
            <w:shd w:val="clear" w:color="auto" w:fill="auto"/>
            <w:noWrap/>
            <w:vAlign w:val="bottom"/>
          </w:tcPr>
          <w:p w14:paraId="049D180E" w14:textId="0CAD625B" w:rsidR="00586B9B" w:rsidRPr="00205F72" w:rsidRDefault="00586B9B" w:rsidP="00205F72">
            <w:pPr>
              <w:jc w:val="right"/>
              <w:rPr>
                <w:rFonts w:eastAsia="Times New Roman"/>
                <w:color w:val="000000"/>
                <w:sz w:val="16"/>
                <w:szCs w:val="16"/>
                <w:lang w:eastAsia="en-GB"/>
              </w:rPr>
            </w:pPr>
            <w:r w:rsidRPr="00205F72">
              <w:rPr>
                <w:rFonts w:eastAsia="Times New Roman"/>
                <w:color w:val="000000"/>
                <w:sz w:val="16"/>
                <w:szCs w:val="16"/>
                <w:lang w:eastAsia="en-GB"/>
              </w:rPr>
              <w:t>20</w:t>
            </w:r>
            <w:r>
              <w:rPr>
                <w:rFonts w:eastAsia="Times New Roman"/>
                <w:color w:val="000000"/>
                <w:sz w:val="16"/>
                <w:szCs w:val="16"/>
                <w:lang w:eastAsia="en-GB"/>
              </w:rPr>
              <w:t>20</w:t>
            </w:r>
            <w:r w:rsidRPr="00205F72">
              <w:rPr>
                <w:rFonts w:eastAsia="Times New Roman"/>
                <w:color w:val="000000"/>
                <w:sz w:val="16"/>
                <w:szCs w:val="16"/>
                <w:lang w:eastAsia="en-GB"/>
              </w:rPr>
              <w:t xml:space="preserve"> EV</w:t>
            </w:r>
            <w:r w:rsidR="00DC4925">
              <w:rPr>
                <w:rFonts w:eastAsia="Times New Roman"/>
                <w:color w:val="000000"/>
                <w:sz w:val="16"/>
                <w:szCs w:val="16"/>
                <w:lang w:eastAsia="en-GB"/>
              </w:rPr>
              <w:t xml:space="preserve"> </w:t>
            </w:r>
            <w:r w:rsidRPr="00205F72">
              <w:rPr>
                <w:rFonts w:eastAsia="Times New Roman"/>
                <w:color w:val="000000"/>
                <w:sz w:val="16"/>
                <w:szCs w:val="16"/>
                <w:lang w:eastAsia="en-GB"/>
              </w:rPr>
              <w:t>/</w:t>
            </w:r>
            <w:r w:rsidR="00DC4925">
              <w:rPr>
                <w:rFonts w:eastAsia="Times New Roman"/>
                <w:color w:val="000000"/>
                <w:sz w:val="16"/>
                <w:szCs w:val="16"/>
                <w:lang w:eastAsia="en-GB"/>
              </w:rPr>
              <w:t xml:space="preserve"> </w:t>
            </w:r>
            <w:r w:rsidRPr="00205F72">
              <w:rPr>
                <w:rFonts w:eastAsia="Times New Roman"/>
                <w:color w:val="000000"/>
                <w:sz w:val="16"/>
                <w:szCs w:val="16"/>
                <w:lang w:eastAsia="en-GB"/>
              </w:rPr>
              <w:t>EBITDA Multiple</w:t>
            </w:r>
            <w:r w:rsidRPr="00205F72">
              <w:rPr>
                <w:rFonts w:eastAsia="Times New Roman"/>
                <w:color w:val="000000"/>
                <w:sz w:val="16"/>
                <w:szCs w:val="16"/>
                <w:vertAlign w:val="superscript"/>
                <w:lang w:eastAsia="en-GB"/>
              </w:rPr>
              <w:t>(</w:t>
            </w:r>
            <w:r w:rsidR="00FF5EAA">
              <w:rPr>
                <w:rFonts w:eastAsia="Times New Roman"/>
                <w:color w:val="000000"/>
                <w:sz w:val="16"/>
                <w:szCs w:val="16"/>
                <w:vertAlign w:val="superscript"/>
                <w:lang w:eastAsia="en-GB"/>
              </w:rPr>
              <w:t>4</w:t>
            </w:r>
            <w:r w:rsidRPr="00205F72">
              <w:rPr>
                <w:rFonts w:eastAsia="Times New Roman"/>
                <w:color w:val="000000"/>
                <w:sz w:val="16"/>
                <w:szCs w:val="16"/>
                <w:vertAlign w:val="superscript"/>
                <w:lang w:eastAsia="en-GB"/>
              </w:rPr>
              <w:t>)</w:t>
            </w:r>
          </w:p>
        </w:tc>
        <w:tc>
          <w:tcPr>
            <w:tcW w:w="424" w:type="pct"/>
            <w:tcBorders>
              <w:top w:val="nil"/>
              <w:left w:val="nil"/>
              <w:bottom w:val="nil"/>
              <w:right w:val="nil"/>
            </w:tcBorders>
            <w:shd w:val="clear" w:color="auto" w:fill="auto"/>
            <w:noWrap/>
            <w:vAlign w:val="bottom"/>
          </w:tcPr>
          <w:p w14:paraId="19B07415" w14:textId="12F3A80B" w:rsidR="00586B9B" w:rsidRPr="00205F72" w:rsidRDefault="00542ABB" w:rsidP="00205F72">
            <w:pPr>
              <w:jc w:val="right"/>
              <w:rPr>
                <w:rFonts w:eastAsia="Times New Roman"/>
                <w:color w:val="000000"/>
                <w:sz w:val="16"/>
                <w:szCs w:val="16"/>
                <w:lang w:eastAsia="en-GB"/>
              </w:rPr>
            </w:pPr>
            <w:r>
              <w:rPr>
                <w:rFonts w:eastAsia="Times New Roman"/>
                <w:color w:val="000000"/>
                <w:sz w:val="16"/>
                <w:szCs w:val="16"/>
                <w:lang w:eastAsia="en-GB"/>
              </w:rPr>
              <w:t>3.1x</w:t>
            </w:r>
          </w:p>
        </w:tc>
        <w:tc>
          <w:tcPr>
            <w:tcW w:w="430" w:type="pct"/>
            <w:gridSpan w:val="2"/>
            <w:tcBorders>
              <w:top w:val="nil"/>
              <w:left w:val="nil"/>
              <w:bottom w:val="nil"/>
              <w:right w:val="nil"/>
            </w:tcBorders>
            <w:shd w:val="clear" w:color="auto" w:fill="auto"/>
            <w:noWrap/>
            <w:vAlign w:val="bottom"/>
          </w:tcPr>
          <w:p w14:paraId="2161F670" w14:textId="52AEB7F1" w:rsidR="00586B9B" w:rsidRPr="00205F72" w:rsidRDefault="00542ABB" w:rsidP="00205F72">
            <w:pPr>
              <w:jc w:val="right"/>
              <w:rPr>
                <w:rFonts w:eastAsia="Times New Roman"/>
                <w:color w:val="000000"/>
                <w:sz w:val="16"/>
                <w:szCs w:val="16"/>
                <w:lang w:eastAsia="en-GB"/>
              </w:rPr>
            </w:pPr>
            <w:r>
              <w:rPr>
                <w:rFonts w:eastAsia="Times New Roman"/>
                <w:color w:val="000000"/>
                <w:sz w:val="16"/>
                <w:szCs w:val="16"/>
                <w:lang w:eastAsia="en-GB"/>
              </w:rPr>
              <w:t>4.0x</w:t>
            </w:r>
          </w:p>
        </w:tc>
        <w:tc>
          <w:tcPr>
            <w:tcW w:w="465" w:type="pct"/>
            <w:gridSpan w:val="2"/>
            <w:tcBorders>
              <w:top w:val="nil"/>
              <w:left w:val="nil"/>
              <w:bottom w:val="nil"/>
              <w:right w:val="nil"/>
            </w:tcBorders>
            <w:shd w:val="clear" w:color="auto" w:fill="auto"/>
            <w:noWrap/>
            <w:vAlign w:val="bottom"/>
          </w:tcPr>
          <w:p w14:paraId="4637F1FE" w14:textId="4A21BE69" w:rsidR="00586B9B" w:rsidRPr="00205F72" w:rsidRDefault="00542ABB" w:rsidP="00205F72">
            <w:pPr>
              <w:jc w:val="right"/>
              <w:rPr>
                <w:rFonts w:eastAsia="Times New Roman"/>
                <w:color w:val="000000"/>
                <w:sz w:val="16"/>
                <w:szCs w:val="16"/>
                <w:lang w:eastAsia="en-GB"/>
              </w:rPr>
            </w:pPr>
            <w:r>
              <w:rPr>
                <w:rFonts w:eastAsia="Times New Roman"/>
                <w:color w:val="000000"/>
                <w:sz w:val="16"/>
                <w:szCs w:val="16"/>
                <w:lang w:eastAsia="en-GB"/>
              </w:rPr>
              <w:t>3.5x</w:t>
            </w:r>
          </w:p>
        </w:tc>
        <w:tc>
          <w:tcPr>
            <w:tcW w:w="1059" w:type="pct"/>
            <w:tcBorders>
              <w:top w:val="nil"/>
              <w:left w:val="nil"/>
              <w:bottom w:val="nil"/>
              <w:right w:val="nil"/>
            </w:tcBorders>
            <w:shd w:val="clear" w:color="000000" w:fill="FFFFFF"/>
          </w:tcPr>
          <w:p w14:paraId="6B4B65CD" w14:textId="638832C3" w:rsidR="00586B9B" w:rsidRPr="00205F72" w:rsidRDefault="00023CC2" w:rsidP="00205F72">
            <w:pPr>
              <w:jc w:val="right"/>
              <w:rPr>
                <w:rFonts w:eastAsia="Times New Roman"/>
                <w:color w:val="000000"/>
                <w:sz w:val="16"/>
                <w:szCs w:val="16"/>
                <w:lang w:eastAsia="en-GB"/>
              </w:rPr>
            </w:pPr>
            <w:r>
              <w:rPr>
                <w:rFonts w:eastAsia="Times New Roman"/>
                <w:color w:val="000000"/>
                <w:sz w:val="16"/>
                <w:szCs w:val="16"/>
                <w:lang w:eastAsia="en-GB"/>
              </w:rPr>
              <w:t>25</w:t>
            </w:r>
            <w:r w:rsidR="00621A24">
              <w:rPr>
                <w:rFonts w:eastAsia="Times New Roman"/>
                <w:color w:val="000000"/>
                <w:sz w:val="16"/>
                <w:szCs w:val="16"/>
                <w:lang w:eastAsia="en-GB"/>
              </w:rPr>
              <w:t xml:space="preserve"> per cent.</w:t>
            </w:r>
            <w:r w:rsidR="00542ABB" w:rsidRPr="00205F72">
              <w:rPr>
                <w:rFonts w:eastAsia="Times New Roman"/>
                <w:color w:val="000000"/>
                <w:sz w:val="16"/>
                <w:szCs w:val="16"/>
                <w:lang w:eastAsia="en-GB"/>
              </w:rPr>
              <w:t xml:space="preserve"> weighted average change in the input would result in </w:t>
            </w:r>
            <w:r w:rsidR="00940B14">
              <w:rPr>
                <w:rFonts w:eastAsia="Times New Roman"/>
                <w:color w:val="000000"/>
                <w:sz w:val="16"/>
                <w:szCs w:val="16"/>
                <w:lang w:eastAsia="en-GB"/>
              </w:rPr>
              <w:t>1</w:t>
            </w:r>
            <w:r w:rsidR="00621A24">
              <w:rPr>
                <w:rFonts w:eastAsia="Times New Roman"/>
                <w:color w:val="000000"/>
                <w:sz w:val="16"/>
                <w:szCs w:val="16"/>
                <w:lang w:eastAsia="en-GB"/>
              </w:rPr>
              <w:t xml:space="preserve"> per cent.</w:t>
            </w:r>
            <w:r w:rsidR="00542ABB" w:rsidRPr="00205F72">
              <w:rPr>
                <w:rFonts w:eastAsia="Times New Roman"/>
                <w:color w:val="000000"/>
                <w:sz w:val="16"/>
                <w:szCs w:val="16"/>
                <w:lang w:eastAsia="en-GB"/>
              </w:rPr>
              <w:t xml:space="preserve"> change in the total fair value of Level 3 investments</w:t>
            </w:r>
          </w:p>
        </w:tc>
        <w:tc>
          <w:tcPr>
            <w:tcW w:w="760" w:type="pct"/>
            <w:tcBorders>
              <w:top w:val="nil"/>
              <w:left w:val="nil"/>
              <w:bottom w:val="nil"/>
              <w:right w:val="nil"/>
            </w:tcBorders>
            <w:shd w:val="clear" w:color="auto" w:fill="auto"/>
            <w:noWrap/>
            <w:vAlign w:val="bottom"/>
          </w:tcPr>
          <w:p w14:paraId="468D6315" w14:textId="50F8A310" w:rsidR="00586B9B" w:rsidRPr="00205F72" w:rsidRDefault="00542ABB" w:rsidP="00205F72">
            <w:pPr>
              <w:jc w:val="right"/>
              <w:rPr>
                <w:rFonts w:eastAsia="Times New Roman"/>
                <w:color w:val="000000"/>
                <w:sz w:val="16"/>
                <w:szCs w:val="16"/>
                <w:lang w:eastAsia="en-GB"/>
              </w:rPr>
            </w:pPr>
            <w:r>
              <w:rPr>
                <w:rFonts w:eastAsia="Times New Roman"/>
                <w:color w:val="000000"/>
                <w:sz w:val="16"/>
                <w:szCs w:val="16"/>
                <w:lang w:eastAsia="en-GB"/>
              </w:rPr>
              <w:t>$185,375</w:t>
            </w:r>
          </w:p>
        </w:tc>
      </w:tr>
      <w:tr w:rsidR="00542ABB" w:rsidRPr="00205F72" w14:paraId="3B7C197A" w14:textId="77777777" w:rsidTr="004A417D">
        <w:trPr>
          <w:trHeight w:val="799"/>
        </w:trPr>
        <w:tc>
          <w:tcPr>
            <w:tcW w:w="593" w:type="pct"/>
            <w:tcBorders>
              <w:top w:val="nil"/>
              <w:left w:val="nil"/>
              <w:bottom w:val="nil"/>
              <w:right w:val="nil"/>
            </w:tcBorders>
            <w:shd w:val="clear" w:color="auto" w:fill="auto"/>
            <w:noWrap/>
            <w:vAlign w:val="bottom"/>
          </w:tcPr>
          <w:p w14:paraId="49382200" w14:textId="77777777" w:rsidR="00205F72" w:rsidRPr="00205F72" w:rsidRDefault="00205F72" w:rsidP="00205F72">
            <w:pPr>
              <w:rPr>
                <w:rFonts w:eastAsia="Times New Roman"/>
                <w:color w:val="000000"/>
                <w:sz w:val="16"/>
                <w:szCs w:val="16"/>
                <w:lang w:eastAsia="en-GB"/>
              </w:rPr>
            </w:pPr>
            <w:bookmarkStart w:id="34" w:name="_Hlk31009797"/>
          </w:p>
        </w:tc>
        <w:tc>
          <w:tcPr>
            <w:tcW w:w="592" w:type="pct"/>
            <w:tcBorders>
              <w:top w:val="nil"/>
              <w:left w:val="nil"/>
              <w:bottom w:val="nil"/>
              <w:right w:val="nil"/>
            </w:tcBorders>
            <w:shd w:val="clear" w:color="auto" w:fill="auto"/>
            <w:noWrap/>
            <w:vAlign w:val="bottom"/>
          </w:tcPr>
          <w:p w14:paraId="097D3976" w14:textId="77777777" w:rsidR="00205F72" w:rsidRPr="00205F72" w:rsidRDefault="00205F72" w:rsidP="00205F72">
            <w:pPr>
              <w:jc w:val="right"/>
              <w:rPr>
                <w:rFonts w:eastAsia="Times New Roman"/>
                <w:color w:val="000000"/>
                <w:sz w:val="16"/>
                <w:szCs w:val="16"/>
                <w:lang w:eastAsia="en-GB"/>
              </w:rPr>
            </w:pPr>
          </w:p>
        </w:tc>
        <w:tc>
          <w:tcPr>
            <w:tcW w:w="677" w:type="pct"/>
            <w:tcBorders>
              <w:top w:val="nil"/>
              <w:left w:val="nil"/>
              <w:bottom w:val="nil"/>
              <w:right w:val="nil"/>
            </w:tcBorders>
            <w:shd w:val="clear" w:color="auto" w:fill="auto"/>
            <w:noWrap/>
            <w:vAlign w:val="bottom"/>
          </w:tcPr>
          <w:p w14:paraId="24122714" w14:textId="77777777" w:rsidR="00205F72" w:rsidRPr="00205F72" w:rsidRDefault="00205F72" w:rsidP="00205F72">
            <w:pPr>
              <w:jc w:val="right"/>
              <w:rPr>
                <w:rFonts w:eastAsia="Times New Roman"/>
                <w:color w:val="000000"/>
                <w:sz w:val="16"/>
                <w:szCs w:val="16"/>
                <w:lang w:eastAsia="en-GB"/>
              </w:rPr>
            </w:pPr>
          </w:p>
          <w:p w14:paraId="6772017B" w14:textId="72A2EEF5"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EV / 2019E Production Multiple ($/Boepd)</w:t>
            </w:r>
            <w:r w:rsidRPr="00205F72">
              <w:rPr>
                <w:rFonts w:eastAsia="Times New Roman"/>
                <w:color w:val="000000"/>
                <w:sz w:val="16"/>
                <w:szCs w:val="16"/>
                <w:vertAlign w:val="superscript"/>
                <w:lang w:eastAsia="en-GB"/>
              </w:rPr>
              <w:t>(</w:t>
            </w:r>
            <w:r w:rsidR="00542ABB">
              <w:rPr>
                <w:rFonts w:eastAsia="Times New Roman"/>
                <w:color w:val="000000"/>
                <w:sz w:val="16"/>
                <w:szCs w:val="16"/>
                <w:vertAlign w:val="superscript"/>
                <w:lang w:eastAsia="en-GB"/>
              </w:rPr>
              <w:t>4</w:t>
            </w:r>
            <w:r w:rsidRPr="00205F72">
              <w:rPr>
                <w:rFonts w:eastAsia="Times New Roman"/>
                <w:color w:val="000000"/>
                <w:sz w:val="16"/>
                <w:szCs w:val="16"/>
                <w:vertAlign w:val="superscript"/>
                <w:lang w:eastAsia="en-GB"/>
              </w:rPr>
              <w:t>)</w:t>
            </w:r>
          </w:p>
        </w:tc>
        <w:tc>
          <w:tcPr>
            <w:tcW w:w="424" w:type="pct"/>
            <w:tcBorders>
              <w:top w:val="nil"/>
              <w:left w:val="nil"/>
              <w:bottom w:val="nil"/>
              <w:right w:val="nil"/>
            </w:tcBorders>
            <w:shd w:val="clear" w:color="auto" w:fill="auto"/>
            <w:noWrap/>
            <w:vAlign w:val="bottom"/>
          </w:tcPr>
          <w:p w14:paraId="1BAFB602" w14:textId="6FB62C28"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FF5EAA">
              <w:rPr>
                <w:rFonts w:eastAsia="Times New Roman"/>
                <w:color w:val="000000"/>
                <w:sz w:val="16"/>
                <w:szCs w:val="16"/>
                <w:lang w:eastAsia="en-GB"/>
              </w:rPr>
              <w:t>21</w:t>
            </w:r>
            <w:r w:rsidRPr="00205F72">
              <w:rPr>
                <w:rFonts w:eastAsia="Times New Roman"/>
                <w:color w:val="000000"/>
                <w:sz w:val="16"/>
                <w:szCs w:val="16"/>
                <w:lang w:eastAsia="en-GB"/>
              </w:rPr>
              <w:t>,000</w:t>
            </w:r>
          </w:p>
        </w:tc>
        <w:tc>
          <w:tcPr>
            <w:tcW w:w="430" w:type="pct"/>
            <w:gridSpan w:val="2"/>
            <w:tcBorders>
              <w:top w:val="nil"/>
              <w:left w:val="nil"/>
              <w:bottom w:val="nil"/>
              <w:right w:val="nil"/>
            </w:tcBorders>
            <w:shd w:val="clear" w:color="auto" w:fill="auto"/>
            <w:noWrap/>
            <w:vAlign w:val="bottom"/>
          </w:tcPr>
          <w:p w14:paraId="3EE63AE6" w14:textId="46F241F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$4</w:t>
            </w:r>
            <w:r w:rsidR="00FF5EAA">
              <w:rPr>
                <w:rFonts w:eastAsia="Times New Roman"/>
                <w:color w:val="000000"/>
                <w:sz w:val="16"/>
                <w:szCs w:val="16"/>
                <w:lang w:eastAsia="en-GB"/>
              </w:rPr>
              <w:t>4</w:t>
            </w:r>
            <w:r w:rsidRPr="00205F72">
              <w:rPr>
                <w:rFonts w:eastAsia="Times New Roman"/>
                <w:color w:val="000000"/>
                <w:sz w:val="16"/>
                <w:szCs w:val="16"/>
                <w:lang w:eastAsia="en-GB"/>
              </w:rPr>
              <w:t>,</w:t>
            </w:r>
            <w:r w:rsidR="00FF5EAA">
              <w:rPr>
                <w:rFonts w:eastAsia="Times New Roman"/>
                <w:color w:val="000000"/>
                <w:sz w:val="16"/>
                <w:szCs w:val="16"/>
                <w:lang w:eastAsia="en-GB"/>
              </w:rPr>
              <w:t>1</w:t>
            </w:r>
            <w:r w:rsidRPr="00205F72">
              <w:rPr>
                <w:rFonts w:eastAsia="Times New Roman"/>
                <w:color w:val="000000"/>
                <w:sz w:val="16"/>
                <w:szCs w:val="16"/>
                <w:lang w:eastAsia="en-GB"/>
              </w:rPr>
              <w:t>00</w:t>
            </w:r>
          </w:p>
        </w:tc>
        <w:tc>
          <w:tcPr>
            <w:tcW w:w="465" w:type="pct"/>
            <w:gridSpan w:val="2"/>
            <w:tcBorders>
              <w:top w:val="nil"/>
              <w:left w:val="nil"/>
              <w:bottom w:val="nil"/>
              <w:right w:val="nil"/>
            </w:tcBorders>
            <w:shd w:val="clear" w:color="auto" w:fill="auto"/>
            <w:noWrap/>
            <w:vAlign w:val="bottom"/>
          </w:tcPr>
          <w:p w14:paraId="216E7108" w14:textId="6E267CE4"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$3</w:t>
            </w:r>
            <w:r w:rsidR="00FF5EAA">
              <w:rPr>
                <w:rFonts w:eastAsia="Times New Roman"/>
                <w:color w:val="000000"/>
                <w:sz w:val="16"/>
                <w:szCs w:val="16"/>
                <w:lang w:eastAsia="en-GB"/>
              </w:rPr>
              <w:t>0</w:t>
            </w:r>
            <w:r w:rsidRPr="00205F72">
              <w:rPr>
                <w:rFonts w:eastAsia="Times New Roman"/>
                <w:color w:val="000000"/>
                <w:sz w:val="16"/>
                <w:szCs w:val="16"/>
                <w:lang w:eastAsia="en-GB"/>
              </w:rPr>
              <w:t>,</w:t>
            </w:r>
            <w:r w:rsidR="00FF5EAA">
              <w:rPr>
                <w:rFonts w:eastAsia="Times New Roman"/>
                <w:color w:val="000000"/>
                <w:sz w:val="16"/>
                <w:szCs w:val="16"/>
                <w:lang w:eastAsia="en-GB"/>
              </w:rPr>
              <w:t>9</w:t>
            </w:r>
            <w:r w:rsidRPr="00205F72">
              <w:rPr>
                <w:rFonts w:eastAsia="Times New Roman"/>
                <w:color w:val="000000"/>
                <w:sz w:val="16"/>
                <w:szCs w:val="16"/>
                <w:lang w:eastAsia="en-GB"/>
              </w:rPr>
              <w:t>00</w:t>
            </w:r>
          </w:p>
        </w:tc>
        <w:tc>
          <w:tcPr>
            <w:tcW w:w="1059" w:type="pct"/>
            <w:tcBorders>
              <w:top w:val="nil"/>
              <w:left w:val="nil"/>
              <w:bottom w:val="nil"/>
              <w:right w:val="nil"/>
            </w:tcBorders>
            <w:shd w:val="clear" w:color="000000" w:fill="FFFFFF"/>
            <w:vAlign w:val="bottom"/>
          </w:tcPr>
          <w:p w14:paraId="24F313D4" w14:textId="3A0004DB" w:rsidR="00205F72" w:rsidRPr="00205F72" w:rsidRDefault="00023CC2" w:rsidP="00205F72">
            <w:pPr>
              <w:jc w:val="right"/>
              <w:rPr>
                <w:rFonts w:eastAsia="Times New Roman"/>
                <w:color w:val="000000"/>
                <w:sz w:val="16"/>
                <w:szCs w:val="16"/>
                <w:lang w:eastAsia="en-GB"/>
              </w:rPr>
            </w:pPr>
            <w:r>
              <w:rPr>
                <w:rFonts w:eastAsia="Times New Roman"/>
                <w:color w:val="000000"/>
                <w:sz w:val="16"/>
                <w:szCs w:val="16"/>
                <w:lang w:eastAsia="en-GB"/>
              </w:rPr>
              <w:t>45</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weighted average change in the input would result in </w:t>
            </w:r>
            <w:r w:rsidR="005650F5">
              <w:rPr>
                <w:rFonts w:eastAsia="Times New Roman"/>
                <w:color w:val="000000"/>
                <w:sz w:val="16"/>
                <w:szCs w:val="16"/>
                <w:lang w:eastAsia="en-GB"/>
              </w:rPr>
              <w:t>5</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change in the total fair value of Level 3 investments</w:t>
            </w:r>
          </w:p>
        </w:tc>
        <w:tc>
          <w:tcPr>
            <w:tcW w:w="760" w:type="pct"/>
            <w:tcBorders>
              <w:top w:val="nil"/>
              <w:left w:val="nil"/>
              <w:bottom w:val="nil"/>
              <w:right w:val="nil"/>
            </w:tcBorders>
            <w:shd w:val="clear" w:color="auto" w:fill="auto"/>
            <w:noWrap/>
            <w:vAlign w:val="bottom"/>
          </w:tcPr>
          <w:p w14:paraId="1C4C7047" w14:textId="7BFA8BA1"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224</w:t>
            </w:r>
            <w:r w:rsidRPr="00205F72">
              <w:rPr>
                <w:rFonts w:eastAsia="Times New Roman"/>
                <w:color w:val="000000"/>
                <w:sz w:val="16"/>
                <w:szCs w:val="16"/>
                <w:lang w:eastAsia="en-GB"/>
              </w:rPr>
              <w:t>,</w:t>
            </w:r>
            <w:r w:rsidR="00542ABB">
              <w:rPr>
                <w:rFonts w:eastAsia="Times New Roman"/>
                <w:color w:val="000000"/>
                <w:sz w:val="16"/>
                <w:szCs w:val="16"/>
                <w:lang w:eastAsia="en-GB"/>
              </w:rPr>
              <w:t>220</w:t>
            </w:r>
          </w:p>
        </w:tc>
      </w:tr>
      <w:tr w:rsidR="00542ABB" w:rsidRPr="00205F72" w14:paraId="53FC5C2D" w14:textId="77777777" w:rsidTr="004A417D">
        <w:trPr>
          <w:trHeight w:val="799"/>
        </w:trPr>
        <w:tc>
          <w:tcPr>
            <w:tcW w:w="593" w:type="pct"/>
            <w:tcBorders>
              <w:top w:val="nil"/>
              <w:left w:val="nil"/>
              <w:bottom w:val="nil"/>
              <w:right w:val="nil"/>
            </w:tcBorders>
            <w:shd w:val="clear" w:color="auto" w:fill="auto"/>
            <w:noWrap/>
            <w:vAlign w:val="bottom"/>
          </w:tcPr>
          <w:p w14:paraId="3CB0FD98" w14:textId="77777777" w:rsidR="00542ABB" w:rsidRPr="00205F72" w:rsidRDefault="00542ABB" w:rsidP="00542ABB">
            <w:pPr>
              <w:rPr>
                <w:rFonts w:eastAsia="Times New Roman"/>
                <w:color w:val="000000"/>
                <w:sz w:val="16"/>
                <w:szCs w:val="16"/>
                <w:lang w:eastAsia="en-GB"/>
              </w:rPr>
            </w:pPr>
          </w:p>
        </w:tc>
        <w:tc>
          <w:tcPr>
            <w:tcW w:w="592" w:type="pct"/>
            <w:tcBorders>
              <w:top w:val="nil"/>
              <w:left w:val="nil"/>
              <w:bottom w:val="nil"/>
              <w:right w:val="nil"/>
            </w:tcBorders>
            <w:shd w:val="clear" w:color="auto" w:fill="auto"/>
            <w:noWrap/>
            <w:vAlign w:val="bottom"/>
          </w:tcPr>
          <w:p w14:paraId="6CFD8CE7" w14:textId="77777777" w:rsidR="00542ABB" w:rsidRPr="00205F72" w:rsidRDefault="00542ABB" w:rsidP="00542ABB">
            <w:pPr>
              <w:jc w:val="right"/>
              <w:rPr>
                <w:rFonts w:eastAsia="Times New Roman"/>
                <w:color w:val="000000"/>
                <w:sz w:val="16"/>
                <w:szCs w:val="16"/>
                <w:lang w:eastAsia="en-GB"/>
              </w:rPr>
            </w:pPr>
          </w:p>
        </w:tc>
        <w:tc>
          <w:tcPr>
            <w:tcW w:w="677" w:type="pct"/>
            <w:tcBorders>
              <w:top w:val="nil"/>
              <w:left w:val="nil"/>
              <w:bottom w:val="nil"/>
              <w:right w:val="nil"/>
            </w:tcBorders>
            <w:shd w:val="clear" w:color="auto" w:fill="auto"/>
            <w:noWrap/>
            <w:vAlign w:val="bottom"/>
          </w:tcPr>
          <w:p w14:paraId="56136E35" w14:textId="77777777" w:rsidR="00542ABB" w:rsidRPr="00205F72" w:rsidRDefault="00542ABB" w:rsidP="00542ABB">
            <w:pPr>
              <w:jc w:val="right"/>
              <w:rPr>
                <w:rFonts w:eastAsia="Times New Roman"/>
                <w:color w:val="000000"/>
                <w:sz w:val="16"/>
                <w:szCs w:val="16"/>
                <w:lang w:eastAsia="en-GB"/>
              </w:rPr>
            </w:pPr>
          </w:p>
          <w:p w14:paraId="4277BD7F" w14:textId="4E3C9254" w:rsidR="00542ABB" w:rsidRPr="00205F72" w:rsidRDefault="00542ABB" w:rsidP="00542ABB">
            <w:pPr>
              <w:jc w:val="right"/>
              <w:rPr>
                <w:rFonts w:eastAsia="Times New Roman"/>
                <w:color w:val="000000"/>
                <w:sz w:val="16"/>
                <w:szCs w:val="16"/>
                <w:lang w:eastAsia="en-GB"/>
              </w:rPr>
            </w:pPr>
            <w:r w:rsidRPr="00205F72">
              <w:rPr>
                <w:rFonts w:eastAsia="Times New Roman"/>
                <w:color w:val="000000"/>
                <w:sz w:val="16"/>
                <w:szCs w:val="16"/>
                <w:lang w:eastAsia="en-GB"/>
              </w:rPr>
              <w:t>EV / 20</w:t>
            </w:r>
            <w:r>
              <w:rPr>
                <w:rFonts w:eastAsia="Times New Roman"/>
                <w:color w:val="000000"/>
                <w:sz w:val="16"/>
                <w:szCs w:val="16"/>
                <w:lang w:eastAsia="en-GB"/>
              </w:rPr>
              <w:t>20</w:t>
            </w:r>
            <w:r w:rsidRPr="00205F72">
              <w:rPr>
                <w:rFonts w:eastAsia="Times New Roman"/>
                <w:color w:val="000000"/>
                <w:sz w:val="16"/>
                <w:szCs w:val="16"/>
                <w:lang w:eastAsia="en-GB"/>
              </w:rPr>
              <w:t>E Production Multiple ($/Boepd)</w:t>
            </w:r>
            <w:r w:rsidRPr="00FF5EAA">
              <w:rPr>
                <w:rFonts w:eastAsia="Times New Roman"/>
                <w:color w:val="000000"/>
                <w:sz w:val="16"/>
                <w:szCs w:val="16"/>
                <w:vertAlign w:val="superscript"/>
                <w:lang w:eastAsia="en-GB"/>
              </w:rPr>
              <w:t>(4)</w:t>
            </w:r>
          </w:p>
        </w:tc>
        <w:tc>
          <w:tcPr>
            <w:tcW w:w="424" w:type="pct"/>
            <w:tcBorders>
              <w:top w:val="nil"/>
              <w:left w:val="nil"/>
              <w:bottom w:val="nil"/>
              <w:right w:val="nil"/>
            </w:tcBorders>
            <w:shd w:val="clear" w:color="auto" w:fill="auto"/>
            <w:noWrap/>
            <w:vAlign w:val="bottom"/>
          </w:tcPr>
          <w:p w14:paraId="06AD8D9A" w14:textId="06CB7DF5" w:rsidR="00542ABB" w:rsidRPr="00205F72" w:rsidRDefault="00542ABB" w:rsidP="00542ABB">
            <w:pPr>
              <w:jc w:val="right"/>
              <w:rPr>
                <w:rFonts w:eastAsia="Times New Roman"/>
                <w:color w:val="000000"/>
                <w:sz w:val="16"/>
                <w:szCs w:val="16"/>
                <w:lang w:eastAsia="en-GB"/>
              </w:rPr>
            </w:pPr>
            <w:r w:rsidRPr="00205F72">
              <w:rPr>
                <w:rFonts w:eastAsia="Times New Roman"/>
                <w:color w:val="000000"/>
                <w:sz w:val="16"/>
                <w:szCs w:val="16"/>
                <w:lang w:eastAsia="en-GB"/>
              </w:rPr>
              <w:t>$2</w:t>
            </w:r>
            <w:r w:rsidR="00FF5EAA">
              <w:rPr>
                <w:rFonts w:eastAsia="Times New Roman"/>
                <w:color w:val="000000"/>
                <w:sz w:val="16"/>
                <w:szCs w:val="16"/>
                <w:lang w:eastAsia="en-GB"/>
              </w:rPr>
              <w:t>1</w:t>
            </w:r>
            <w:r w:rsidRPr="00205F72">
              <w:rPr>
                <w:rFonts w:eastAsia="Times New Roman"/>
                <w:color w:val="000000"/>
                <w:sz w:val="16"/>
                <w:szCs w:val="16"/>
                <w:lang w:eastAsia="en-GB"/>
              </w:rPr>
              <w:t>,000</w:t>
            </w:r>
          </w:p>
        </w:tc>
        <w:tc>
          <w:tcPr>
            <w:tcW w:w="430" w:type="pct"/>
            <w:gridSpan w:val="2"/>
            <w:tcBorders>
              <w:top w:val="nil"/>
              <w:left w:val="nil"/>
              <w:bottom w:val="nil"/>
              <w:right w:val="nil"/>
            </w:tcBorders>
            <w:shd w:val="clear" w:color="auto" w:fill="auto"/>
            <w:noWrap/>
            <w:vAlign w:val="bottom"/>
          </w:tcPr>
          <w:p w14:paraId="4B1E05F7" w14:textId="0E003CD6" w:rsidR="00542ABB" w:rsidRPr="00205F72" w:rsidRDefault="00542ABB" w:rsidP="00542ABB">
            <w:pPr>
              <w:jc w:val="right"/>
              <w:rPr>
                <w:rFonts w:eastAsia="Times New Roman"/>
                <w:color w:val="000000"/>
                <w:sz w:val="16"/>
                <w:szCs w:val="16"/>
                <w:lang w:eastAsia="en-GB"/>
              </w:rPr>
            </w:pPr>
            <w:r w:rsidRPr="00205F72">
              <w:rPr>
                <w:rFonts w:eastAsia="Times New Roman"/>
                <w:color w:val="000000"/>
                <w:sz w:val="16"/>
                <w:szCs w:val="16"/>
                <w:lang w:eastAsia="en-GB"/>
              </w:rPr>
              <w:t>$</w:t>
            </w:r>
            <w:r w:rsidR="00FF5EAA">
              <w:rPr>
                <w:rFonts w:eastAsia="Times New Roman"/>
                <w:color w:val="000000"/>
                <w:sz w:val="16"/>
                <w:szCs w:val="16"/>
                <w:lang w:eastAsia="en-GB"/>
              </w:rPr>
              <w:t>39</w:t>
            </w:r>
            <w:r w:rsidRPr="00205F72">
              <w:rPr>
                <w:rFonts w:eastAsia="Times New Roman"/>
                <w:color w:val="000000"/>
                <w:sz w:val="16"/>
                <w:szCs w:val="16"/>
                <w:lang w:eastAsia="en-GB"/>
              </w:rPr>
              <w:t>,</w:t>
            </w:r>
            <w:r w:rsidR="00FF5EAA">
              <w:rPr>
                <w:rFonts w:eastAsia="Times New Roman"/>
                <w:color w:val="000000"/>
                <w:sz w:val="16"/>
                <w:szCs w:val="16"/>
                <w:lang w:eastAsia="en-GB"/>
              </w:rPr>
              <w:t>1</w:t>
            </w:r>
            <w:r w:rsidRPr="00205F72">
              <w:rPr>
                <w:rFonts w:eastAsia="Times New Roman"/>
                <w:color w:val="000000"/>
                <w:sz w:val="16"/>
                <w:szCs w:val="16"/>
                <w:lang w:eastAsia="en-GB"/>
              </w:rPr>
              <w:t>00</w:t>
            </w:r>
          </w:p>
        </w:tc>
        <w:tc>
          <w:tcPr>
            <w:tcW w:w="465" w:type="pct"/>
            <w:gridSpan w:val="2"/>
            <w:tcBorders>
              <w:top w:val="nil"/>
              <w:left w:val="nil"/>
              <w:bottom w:val="nil"/>
              <w:right w:val="nil"/>
            </w:tcBorders>
            <w:shd w:val="clear" w:color="auto" w:fill="auto"/>
            <w:noWrap/>
            <w:vAlign w:val="bottom"/>
          </w:tcPr>
          <w:p w14:paraId="59D7B756" w14:textId="26BFB7AB" w:rsidR="00542ABB" w:rsidRPr="00205F72" w:rsidRDefault="00542ABB" w:rsidP="00542ABB">
            <w:pPr>
              <w:jc w:val="right"/>
              <w:rPr>
                <w:rFonts w:eastAsia="Times New Roman"/>
                <w:color w:val="000000"/>
                <w:sz w:val="16"/>
                <w:szCs w:val="16"/>
                <w:lang w:eastAsia="en-GB"/>
              </w:rPr>
            </w:pPr>
            <w:r w:rsidRPr="00205F72">
              <w:rPr>
                <w:rFonts w:eastAsia="Times New Roman"/>
                <w:color w:val="000000"/>
                <w:sz w:val="16"/>
                <w:szCs w:val="16"/>
                <w:lang w:eastAsia="en-GB"/>
              </w:rPr>
              <w:t>$</w:t>
            </w:r>
            <w:r w:rsidR="00FF5EAA">
              <w:rPr>
                <w:rFonts w:eastAsia="Times New Roman"/>
                <w:color w:val="000000"/>
                <w:sz w:val="16"/>
                <w:szCs w:val="16"/>
                <w:lang w:eastAsia="en-GB"/>
              </w:rPr>
              <w:t>28</w:t>
            </w:r>
            <w:r w:rsidRPr="00205F72">
              <w:rPr>
                <w:rFonts w:eastAsia="Times New Roman"/>
                <w:color w:val="000000"/>
                <w:sz w:val="16"/>
                <w:szCs w:val="16"/>
                <w:lang w:eastAsia="en-GB"/>
              </w:rPr>
              <w:t>,</w:t>
            </w:r>
            <w:r w:rsidR="00FF5EAA">
              <w:rPr>
                <w:rFonts w:eastAsia="Times New Roman"/>
                <w:color w:val="000000"/>
                <w:sz w:val="16"/>
                <w:szCs w:val="16"/>
                <w:lang w:eastAsia="en-GB"/>
              </w:rPr>
              <w:t>7</w:t>
            </w:r>
            <w:r w:rsidRPr="00205F72">
              <w:rPr>
                <w:rFonts w:eastAsia="Times New Roman"/>
                <w:color w:val="000000"/>
                <w:sz w:val="16"/>
                <w:szCs w:val="16"/>
                <w:lang w:eastAsia="en-GB"/>
              </w:rPr>
              <w:t>00</w:t>
            </w:r>
          </w:p>
        </w:tc>
        <w:tc>
          <w:tcPr>
            <w:tcW w:w="1059" w:type="pct"/>
            <w:tcBorders>
              <w:top w:val="nil"/>
              <w:left w:val="nil"/>
              <w:bottom w:val="nil"/>
              <w:right w:val="nil"/>
            </w:tcBorders>
            <w:shd w:val="clear" w:color="000000" w:fill="FFFFFF"/>
            <w:vAlign w:val="bottom"/>
          </w:tcPr>
          <w:p w14:paraId="43A13994" w14:textId="4B0C5DBA" w:rsidR="00542ABB" w:rsidRPr="00205F72" w:rsidRDefault="00B73F1F" w:rsidP="00542ABB">
            <w:pPr>
              <w:jc w:val="right"/>
              <w:rPr>
                <w:rFonts w:eastAsia="Times New Roman"/>
                <w:color w:val="000000"/>
                <w:sz w:val="16"/>
                <w:szCs w:val="16"/>
                <w:lang w:eastAsia="en-GB"/>
              </w:rPr>
            </w:pPr>
            <w:r>
              <w:rPr>
                <w:rFonts w:eastAsia="Times New Roman"/>
                <w:color w:val="000000"/>
                <w:sz w:val="16"/>
                <w:szCs w:val="16"/>
                <w:lang w:eastAsia="en-GB"/>
              </w:rPr>
              <w:t>4</w:t>
            </w:r>
            <w:r w:rsidR="00542ABB" w:rsidRPr="00205F72">
              <w:rPr>
                <w:rFonts w:eastAsia="Times New Roman"/>
                <w:color w:val="000000"/>
                <w:sz w:val="16"/>
                <w:szCs w:val="16"/>
                <w:lang w:eastAsia="en-GB"/>
              </w:rPr>
              <w:t>0</w:t>
            </w:r>
            <w:r w:rsidR="00621A24">
              <w:rPr>
                <w:rFonts w:eastAsia="Times New Roman"/>
                <w:color w:val="000000"/>
                <w:sz w:val="16"/>
                <w:szCs w:val="16"/>
                <w:lang w:eastAsia="en-GB"/>
              </w:rPr>
              <w:t xml:space="preserve"> per cent.</w:t>
            </w:r>
            <w:r w:rsidR="00542ABB" w:rsidRPr="00205F72">
              <w:rPr>
                <w:rFonts w:eastAsia="Times New Roman"/>
                <w:color w:val="000000"/>
                <w:sz w:val="16"/>
                <w:szCs w:val="16"/>
                <w:lang w:eastAsia="en-GB"/>
              </w:rPr>
              <w:t xml:space="preserve"> weighted average change in the input would result in </w:t>
            </w:r>
            <w:r>
              <w:rPr>
                <w:rFonts w:eastAsia="Times New Roman"/>
                <w:color w:val="000000"/>
                <w:sz w:val="16"/>
                <w:szCs w:val="16"/>
                <w:lang w:eastAsia="en-GB"/>
              </w:rPr>
              <w:t>3</w:t>
            </w:r>
            <w:r w:rsidR="00621A24">
              <w:rPr>
                <w:rFonts w:eastAsia="Times New Roman"/>
                <w:color w:val="000000"/>
                <w:sz w:val="16"/>
                <w:szCs w:val="16"/>
                <w:lang w:eastAsia="en-GB"/>
              </w:rPr>
              <w:t xml:space="preserve"> per cent.</w:t>
            </w:r>
            <w:r w:rsidR="00542ABB" w:rsidRPr="00205F72">
              <w:rPr>
                <w:rFonts w:eastAsia="Times New Roman"/>
                <w:color w:val="000000"/>
                <w:sz w:val="16"/>
                <w:szCs w:val="16"/>
                <w:lang w:eastAsia="en-GB"/>
              </w:rPr>
              <w:t xml:space="preserve"> change in the total fair value of Level 3 investments</w:t>
            </w:r>
          </w:p>
        </w:tc>
        <w:tc>
          <w:tcPr>
            <w:tcW w:w="760" w:type="pct"/>
            <w:tcBorders>
              <w:top w:val="nil"/>
              <w:left w:val="nil"/>
              <w:bottom w:val="nil"/>
              <w:right w:val="nil"/>
            </w:tcBorders>
            <w:shd w:val="clear" w:color="auto" w:fill="auto"/>
            <w:noWrap/>
            <w:vAlign w:val="bottom"/>
          </w:tcPr>
          <w:p w14:paraId="1B2ACCB8" w14:textId="764A199D" w:rsidR="00542ABB" w:rsidRPr="00205F72" w:rsidRDefault="00542ABB" w:rsidP="00542ABB">
            <w:pPr>
              <w:jc w:val="right"/>
              <w:rPr>
                <w:rFonts w:eastAsia="Times New Roman"/>
                <w:color w:val="000000"/>
                <w:sz w:val="16"/>
                <w:szCs w:val="16"/>
                <w:lang w:eastAsia="en-GB"/>
              </w:rPr>
            </w:pPr>
            <w:r w:rsidRPr="00205F72">
              <w:rPr>
                <w:rFonts w:eastAsia="Times New Roman"/>
                <w:color w:val="000000"/>
                <w:sz w:val="16"/>
                <w:szCs w:val="16"/>
                <w:lang w:eastAsia="en-GB"/>
              </w:rPr>
              <w:t>$</w:t>
            </w:r>
            <w:r>
              <w:rPr>
                <w:rFonts w:eastAsia="Times New Roman"/>
                <w:color w:val="000000"/>
                <w:sz w:val="16"/>
                <w:szCs w:val="16"/>
                <w:lang w:eastAsia="en-GB"/>
              </w:rPr>
              <w:t>185</w:t>
            </w:r>
            <w:r w:rsidRPr="00205F72">
              <w:rPr>
                <w:rFonts w:eastAsia="Times New Roman"/>
                <w:color w:val="000000"/>
                <w:sz w:val="16"/>
                <w:szCs w:val="16"/>
                <w:lang w:eastAsia="en-GB"/>
              </w:rPr>
              <w:t>,</w:t>
            </w:r>
            <w:r>
              <w:rPr>
                <w:rFonts w:eastAsia="Times New Roman"/>
                <w:color w:val="000000"/>
                <w:sz w:val="16"/>
                <w:szCs w:val="16"/>
                <w:lang w:eastAsia="en-GB"/>
              </w:rPr>
              <w:t>375</w:t>
            </w:r>
          </w:p>
        </w:tc>
      </w:tr>
      <w:bookmarkEnd w:id="34"/>
      <w:tr w:rsidR="00542ABB" w:rsidRPr="00205F72" w14:paraId="5AFB0CF5" w14:textId="77777777" w:rsidTr="004A417D">
        <w:trPr>
          <w:trHeight w:val="799"/>
        </w:trPr>
        <w:tc>
          <w:tcPr>
            <w:tcW w:w="593" w:type="pct"/>
            <w:tcBorders>
              <w:top w:val="nil"/>
              <w:left w:val="nil"/>
              <w:bottom w:val="nil"/>
              <w:right w:val="nil"/>
            </w:tcBorders>
            <w:shd w:val="clear" w:color="auto" w:fill="auto"/>
            <w:noWrap/>
            <w:vAlign w:val="bottom"/>
          </w:tcPr>
          <w:p w14:paraId="22EA3450" w14:textId="77777777" w:rsidR="00205F72" w:rsidRPr="00205F72" w:rsidRDefault="00205F72" w:rsidP="00205F72">
            <w:pPr>
              <w:rPr>
                <w:rFonts w:eastAsia="Times New Roman"/>
                <w:color w:val="000000"/>
                <w:sz w:val="16"/>
                <w:szCs w:val="16"/>
                <w:lang w:eastAsia="en-GB"/>
              </w:rPr>
            </w:pPr>
          </w:p>
        </w:tc>
        <w:tc>
          <w:tcPr>
            <w:tcW w:w="592" w:type="pct"/>
            <w:tcBorders>
              <w:top w:val="nil"/>
              <w:left w:val="nil"/>
              <w:bottom w:val="nil"/>
              <w:right w:val="nil"/>
            </w:tcBorders>
            <w:shd w:val="clear" w:color="auto" w:fill="auto"/>
            <w:noWrap/>
            <w:vAlign w:val="bottom"/>
          </w:tcPr>
          <w:p w14:paraId="0DE5B67C" w14:textId="77777777" w:rsidR="00205F72" w:rsidRPr="00205F72" w:rsidRDefault="00205F72" w:rsidP="00205F72">
            <w:pPr>
              <w:jc w:val="right"/>
              <w:rPr>
                <w:rFonts w:eastAsia="Times New Roman"/>
                <w:color w:val="000000"/>
                <w:sz w:val="16"/>
                <w:szCs w:val="16"/>
                <w:lang w:eastAsia="en-GB"/>
              </w:rPr>
            </w:pPr>
          </w:p>
        </w:tc>
        <w:tc>
          <w:tcPr>
            <w:tcW w:w="677" w:type="pct"/>
            <w:tcBorders>
              <w:top w:val="nil"/>
              <w:left w:val="nil"/>
              <w:bottom w:val="nil"/>
              <w:right w:val="nil"/>
            </w:tcBorders>
            <w:shd w:val="clear" w:color="auto" w:fill="auto"/>
            <w:noWrap/>
            <w:vAlign w:val="bottom"/>
          </w:tcPr>
          <w:p w14:paraId="40966938" w14:textId="77777777" w:rsidR="00205F72" w:rsidRPr="00205F72" w:rsidRDefault="00205F72" w:rsidP="00205F72">
            <w:pPr>
              <w:jc w:val="right"/>
              <w:rPr>
                <w:rFonts w:eastAsia="Times New Roman"/>
                <w:color w:val="000000"/>
                <w:sz w:val="16"/>
                <w:szCs w:val="16"/>
                <w:lang w:eastAsia="en-GB"/>
              </w:rPr>
            </w:pPr>
          </w:p>
          <w:p w14:paraId="654F6FB2" w14:textId="77777777" w:rsidR="00205F72" w:rsidRPr="00205F72" w:rsidRDefault="00205F72" w:rsidP="00205F72">
            <w:pPr>
              <w:jc w:val="right"/>
              <w:rPr>
                <w:rFonts w:eastAsia="Times New Roman"/>
                <w:color w:val="000000"/>
                <w:sz w:val="16"/>
                <w:szCs w:val="16"/>
                <w:lang w:eastAsia="en-GB"/>
              </w:rPr>
            </w:pPr>
          </w:p>
          <w:p w14:paraId="337CDE26" w14:textId="77777777" w:rsidR="00205F72" w:rsidRPr="00205F72" w:rsidRDefault="00205F72" w:rsidP="00205F72">
            <w:pPr>
              <w:rPr>
                <w:rFonts w:eastAsia="Times New Roman"/>
                <w:color w:val="000000"/>
                <w:sz w:val="16"/>
                <w:szCs w:val="16"/>
                <w:lang w:eastAsia="en-GB"/>
              </w:rPr>
            </w:pPr>
          </w:p>
          <w:p w14:paraId="58633384" w14:textId="77777777" w:rsidR="00205F72" w:rsidRPr="00205F72" w:rsidRDefault="00205F72" w:rsidP="00205F72">
            <w:pPr>
              <w:rPr>
                <w:rFonts w:eastAsia="Times New Roman"/>
                <w:color w:val="000000"/>
                <w:sz w:val="16"/>
                <w:szCs w:val="16"/>
                <w:lang w:eastAsia="en-GB"/>
              </w:rPr>
            </w:pPr>
          </w:p>
          <w:p w14:paraId="70BC3561"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1P Reserve multiple ($/Boe)</w:t>
            </w:r>
          </w:p>
        </w:tc>
        <w:tc>
          <w:tcPr>
            <w:tcW w:w="424" w:type="pct"/>
            <w:tcBorders>
              <w:top w:val="nil"/>
              <w:left w:val="nil"/>
              <w:bottom w:val="nil"/>
              <w:right w:val="nil"/>
            </w:tcBorders>
            <w:shd w:val="clear" w:color="auto" w:fill="auto"/>
            <w:noWrap/>
            <w:vAlign w:val="bottom"/>
          </w:tcPr>
          <w:p w14:paraId="7F58AFB0" w14:textId="480E2681"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FF5EAA">
              <w:rPr>
                <w:rFonts w:eastAsia="Times New Roman"/>
                <w:color w:val="000000"/>
                <w:sz w:val="16"/>
                <w:szCs w:val="16"/>
                <w:lang w:eastAsia="en-GB"/>
              </w:rPr>
              <w:t>7</w:t>
            </w:r>
          </w:p>
        </w:tc>
        <w:tc>
          <w:tcPr>
            <w:tcW w:w="430" w:type="pct"/>
            <w:gridSpan w:val="2"/>
            <w:tcBorders>
              <w:top w:val="nil"/>
              <w:left w:val="nil"/>
              <w:bottom w:val="nil"/>
              <w:right w:val="nil"/>
            </w:tcBorders>
            <w:shd w:val="clear" w:color="auto" w:fill="auto"/>
            <w:noWrap/>
            <w:vAlign w:val="bottom"/>
          </w:tcPr>
          <w:p w14:paraId="0858F10C"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$13</w:t>
            </w:r>
          </w:p>
        </w:tc>
        <w:tc>
          <w:tcPr>
            <w:tcW w:w="465" w:type="pct"/>
            <w:gridSpan w:val="2"/>
            <w:tcBorders>
              <w:top w:val="nil"/>
              <w:left w:val="nil"/>
              <w:bottom w:val="nil"/>
              <w:right w:val="nil"/>
            </w:tcBorders>
            <w:shd w:val="clear" w:color="auto" w:fill="auto"/>
            <w:noWrap/>
            <w:vAlign w:val="bottom"/>
          </w:tcPr>
          <w:p w14:paraId="57240172" w14:textId="61E80A30"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FF5EAA">
              <w:rPr>
                <w:rFonts w:eastAsia="Times New Roman"/>
                <w:color w:val="000000"/>
                <w:sz w:val="16"/>
                <w:szCs w:val="16"/>
                <w:lang w:eastAsia="en-GB"/>
              </w:rPr>
              <w:t>9</w:t>
            </w:r>
          </w:p>
        </w:tc>
        <w:tc>
          <w:tcPr>
            <w:tcW w:w="1059" w:type="pct"/>
            <w:tcBorders>
              <w:top w:val="nil"/>
              <w:left w:val="nil"/>
              <w:bottom w:val="nil"/>
              <w:right w:val="nil"/>
            </w:tcBorders>
            <w:shd w:val="clear" w:color="000000" w:fill="FFFFFF"/>
            <w:vAlign w:val="bottom"/>
          </w:tcPr>
          <w:p w14:paraId="1B585313" w14:textId="70395B61" w:rsidR="00205F72" w:rsidRPr="00205F72" w:rsidRDefault="00B73F1F" w:rsidP="00205F72">
            <w:pPr>
              <w:jc w:val="right"/>
              <w:rPr>
                <w:rFonts w:eastAsia="Times New Roman"/>
                <w:color w:val="000000"/>
                <w:sz w:val="16"/>
                <w:szCs w:val="16"/>
                <w:lang w:eastAsia="en-GB"/>
              </w:rPr>
            </w:pPr>
            <w:r>
              <w:rPr>
                <w:rFonts w:eastAsia="Times New Roman"/>
                <w:color w:val="000000"/>
                <w:sz w:val="16"/>
                <w:szCs w:val="16"/>
                <w:lang w:eastAsia="en-GB"/>
              </w:rPr>
              <w:t>4</w:t>
            </w:r>
            <w:r w:rsidR="00205F72" w:rsidRPr="00205F72">
              <w:rPr>
                <w:rFonts w:eastAsia="Times New Roman"/>
                <w:color w:val="000000"/>
                <w:sz w:val="16"/>
                <w:szCs w:val="16"/>
                <w:lang w:eastAsia="en-GB"/>
              </w:rPr>
              <w:t>0</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weighted average change in the input would result in </w:t>
            </w:r>
            <w:r>
              <w:rPr>
                <w:rFonts w:eastAsia="Times New Roman"/>
                <w:color w:val="000000"/>
                <w:sz w:val="16"/>
                <w:szCs w:val="16"/>
                <w:lang w:eastAsia="en-GB"/>
              </w:rPr>
              <w:t>5</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change in the total fair value of Level 3 investments</w:t>
            </w:r>
          </w:p>
        </w:tc>
        <w:tc>
          <w:tcPr>
            <w:tcW w:w="760" w:type="pct"/>
            <w:tcBorders>
              <w:top w:val="nil"/>
              <w:left w:val="nil"/>
              <w:bottom w:val="nil"/>
              <w:right w:val="nil"/>
            </w:tcBorders>
            <w:shd w:val="clear" w:color="auto" w:fill="auto"/>
            <w:noWrap/>
            <w:vAlign w:val="bottom"/>
          </w:tcPr>
          <w:p w14:paraId="2677BF85" w14:textId="07262F9E"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143</w:t>
            </w:r>
            <w:r w:rsidRPr="00205F72">
              <w:rPr>
                <w:rFonts w:eastAsia="Times New Roman"/>
                <w:color w:val="000000"/>
                <w:sz w:val="16"/>
                <w:szCs w:val="16"/>
                <w:lang w:eastAsia="en-GB"/>
              </w:rPr>
              <w:t>,</w:t>
            </w:r>
            <w:r w:rsidR="00542ABB">
              <w:rPr>
                <w:rFonts w:eastAsia="Times New Roman"/>
                <w:color w:val="000000"/>
                <w:sz w:val="16"/>
                <w:szCs w:val="16"/>
                <w:lang w:eastAsia="en-GB"/>
              </w:rPr>
              <w:t>683</w:t>
            </w:r>
          </w:p>
        </w:tc>
      </w:tr>
      <w:tr w:rsidR="00542ABB" w:rsidRPr="00205F72" w14:paraId="71690E00" w14:textId="77777777" w:rsidTr="004A417D">
        <w:trPr>
          <w:trHeight w:val="799"/>
        </w:trPr>
        <w:tc>
          <w:tcPr>
            <w:tcW w:w="593" w:type="pct"/>
            <w:tcBorders>
              <w:top w:val="nil"/>
              <w:left w:val="nil"/>
              <w:bottom w:val="nil"/>
              <w:right w:val="nil"/>
            </w:tcBorders>
            <w:shd w:val="clear" w:color="auto" w:fill="auto"/>
            <w:noWrap/>
            <w:vAlign w:val="bottom"/>
          </w:tcPr>
          <w:p w14:paraId="6C2D0352" w14:textId="77777777" w:rsidR="00205F72" w:rsidRPr="00205F72" w:rsidRDefault="00205F72" w:rsidP="00205F72">
            <w:pPr>
              <w:rPr>
                <w:rFonts w:eastAsia="Times New Roman"/>
                <w:color w:val="000000"/>
                <w:sz w:val="16"/>
                <w:szCs w:val="16"/>
                <w:lang w:eastAsia="en-GB"/>
              </w:rPr>
            </w:pPr>
          </w:p>
        </w:tc>
        <w:tc>
          <w:tcPr>
            <w:tcW w:w="592" w:type="pct"/>
            <w:tcBorders>
              <w:top w:val="nil"/>
              <w:left w:val="nil"/>
              <w:bottom w:val="nil"/>
              <w:right w:val="nil"/>
            </w:tcBorders>
            <w:shd w:val="clear" w:color="auto" w:fill="auto"/>
            <w:noWrap/>
            <w:vAlign w:val="bottom"/>
          </w:tcPr>
          <w:p w14:paraId="15E54559" w14:textId="77777777" w:rsidR="00205F72" w:rsidRPr="00205F72" w:rsidRDefault="00205F72" w:rsidP="00205F72">
            <w:pPr>
              <w:jc w:val="right"/>
              <w:rPr>
                <w:rFonts w:eastAsia="Times New Roman"/>
                <w:color w:val="000000"/>
                <w:sz w:val="16"/>
                <w:szCs w:val="16"/>
                <w:lang w:eastAsia="en-GB"/>
              </w:rPr>
            </w:pPr>
          </w:p>
        </w:tc>
        <w:tc>
          <w:tcPr>
            <w:tcW w:w="677" w:type="pct"/>
            <w:tcBorders>
              <w:top w:val="nil"/>
              <w:left w:val="nil"/>
              <w:bottom w:val="nil"/>
              <w:right w:val="nil"/>
            </w:tcBorders>
            <w:shd w:val="clear" w:color="auto" w:fill="auto"/>
            <w:noWrap/>
            <w:vAlign w:val="bottom"/>
            <w:hideMark/>
          </w:tcPr>
          <w:p w14:paraId="17A211D2" w14:textId="77777777" w:rsidR="00205F72" w:rsidRPr="00205F72" w:rsidRDefault="00205F72" w:rsidP="00205F72">
            <w:pPr>
              <w:jc w:val="right"/>
              <w:rPr>
                <w:rFonts w:eastAsia="Times New Roman"/>
                <w:color w:val="000000"/>
                <w:sz w:val="16"/>
                <w:szCs w:val="16"/>
                <w:lang w:eastAsia="en-GB"/>
              </w:rPr>
            </w:pPr>
          </w:p>
          <w:p w14:paraId="3F925864" w14:textId="77777777" w:rsidR="00205F72" w:rsidRPr="00205F72" w:rsidRDefault="00205F72" w:rsidP="00205F72">
            <w:pPr>
              <w:jc w:val="right"/>
              <w:rPr>
                <w:rFonts w:eastAsia="Times New Roman"/>
                <w:color w:val="000000"/>
                <w:sz w:val="16"/>
                <w:szCs w:val="16"/>
                <w:lang w:eastAsia="en-GB"/>
              </w:rPr>
            </w:pPr>
          </w:p>
          <w:p w14:paraId="6C55C985" w14:textId="77777777" w:rsidR="00205F72" w:rsidRPr="00205F72" w:rsidRDefault="00205F72" w:rsidP="00205F72">
            <w:pPr>
              <w:rPr>
                <w:rFonts w:eastAsia="Times New Roman"/>
                <w:color w:val="000000"/>
                <w:sz w:val="16"/>
                <w:szCs w:val="16"/>
                <w:lang w:eastAsia="en-GB"/>
              </w:rPr>
            </w:pPr>
          </w:p>
          <w:p w14:paraId="3220E150" w14:textId="77777777" w:rsidR="00205F72" w:rsidRPr="00205F72" w:rsidRDefault="00205F72" w:rsidP="00205F72">
            <w:pPr>
              <w:jc w:val="right"/>
              <w:rPr>
                <w:rFonts w:eastAsia="Times New Roman"/>
                <w:color w:val="000000"/>
                <w:sz w:val="16"/>
                <w:szCs w:val="16"/>
                <w:lang w:eastAsia="en-GB"/>
              </w:rPr>
            </w:pPr>
          </w:p>
          <w:p w14:paraId="3270866A"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2P Reserve multiple ($/Boe</w:t>
            </w:r>
            <w:r w:rsidRPr="00205F72">
              <w:rPr>
                <w:color w:val="000000"/>
                <w:sz w:val="16"/>
              </w:rPr>
              <w:t>)</w:t>
            </w:r>
          </w:p>
        </w:tc>
        <w:tc>
          <w:tcPr>
            <w:tcW w:w="424" w:type="pct"/>
            <w:tcBorders>
              <w:top w:val="nil"/>
              <w:left w:val="nil"/>
              <w:bottom w:val="nil"/>
              <w:right w:val="nil"/>
            </w:tcBorders>
            <w:shd w:val="clear" w:color="auto" w:fill="auto"/>
            <w:noWrap/>
            <w:vAlign w:val="bottom"/>
          </w:tcPr>
          <w:p w14:paraId="21E16DDF" w14:textId="5EFD7812"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FF5EAA">
              <w:rPr>
                <w:rFonts w:eastAsia="Times New Roman"/>
                <w:color w:val="000000"/>
                <w:sz w:val="16"/>
                <w:szCs w:val="16"/>
                <w:lang w:eastAsia="en-GB"/>
              </w:rPr>
              <w:t>3</w:t>
            </w:r>
          </w:p>
        </w:tc>
        <w:tc>
          <w:tcPr>
            <w:tcW w:w="430" w:type="pct"/>
            <w:gridSpan w:val="2"/>
            <w:tcBorders>
              <w:top w:val="nil"/>
              <w:left w:val="nil"/>
              <w:bottom w:val="nil"/>
              <w:right w:val="nil"/>
            </w:tcBorders>
            <w:shd w:val="clear" w:color="auto" w:fill="auto"/>
            <w:noWrap/>
            <w:vAlign w:val="bottom"/>
          </w:tcPr>
          <w:p w14:paraId="6040C3ED" w14:textId="3CF422CE"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FF5EAA">
              <w:rPr>
                <w:rFonts w:eastAsia="Times New Roman"/>
                <w:color w:val="000000"/>
                <w:sz w:val="16"/>
                <w:szCs w:val="16"/>
                <w:lang w:eastAsia="en-GB"/>
              </w:rPr>
              <w:t>4</w:t>
            </w:r>
          </w:p>
        </w:tc>
        <w:tc>
          <w:tcPr>
            <w:tcW w:w="465" w:type="pct"/>
            <w:gridSpan w:val="2"/>
            <w:tcBorders>
              <w:top w:val="nil"/>
              <w:left w:val="nil"/>
              <w:bottom w:val="nil"/>
              <w:right w:val="nil"/>
            </w:tcBorders>
            <w:shd w:val="clear" w:color="auto" w:fill="auto"/>
            <w:noWrap/>
            <w:vAlign w:val="bottom"/>
          </w:tcPr>
          <w:p w14:paraId="2FA9329D"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$3</w:t>
            </w:r>
          </w:p>
        </w:tc>
        <w:tc>
          <w:tcPr>
            <w:tcW w:w="1059" w:type="pct"/>
            <w:tcBorders>
              <w:top w:val="nil"/>
              <w:left w:val="nil"/>
              <w:bottom w:val="nil"/>
              <w:right w:val="nil"/>
            </w:tcBorders>
            <w:shd w:val="clear" w:color="000000" w:fill="FFFFFF"/>
            <w:vAlign w:val="bottom"/>
          </w:tcPr>
          <w:p w14:paraId="090790DF" w14:textId="64A6390E" w:rsidR="00205F72" w:rsidRPr="00205F72" w:rsidRDefault="005650F5" w:rsidP="00205F72">
            <w:pPr>
              <w:jc w:val="right"/>
              <w:rPr>
                <w:rFonts w:eastAsia="Times New Roman"/>
                <w:color w:val="000000"/>
                <w:sz w:val="16"/>
                <w:szCs w:val="16"/>
                <w:lang w:eastAsia="en-GB"/>
              </w:rPr>
            </w:pPr>
            <w:r>
              <w:rPr>
                <w:rFonts w:eastAsia="Times New Roman"/>
                <w:color w:val="000000"/>
                <w:sz w:val="16"/>
                <w:szCs w:val="16"/>
                <w:lang w:eastAsia="en-GB"/>
              </w:rPr>
              <w:t>5</w:t>
            </w:r>
            <w:r w:rsidR="00205F72" w:rsidRPr="00205F72">
              <w:rPr>
                <w:rFonts w:eastAsia="Times New Roman"/>
                <w:color w:val="000000"/>
                <w:sz w:val="16"/>
                <w:szCs w:val="16"/>
                <w:lang w:eastAsia="en-GB"/>
              </w:rPr>
              <w:t>0</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weighted average change in the input would result in </w:t>
            </w:r>
            <w:r>
              <w:rPr>
                <w:rFonts w:eastAsia="Times New Roman"/>
                <w:color w:val="000000"/>
                <w:sz w:val="16"/>
                <w:szCs w:val="16"/>
                <w:lang w:eastAsia="en-GB"/>
              </w:rPr>
              <w:t>5</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change in the total fair value of Level 3 investments</w:t>
            </w:r>
          </w:p>
        </w:tc>
        <w:tc>
          <w:tcPr>
            <w:tcW w:w="760" w:type="pct"/>
            <w:tcBorders>
              <w:top w:val="nil"/>
              <w:left w:val="nil"/>
              <w:bottom w:val="nil"/>
              <w:right w:val="nil"/>
            </w:tcBorders>
            <w:shd w:val="clear" w:color="auto" w:fill="auto"/>
            <w:noWrap/>
            <w:vAlign w:val="bottom"/>
          </w:tcPr>
          <w:p w14:paraId="024D7AB4" w14:textId="6DF90A54"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80</w:t>
            </w:r>
            <w:r w:rsidRPr="00205F72">
              <w:rPr>
                <w:rFonts w:eastAsia="Times New Roman"/>
                <w:color w:val="000000"/>
                <w:sz w:val="16"/>
                <w:szCs w:val="16"/>
                <w:lang w:eastAsia="en-GB"/>
              </w:rPr>
              <w:t>,</w:t>
            </w:r>
            <w:r w:rsidR="00542ABB">
              <w:rPr>
                <w:rFonts w:eastAsia="Times New Roman"/>
                <w:color w:val="000000"/>
                <w:sz w:val="16"/>
                <w:szCs w:val="16"/>
                <w:lang w:eastAsia="en-GB"/>
              </w:rPr>
              <w:t>536</w:t>
            </w:r>
          </w:p>
        </w:tc>
      </w:tr>
      <w:tr w:rsidR="00542ABB" w:rsidRPr="00205F72" w14:paraId="2DB1D9C9" w14:textId="77777777" w:rsidTr="004A417D">
        <w:trPr>
          <w:trHeight w:val="799"/>
        </w:trPr>
        <w:tc>
          <w:tcPr>
            <w:tcW w:w="593" w:type="pct"/>
            <w:tcBorders>
              <w:top w:val="nil"/>
              <w:left w:val="nil"/>
              <w:right w:val="nil"/>
            </w:tcBorders>
            <w:shd w:val="clear" w:color="auto" w:fill="auto"/>
            <w:noWrap/>
            <w:hideMark/>
          </w:tcPr>
          <w:p w14:paraId="664B0232" w14:textId="77777777" w:rsidR="00205F72" w:rsidRPr="00205F72" w:rsidRDefault="00205F72" w:rsidP="00205F72">
            <w:pPr>
              <w:rPr>
                <w:rFonts w:eastAsia="Times New Roman"/>
                <w:color w:val="000000"/>
                <w:sz w:val="16"/>
                <w:szCs w:val="16"/>
                <w:lang w:eastAsia="en-GB"/>
              </w:rPr>
            </w:pPr>
          </w:p>
        </w:tc>
        <w:tc>
          <w:tcPr>
            <w:tcW w:w="592" w:type="pct"/>
            <w:tcBorders>
              <w:top w:val="single" w:sz="4" w:space="0" w:color="auto"/>
              <w:left w:val="nil"/>
              <w:right w:val="nil"/>
            </w:tcBorders>
            <w:shd w:val="clear" w:color="auto" w:fill="auto"/>
            <w:noWrap/>
            <w:vAlign w:val="bottom"/>
            <w:hideMark/>
          </w:tcPr>
          <w:p w14:paraId="66A0342B"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 xml:space="preserve">Transaction comparables </w:t>
            </w:r>
          </w:p>
        </w:tc>
        <w:tc>
          <w:tcPr>
            <w:tcW w:w="677" w:type="pct"/>
            <w:tcBorders>
              <w:top w:val="single" w:sz="4" w:space="0" w:color="auto"/>
              <w:left w:val="nil"/>
              <w:right w:val="nil"/>
            </w:tcBorders>
            <w:shd w:val="clear" w:color="auto" w:fill="auto"/>
            <w:vAlign w:val="bottom"/>
            <w:hideMark/>
          </w:tcPr>
          <w:p w14:paraId="2AFE4710" w14:textId="77777777" w:rsidR="00205F72" w:rsidRPr="00205F72" w:rsidRDefault="00205F72" w:rsidP="00205F72">
            <w:pPr>
              <w:jc w:val="right"/>
              <w:rPr>
                <w:rFonts w:eastAsia="Times New Roman"/>
                <w:color w:val="000000"/>
                <w:sz w:val="16"/>
                <w:szCs w:val="16"/>
                <w:lang w:eastAsia="en-GB"/>
              </w:rPr>
            </w:pPr>
          </w:p>
          <w:p w14:paraId="77F90ACC" w14:textId="77777777" w:rsidR="00205F72" w:rsidRPr="00205F72" w:rsidRDefault="00205F72" w:rsidP="00205F72">
            <w:pPr>
              <w:jc w:val="right"/>
              <w:rPr>
                <w:rFonts w:eastAsia="Times New Roman"/>
                <w:color w:val="000000"/>
                <w:sz w:val="16"/>
                <w:szCs w:val="16"/>
                <w:lang w:eastAsia="en-GB"/>
              </w:rPr>
            </w:pPr>
          </w:p>
          <w:p w14:paraId="28203A15" w14:textId="77777777" w:rsidR="00205F72" w:rsidRPr="00205F72" w:rsidRDefault="00205F72" w:rsidP="00205F72">
            <w:pPr>
              <w:jc w:val="right"/>
              <w:rPr>
                <w:rFonts w:eastAsia="Times New Roman"/>
                <w:color w:val="000000"/>
                <w:sz w:val="16"/>
                <w:szCs w:val="16"/>
                <w:lang w:eastAsia="en-GB"/>
              </w:rPr>
            </w:pPr>
          </w:p>
          <w:p w14:paraId="776108C6"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Acreage Multiple ($/Boepd per Acre</w:t>
            </w:r>
            <w:r w:rsidRPr="00205F72">
              <w:rPr>
                <w:color w:val="000000"/>
                <w:sz w:val="16"/>
              </w:rPr>
              <w:t>)</w:t>
            </w:r>
          </w:p>
        </w:tc>
        <w:tc>
          <w:tcPr>
            <w:tcW w:w="424" w:type="pct"/>
            <w:tcBorders>
              <w:top w:val="single" w:sz="4" w:space="0" w:color="auto"/>
              <w:left w:val="nil"/>
              <w:right w:val="nil"/>
            </w:tcBorders>
            <w:shd w:val="clear" w:color="auto" w:fill="auto"/>
            <w:noWrap/>
            <w:vAlign w:val="bottom"/>
          </w:tcPr>
          <w:p w14:paraId="609A8944" w14:textId="060E253E"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3</w:t>
            </w:r>
            <w:r w:rsidRPr="00205F72">
              <w:rPr>
                <w:rFonts w:eastAsia="Times New Roman"/>
                <w:color w:val="000000"/>
                <w:sz w:val="16"/>
                <w:szCs w:val="16"/>
                <w:lang w:eastAsia="en-GB"/>
              </w:rPr>
              <w:t>,000</w:t>
            </w:r>
          </w:p>
        </w:tc>
        <w:tc>
          <w:tcPr>
            <w:tcW w:w="430" w:type="pct"/>
            <w:gridSpan w:val="2"/>
            <w:tcBorders>
              <w:top w:val="single" w:sz="4" w:space="0" w:color="auto"/>
              <w:left w:val="nil"/>
              <w:right w:val="nil"/>
            </w:tcBorders>
            <w:shd w:val="clear" w:color="auto" w:fill="auto"/>
            <w:noWrap/>
            <w:vAlign w:val="bottom"/>
          </w:tcPr>
          <w:p w14:paraId="2390E0ED" w14:textId="00A641A5"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39</w:t>
            </w:r>
            <w:r w:rsidRPr="00205F72">
              <w:rPr>
                <w:rFonts w:eastAsia="Times New Roman"/>
                <w:color w:val="000000"/>
                <w:sz w:val="16"/>
                <w:szCs w:val="16"/>
                <w:lang w:eastAsia="en-GB"/>
              </w:rPr>
              <w:t>,</w:t>
            </w:r>
            <w:r w:rsidR="00542ABB">
              <w:rPr>
                <w:rFonts w:eastAsia="Times New Roman"/>
                <w:color w:val="000000"/>
                <w:sz w:val="16"/>
                <w:szCs w:val="16"/>
                <w:lang w:eastAsia="en-GB"/>
              </w:rPr>
              <w:t>1</w:t>
            </w:r>
            <w:r w:rsidRPr="00205F72">
              <w:rPr>
                <w:rFonts w:eastAsia="Times New Roman"/>
                <w:color w:val="000000"/>
                <w:sz w:val="16"/>
                <w:szCs w:val="16"/>
                <w:lang w:eastAsia="en-GB"/>
              </w:rPr>
              <w:t>00</w:t>
            </w:r>
          </w:p>
        </w:tc>
        <w:tc>
          <w:tcPr>
            <w:tcW w:w="465" w:type="pct"/>
            <w:gridSpan w:val="2"/>
            <w:tcBorders>
              <w:top w:val="single" w:sz="4" w:space="0" w:color="auto"/>
              <w:left w:val="nil"/>
              <w:right w:val="nil"/>
            </w:tcBorders>
            <w:shd w:val="clear" w:color="auto" w:fill="auto"/>
            <w:noWrap/>
            <w:vAlign w:val="bottom"/>
          </w:tcPr>
          <w:p w14:paraId="0811BB2B" w14:textId="45B4392E"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13,4</w:t>
            </w:r>
            <w:r w:rsidRPr="00205F72">
              <w:rPr>
                <w:rFonts w:eastAsia="Times New Roman"/>
                <w:color w:val="000000"/>
                <w:sz w:val="16"/>
                <w:szCs w:val="16"/>
                <w:lang w:eastAsia="en-GB"/>
              </w:rPr>
              <w:t>00</w:t>
            </w:r>
          </w:p>
        </w:tc>
        <w:tc>
          <w:tcPr>
            <w:tcW w:w="1059" w:type="pct"/>
            <w:tcBorders>
              <w:top w:val="single" w:sz="4" w:space="0" w:color="auto"/>
              <w:left w:val="nil"/>
              <w:right w:val="nil"/>
            </w:tcBorders>
            <w:shd w:val="clear" w:color="000000" w:fill="FFFFFF"/>
            <w:vAlign w:val="bottom"/>
          </w:tcPr>
          <w:p w14:paraId="2B4616A5" w14:textId="57E7B6AF" w:rsidR="00205F72" w:rsidRPr="00205F72" w:rsidRDefault="005650F5" w:rsidP="00205F72">
            <w:pPr>
              <w:jc w:val="right"/>
              <w:rPr>
                <w:rFonts w:eastAsia="Times New Roman"/>
                <w:color w:val="000000"/>
                <w:sz w:val="16"/>
                <w:szCs w:val="16"/>
                <w:lang w:eastAsia="en-GB"/>
              </w:rPr>
            </w:pPr>
            <w:r>
              <w:rPr>
                <w:rFonts w:eastAsia="Times New Roman"/>
                <w:color w:val="000000"/>
                <w:sz w:val="16"/>
                <w:szCs w:val="16"/>
                <w:lang w:eastAsia="en-GB"/>
              </w:rPr>
              <w:t>2</w:t>
            </w:r>
            <w:r w:rsidR="00205F72" w:rsidRPr="00205F72">
              <w:rPr>
                <w:rFonts w:eastAsia="Times New Roman"/>
                <w:color w:val="000000"/>
                <w:sz w:val="16"/>
                <w:szCs w:val="16"/>
                <w:lang w:eastAsia="en-GB"/>
              </w:rPr>
              <w:t>0</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weighted average change in the input would result in </w:t>
            </w:r>
            <w:r w:rsidR="00940B14">
              <w:rPr>
                <w:rFonts w:eastAsia="Times New Roman"/>
                <w:color w:val="000000"/>
                <w:sz w:val="16"/>
                <w:szCs w:val="16"/>
                <w:lang w:eastAsia="en-GB"/>
              </w:rPr>
              <w:t>2</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change in the total fair value of Level 3 investments</w:t>
            </w:r>
          </w:p>
        </w:tc>
        <w:tc>
          <w:tcPr>
            <w:tcW w:w="760" w:type="pct"/>
            <w:tcBorders>
              <w:top w:val="single" w:sz="4" w:space="0" w:color="auto"/>
              <w:left w:val="nil"/>
              <w:right w:val="nil"/>
            </w:tcBorders>
            <w:shd w:val="clear" w:color="auto" w:fill="auto"/>
            <w:noWrap/>
            <w:vAlign w:val="bottom"/>
          </w:tcPr>
          <w:p w14:paraId="3ADF905C" w14:textId="6819BA34"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185</w:t>
            </w:r>
            <w:r w:rsidRPr="00205F72">
              <w:rPr>
                <w:rFonts w:eastAsia="Times New Roman"/>
                <w:color w:val="000000"/>
                <w:sz w:val="16"/>
                <w:szCs w:val="16"/>
                <w:lang w:eastAsia="en-GB"/>
              </w:rPr>
              <w:t>,</w:t>
            </w:r>
            <w:r w:rsidR="00542ABB">
              <w:rPr>
                <w:rFonts w:eastAsia="Times New Roman"/>
                <w:color w:val="000000"/>
                <w:sz w:val="16"/>
                <w:szCs w:val="16"/>
                <w:lang w:eastAsia="en-GB"/>
              </w:rPr>
              <w:t>375</w:t>
            </w:r>
          </w:p>
        </w:tc>
      </w:tr>
      <w:tr w:rsidR="00542ABB" w:rsidRPr="00205F72" w14:paraId="141E5655" w14:textId="77777777" w:rsidTr="004A417D">
        <w:trPr>
          <w:trHeight w:val="799"/>
        </w:trPr>
        <w:tc>
          <w:tcPr>
            <w:tcW w:w="593" w:type="pct"/>
            <w:tcBorders>
              <w:left w:val="nil"/>
              <w:bottom w:val="nil"/>
              <w:right w:val="nil"/>
            </w:tcBorders>
            <w:shd w:val="clear" w:color="auto" w:fill="auto"/>
            <w:noWrap/>
            <w:hideMark/>
          </w:tcPr>
          <w:p w14:paraId="5BC7B804" w14:textId="77777777" w:rsidR="00542ABB" w:rsidRPr="00205F72" w:rsidRDefault="00542ABB" w:rsidP="00542ABB">
            <w:pPr>
              <w:rPr>
                <w:rFonts w:eastAsia="Times New Roman"/>
                <w:color w:val="000000"/>
                <w:sz w:val="16"/>
                <w:szCs w:val="16"/>
                <w:lang w:eastAsia="en-GB"/>
              </w:rPr>
            </w:pPr>
          </w:p>
        </w:tc>
        <w:tc>
          <w:tcPr>
            <w:tcW w:w="592" w:type="pct"/>
            <w:tcBorders>
              <w:left w:val="nil"/>
              <w:right w:val="nil"/>
            </w:tcBorders>
            <w:shd w:val="clear" w:color="auto" w:fill="auto"/>
            <w:noWrap/>
            <w:vAlign w:val="bottom"/>
            <w:hideMark/>
          </w:tcPr>
          <w:p w14:paraId="17EB5543" w14:textId="77777777" w:rsidR="00542ABB" w:rsidRPr="00205F72" w:rsidRDefault="00542ABB" w:rsidP="00542ABB">
            <w:pPr>
              <w:jc w:val="right"/>
              <w:rPr>
                <w:rFonts w:eastAsia="Times New Roman"/>
                <w:color w:val="000000"/>
                <w:sz w:val="16"/>
                <w:szCs w:val="16"/>
                <w:lang w:eastAsia="en-GB"/>
              </w:rPr>
            </w:pPr>
          </w:p>
        </w:tc>
        <w:tc>
          <w:tcPr>
            <w:tcW w:w="677" w:type="pct"/>
            <w:tcBorders>
              <w:left w:val="nil"/>
              <w:right w:val="nil"/>
            </w:tcBorders>
            <w:shd w:val="clear" w:color="auto" w:fill="auto"/>
            <w:vAlign w:val="bottom"/>
            <w:hideMark/>
          </w:tcPr>
          <w:p w14:paraId="3A329CB8" w14:textId="09747F8C" w:rsidR="00542ABB" w:rsidRPr="00205F72" w:rsidRDefault="00FF5EAA" w:rsidP="00542ABB">
            <w:pPr>
              <w:jc w:val="right"/>
              <w:rPr>
                <w:rFonts w:eastAsia="Times New Roman"/>
                <w:color w:val="000000"/>
                <w:sz w:val="16"/>
                <w:szCs w:val="16"/>
                <w:lang w:eastAsia="en-GB"/>
              </w:rPr>
            </w:pPr>
            <w:r>
              <w:rPr>
                <w:rFonts w:eastAsia="Times New Roman"/>
                <w:color w:val="000000"/>
                <w:sz w:val="16"/>
                <w:szCs w:val="16"/>
                <w:lang w:eastAsia="en-GB"/>
              </w:rPr>
              <w:t>1</w:t>
            </w:r>
            <w:r w:rsidR="00542ABB" w:rsidRPr="00205F72">
              <w:rPr>
                <w:rFonts w:eastAsia="Times New Roman"/>
                <w:color w:val="000000"/>
                <w:sz w:val="16"/>
                <w:szCs w:val="16"/>
                <w:lang w:eastAsia="en-GB"/>
              </w:rPr>
              <w:t>P Reserve multiple ($/B</w:t>
            </w:r>
            <w:r w:rsidR="00542ABB">
              <w:rPr>
                <w:rFonts w:eastAsia="Times New Roman"/>
                <w:color w:val="000000"/>
                <w:sz w:val="16"/>
                <w:szCs w:val="16"/>
                <w:lang w:eastAsia="en-GB"/>
              </w:rPr>
              <w:t>oe</w:t>
            </w:r>
            <w:r w:rsidR="00542ABB" w:rsidRPr="00205F72">
              <w:rPr>
                <w:rFonts w:eastAsia="Times New Roman"/>
                <w:color w:val="000000"/>
                <w:sz w:val="16"/>
                <w:szCs w:val="16"/>
                <w:lang w:eastAsia="en-GB"/>
              </w:rPr>
              <w:t>)</w:t>
            </w:r>
            <w:r w:rsidRPr="00FF5EAA">
              <w:rPr>
                <w:rFonts w:eastAsia="Times New Roman"/>
                <w:color w:val="000000"/>
                <w:sz w:val="16"/>
                <w:szCs w:val="16"/>
                <w:vertAlign w:val="subscript"/>
                <w:lang w:eastAsia="en-GB"/>
              </w:rPr>
              <w:t>(4)</w:t>
            </w:r>
          </w:p>
        </w:tc>
        <w:tc>
          <w:tcPr>
            <w:tcW w:w="424" w:type="pct"/>
            <w:tcBorders>
              <w:left w:val="nil"/>
              <w:right w:val="nil"/>
            </w:tcBorders>
            <w:shd w:val="clear" w:color="auto" w:fill="auto"/>
            <w:noWrap/>
            <w:vAlign w:val="bottom"/>
          </w:tcPr>
          <w:p w14:paraId="42B30D38" w14:textId="245C918F" w:rsidR="00542ABB" w:rsidRPr="00205F72" w:rsidRDefault="00542ABB" w:rsidP="00542ABB">
            <w:pPr>
              <w:jc w:val="right"/>
              <w:rPr>
                <w:rFonts w:eastAsia="Times New Roman"/>
                <w:color w:val="000000"/>
                <w:sz w:val="16"/>
                <w:szCs w:val="16"/>
                <w:lang w:eastAsia="en-GB"/>
              </w:rPr>
            </w:pPr>
            <w:r w:rsidRPr="00205F72">
              <w:rPr>
                <w:rFonts w:eastAsia="Times New Roman"/>
                <w:color w:val="000000"/>
                <w:sz w:val="16"/>
                <w:szCs w:val="16"/>
                <w:lang w:eastAsia="en-GB"/>
              </w:rPr>
              <w:t>$</w:t>
            </w:r>
            <w:r>
              <w:rPr>
                <w:rFonts w:eastAsia="Times New Roman"/>
                <w:color w:val="000000"/>
                <w:sz w:val="16"/>
                <w:szCs w:val="16"/>
                <w:lang w:eastAsia="en-GB"/>
              </w:rPr>
              <w:t>9</w:t>
            </w:r>
          </w:p>
        </w:tc>
        <w:tc>
          <w:tcPr>
            <w:tcW w:w="430" w:type="pct"/>
            <w:gridSpan w:val="2"/>
            <w:tcBorders>
              <w:left w:val="nil"/>
              <w:right w:val="nil"/>
            </w:tcBorders>
            <w:shd w:val="clear" w:color="auto" w:fill="auto"/>
            <w:noWrap/>
            <w:vAlign w:val="bottom"/>
          </w:tcPr>
          <w:p w14:paraId="6A0EF708" w14:textId="0C71481F" w:rsidR="00542ABB" w:rsidRPr="00205F72" w:rsidRDefault="00542ABB" w:rsidP="00542ABB">
            <w:pPr>
              <w:jc w:val="right"/>
              <w:rPr>
                <w:rFonts w:eastAsia="Times New Roman"/>
                <w:color w:val="000000"/>
                <w:sz w:val="16"/>
                <w:szCs w:val="16"/>
                <w:lang w:eastAsia="en-GB"/>
              </w:rPr>
            </w:pPr>
            <w:r w:rsidRPr="00205F72">
              <w:rPr>
                <w:rFonts w:eastAsia="Times New Roman"/>
                <w:color w:val="000000"/>
                <w:sz w:val="16"/>
                <w:szCs w:val="16"/>
                <w:lang w:eastAsia="en-GB"/>
              </w:rPr>
              <w:t>$</w:t>
            </w:r>
            <w:r>
              <w:rPr>
                <w:rFonts w:eastAsia="Times New Roman"/>
                <w:color w:val="000000"/>
                <w:sz w:val="16"/>
                <w:szCs w:val="16"/>
                <w:lang w:eastAsia="en-GB"/>
              </w:rPr>
              <w:t>13</w:t>
            </w:r>
          </w:p>
        </w:tc>
        <w:tc>
          <w:tcPr>
            <w:tcW w:w="465" w:type="pct"/>
            <w:gridSpan w:val="2"/>
            <w:tcBorders>
              <w:left w:val="nil"/>
              <w:right w:val="nil"/>
            </w:tcBorders>
            <w:shd w:val="clear" w:color="auto" w:fill="auto"/>
            <w:noWrap/>
            <w:vAlign w:val="bottom"/>
          </w:tcPr>
          <w:p w14:paraId="5B27D801" w14:textId="22A1D6AB" w:rsidR="00542ABB" w:rsidRPr="00205F72" w:rsidRDefault="00542ABB" w:rsidP="00542ABB">
            <w:pPr>
              <w:jc w:val="right"/>
              <w:rPr>
                <w:rFonts w:eastAsia="Times New Roman"/>
                <w:color w:val="000000"/>
                <w:sz w:val="16"/>
                <w:szCs w:val="16"/>
                <w:lang w:eastAsia="en-GB"/>
              </w:rPr>
            </w:pPr>
            <w:r w:rsidRPr="00205F72">
              <w:rPr>
                <w:rFonts w:eastAsia="Times New Roman"/>
                <w:color w:val="000000"/>
                <w:sz w:val="16"/>
                <w:szCs w:val="16"/>
                <w:lang w:eastAsia="en-GB"/>
              </w:rPr>
              <w:t>$</w:t>
            </w:r>
            <w:r>
              <w:rPr>
                <w:rFonts w:eastAsia="Times New Roman"/>
                <w:color w:val="000000"/>
                <w:sz w:val="16"/>
                <w:szCs w:val="16"/>
                <w:lang w:eastAsia="en-GB"/>
              </w:rPr>
              <w:t>9</w:t>
            </w:r>
          </w:p>
        </w:tc>
        <w:tc>
          <w:tcPr>
            <w:tcW w:w="1059" w:type="pct"/>
            <w:tcBorders>
              <w:left w:val="nil"/>
              <w:right w:val="nil"/>
            </w:tcBorders>
            <w:shd w:val="clear" w:color="000000" w:fill="FFFFFF"/>
            <w:vAlign w:val="bottom"/>
          </w:tcPr>
          <w:p w14:paraId="22967FFF" w14:textId="10DE95B5" w:rsidR="00542ABB" w:rsidRPr="00205F72" w:rsidRDefault="00542ABB" w:rsidP="00542ABB">
            <w:pPr>
              <w:jc w:val="right"/>
              <w:rPr>
                <w:rFonts w:eastAsia="Times New Roman"/>
                <w:color w:val="000000"/>
                <w:sz w:val="16"/>
                <w:szCs w:val="16"/>
                <w:lang w:eastAsia="en-GB"/>
              </w:rPr>
            </w:pPr>
            <w:r w:rsidRPr="00205F72">
              <w:rPr>
                <w:rFonts w:eastAsia="Times New Roman"/>
                <w:color w:val="000000"/>
                <w:sz w:val="16"/>
                <w:szCs w:val="16"/>
                <w:lang w:eastAsia="en-GB"/>
              </w:rPr>
              <w:t>10</w:t>
            </w:r>
            <w:r w:rsidR="00621A24">
              <w:rPr>
                <w:rFonts w:eastAsia="Times New Roman"/>
                <w:color w:val="000000"/>
                <w:sz w:val="16"/>
                <w:szCs w:val="16"/>
                <w:lang w:eastAsia="en-GB"/>
              </w:rPr>
              <w:t xml:space="preserve"> per cent.</w:t>
            </w:r>
            <w:r w:rsidRPr="00205F72">
              <w:rPr>
                <w:rFonts w:eastAsia="Times New Roman"/>
                <w:color w:val="000000"/>
                <w:sz w:val="16"/>
                <w:szCs w:val="16"/>
                <w:lang w:eastAsia="en-GB"/>
              </w:rPr>
              <w:t xml:space="preserve"> weighted average change in the input would result in </w:t>
            </w:r>
            <w:r w:rsidR="00940B14">
              <w:rPr>
                <w:rFonts w:eastAsia="Times New Roman"/>
                <w:color w:val="000000"/>
                <w:sz w:val="16"/>
                <w:szCs w:val="16"/>
                <w:lang w:eastAsia="en-GB"/>
              </w:rPr>
              <w:t>1</w:t>
            </w:r>
            <w:r w:rsidR="00621A24">
              <w:rPr>
                <w:rFonts w:eastAsia="Times New Roman"/>
                <w:color w:val="000000"/>
                <w:sz w:val="16"/>
                <w:szCs w:val="16"/>
                <w:lang w:eastAsia="en-GB"/>
              </w:rPr>
              <w:t xml:space="preserve"> per cent.</w:t>
            </w:r>
            <w:r w:rsidRPr="00205F72">
              <w:rPr>
                <w:rFonts w:eastAsia="Times New Roman"/>
                <w:color w:val="000000"/>
                <w:sz w:val="16"/>
                <w:szCs w:val="16"/>
                <w:lang w:eastAsia="en-GB"/>
              </w:rPr>
              <w:t xml:space="preserve"> change in the total fair value of Level 3 investments</w:t>
            </w:r>
          </w:p>
        </w:tc>
        <w:tc>
          <w:tcPr>
            <w:tcW w:w="760" w:type="pct"/>
            <w:tcBorders>
              <w:left w:val="nil"/>
              <w:right w:val="nil"/>
            </w:tcBorders>
            <w:shd w:val="clear" w:color="auto" w:fill="auto"/>
            <w:noWrap/>
            <w:vAlign w:val="bottom"/>
          </w:tcPr>
          <w:p w14:paraId="02B9271E" w14:textId="691CF2EB" w:rsidR="00542ABB" w:rsidRPr="00205F72" w:rsidRDefault="00542ABB" w:rsidP="00542ABB">
            <w:pPr>
              <w:jc w:val="right"/>
              <w:rPr>
                <w:rFonts w:eastAsia="Times New Roman"/>
                <w:color w:val="000000"/>
                <w:sz w:val="16"/>
                <w:szCs w:val="16"/>
                <w:lang w:eastAsia="en-GB"/>
              </w:rPr>
            </w:pPr>
            <w:r w:rsidRPr="00205F72">
              <w:rPr>
                <w:rFonts w:eastAsia="Times New Roman"/>
                <w:color w:val="000000"/>
                <w:sz w:val="16"/>
                <w:szCs w:val="16"/>
                <w:lang w:eastAsia="en-GB"/>
              </w:rPr>
              <w:t>$</w:t>
            </w:r>
            <w:r>
              <w:rPr>
                <w:rFonts w:eastAsia="Times New Roman"/>
                <w:color w:val="000000"/>
                <w:sz w:val="16"/>
                <w:szCs w:val="16"/>
                <w:lang w:eastAsia="en-GB"/>
              </w:rPr>
              <w:t>56</w:t>
            </w:r>
            <w:r w:rsidRPr="00205F72">
              <w:rPr>
                <w:rFonts w:eastAsia="Times New Roman"/>
                <w:color w:val="000000"/>
                <w:sz w:val="16"/>
                <w:szCs w:val="16"/>
                <w:lang w:eastAsia="en-GB"/>
              </w:rPr>
              <w:t>,</w:t>
            </w:r>
            <w:r>
              <w:rPr>
                <w:rFonts w:eastAsia="Times New Roman"/>
                <w:color w:val="000000"/>
                <w:sz w:val="16"/>
                <w:szCs w:val="16"/>
                <w:lang w:eastAsia="en-GB"/>
              </w:rPr>
              <w:t>667</w:t>
            </w:r>
          </w:p>
        </w:tc>
      </w:tr>
      <w:tr w:rsidR="00542ABB" w:rsidRPr="00205F72" w14:paraId="57A752C0" w14:textId="77777777" w:rsidTr="004A417D">
        <w:trPr>
          <w:trHeight w:val="799"/>
        </w:trPr>
        <w:tc>
          <w:tcPr>
            <w:tcW w:w="593" w:type="pct"/>
            <w:tcBorders>
              <w:top w:val="nil"/>
              <w:left w:val="nil"/>
              <w:bottom w:val="nil"/>
              <w:right w:val="nil"/>
            </w:tcBorders>
            <w:shd w:val="clear" w:color="auto" w:fill="auto"/>
            <w:noWrap/>
          </w:tcPr>
          <w:p w14:paraId="1AFCCEFC" w14:textId="77777777" w:rsidR="00205F72" w:rsidRPr="00205F72" w:rsidRDefault="00205F72" w:rsidP="00205F72">
            <w:pPr>
              <w:rPr>
                <w:rFonts w:eastAsia="Times New Roman"/>
                <w:color w:val="000000"/>
                <w:sz w:val="16"/>
                <w:szCs w:val="16"/>
                <w:lang w:eastAsia="en-GB"/>
              </w:rPr>
            </w:pPr>
            <w:bookmarkStart w:id="35" w:name="_Hlk31009995"/>
          </w:p>
        </w:tc>
        <w:tc>
          <w:tcPr>
            <w:tcW w:w="592" w:type="pct"/>
            <w:tcBorders>
              <w:left w:val="nil"/>
              <w:bottom w:val="single" w:sz="4" w:space="0" w:color="auto"/>
              <w:right w:val="nil"/>
            </w:tcBorders>
            <w:shd w:val="clear" w:color="auto" w:fill="auto"/>
            <w:noWrap/>
            <w:vAlign w:val="bottom"/>
          </w:tcPr>
          <w:p w14:paraId="6F9D60A7" w14:textId="77777777" w:rsidR="00205F72" w:rsidRPr="00205F72" w:rsidRDefault="00205F72" w:rsidP="00205F72">
            <w:pPr>
              <w:jc w:val="right"/>
              <w:rPr>
                <w:rFonts w:eastAsia="Times New Roman"/>
                <w:color w:val="000000"/>
                <w:sz w:val="16"/>
                <w:szCs w:val="16"/>
                <w:lang w:eastAsia="en-GB"/>
              </w:rPr>
            </w:pPr>
          </w:p>
        </w:tc>
        <w:tc>
          <w:tcPr>
            <w:tcW w:w="677" w:type="pct"/>
            <w:tcBorders>
              <w:left w:val="nil"/>
              <w:bottom w:val="single" w:sz="4" w:space="0" w:color="auto"/>
              <w:right w:val="nil"/>
            </w:tcBorders>
            <w:shd w:val="clear" w:color="auto" w:fill="auto"/>
            <w:vAlign w:val="bottom"/>
          </w:tcPr>
          <w:p w14:paraId="0391CEF9" w14:textId="3E094CD5"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2P / 2C Reserve multiple ($/B</w:t>
            </w:r>
            <w:r w:rsidR="00542ABB">
              <w:rPr>
                <w:rFonts w:eastAsia="Times New Roman"/>
                <w:color w:val="000000"/>
                <w:sz w:val="16"/>
                <w:szCs w:val="16"/>
                <w:lang w:eastAsia="en-GB"/>
              </w:rPr>
              <w:t>oe</w:t>
            </w:r>
            <w:r w:rsidRPr="00205F72">
              <w:rPr>
                <w:rFonts w:eastAsia="Times New Roman"/>
                <w:color w:val="000000"/>
                <w:sz w:val="16"/>
                <w:szCs w:val="16"/>
                <w:lang w:eastAsia="en-GB"/>
              </w:rPr>
              <w:t>)</w:t>
            </w:r>
          </w:p>
        </w:tc>
        <w:tc>
          <w:tcPr>
            <w:tcW w:w="424" w:type="pct"/>
            <w:tcBorders>
              <w:left w:val="nil"/>
              <w:bottom w:val="single" w:sz="4" w:space="0" w:color="auto"/>
              <w:right w:val="nil"/>
            </w:tcBorders>
            <w:shd w:val="clear" w:color="auto" w:fill="auto"/>
            <w:noWrap/>
            <w:vAlign w:val="bottom"/>
          </w:tcPr>
          <w:p w14:paraId="0BBDD3F1" w14:textId="05D56F75"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7</w:t>
            </w:r>
          </w:p>
        </w:tc>
        <w:tc>
          <w:tcPr>
            <w:tcW w:w="430" w:type="pct"/>
            <w:gridSpan w:val="2"/>
            <w:tcBorders>
              <w:left w:val="nil"/>
              <w:bottom w:val="single" w:sz="4" w:space="0" w:color="auto"/>
              <w:right w:val="nil"/>
            </w:tcBorders>
            <w:shd w:val="clear" w:color="auto" w:fill="auto"/>
            <w:noWrap/>
            <w:vAlign w:val="bottom"/>
          </w:tcPr>
          <w:p w14:paraId="0C7881D8" w14:textId="68219A71"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12</w:t>
            </w:r>
          </w:p>
        </w:tc>
        <w:tc>
          <w:tcPr>
            <w:tcW w:w="465" w:type="pct"/>
            <w:gridSpan w:val="2"/>
            <w:tcBorders>
              <w:left w:val="nil"/>
              <w:bottom w:val="single" w:sz="4" w:space="0" w:color="auto"/>
              <w:right w:val="nil"/>
            </w:tcBorders>
            <w:shd w:val="clear" w:color="auto" w:fill="auto"/>
            <w:noWrap/>
            <w:vAlign w:val="bottom"/>
          </w:tcPr>
          <w:p w14:paraId="061A0547"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$10</w:t>
            </w:r>
          </w:p>
        </w:tc>
        <w:tc>
          <w:tcPr>
            <w:tcW w:w="1059" w:type="pct"/>
            <w:tcBorders>
              <w:left w:val="nil"/>
              <w:bottom w:val="single" w:sz="4" w:space="0" w:color="auto"/>
              <w:right w:val="nil"/>
            </w:tcBorders>
            <w:shd w:val="clear" w:color="000000" w:fill="FFFFFF"/>
            <w:vAlign w:val="bottom"/>
          </w:tcPr>
          <w:p w14:paraId="2F49250C" w14:textId="28B3DB6B" w:rsidR="00205F72" w:rsidRPr="00205F72" w:rsidRDefault="005650F5" w:rsidP="00205F72">
            <w:pPr>
              <w:jc w:val="right"/>
              <w:rPr>
                <w:rFonts w:eastAsia="Times New Roman"/>
                <w:color w:val="000000"/>
                <w:sz w:val="16"/>
                <w:szCs w:val="16"/>
                <w:lang w:eastAsia="en-GB"/>
              </w:rPr>
            </w:pPr>
            <w:r>
              <w:rPr>
                <w:rFonts w:eastAsia="Times New Roman"/>
                <w:color w:val="000000"/>
                <w:sz w:val="16"/>
                <w:szCs w:val="16"/>
                <w:lang w:eastAsia="en-GB"/>
              </w:rPr>
              <w:t>2</w:t>
            </w:r>
            <w:r w:rsidR="00205F72" w:rsidRPr="00205F72">
              <w:rPr>
                <w:rFonts w:eastAsia="Times New Roman"/>
                <w:color w:val="000000"/>
                <w:sz w:val="16"/>
                <w:szCs w:val="16"/>
                <w:lang w:eastAsia="en-GB"/>
              </w:rPr>
              <w:t>0</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weighted average change in the input would result in </w:t>
            </w:r>
            <w:r>
              <w:rPr>
                <w:rFonts w:eastAsia="Times New Roman"/>
                <w:color w:val="000000"/>
                <w:sz w:val="16"/>
                <w:szCs w:val="16"/>
                <w:lang w:eastAsia="en-GB"/>
              </w:rPr>
              <w:t>3</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change in the total fair value of Level 3 investments</w:t>
            </w:r>
          </w:p>
        </w:tc>
        <w:tc>
          <w:tcPr>
            <w:tcW w:w="760" w:type="pct"/>
            <w:tcBorders>
              <w:left w:val="nil"/>
              <w:bottom w:val="single" w:sz="4" w:space="0" w:color="auto"/>
              <w:right w:val="nil"/>
            </w:tcBorders>
            <w:shd w:val="clear" w:color="auto" w:fill="auto"/>
            <w:noWrap/>
            <w:vAlign w:val="bottom"/>
          </w:tcPr>
          <w:p w14:paraId="241F164D" w14:textId="2C060DAD"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542ABB">
              <w:rPr>
                <w:rFonts w:eastAsia="Times New Roman"/>
                <w:color w:val="000000"/>
                <w:sz w:val="16"/>
                <w:szCs w:val="16"/>
                <w:lang w:eastAsia="en-GB"/>
              </w:rPr>
              <w:t>181</w:t>
            </w:r>
            <w:r w:rsidRPr="00205F72">
              <w:rPr>
                <w:rFonts w:eastAsia="Times New Roman"/>
                <w:color w:val="000000"/>
                <w:sz w:val="16"/>
                <w:szCs w:val="16"/>
                <w:lang w:eastAsia="en-GB"/>
              </w:rPr>
              <w:t>,</w:t>
            </w:r>
            <w:r w:rsidR="00542ABB">
              <w:rPr>
                <w:rFonts w:eastAsia="Times New Roman"/>
                <w:color w:val="000000"/>
                <w:sz w:val="16"/>
                <w:szCs w:val="16"/>
                <w:lang w:eastAsia="en-GB"/>
              </w:rPr>
              <w:t>532</w:t>
            </w:r>
          </w:p>
        </w:tc>
      </w:tr>
      <w:bookmarkEnd w:id="35"/>
      <w:tr w:rsidR="00542ABB" w:rsidRPr="00205F72" w14:paraId="18955BF6" w14:textId="77777777" w:rsidTr="004A417D">
        <w:trPr>
          <w:trHeight w:val="799"/>
        </w:trPr>
        <w:tc>
          <w:tcPr>
            <w:tcW w:w="593" w:type="pct"/>
            <w:tcBorders>
              <w:top w:val="nil"/>
              <w:left w:val="nil"/>
              <w:bottom w:val="nil"/>
              <w:right w:val="nil"/>
            </w:tcBorders>
            <w:shd w:val="clear" w:color="auto" w:fill="auto"/>
            <w:noWrap/>
            <w:hideMark/>
          </w:tcPr>
          <w:p w14:paraId="491E743B" w14:textId="77777777" w:rsidR="00205F72" w:rsidRPr="00205F72" w:rsidRDefault="00205F72" w:rsidP="00205F72">
            <w:pPr>
              <w:rPr>
                <w:rFonts w:eastAsia="Times New Roman"/>
                <w:color w:val="000000"/>
                <w:sz w:val="16"/>
                <w:szCs w:val="16"/>
                <w:lang w:eastAsia="en-GB"/>
              </w:rPr>
            </w:pPr>
          </w:p>
        </w:tc>
        <w:tc>
          <w:tcPr>
            <w:tcW w:w="592" w:type="pct"/>
            <w:tcBorders>
              <w:top w:val="nil"/>
              <w:left w:val="nil"/>
              <w:bottom w:val="nil"/>
              <w:right w:val="nil"/>
            </w:tcBorders>
            <w:shd w:val="clear" w:color="auto" w:fill="auto"/>
            <w:noWrap/>
            <w:vAlign w:val="bottom"/>
            <w:hideMark/>
          </w:tcPr>
          <w:p w14:paraId="305DC52A" w14:textId="27212B20" w:rsidR="00205F72" w:rsidRPr="00205F72" w:rsidRDefault="00205F72" w:rsidP="00205F72">
            <w:pPr>
              <w:jc w:val="right"/>
              <w:rPr>
                <w:rFonts w:eastAsia="Times New Roman"/>
                <w:color w:val="000000"/>
                <w:sz w:val="16"/>
                <w:szCs w:val="16"/>
                <w:lang w:eastAsia="en-GB"/>
              </w:rPr>
            </w:pPr>
            <w:r w:rsidRPr="00205F72">
              <w:rPr>
                <w:sz w:val="16"/>
                <w:szCs w:val="16"/>
              </w:rPr>
              <w:t>Discounted cash flow</w:t>
            </w:r>
            <w:r w:rsidR="00DC4925" w:rsidRPr="00DC4925">
              <w:rPr>
                <w:sz w:val="16"/>
                <w:szCs w:val="16"/>
                <w:vertAlign w:val="superscript"/>
              </w:rPr>
              <w:t>(5)</w:t>
            </w:r>
          </w:p>
        </w:tc>
        <w:tc>
          <w:tcPr>
            <w:tcW w:w="677" w:type="pct"/>
            <w:tcBorders>
              <w:top w:val="nil"/>
              <w:left w:val="nil"/>
              <w:bottom w:val="nil"/>
              <w:right w:val="nil"/>
            </w:tcBorders>
            <w:shd w:val="clear" w:color="auto" w:fill="auto"/>
            <w:noWrap/>
            <w:vAlign w:val="bottom"/>
            <w:hideMark/>
          </w:tcPr>
          <w:p w14:paraId="1861ABE9"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Oil Price Curve ($/bbl)</w:t>
            </w:r>
          </w:p>
        </w:tc>
        <w:tc>
          <w:tcPr>
            <w:tcW w:w="424" w:type="pct"/>
            <w:tcBorders>
              <w:top w:val="nil"/>
              <w:left w:val="nil"/>
              <w:bottom w:val="nil"/>
              <w:right w:val="nil"/>
            </w:tcBorders>
            <w:shd w:val="clear" w:color="auto" w:fill="auto"/>
            <w:noWrap/>
            <w:vAlign w:val="bottom"/>
          </w:tcPr>
          <w:p w14:paraId="760CC057" w14:textId="707A93BA"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$5</w:t>
            </w:r>
            <w:r w:rsidR="00FF5EAA">
              <w:rPr>
                <w:rFonts w:eastAsia="Times New Roman"/>
                <w:color w:val="000000"/>
                <w:sz w:val="16"/>
                <w:szCs w:val="16"/>
                <w:lang w:eastAsia="en-GB"/>
              </w:rPr>
              <w:t>1</w:t>
            </w:r>
          </w:p>
        </w:tc>
        <w:tc>
          <w:tcPr>
            <w:tcW w:w="430" w:type="pct"/>
            <w:gridSpan w:val="2"/>
            <w:tcBorders>
              <w:top w:val="nil"/>
              <w:left w:val="nil"/>
              <w:bottom w:val="nil"/>
              <w:right w:val="nil"/>
            </w:tcBorders>
            <w:shd w:val="clear" w:color="auto" w:fill="auto"/>
            <w:noWrap/>
            <w:vAlign w:val="bottom"/>
          </w:tcPr>
          <w:p w14:paraId="623BBA5F" w14:textId="298244D4"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$6</w:t>
            </w:r>
            <w:r w:rsidR="00FF5EAA">
              <w:rPr>
                <w:rFonts w:eastAsia="Times New Roman"/>
                <w:color w:val="000000"/>
                <w:sz w:val="16"/>
                <w:szCs w:val="16"/>
                <w:lang w:eastAsia="en-GB"/>
              </w:rPr>
              <w:t>2</w:t>
            </w:r>
          </w:p>
        </w:tc>
        <w:tc>
          <w:tcPr>
            <w:tcW w:w="465" w:type="pct"/>
            <w:gridSpan w:val="2"/>
            <w:tcBorders>
              <w:top w:val="nil"/>
              <w:left w:val="nil"/>
              <w:bottom w:val="nil"/>
              <w:right w:val="nil"/>
            </w:tcBorders>
            <w:shd w:val="clear" w:color="auto" w:fill="auto"/>
            <w:noWrap/>
            <w:vAlign w:val="bottom"/>
          </w:tcPr>
          <w:p w14:paraId="2869B697"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$58</w:t>
            </w:r>
          </w:p>
        </w:tc>
        <w:tc>
          <w:tcPr>
            <w:tcW w:w="1059" w:type="pct"/>
            <w:tcBorders>
              <w:top w:val="nil"/>
              <w:left w:val="nil"/>
              <w:bottom w:val="nil"/>
              <w:right w:val="nil"/>
            </w:tcBorders>
            <w:shd w:val="clear" w:color="000000" w:fill="FFFFFF"/>
            <w:vAlign w:val="bottom"/>
          </w:tcPr>
          <w:p w14:paraId="7A8E7DCB" w14:textId="24154622" w:rsidR="00205F72" w:rsidRPr="00205F72" w:rsidRDefault="00A34D97" w:rsidP="00205F72">
            <w:pPr>
              <w:jc w:val="right"/>
              <w:rPr>
                <w:rFonts w:eastAsia="Times New Roman"/>
                <w:color w:val="000000"/>
                <w:sz w:val="16"/>
                <w:szCs w:val="16"/>
                <w:lang w:eastAsia="en-GB"/>
              </w:rPr>
            </w:pPr>
            <w:r>
              <w:rPr>
                <w:rFonts w:eastAsia="Times New Roman"/>
                <w:color w:val="000000"/>
                <w:sz w:val="16"/>
                <w:szCs w:val="16"/>
                <w:lang w:eastAsia="en-GB"/>
              </w:rPr>
              <w:t>3</w:t>
            </w:r>
            <w:r w:rsidR="00205F72" w:rsidRPr="00205F72">
              <w:rPr>
                <w:rFonts w:eastAsia="Times New Roman"/>
                <w:color w:val="000000"/>
                <w:sz w:val="16"/>
                <w:szCs w:val="16"/>
                <w:lang w:eastAsia="en-GB"/>
              </w:rPr>
              <w:t>0</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weighted average change in the input would result in </w:t>
            </w:r>
            <w:r w:rsidR="00023CC2">
              <w:rPr>
                <w:rFonts w:eastAsia="Times New Roman"/>
                <w:color w:val="000000"/>
                <w:sz w:val="16"/>
                <w:szCs w:val="16"/>
                <w:lang w:eastAsia="en-GB"/>
              </w:rPr>
              <w:t>35</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change in the total fair value of Level 3 investments</w:t>
            </w:r>
          </w:p>
        </w:tc>
        <w:tc>
          <w:tcPr>
            <w:tcW w:w="760" w:type="pct"/>
            <w:tcBorders>
              <w:top w:val="nil"/>
              <w:left w:val="nil"/>
              <w:bottom w:val="nil"/>
              <w:right w:val="nil"/>
            </w:tcBorders>
            <w:shd w:val="clear" w:color="auto" w:fill="auto"/>
            <w:noWrap/>
            <w:vAlign w:val="bottom"/>
          </w:tcPr>
          <w:p w14:paraId="477CC4C4" w14:textId="13F46B0D"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FF5EAA">
              <w:rPr>
                <w:rFonts w:eastAsia="Times New Roman"/>
                <w:color w:val="000000"/>
                <w:sz w:val="16"/>
                <w:szCs w:val="16"/>
                <w:lang w:eastAsia="en-GB"/>
              </w:rPr>
              <w:t>405</w:t>
            </w:r>
            <w:r w:rsidRPr="00205F72">
              <w:rPr>
                <w:color w:val="000000"/>
                <w:sz w:val="16"/>
                <w:szCs w:val="16"/>
              </w:rPr>
              <w:t>,</w:t>
            </w:r>
            <w:r w:rsidR="00FF5EAA">
              <w:rPr>
                <w:color w:val="000000"/>
                <w:sz w:val="16"/>
                <w:szCs w:val="16"/>
              </w:rPr>
              <w:t>752</w:t>
            </w:r>
            <w:r w:rsidRPr="00205F72">
              <w:rPr>
                <w:color w:val="000000"/>
                <w:sz w:val="16"/>
                <w:szCs w:val="16"/>
              </w:rPr>
              <w:t xml:space="preserve"> </w:t>
            </w:r>
          </w:p>
        </w:tc>
      </w:tr>
      <w:tr w:rsidR="00542ABB" w:rsidRPr="00205F72" w14:paraId="574E2D0D" w14:textId="77777777" w:rsidTr="004A417D">
        <w:trPr>
          <w:trHeight w:val="799"/>
        </w:trPr>
        <w:tc>
          <w:tcPr>
            <w:tcW w:w="593" w:type="pct"/>
            <w:tcBorders>
              <w:top w:val="nil"/>
              <w:left w:val="nil"/>
              <w:bottom w:val="nil"/>
              <w:right w:val="nil"/>
            </w:tcBorders>
            <w:shd w:val="clear" w:color="auto" w:fill="auto"/>
            <w:noWrap/>
            <w:hideMark/>
          </w:tcPr>
          <w:p w14:paraId="34F5AE28" w14:textId="77777777" w:rsidR="00205F72" w:rsidRPr="00205F72" w:rsidRDefault="00205F72" w:rsidP="00205F72">
            <w:pPr>
              <w:rPr>
                <w:rFonts w:eastAsia="Times New Roman"/>
                <w:color w:val="000000"/>
                <w:sz w:val="16"/>
                <w:szCs w:val="16"/>
                <w:lang w:eastAsia="en-GB"/>
              </w:rPr>
            </w:pPr>
          </w:p>
        </w:tc>
        <w:tc>
          <w:tcPr>
            <w:tcW w:w="592" w:type="pct"/>
            <w:tcBorders>
              <w:top w:val="nil"/>
              <w:left w:val="nil"/>
              <w:bottom w:val="nil"/>
              <w:right w:val="nil"/>
            </w:tcBorders>
            <w:shd w:val="clear" w:color="auto" w:fill="auto"/>
            <w:noWrap/>
            <w:vAlign w:val="bottom"/>
            <w:hideMark/>
          </w:tcPr>
          <w:p w14:paraId="5026FA70" w14:textId="77777777" w:rsidR="00205F72" w:rsidRPr="00205F72" w:rsidRDefault="00205F72" w:rsidP="00205F72">
            <w:pPr>
              <w:jc w:val="right"/>
              <w:rPr>
                <w:rFonts w:eastAsia="Times New Roman"/>
                <w:color w:val="000000"/>
                <w:sz w:val="16"/>
                <w:szCs w:val="16"/>
                <w:lang w:eastAsia="en-GB"/>
              </w:rPr>
            </w:pPr>
          </w:p>
        </w:tc>
        <w:tc>
          <w:tcPr>
            <w:tcW w:w="677" w:type="pct"/>
            <w:tcBorders>
              <w:top w:val="nil"/>
              <w:left w:val="nil"/>
              <w:bottom w:val="nil"/>
              <w:right w:val="nil"/>
            </w:tcBorders>
            <w:shd w:val="clear" w:color="auto" w:fill="auto"/>
            <w:noWrap/>
            <w:vAlign w:val="bottom"/>
            <w:hideMark/>
          </w:tcPr>
          <w:p w14:paraId="02628697"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Gas Price Curve ($/mcfe)</w:t>
            </w:r>
          </w:p>
        </w:tc>
        <w:tc>
          <w:tcPr>
            <w:tcW w:w="424" w:type="pct"/>
            <w:tcBorders>
              <w:top w:val="nil"/>
              <w:left w:val="nil"/>
              <w:bottom w:val="nil"/>
              <w:right w:val="nil"/>
            </w:tcBorders>
            <w:shd w:val="clear" w:color="auto" w:fill="auto"/>
            <w:noWrap/>
            <w:vAlign w:val="bottom"/>
          </w:tcPr>
          <w:p w14:paraId="18D1F18D"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 xml:space="preserve"> $3 </w:t>
            </w:r>
          </w:p>
        </w:tc>
        <w:tc>
          <w:tcPr>
            <w:tcW w:w="430" w:type="pct"/>
            <w:gridSpan w:val="2"/>
            <w:tcBorders>
              <w:top w:val="nil"/>
              <w:left w:val="nil"/>
              <w:bottom w:val="nil"/>
              <w:right w:val="nil"/>
            </w:tcBorders>
            <w:shd w:val="clear" w:color="auto" w:fill="auto"/>
            <w:noWrap/>
            <w:vAlign w:val="bottom"/>
          </w:tcPr>
          <w:p w14:paraId="492C6586"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 xml:space="preserve"> $3 </w:t>
            </w:r>
          </w:p>
        </w:tc>
        <w:tc>
          <w:tcPr>
            <w:tcW w:w="465" w:type="pct"/>
            <w:gridSpan w:val="2"/>
            <w:tcBorders>
              <w:top w:val="nil"/>
              <w:left w:val="nil"/>
              <w:bottom w:val="nil"/>
              <w:right w:val="nil"/>
            </w:tcBorders>
            <w:shd w:val="clear" w:color="auto" w:fill="auto"/>
            <w:noWrap/>
            <w:vAlign w:val="bottom"/>
          </w:tcPr>
          <w:p w14:paraId="473F921B"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 xml:space="preserve"> $3 </w:t>
            </w:r>
          </w:p>
        </w:tc>
        <w:tc>
          <w:tcPr>
            <w:tcW w:w="1059" w:type="pct"/>
            <w:tcBorders>
              <w:top w:val="nil"/>
              <w:left w:val="nil"/>
              <w:bottom w:val="nil"/>
              <w:right w:val="nil"/>
            </w:tcBorders>
            <w:shd w:val="clear" w:color="000000" w:fill="FFFFFF"/>
            <w:vAlign w:val="bottom"/>
          </w:tcPr>
          <w:p w14:paraId="6CD4FA23" w14:textId="5CDD2699" w:rsidR="00205F72" w:rsidRPr="00205F72" w:rsidRDefault="005650F5" w:rsidP="00205F72">
            <w:pPr>
              <w:jc w:val="right"/>
              <w:rPr>
                <w:rFonts w:eastAsia="Times New Roman"/>
                <w:color w:val="000000"/>
                <w:sz w:val="16"/>
                <w:szCs w:val="16"/>
                <w:lang w:eastAsia="en-GB"/>
              </w:rPr>
            </w:pPr>
            <w:r>
              <w:rPr>
                <w:rFonts w:eastAsia="Times New Roman"/>
                <w:color w:val="000000"/>
                <w:sz w:val="16"/>
                <w:szCs w:val="16"/>
                <w:lang w:eastAsia="en-GB"/>
              </w:rPr>
              <w:t>2</w:t>
            </w:r>
            <w:r w:rsidR="00205F72" w:rsidRPr="00205F72">
              <w:rPr>
                <w:rFonts w:eastAsia="Times New Roman"/>
                <w:color w:val="000000"/>
                <w:sz w:val="16"/>
                <w:szCs w:val="16"/>
                <w:lang w:eastAsia="en-GB"/>
              </w:rPr>
              <w:t>0</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weighted average change in the input would result in </w:t>
            </w:r>
            <w:r>
              <w:rPr>
                <w:rFonts w:eastAsia="Times New Roman"/>
                <w:color w:val="000000"/>
                <w:sz w:val="16"/>
                <w:szCs w:val="16"/>
                <w:lang w:eastAsia="en-GB"/>
              </w:rPr>
              <w:t>4</w:t>
            </w:r>
            <w:r w:rsidR="00621A24">
              <w:rPr>
                <w:rFonts w:eastAsia="Times New Roman"/>
                <w:color w:val="000000"/>
                <w:sz w:val="16"/>
                <w:szCs w:val="16"/>
                <w:lang w:eastAsia="en-GB"/>
              </w:rPr>
              <w:t xml:space="preserve"> per cent.</w:t>
            </w:r>
            <w:r w:rsidR="00205F72" w:rsidRPr="00205F72">
              <w:rPr>
                <w:rFonts w:eastAsia="Times New Roman"/>
                <w:color w:val="000000"/>
                <w:sz w:val="16"/>
                <w:szCs w:val="16"/>
                <w:lang w:eastAsia="en-GB"/>
              </w:rPr>
              <w:t xml:space="preserve"> change in the total fair value of Level 3 investments</w:t>
            </w:r>
          </w:p>
        </w:tc>
        <w:tc>
          <w:tcPr>
            <w:tcW w:w="760" w:type="pct"/>
            <w:tcBorders>
              <w:top w:val="nil"/>
              <w:left w:val="nil"/>
              <w:bottom w:val="nil"/>
              <w:right w:val="nil"/>
            </w:tcBorders>
            <w:shd w:val="clear" w:color="auto" w:fill="auto"/>
            <w:noWrap/>
            <w:vAlign w:val="bottom"/>
          </w:tcPr>
          <w:p w14:paraId="418CF2DF" w14:textId="03C2EE1D"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w:t>
            </w:r>
            <w:r w:rsidR="00FF5EAA">
              <w:rPr>
                <w:rFonts w:eastAsia="Times New Roman"/>
                <w:color w:val="000000"/>
                <w:sz w:val="16"/>
                <w:szCs w:val="16"/>
                <w:lang w:eastAsia="en-GB"/>
              </w:rPr>
              <w:t>349</w:t>
            </w:r>
            <w:r w:rsidRPr="00205F72">
              <w:rPr>
                <w:color w:val="000000"/>
                <w:sz w:val="16"/>
                <w:szCs w:val="16"/>
              </w:rPr>
              <w:t>,</w:t>
            </w:r>
            <w:r w:rsidR="00FF5EAA">
              <w:rPr>
                <w:color w:val="000000"/>
                <w:sz w:val="16"/>
                <w:szCs w:val="16"/>
              </w:rPr>
              <w:t>086</w:t>
            </w:r>
            <w:r w:rsidRPr="00205F72">
              <w:rPr>
                <w:color w:val="000000"/>
                <w:sz w:val="16"/>
                <w:szCs w:val="16"/>
              </w:rPr>
              <w:t xml:space="preserve"> </w:t>
            </w:r>
          </w:p>
        </w:tc>
      </w:tr>
      <w:tr w:rsidR="00542ABB" w:rsidRPr="00205F72" w14:paraId="5FF00FD9" w14:textId="77777777" w:rsidTr="004A417D">
        <w:trPr>
          <w:trHeight w:val="241"/>
        </w:trPr>
        <w:tc>
          <w:tcPr>
            <w:tcW w:w="593" w:type="pct"/>
            <w:tcBorders>
              <w:top w:val="nil"/>
              <w:left w:val="nil"/>
              <w:bottom w:val="single" w:sz="4" w:space="0" w:color="auto"/>
              <w:right w:val="nil"/>
            </w:tcBorders>
            <w:shd w:val="clear" w:color="auto" w:fill="auto"/>
            <w:noWrap/>
          </w:tcPr>
          <w:p w14:paraId="26439520" w14:textId="77777777" w:rsidR="00205F72" w:rsidRPr="00205F72" w:rsidRDefault="00205F72" w:rsidP="00205F72">
            <w:pPr>
              <w:rPr>
                <w:rFonts w:eastAsia="Times New Roman"/>
                <w:color w:val="000000"/>
                <w:sz w:val="16"/>
                <w:szCs w:val="16"/>
                <w:lang w:eastAsia="en-GB"/>
              </w:rPr>
            </w:pPr>
          </w:p>
        </w:tc>
        <w:tc>
          <w:tcPr>
            <w:tcW w:w="592" w:type="pct"/>
            <w:tcBorders>
              <w:top w:val="nil"/>
              <w:left w:val="nil"/>
              <w:bottom w:val="single" w:sz="4" w:space="0" w:color="auto"/>
              <w:right w:val="nil"/>
            </w:tcBorders>
            <w:shd w:val="clear" w:color="auto" w:fill="auto"/>
            <w:noWrap/>
            <w:hideMark/>
          </w:tcPr>
          <w:p w14:paraId="09BCC51E"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677" w:type="pct"/>
            <w:tcBorders>
              <w:top w:val="nil"/>
              <w:left w:val="nil"/>
              <w:bottom w:val="single" w:sz="4" w:space="0" w:color="auto"/>
              <w:right w:val="nil"/>
            </w:tcBorders>
            <w:shd w:val="clear" w:color="auto" w:fill="auto"/>
            <w:noWrap/>
            <w:hideMark/>
          </w:tcPr>
          <w:p w14:paraId="29E2D73B"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424" w:type="pct"/>
            <w:tcBorders>
              <w:top w:val="nil"/>
              <w:left w:val="nil"/>
              <w:bottom w:val="single" w:sz="4" w:space="0" w:color="auto"/>
              <w:right w:val="nil"/>
            </w:tcBorders>
            <w:shd w:val="clear" w:color="auto" w:fill="auto"/>
            <w:noWrap/>
            <w:hideMark/>
          </w:tcPr>
          <w:p w14:paraId="7E67C946"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 </w:t>
            </w:r>
          </w:p>
        </w:tc>
        <w:tc>
          <w:tcPr>
            <w:tcW w:w="430" w:type="pct"/>
            <w:gridSpan w:val="2"/>
            <w:tcBorders>
              <w:top w:val="nil"/>
              <w:left w:val="nil"/>
              <w:bottom w:val="single" w:sz="4" w:space="0" w:color="auto"/>
              <w:right w:val="nil"/>
            </w:tcBorders>
            <w:shd w:val="clear" w:color="auto" w:fill="auto"/>
            <w:noWrap/>
            <w:hideMark/>
          </w:tcPr>
          <w:p w14:paraId="6EA17046" w14:textId="77777777" w:rsidR="00205F72" w:rsidRPr="00205F72" w:rsidRDefault="00205F72" w:rsidP="00205F72">
            <w:pPr>
              <w:jc w:val="right"/>
              <w:rPr>
                <w:rFonts w:eastAsia="Times New Roman"/>
                <w:color w:val="000000"/>
                <w:sz w:val="16"/>
                <w:szCs w:val="16"/>
                <w:lang w:eastAsia="en-GB"/>
              </w:rPr>
            </w:pPr>
            <w:r w:rsidRPr="00205F72">
              <w:rPr>
                <w:rFonts w:eastAsia="Times New Roman"/>
                <w:color w:val="000000"/>
                <w:sz w:val="16"/>
                <w:szCs w:val="16"/>
                <w:lang w:eastAsia="en-GB"/>
              </w:rPr>
              <w:t> </w:t>
            </w:r>
          </w:p>
        </w:tc>
        <w:tc>
          <w:tcPr>
            <w:tcW w:w="465" w:type="pct"/>
            <w:gridSpan w:val="2"/>
            <w:tcBorders>
              <w:top w:val="nil"/>
              <w:left w:val="nil"/>
              <w:bottom w:val="single" w:sz="4" w:space="0" w:color="auto"/>
              <w:right w:val="nil"/>
            </w:tcBorders>
            <w:shd w:val="clear" w:color="auto" w:fill="auto"/>
            <w:noWrap/>
            <w:hideMark/>
          </w:tcPr>
          <w:p w14:paraId="425D125C" w14:textId="77777777" w:rsidR="00205F72" w:rsidRPr="00205F72" w:rsidRDefault="00205F72" w:rsidP="00205F72">
            <w:pPr>
              <w:jc w:val="center"/>
              <w:rPr>
                <w:rFonts w:eastAsia="Times New Roman"/>
                <w:color w:val="000000"/>
                <w:sz w:val="16"/>
                <w:szCs w:val="16"/>
                <w:lang w:eastAsia="en-GB"/>
              </w:rPr>
            </w:pPr>
            <w:r w:rsidRPr="00205F72">
              <w:rPr>
                <w:rFonts w:eastAsia="Times New Roman"/>
                <w:color w:val="000000"/>
                <w:sz w:val="16"/>
                <w:szCs w:val="16"/>
                <w:lang w:eastAsia="en-GB"/>
              </w:rPr>
              <w:t> </w:t>
            </w:r>
          </w:p>
        </w:tc>
        <w:tc>
          <w:tcPr>
            <w:tcW w:w="1059" w:type="pct"/>
            <w:tcBorders>
              <w:top w:val="nil"/>
              <w:left w:val="nil"/>
              <w:bottom w:val="single" w:sz="4" w:space="0" w:color="auto"/>
              <w:right w:val="nil"/>
            </w:tcBorders>
            <w:shd w:val="clear" w:color="auto" w:fill="auto"/>
            <w:noWrap/>
            <w:hideMark/>
          </w:tcPr>
          <w:p w14:paraId="079620AD"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760" w:type="pct"/>
            <w:tcBorders>
              <w:top w:val="nil"/>
              <w:left w:val="nil"/>
              <w:bottom w:val="single" w:sz="4" w:space="0" w:color="auto"/>
              <w:right w:val="nil"/>
            </w:tcBorders>
            <w:shd w:val="clear" w:color="auto" w:fill="auto"/>
            <w:noWrap/>
            <w:hideMark/>
          </w:tcPr>
          <w:p w14:paraId="25704ABE"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r>
      <w:tr w:rsidR="00542ABB" w:rsidRPr="00205F72" w14:paraId="07DFFAB3" w14:textId="77777777" w:rsidTr="004A417D">
        <w:trPr>
          <w:trHeight w:val="300"/>
        </w:trPr>
        <w:tc>
          <w:tcPr>
            <w:tcW w:w="593" w:type="pct"/>
            <w:tcBorders>
              <w:top w:val="nil"/>
              <w:left w:val="nil"/>
              <w:bottom w:val="nil"/>
              <w:right w:val="nil"/>
            </w:tcBorders>
            <w:shd w:val="clear" w:color="auto" w:fill="auto"/>
            <w:noWrap/>
          </w:tcPr>
          <w:p w14:paraId="179CD3D9" w14:textId="085F300D"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lastRenderedPageBreak/>
              <w:t>$</w:t>
            </w:r>
            <w:r w:rsidR="00FF5EAA">
              <w:rPr>
                <w:rFonts w:eastAsia="Times New Roman"/>
                <w:color w:val="000000"/>
                <w:sz w:val="16"/>
                <w:szCs w:val="16"/>
                <w:lang w:eastAsia="en-GB"/>
              </w:rPr>
              <w:t>1</w:t>
            </w:r>
            <w:r w:rsidR="00D7695A">
              <w:rPr>
                <w:rFonts w:eastAsia="Times New Roman"/>
                <w:color w:val="000000"/>
                <w:sz w:val="16"/>
                <w:szCs w:val="16"/>
                <w:lang w:eastAsia="en-GB"/>
              </w:rPr>
              <w:t>17</w:t>
            </w:r>
            <w:r w:rsidRPr="00205F72">
              <w:rPr>
                <w:rFonts w:eastAsia="Times New Roman"/>
                <w:color w:val="000000"/>
                <w:sz w:val="16"/>
                <w:szCs w:val="16"/>
                <w:lang w:eastAsia="en-GB"/>
              </w:rPr>
              <w:t>,</w:t>
            </w:r>
            <w:r w:rsidR="00D7695A">
              <w:rPr>
                <w:rFonts w:eastAsia="Times New Roman"/>
                <w:color w:val="000000"/>
                <w:sz w:val="16"/>
                <w:szCs w:val="16"/>
                <w:lang w:eastAsia="en-GB"/>
              </w:rPr>
              <w:t>405</w:t>
            </w:r>
          </w:p>
        </w:tc>
        <w:tc>
          <w:tcPr>
            <w:tcW w:w="592" w:type="pct"/>
            <w:tcBorders>
              <w:top w:val="nil"/>
              <w:left w:val="nil"/>
              <w:bottom w:val="nil"/>
              <w:right w:val="nil"/>
            </w:tcBorders>
            <w:shd w:val="clear" w:color="auto" w:fill="auto"/>
            <w:noWrap/>
            <w:hideMark/>
          </w:tcPr>
          <w:p w14:paraId="7677E167"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Other</w:t>
            </w:r>
          </w:p>
        </w:tc>
        <w:tc>
          <w:tcPr>
            <w:tcW w:w="677" w:type="pct"/>
            <w:tcBorders>
              <w:top w:val="nil"/>
              <w:left w:val="nil"/>
              <w:bottom w:val="nil"/>
              <w:right w:val="nil"/>
            </w:tcBorders>
            <w:shd w:val="clear" w:color="auto" w:fill="auto"/>
            <w:noWrap/>
            <w:hideMark/>
          </w:tcPr>
          <w:p w14:paraId="700F27BF" w14:textId="77777777" w:rsidR="00205F72" w:rsidRPr="00205F72" w:rsidRDefault="00205F72" w:rsidP="00205F72">
            <w:pPr>
              <w:rPr>
                <w:rFonts w:eastAsia="Times New Roman"/>
                <w:color w:val="000000"/>
                <w:sz w:val="16"/>
                <w:szCs w:val="16"/>
                <w:lang w:eastAsia="en-GB"/>
              </w:rPr>
            </w:pPr>
          </w:p>
        </w:tc>
        <w:tc>
          <w:tcPr>
            <w:tcW w:w="424" w:type="pct"/>
            <w:tcBorders>
              <w:top w:val="nil"/>
              <w:left w:val="nil"/>
              <w:bottom w:val="nil"/>
              <w:right w:val="nil"/>
            </w:tcBorders>
            <w:shd w:val="clear" w:color="auto" w:fill="auto"/>
            <w:noWrap/>
            <w:hideMark/>
          </w:tcPr>
          <w:p w14:paraId="1074C9FE" w14:textId="77777777" w:rsidR="00205F72" w:rsidRPr="00205F72" w:rsidRDefault="00205F72" w:rsidP="00205F72">
            <w:pPr>
              <w:jc w:val="right"/>
              <w:rPr>
                <w:rFonts w:eastAsia="Times New Roman"/>
                <w:color w:val="000000"/>
                <w:sz w:val="16"/>
                <w:szCs w:val="16"/>
                <w:lang w:eastAsia="en-GB"/>
              </w:rPr>
            </w:pPr>
          </w:p>
        </w:tc>
        <w:tc>
          <w:tcPr>
            <w:tcW w:w="430" w:type="pct"/>
            <w:gridSpan w:val="2"/>
            <w:tcBorders>
              <w:top w:val="nil"/>
              <w:left w:val="nil"/>
              <w:bottom w:val="nil"/>
              <w:right w:val="nil"/>
            </w:tcBorders>
            <w:shd w:val="clear" w:color="auto" w:fill="auto"/>
            <w:noWrap/>
            <w:hideMark/>
          </w:tcPr>
          <w:p w14:paraId="6B75D5A2" w14:textId="77777777" w:rsidR="00205F72" w:rsidRPr="00205F72" w:rsidRDefault="00205F72" w:rsidP="00205F72">
            <w:pPr>
              <w:jc w:val="right"/>
              <w:rPr>
                <w:rFonts w:eastAsia="Times New Roman"/>
                <w:color w:val="000000"/>
                <w:sz w:val="16"/>
                <w:szCs w:val="16"/>
                <w:lang w:eastAsia="en-GB"/>
              </w:rPr>
            </w:pPr>
          </w:p>
        </w:tc>
        <w:tc>
          <w:tcPr>
            <w:tcW w:w="465" w:type="pct"/>
            <w:gridSpan w:val="2"/>
            <w:tcBorders>
              <w:top w:val="nil"/>
              <w:left w:val="nil"/>
              <w:bottom w:val="nil"/>
              <w:right w:val="nil"/>
            </w:tcBorders>
            <w:shd w:val="clear" w:color="auto" w:fill="auto"/>
            <w:noWrap/>
            <w:hideMark/>
          </w:tcPr>
          <w:p w14:paraId="2291A92E" w14:textId="77777777" w:rsidR="00205F72" w:rsidRPr="00205F72" w:rsidRDefault="00205F72" w:rsidP="00205F72">
            <w:pPr>
              <w:jc w:val="right"/>
              <w:rPr>
                <w:rFonts w:eastAsia="Times New Roman"/>
                <w:color w:val="000000"/>
                <w:sz w:val="16"/>
                <w:szCs w:val="16"/>
                <w:lang w:eastAsia="en-GB"/>
              </w:rPr>
            </w:pPr>
          </w:p>
        </w:tc>
        <w:tc>
          <w:tcPr>
            <w:tcW w:w="1059" w:type="pct"/>
            <w:tcBorders>
              <w:top w:val="nil"/>
              <w:left w:val="nil"/>
              <w:bottom w:val="nil"/>
              <w:right w:val="nil"/>
            </w:tcBorders>
            <w:shd w:val="clear" w:color="auto" w:fill="auto"/>
            <w:noWrap/>
            <w:hideMark/>
          </w:tcPr>
          <w:p w14:paraId="491410F8" w14:textId="77777777" w:rsidR="00205F72" w:rsidRPr="00205F72" w:rsidRDefault="00205F72" w:rsidP="00205F72">
            <w:pPr>
              <w:rPr>
                <w:rFonts w:eastAsia="Times New Roman"/>
                <w:color w:val="000000"/>
                <w:sz w:val="16"/>
                <w:szCs w:val="16"/>
                <w:lang w:eastAsia="en-GB"/>
              </w:rPr>
            </w:pPr>
          </w:p>
        </w:tc>
        <w:tc>
          <w:tcPr>
            <w:tcW w:w="760" w:type="pct"/>
            <w:tcBorders>
              <w:top w:val="nil"/>
              <w:left w:val="nil"/>
              <w:bottom w:val="nil"/>
              <w:right w:val="nil"/>
            </w:tcBorders>
            <w:shd w:val="clear" w:color="auto" w:fill="auto"/>
            <w:noWrap/>
            <w:hideMark/>
          </w:tcPr>
          <w:p w14:paraId="21DBC9F8" w14:textId="77777777" w:rsidR="00205F72" w:rsidRPr="00205F72" w:rsidRDefault="00205F72" w:rsidP="00205F72">
            <w:pPr>
              <w:jc w:val="center"/>
              <w:rPr>
                <w:rFonts w:eastAsia="Times New Roman"/>
                <w:color w:val="000000"/>
                <w:sz w:val="16"/>
                <w:szCs w:val="16"/>
                <w:lang w:eastAsia="en-GB"/>
              </w:rPr>
            </w:pPr>
          </w:p>
        </w:tc>
      </w:tr>
      <w:tr w:rsidR="00542ABB" w:rsidRPr="00205F72" w14:paraId="3B33D70C" w14:textId="77777777" w:rsidTr="004A417D">
        <w:trPr>
          <w:trHeight w:val="45"/>
        </w:trPr>
        <w:tc>
          <w:tcPr>
            <w:tcW w:w="593" w:type="pct"/>
            <w:tcBorders>
              <w:top w:val="nil"/>
              <w:left w:val="nil"/>
              <w:bottom w:val="single" w:sz="4" w:space="0" w:color="auto"/>
              <w:right w:val="nil"/>
            </w:tcBorders>
            <w:shd w:val="clear" w:color="auto" w:fill="auto"/>
            <w:noWrap/>
          </w:tcPr>
          <w:p w14:paraId="36A16312" w14:textId="77777777" w:rsidR="00205F72" w:rsidRPr="00205F72" w:rsidRDefault="00205F72" w:rsidP="00205F72">
            <w:pPr>
              <w:rPr>
                <w:rFonts w:eastAsia="Times New Roman"/>
                <w:color w:val="000000"/>
                <w:sz w:val="16"/>
                <w:szCs w:val="16"/>
                <w:lang w:eastAsia="en-GB"/>
              </w:rPr>
            </w:pPr>
          </w:p>
        </w:tc>
        <w:tc>
          <w:tcPr>
            <w:tcW w:w="592" w:type="pct"/>
            <w:tcBorders>
              <w:top w:val="nil"/>
              <w:left w:val="nil"/>
              <w:bottom w:val="single" w:sz="4" w:space="0" w:color="auto"/>
              <w:right w:val="nil"/>
            </w:tcBorders>
            <w:shd w:val="clear" w:color="auto" w:fill="auto"/>
            <w:noWrap/>
            <w:hideMark/>
          </w:tcPr>
          <w:p w14:paraId="68626C4C"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677" w:type="pct"/>
            <w:tcBorders>
              <w:top w:val="nil"/>
              <w:left w:val="nil"/>
              <w:bottom w:val="single" w:sz="4" w:space="0" w:color="auto"/>
              <w:right w:val="nil"/>
            </w:tcBorders>
            <w:shd w:val="clear" w:color="auto" w:fill="auto"/>
            <w:noWrap/>
            <w:hideMark/>
          </w:tcPr>
          <w:p w14:paraId="22E199BF"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424" w:type="pct"/>
            <w:tcBorders>
              <w:top w:val="nil"/>
              <w:left w:val="nil"/>
              <w:bottom w:val="single" w:sz="4" w:space="0" w:color="auto"/>
              <w:right w:val="nil"/>
            </w:tcBorders>
            <w:shd w:val="clear" w:color="auto" w:fill="auto"/>
            <w:noWrap/>
            <w:hideMark/>
          </w:tcPr>
          <w:p w14:paraId="43D3EAB6"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430" w:type="pct"/>
            <w:gridSpan w:val="2"/>
            <w:tcBorders>
              <w:top w:val="nil"/>
              <w:left w:val="nil"/>
              <w:bottom w:val="single" w:sz="4" w:space="0" w:color="auto"/>
              <w:right w:val="nil"/>
            </w:tcBorders>
            <w:shd w:val="clear" w:color="auto" w:fill="auto"/>
            <w:noWrap/>
            <w:hideMark/>
          </w:tcPr>
          <w:p w14:paraId="33E0160B"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465" w:type="pct"/>
            <w:gridSpan w:val="2"/>
            <w:tcBorders>
              <w:top w:val="nil"/>
              <w:left w:val="nil"/>
              <w:bottom w:val="single" w:sz="4" w:space="0" w:color="auto"/>
              <w:right w:val="nil"/>
            </w:tcBorders>
            <w:shd w:val="clear" w:color="auto" w:fill="auto"/>
            <w:noWrap/>
            <w:hideMark/>
          </w:tcPr>
          <w:p w14:paraId="36BA7A3D"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1059" w:type="pct"/>
            <w:tcBorders>
              <w:top w:val="nil"/>
              <w:left w:val="nil"/>
              <w:bottom w:val="single" w:sz="4" w:space="0" w:color="auto"/>
              <w:right w:val="nil"/>
            </w:tcBorders>
            <w:shd w:val="clear" w:color="auto" w:fill="auto"/>
            <w:noWrap/>
            <w:hideMark/>
          </w:tcPr>
          <w:p w14:paraId="2AF052A0"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c>
          <w:tcPr>
            <w:tcW w:w="760" w:type="pct"/>
            <w:tcBorders>
              <w:top w:val="nil"/>
              <w:left w:val="nil"/>
              <w:bottom w:val="single" w:sz="4" w:space="0" w:color="auto"/>
              <w:right w:val="nil"/>
            </w:tcBorders>
            <w:shd w:val="clear" w:color="auto" w:fill="auto"/>
            <w:noWrap/>
            <w:hideMark/>
          </w:tcPr>
          <w:p w14:paraId="609E7D25" w14:textId="77777777" w:rsidR="00205F72" w:rsidRPr="00205F72" w:rsidRDefault="00205F72" w:rsidP="00205F72">
            <w:pPr>
              <w:rPr>
                <w:rFonts w:eastAsia="Times New Roman"/>
                <w:color w:val="000000"/>
                <w:sz w:val="16"/>
                <w:szCs w:val="16"/>
                <w:lang w:eastAsia="en-GB"/>
              </w:rPr>
            </w:pPr>
            <w:r w:rsidRPr="00205F72">
              <w:rPr>
                <w:rFonts w:eastAsia="Times New Roman"/>
                <w:color w:val="000000"/>
                <w:sz w:val="16"/>
                <w:szCs w:val="16"/>
                <w:lang w:eastAsia="en-GB"/>
              </w:rPr>
              <w:t> </w:t>
            </w:r>
          </w:p>
        </w:tc>
      </w:tr>
      <w:tr w:rsidR="00542ABB" w:rsidRPr="00205F72" w14:paraId="15E23DE4" w14:textId="77777777" w:rsidTr="004A417D">
        <w:trPr>
          <w:trHeight w:val="315"/>
        </w:trPr>
        <w:tc>
          <w:tcPr>
            <w:tcW w:w="593" w:type="pct"/>
            <w:tcBorders>
              <w:top w:val="nil"/>
              <w:left w:val="nil"/>
              <w:bottom w:val="nil"/>
              <w:right w:val="nil"/>
            </w:tcBorders>
            <w:shd w:val="clear" w:color="auto" w:fill="auto"/>
            <w:noWrap/>
            <w:vAlign w:val="bottom"/>
          </w:tcPr>
          <w:p w14:paraId="4ECDC2B2" w14:textId="4448DEEF" w:rsidR="00205F72" w:rsidRPr="00205F72" w:rsidRDefault="00205F72" w:rsidP="00205F72">
            <w:pPr>
              <w:rPr>
                <w:rFonts w:eastAsia="Times New Roman"/>
                <w:b/>
                <w:color w:val="000000"/>
                <w:sz w:val="16"/>
                <w:szCs w:val="16"/>
                <w:lang w:eastAsia="en-GB"/>
              </w:rPr>
            </w:pPr>
            <w:r w:rsidRPr="00205F72">
              <w:rPr>
                <w:rFonts w:eastAsia="Times New Roman"/>
                <w:b/>
                <w:color w:val="000000"/>
                <w:sz w:val="16"/>
                <w:szCs w:val="16"/>
                <w:lang w:eastAsia="en-GB"/>
              </w:rPr>
              <w:t>$</w:t>
            </w:r>
            <w:r w:rsidR="00FF5EAA">
              <w:rPr>
                <w:rFonts w:eastAsia="Times New Roman"/>
                <w:b/>
                <w:color w:val="000000"/>
                <w:sz w:val="16"/>
                <w:szCs w:val="16"/>
                <w:lang w:eastAsia="en-GB"/>
              </w:rPr>
              <w:t>5</w:t>
            </w:r>
            <w:r w:rsidR="00D7695A">
              <w:rPr>
                <w:rFonts w:eastAsia="Times New Roman"/>
                <w:b/>
                <w:color w:val="000000"/>
                <w:sz w:val="16"/>
                <w:szCs w:val="16"/>
                <w:lang w:eastAsia="en-GB"/>
              </w:rPr>
              <w:t>23</w:t>
            </w:r>
            <w:r w:rsidRPr="00205F72">
              <w:rPr>
                <w:rFonts w:eastAsia="Times New Roman"/>
                <w:b/>
                <w:color w:val="000000"/>
                <w:sz w:val="16"/>
                <w:szCs w:val="16"/>
                <w:lang w:eastAsia="en-GB"/>
              </w:rPr>
              <w:t>,</w:t>
            </w:r>
            <w:r w:rsidR="00D7695A">
              <w:rPr>
                <w:rFonts w:eastAsia="Times New Roman"/>
                <w:b/>
                <w:color w:val="000000"/>
                <w:sz w:val="16"/>
                <w:szCs w:val="16"/>
                <w:lang w:eastAsia="en-GB"/>
              </w:rPr>
              <w:t>157</w:t>
            </w:r>
          </w:p>
        </w:tc>
        <w:tc>
          <w:tcPr>
            <w:tcW w:w="592" w:type="pct"/>
            <w:tcBorders>
              <w:top w:val="nil"/>
              <w:left w:val="nil"/>
              <w:bottom w:val="nil"/>
              <w:right w:val="nil"/>
            </w:tcBorders>
            <w:shd w:val="clear" w:color="auto" w:fill="auto"/>
            <w:noWrap/>
            <w:vAlign w:val="bottom"/>
            <w:hideMark/>
          </w:tcPr>
          <w:p w14:paraId="46B3109D" w14:textId="77777777" w:rsidR="00205F72" w:rsidRPr="00205F72" w:rsidRDefault="00205F72" w:rsidP="00205F72">
            <w:pPr>
              <w:rPr>
                <w:rFonts w:eastAsia="Times New Roman"/>
                <w:b/>
                <w:bCs/>
                <w:color w:val="000000"/>
                <w:sz w:val="16"/>
                <w:szCs w:val="16"/>
                <w:lang w:eastAsia="en-GB"/>
              </w:rPr>
            </w:pPr>
            <w:r w:rsidRPr="00205F72">
              <w:rPr>
                <w:rFonts w:eastAsia="Times New Roman"/>
                <w:b/>
                <w:bCs/>
                <w:color w:val="000000"/>
                <w:sz w:val="16"/>
                <w:szCs w:val="16"/>
                <w:lang w:eastAsia="en-GB"/>
              </w:rPr>
              <w:t>Total</w:t>
            </w:r>
          </w:p>
        </w:tc>
        <w:tc>
          <w:tcPr>
            <w:tcW w:w="677" w:type="pct"/>
            <w:tcBorders>
              <w:top w:val="nil"/>
              <w:left w:val="nil"/>
              <w:bottom w:val="nil"/>
              <w:right w:val="nil"/>
            </w:tcBorders>
            <w:shd w:val="clear" w:color="auto" w:fill="auto"/>
            <w:noWrap/>
            <w:vAlign w:val="bottom"/>
            <w:hideMark/>
          </w:tcPr>
          <w:p w14:paraId="5E912ABB" w14:textId="77777777" w:rsidR="00205F72" w:rsidRPr="00205F72" w:rsidRDefault="00205F72" w:rsidP="00205F72">
            <w:pPr>
              <w:rPr>
                <w:rFonts w:eastAsia="Times New Roman"/>
                <w:color w:val="000000"/>
                <w:sz w:val="16"/>
                <w:szCs w:val="16"/>
                <w:lang w:eastAsia="en-GB"/>
              </w:rPr>
            </w:pPr>
          </w:p>
        </w:tc>
        <w:tc>
          <w:tcPr>
            <w:tcW w:w="424" w:type="pct"/>
            <w:tcBorders>
              <w:top w:val="nil"/>
              <w:left w:val="nil"/>
              <w:bottom w:val="nil"/>
              <w:right w:val="nil"/>
            </w:tcBorders>
            <w:shd w:val="clear" w:color="auto" w:fill="auto"/>
            <w:noWrap/>
            <w:vAlign w:val="bottom"/>
            <w:hideMark/>
          </w:tcPr>
          <w:p w14:paraId="02211DA8" w14:textId="77777777" w:rsidR="00205F72" w:rsidRPr="00205F72" w:rsidRDefault="00205F72" w:rsidP="00205F72">
            <w:pPr>
              <w:ind w:firstLineChars="100" w:firstLine="160"/>
              <w:jc w:val="right"/>
              <w:rPr>
                <w:rFonts w:eastAsia="Times New Roman"/>
                <w:color w:val="000000"/>
                <w:sz w:val="16"/>
                <w:szCs w:val="16"/>
                <w:lang w:eastAsia="en-GB"/>
              </w:rPr>
            </w:pPr>
          </w:p>
        </w:tc>
        <w:tc>
          <w:tcPr>
            <w:tcW w:w="430" w:type="pct"/>
            <w:gridSpan w:val="2"/>
            <w:tcBorders>
              <w:top w:val="nil"/>
              <w:left w:val="nil"/>
              <w:bottom w:val="nil"/>
              <w:right w:val="nil"/>
            </w:tcBorders>
            <w:shd w:val="clear" w:color="auto" w:fill="auto"/>
            <w:noWrap/>
            <w:vAlign w:val="bottom"/>
            <w:hideMark/>
          </w:tcPr>
          <w:p w14:paraId="4B7B61B7" w14:textId="77777777" w:rsidR="00205F72" w:rsidRPr="00205F72" w:rsidRDefault="00205F72" w:rsidP="00205F72">
            <w:pPr>
              <w:ind w:firstLineChars="100" w:firstLine="160"/>
              <w:jc w:val="right"/>
              <w:rPr>
                <w:rFonts w:eastAsia="Times New Roman"/>
                <w:color w:val="000000"/>
                <w:sz w:val="16"/>
                <w:szCs w:val="16"/>
                <w:lang w:eastAsia="en-GB"/>
              </w:rPr>
            </w:pPr>
          </w:p>
        </w:tc>
        <w:tc>
          <w:tcPr>
            <w:tcW w:w="465" w:type="pct"/>
            <w:gridSpan w:val="2"/>
            <w:tcBorders>
              <w:top w:val="nil"/>
              <w:left w:val="nil"/>
              <w:bottom w:val="nil"/>
              <w:right w:val="nil"/>
            </w:tcBorders>
            <w:shd w:val="clear" w:color="auto" w:fill="auto"/>
            <w:noWrap/>
            <w:vAlign w:val="bottom"/>
            <w:hideMark/>
          </w:tcPr>
          <w:p w14:paraId="57607F59" w14:textId="77777777" w:rsidR="00205F72" w:rsidRPr="00205F72" w:rsidRDefault="00205F72" w:rsidP="00205F72">
            <w:pPr>
              <w:rPr>
                <w:rFonts w:eastAsia="Times New Roman"/>
                <w:color w:val="000000"/>
                <w:sz w:val="16"/>
                <w:szCs w:val="16"/>
                <w:lang w:eastAsia="en-GB"/>
              </w:rPr>
            </w:pPr>
          </w:p>
        </w:tc>
        <w:tc>
          <w:tcPr>
            <w:tcW w:w="1059" w:type="pct"/>
            <w:tcBorders>
              <w:top w:val="nil"/>
              <w:left w:val="nil"/>
              <w:bottom w:val="nil"/>
              <w:right w:val="nil"/>
            </w:tcBorders>
            <w:shd w:val="clear" w:color="auto" w:fill="auto"/>
            <w:noWrap/>
            <w:vAlign w:val="bottom"/>
            <w:hideMark/>
          </w:tcPr>
          <w:p w14:paraId="2C027052" w14:textId="77777777" w:rsidR="00205F72" w:rsidRPr="00205F72" w:rsidRDefault="00205F72" w:rsidP="00205F72">
            <w:pPr>
              <w:ind w:firstLineChars="200" w:firstLine="320"/>
              <w:jc w:val="right"/>
              <w:rPr>
                <w:rFonts w:eastAsia="Times New Roman"/>
                <w:color w:val="000000"/>
                <w:sz w:val="16"/>
                <w:szCs w:val="16"/>
                <w:lang w:eastAsia="en-GB"/>
              </w:rPr>
            </w:pPr>
          </w:p>
        </w:tc>
        <w:tc>
          <w:tcPr>
            <w:tcW w:w="760" w:type="pct"/>
            <w:tcBorders>
              <w:top w:val="nil"/>
              <w:left w:val="nil"/>
              <w:bottom w:val="nil"/>
              <w:right w:val="nil"/>
            </w:tcBorders>
            <w:shd w:val="clear" w:color="auto" w:fill="auto"/>
            <w:noWrap/>
            <w:vAlign w:val="bottom"/>
            <w:hideMark/>
          </w:tcPr>
          <w:p w14:paraId="749BBE58" w14:textId="77777777" w:rsidR="00205F72" w:rsidRPr="00205F72" w:rsidRDefault="00205F72" w:rsidP="00205F72">
            <w:pPr>
              <w:rPr>
                <w:rFonts w:eastAsia="Times New Roman"/>
                <w:color w:val="000000"/>
                <w:sz w:val="16"/>
                <w:szCs w:val="16"/>
                <w:lang w:eastAsia="en-GB"/>
              </w:rPr>
            </w:pPr>
          </w:p>
        </w:tc>
      </w:tr>
    </w:tbl>
    <w:p w14:paraId="46A5CAFB" w14:textId="646FC320" w:rsidR="00AF11A0" w:rsidRDefault="00AF11A0" w:rsidP="00EB7E49">
      <w:pPr>
        <w:pStyle w:val="Bodytext"/>
        <w:ind w:left="567"/>
      </w:pPr>
    </w:p>
    <w:p w14:paraId="2E9D8408" w14:textId="77777777" w:rsidR="00205F72" w:rsidRDefault="00205F72" w:rsidP="00EB7E49">
      <w:pPr>
        <w:pStyle w:val="Bodytext"/>
        <w:ind w:left="567"/>
      </w:pPr>
    </w:p>
    <w:p w14:paraId="3F508F5B" w14:textId="77777777" w:rsidR="00AF11A0" w:rsidRPr="00811BA1" w:rsidRDefault="00AF11A0" w:rsidP="00EB7E49">
      <w:pPr>
        <w:pStyle w:val="Bodytext"/>
        <w:ind w:left="567"/>
      </w:pPr>
    </w:p>
    <w:p w14:paraId="6728150A" w14:textId="75ABF2A9" w:rsidR="00234DF1" w:rsidRDefault="00234DF1" w:rsidP="00EB7E49">
      <w:pPr>
        <w:pStyle w:val="Heading3"/>
        <w:ind w:left="567"/>
      </w:pPr>
      <w:r w:rsidRPr="00811BA1">
        <w:t>Quantitative information about Level 3 fair value measurements</w:t>
      </w:r>
      <w:r w:rsidR="0028027F">
        <w:t xml:space="preserve"> </w:t>
      </w:r>
      <w:r w:rsidR="0028027F" w:rsidRPr="002D1A2F">
        <w:rPr>
          <w:rFonts w:eastAsia="Arial"/>
          <w:szCs w:val="26"/>
        </w:rPr>
        <w:t xml:space="preserve">as at </w:t>
      </w:r>
      <w:r w:rsidR="00610498">
        <w:rPr>
          <w:rFonts w:eastAsia="Arial"/>
          <w:szCs w:val="26"/>
        </w:rPr>
        <w:t>31 December 2018</w:t>
      </w:r>
    </w:p>
    <w:tbl>
      <w:tblPr>
        <w:tblW w:w="5398" w:type="pct"/>
        <w:tblInd w:w="-176" w:type="dxa"/>
        <w:tblLayout w:type="fixed"/>
        <w:tblLook w:val="04A0" w:firstRow="1" w:lastRow="0" w:firstColumn="1" w:lastColumn="0" w:noHBand="0" w:noVBand="1"/>
      </w:tblPr>
      <w:tblGrid>
        <w:gridCol w:w="1387"/>
        <w:gridCol w:w="1250"/>
        <w:gridCol w:w="1385"/>
        <w:gridCol w:w="830"/>
        <w:gridCol w:w="537"/>
        <w:gridCol w:w="297"/>
        <w:gridCol w:w="1109"/>
        <w:gridCol w:w="1801"/>
        <w:gridCol w:w="1803"/>
      </w:tblGrid>
      <w:tr w:rsidR="00765749" w:rsidRPr="00D23BFA" w14:paraId="51296C47" w14:textId="77777777" w:rsidTr="00232FBD">
        <w:trPr>
          <w:trHeight w:val="315"/>
        </w:trPr>
        <w:tc>
          <w:tcPr>
            <w:tcW w:w="1268" w:type="pct"/>
            <w:gridSpan w:val="2"/>
            <w:tcBorders>
              <w:top w:val="nil"/>
              <w:left w:val="nil"/>
              <w:bottom w:val="nil"/>
              <w:right w:val="nil"/>
            </w:tcBorders>
            <w:shd w:val="clear" w:color="auto" w:fill="auto"/>
            <w:noWrap/>
            <w:hideMark/>
          </w:tcPr>
          <w:p w14:paraId="7D416035" w14:textId="77777777" w:rsidR="00765749" w:rsidRPr="00D23BFA" w:rsidRDefault="00765749" w:rsidP="00232FBD">
            <w:pPr>
              <w:rPr>
                <w:rFonts w:eastAsia="Times New Roman"/>
                <w:color w:val="000000"/>
                <w:sz w:val="16"/>
                <w:szCs w:val="16"/>
                <w:lang w:eastAsia="en-GB"/>
              </w:rPr>
            </w:pPr>
            <w:r w:rsidRPr="00D23BFA">
              <w:rPr>
                <w:rFonts w:eastAsia="Times New Roman"/>
                <w:b/>
                <w:bCs/>
                <w:color w:val="000000"/>
                <w:sz w:val="16"/>
                <w:szCs w:val="16"/>
                <w:lang w:eastAsia="en-GB"/>
              </w:rPr>
              <w:t>Industry: Energy</w:t>
            </w:r>
          </w:p>
        </w:tc>
        <w:tc>
          <w:tcPr>
            <w:tcW w:w="666" w:type="pct"/>
            <w:tcBorders>
              <w:top w:val="nil"/>
              <w:left w:val="nil"/>
              <w:bottom w:val="nil"/>
              <w:right w:val="nil"/>
            </w:tcBorders>
            <w:shd w:val="clear" w:color="auto" w:fill="auto"/>
            <w:noWrap/>
            <w:vAlign w:val="bottom"/>
            <w:hideMark/>
          </w:tcPr>
          <w:p w14:paraId="5014DDF8" w14:textId="77777777" w:rsidR="00765749" w:rsidRPr="00D23BFA" w:rsidRDefault="00765749" w:rsidP="00232FBD">
            <w:pPr>
              <w:rPr>
                <w:rFonts w:eastAsia="Times New Roman"/>
                <w:color w:val="000000"/>
                <w:sz w:val="16"/>
                <w:szCs w:val="16"/>
                <w:lang w:eastAsia="en-GB"/>
              </w:rPr>
            </w:pPr>
          </w:p>
        </w:tc>
        <w:tc>
          <w:tcPr>
            <w:tcW w:w="657" w:type="pct"/>
            <w:gridSpan w:val="2"/>
            <w:tcBorders>
              <w:top w:val="nil"/>
              <w:left w:val="nil"/>
              <w:bottom w:val="nil"/>
              <w:right w:val="nil"/>
            </w:tcBorders>
            <w:shd w:val="clear" w:color="auto" w:fill="auto"/>
            <w:noWrap/>
            <w:vAlign w:val="bottom"/>
            <w:hideMark/>
          </w:tcPr>
          <w:p w14:paraId="4B9451BA" w14:textId="77777777" w:rsidR="00765749" w:rsidRPr="00D23BFA" w:rsidRDefault="00765749" w:rsidP="00232FBD">
            <w:pPr>
              <w:jc w:val="center"/>
              <w:rPr>
                <w:rFonts w:eastAsia="Times New Roman"/>
                <w:color w:val="000000"/>
                <w:sz w:val="16"/>
                <w:szCs w:val="16"/>
                <w:lang w:eastAsia="en-GB"/>
              </w:rPr>
            </w:pPr>
          </w:p>
        </w:tc>
        <w:tc>
          <w:tcPr>
            <w:tcW w:w="143" w:type="pct"/>
            <w:tcBorders>
              <w:top w:val="nil"/>
              <w:left w:val="nil"/>
              <w:bottom w:val="nil"/>
              <w:right w:val="nil"/>
            </w:tcBorders>
            <w:shd w:val="clear" w:color="auto" w:fill="auto"/>
            <w:noWrap/>
            <w:vAlign w:val="bottom"/>
            <w:hideMark/>
          </w:tcPr>
          <w:p w14:paraId="14103639" w14:textId="77777777" w:rsidR="00765749" w:rsidRPr="00D23BFA" w:rsidRDefault="00765749" w:rsidP="00232FBD">
            <w:pPr>
              <w:jc w:val="center"/>
              <w:rPr>
                <w:rFonts w:eastAsia="Times New Roman"/>
                <w:color w:val="000000"/>
                <w:sz w:val="16"/>
                <w:szCs w:val="16"/>
                <w:lang w:eastAsia="en-GB"/>
              </w:rPr>
            </w:pPr>
          </w:p>
        </w:tc>
        <w:tc>
          <w:tcPr>
            <w:tcW w:w="533" w:type="pct"/>
            <w:tcBorders>
              <w:top w:val="nil"/>
              <w:left w:val="nil"/>
              <w:bottom w:val="nil"/>
              <w:right w:val="nil"/>
            </w:tcBorders>
            <w:shd w:val="clear" w:color="auto" w:fill="auto"/>
            <w:noWrap/>
            <w:vAlign w:val="bottom"/>
            <w:hideMark/>
          </w:tcPr>
          <w:p w14:paraId="4CFCE087" w14:textId="77777777" w:rsidR="00765749" w:rsidRPr="00D23BFA" w:rsidRDefault="00765749" w:rsidP="00232FBD">
            <w:pPr>
              <w:ind w:firstLineChars="100" w:firstLine="160"/>
              <w:jc w:val="right"/>
              <w:rPr>
                <w:rFonts w:eastAsia="Times New Roman"/>
                <w:color w:val="000000"/>
                <w:sz w:val="16"/>
                <w:szCs w:val="16"/>
                <w:lang w:eastAsia="en-GB"/>
              </w:rPr>
            </w:pPr>
          </w:p>
        </w:tc>
        <w:tc>
          <w:tcPr>
            <w:tcW w:w="866" w:type="pct"/>
            <w:tcBorders>
              <w:top w:val="nil"/>
              <w:left w:val="nil"/>
              <w:bottom w:val="nil"/>
              <w:right w:val="nil"/>
            </w:tcBorders>
            <w:shd w:val="clear" w:color="auto" w:fill="auto"/>
            <w:noWrap/>
            <w:vAlign w:val="bottom"/>
            <w:hideMark/>
          </w:tcPr>
          <w:p w14:paraId="1C3E813F" w14:textId="77777777" w:rsidR="00765749" w:rsidRPr="00D23BFA" w:rsidRDefault="00765749" w:rsidP="00232FBD">
            <w:pPr>
              <w:rPr>
                <w:rFonts w:eastAsia="Times New Roman"/>
                <w:color w:val="000000"/>
                <w:sz w:val="16"/>
                <w:szCs w:val="16"/>
                <w:lang w:eastAsia="en-GB"/>
              </w:rPr>
            </w:pPr>
          </w:p>
        </w:tc>
        <w:tc>
          <w:tcPr>
            <w:tcW w:w="867" w:type="pct"/>
            <w:tcBorders>
              <w:top w:val="nil"/>
              <w:left w:val="nil"/>
              <w:bottom w:val="nil"/>
              <w:right w:val="nil"/>
            </w:tcBorders>
            <w:shd w:val="clear" w:color="auto" w:fill="auto"/>
            <w:noWrap/>
            <w:vAlign w:val="bottom"/>
            <w:hideMark/>
          </w:tcPr>
          <w:p w14:paraId="24F11E70" w14:textId="77777777" w:rsidR="00765749" w:rsidRPr="00D23BFA" w:rsidRDefault="00765749" w:rsidP="00232FBD">
            <w:pPr>
              <w:rPr>
                <w:rFonts w:eastAsia="Times New Roman"/>
                <w:color w:val="000000"/>
                <w:sz w:val="16"/>
                <w:szCs w:val="16"/>
                <w:lang w:eastAsia="en-GB"/>
              </w:rPr>
            </w:pPr>
          </w:p>
        </w:tc>
      </w:tr>
      <w:tr w:rsidR="00765749" w:rsidRPr="00D23BFA" w14:paraId="7BD3075C" w14:textId="77777777" w:rsidTr="00232FBD">
        <w:trPr>
          <w:trHeight w:val="215"/>
        </w:trPr>
        <w:tc>
          <w:tcPr>
            <w:tcW w:w="667" w:type="pct"/>
            <w:tcBorders>
              <w:top w:val="nil"/>
              <w:left w:val="nil"/>
              <w:bottom w:val="nil"/>
              <w:right w:val="nil"/>
            </w:tcBorders>
            <w:shd w:val="clear" w:color="auto" w:fill="auto"/>
            <w:noWrap/>
            <w:hideMark/>
          </w:tcPr>
          <w:p w14:paraId="3D2BC579" w14:textId="77777777" w:rsidR="00765749" w:rsidRPr="00D23BFA" w:rsidRDefault="00765749" w:rsidP="00232FBD">
            <w:pPr>
              <w:rPr>
                <w:rFonts w:eastAsia="Times New Roman"/>
                <w:b/>
                <w:bCs/>
                <w:sz w:val="16"/>
                <w:szCs w:val="16"/>
                <w:lang w:eastAsia="en-GB"/>
              </w:rPr>
            </w:pPr>
            <w:r w:rsidRPr="00D23BFA">
              <w:rPr>
                <w:rFonts w:eastAsia="Times New Roman"/>
                <w:b/>
                <w:bCs/>
                <w:sz w:val="16"/>
                <w:szCs w:val="16"/>
                <w:lang w:eastAsia="en-GB"/>
              </w:rPr>
              <w:t>Fair value</w:t>
            </w:r>
            <w:r>
              <w:rPr>
                <w:rFonts w:eastAsia="Times New Roman"/>
                <w:b/>
                <w:bCs/>
                <w:sz w:val="16"/>
                <w:szCs w:val="16"/>
                <w:lang w:eastAsia="en-GB"/>
              </w:rPr>
              <w:t xml:space="preserve"> </w:t>
            </w:r>
            <w:r w:rsidRPr="00D23BFA">
              <w:rPr>
                <w:b/>
                <w:bCs/>
                <w:sz w:val="16"/>
                <w:szCs w:val="16"/>
              </w:rPr>
              <w:t>of Level 3</w:t>
            </w:r>
            <w:r>
              <w:rPr>
                <w:b/>
                <w:bCs/>
                <w:sz w:val="16"/>
                <w:szCs w:val="16"/>
              </w:rPr>
              <w:t xml:space="preserve"> </w:t>
            </w:r>
          </w:p>
        </w:tc>
        <w:tc>
          <w:tcPr>
            <w:tcW w:w="601" w:type="pct"/>
            <w:tcBorders>
              <w:top w:val="nil"/>
              <w:left w:val="nil"/>
              <w:bottom w:val="nil"/>
              <w:right w:val="nil"/>
            </w:tcBorders>
            <w:shd w:val="clear" w:color="auto" w:fill="auto"/>
            <w:noWrap/>
            <w:vAlign w:val="bottom"/>
            <w:hideMark/>
          </w:tcPr>
          <w:p w14:paraId="53437917" w14:textId="77777777" w:rsidR="00765749" w:rsidRPr="00D23BFA" w:rsidRDefault="00765749" w:rsidP="00232FBD">
            <w:pPr>
              <w:rPr>
                <w:rFonts w:eastAsia="Times New Roman"/>
                <w:b/>
                <w:bCs/>
                <w:sz w:val="16"/>
                <w:szCs w:val="16"/>
                <w:lang w:eastAsia="en-GB"/>
              </w:rPr>
            </w:pPr>
          </w:p>
        </w:tc>
        <w:tc>
          <w:tcPr>
            <w:tcW w:w="666" w:type="pct"/>
            <w:tcBorders>
              <w:top w:val="nil"/>
              <w:left w:val="nil"/>
              <w:bottom w:val="nil"/>
              <w:right w:val="nil"/>
            </w:tcBorders>
            <w:shd w:val="clear" w:color="auto" w:fill="auto"/>
            <w:noWrap/>
            <w:vAlign w:val="bottom"/>
            <w:hideMark/>
          </w:tcPr>
          <w:p w14:paraId="5E8941CB" w14:textId="77777777" w:rsidR="00765749" w:rsidRPr="00D23BFA" w:rsidRDefault="00765749" w:rsidP="00232FBD">
            <w:pPr>
              <w:rPr>
                <w:rFonts w:eastAsia="Times New Roman"/>
                <w:b/>
                <w:bCs/>
                <w:sz w:val="16"/>
                <w:szCs w:val="16"/>
                <w:lang w:eastAsia="en-GB"/>
              </w:rPr>
            </w:pPr>
          </w:p>
        </w:tc>
        <w:tc>
          <w:tcPr>
            <w:tcW w:w="657" w:type="pct"/>
            <w:gridSpan w:val="2"/>
            <w:tcBorders>
              <w:top w:val="nil"/>
              <w:left w:val="nil"/>
              <w:bottom w:val="nil"/>
              <w:right w:val="nil"/>
            </w:tcBorders>
            <w:shd w:val="clear" w:color="auto" w:fill="auto"/>
            <w:noWrap/>
            <w:vAlign w:val="bottom"/>
            <w:hideMark/>
          </w:tcPr>
          <w:p w14:paraId="52ADEBCD" w14:textId="77777777" w:rsidR="00765749" w:rsidRPr="00D23BFA" w:rsidRDefault="00765749" w:rsidP="00232FBD">
            <w:pPr>
              <w:rPr>
                <w:rFonts w:eastAsia="Times New Roman"/>
                <w:color w:val="000000"/>
                <w:sz w:val="16"/>
                <w:szCs w:val="16"/>
                <w:lang w:eastAsia="en-GB"/>
              </w:rPr>
            </w:pPr>
          </w:p>
        </w:tc>
        <w:tc>
          <w:tcPr>
            <w:tcW w:w="143" w:type="pct"/>
            <w:tcBorders>
              <w:top w:val="nil"/>
              <w:left w:val="nil"/>
              <w:bottom w:val="nil"/>
              <w:right w:val="nil"/>
            </w:tcBorders>
            <w:shd w:val="clear" w:color="auto" w:fill="auto"/>
            <w:noWrap/>
            <w:vAlign w:val="bottom"/>
            <w:hideMark/>
          </w:tcPr>
          <w:p w14:paraId="753BF641" w14:textId="77777777" w:rsidR="00765749" w:rsidRPr="00D23BFA" w:rsidRDefault="00765749" w:rsidP="00232FBD">
            <w:pPr>
              <w:rPr>
                <w:rFonts w:eastAsia="Times New Roman"/>
                <w:color w:val="000000"/>
                <w:sz w:val="16"/>
                <w:szCs w:val="16"/>
                <w:lang w:eastAsia="en-GB"/>
              </w:rPr>
            </w:pPr>
          </w:p>
        </w:tc>
        <w:tc>
          <w:tcPr>
            <w:tcW w:w="533" w:type="pct"/>
            <w:tcBorders>
              <w:top w:val="nil"/>
              <w:left w:val="nil"/>
              <w:bottom w:val="nil"/>
              <w:right w:val="nil"/>
            </w:tcBorders>
            <w:shd w:val="clear" w:color="auto" w:fill="auto"/>
            <w:noWrap/>
            <w:vAlign w:val="bottom"/>
            <w:hideMark/>
          </w:tcPr>
          <w:p w14:paraId="18631334" w14:textId="77777777" w:rsidR="00765749" w:rsidRPr="00D23BFA" w:rsidRDefault="00765749" w:rsidP="00232FBD">
            <w:pPr>
              <w:rPr>
                <w:rFonts w:eastAsia="Times New Roman"/>
                <w:color w:val="000000"/>
                <w:sz w:val="16"/>
                <w:szCs w:val="16"/>
                <w:lang w:eastAsia="en-GB"/>
              </w:rPr>
            </w:pPr>
          </w:p>
        </w:tc>
        <w:tc>
          <w:tcPr>
            <w:tcW w:w="866" w:type="pct"/>
            <w:tcBorders>
              <w:top w:val="nil"/>
              <w:left w:val="nil"/>
              <w:bottom w:val="nil"/>
              <w:right w:val="nil"/>
            </w:tcBorders>
            <w:shd w:val="clear" w:color="auto" w:fill="auto"/>
            <w:noWrap/>
            <w:vAlign w:val="bottom"/>
            <w:hideMark/>
          </w:tcPr>
          <w:p w14:paraId="2BE46179" w14:textId="77777777" w:rsidR="00765749" w:rsidRPr="00D23BFA" w:rsidRDefault="00765749" w:rsidP="00232FBD">
            <w:pPr>
              <w:jc w:val="right"/>
              <w:rPr>
                <w:rFonts w:eastAsia="Times New Roman"/>
                <w:b/>
                <w:bCs/>
                <w:sz w:val="16"/>
                <w:szCs w:val="16"/>
                <w:lang w:eastAsia="en-GB"/>
              </w:rPr>
            </w:pPr>
            <w:r w:rsidRPr="00D23BFA">
              <w:rPr>
                <w:b/>
                <w:bCs/>
                <w:sz w:val="16"/>
                <w:szCs w:val="16"/>
              </w:rPr>
              <w:t>Sensitivity of the</w:t>
            </w:r>
          </w:p>
        </w:tc>
        <w:tc>
          <w:tcPr>
            <w:tcW w:w="867" w:type="pct"/>
            <w:tcBorders>
              <w:top w:val="nil"/>
              <w:left w:val="nil"/>
              <w:bottom w:val="nil"/>
              <w:right w:val="nil"/>
            </w:tcBorders>
            <w:shd w:val="clear" w:color="auto" w:fill="auto"/>
            <w:noWrap/>
            <w:vAlign w:val="bottom"/>
            <w:hideMark/>
          </w:tcPr>
          <w:p w14:paraId="737C1F8B" w14:textId="77777777" w:rsidR="00765749" w:rsidRPr="00D23BFA" w:rsidRDefault="00765749" w:rsidP="00232FBD">
            <w:pPr>
              <w:jc w:val="right"/>
              <w:rPr>
                <w:rFonts w:eastAsia="Times New Roman"/>
                <w:color w:val="000000"/>
                <w:sz w:val="16"/>
                <w:szCs w:val="16"/>
                <w:lang w:eastAsia="en-GB"/>
              </w:rPr>
            </w:pPr>
            <w:r w:rsidRPr="00D23BFA">
              <w:rPr>
                <w:b/>
                <w:bCs/>
                <w:sz w:val="16"/>
                <w:szCs w:val="16"/>
              </w:rPr>
              <w:t>Fair value of Level 3</w:t>
            </w:r>
          </w:p>
        </w:tc>
      </w:tr>
      <w:tr w:rsidR="00765749" w:rsidRPr="00D23BFA" w14:paraId="5B125105" w14:textId="77777777" w:rsidTr="00232FBD">
        <w:trPr>
          <w:trHeight w:val="133"/>
        </w:trPr>
        <w:tc>
          <w:tcPr>
            <w:tcW w:w="667" w:type="pct"/>
            <w:tcBorders>
              <w:top w:val="nil"/>
              <w:left w:val="nil"/>
              <w:right w:val="nil"/>
            </w:tcBorders>
            <w:shd w:val="clear" w:color="auto" w:fill="auto"/>
            <w:noWrap/>
            <w:hideMark/>
          </w:tcPr>
          <w:p w14:paraId="69CE5BF7" w14:textId="77777777" w:rsidR="00765749" w:rsidRPr="00D23BFA" w:rsidRDefault="00765749" w:rsidP="00232FBD">
            <w:pPr>
              <w:rPr>
                <w:rFonts w:eastAsia="Times New Roman"/>
                <w:b/>
                <w:bCs/>
                <w:color w:val="000000"/>
                <w:sz w:val="16"/>
                <w:szCs w:val="16"/>
                <w:lang w:eastAsia="en-GB"/>
              </w:rPr>
            </w:pPr>
            <w:r w:rsidRPr="00D23BFA">
              <w:rPr>
                <w:b/>
                <w:bCs/>
                <w:sz w:val="16"/>
                <w:szCs w:val="16"/>
              </w:rPr>
              <w:t>investments</w:t>
            </w:r>
          </w:p>
        </w:tc>
        <w:tc>
          <w:tcPr>
            <w:tcW w:w="601" w:type="pct"/>
            <w:tcBorders>
              <w:top w:val="nil"/>
              <w:left w:val="nil"/>
              <w:right w:val="nil"/>
            </w:tcBorders>
            <w:shd w:val="clear" w:color="auto" w:fill="auto"/>
            <w:noWrap/>
            <w:vAlign w:val="bottom"/>
            <w:hideMark/>
          </w:tcPr>
          <w:p w14:paraId="2CAB0333" w14:textId="77777777" w:rsidR="00765749" w:rsidRPr="00D23BFA" w:rsidRDefault="00765749" w:rsidP="00232FBD">
            <w:pPr>
              <w:jc w:val="right"/>
              <w:rPr>
                <w:rFonts w:eastAsia="Times New Roman"/>
                <w:b/>
                <w:bCs/>
                <w:sz w:val="16"/>
                <w:szCs w:val="16"/>
                <w:lang w:eastAsia="en-GB"/>
              </w:rPr>
            </w:pPr>
            <w:r w:rsidRPr="00D23BFA">
              <w:rPr>
                <w:rFonts w:eastAsia="Times New Roman"/>
                <w:b/>
                <w:bCs/>
                <w:sz w:val="16"/>
                <w:szCs w:val="16"/>
                <w:lang w:eastAsia="en-GB"/>
              </w:rPr>
              <w:t>Valuation</w:t>
            </w:r>
          </w:p>
        </w:tc>
        <w:tc>
          <w:tcPr>
            <w:tcW w:w="666" w:type="pct"/>
            <w:tcBorders>
              <w:top w:val="nil"/>
              <w:left w:val="nil"/>
              <w:right w:val="nil"/>
            </w:tcBorders>
            <w:shd w:val="clear" w:color="auto" w:fill="auto"/>
            <w:noWrap/>
            <w:vAlign w:val="bottom"/>
            <w:hideMark/>
          </w:tcPr>
          <w:p w14:paraId="37A687A8" w14:textId="77777777" w:rsidR="00765749" w:rsidRPr="00D23BFA" w:rsidRDefault="00765749" w:rsidP="00232FBD">
            <w:pPr>
              <w:jc w:val="right"/>
              <w:rPr>
                <w:rFonts w:eastAsia="Times New Roman"/>
                <w:b/>
                <w:bCs/>
                <w:sz w:val="16"/>
                <w:szCs w:val="16"/>
                <w:lang w:eastAsia="en-GB"/>
              </w:rPr>
            </w:pPr>
            <w:r w:rsidRPr="00D23BFA">
              <w:rPr>
                <w:rFonts w:eastAsia="Times New Roman"/>
                <w:b/>
                <w:bCs/>
                <w:sz w:val="16"/>
                <w:szCs w:val="16"/>
                <w:lang w:eastAsia="en-GB"/>
              </w:rPr>
              <w:t>Unobservable</w:t>
            </w:r>
          </w:p>
        </w:tc>
        <w:tc>
          <w:tcPr>
            <w:tcW w:w="800" w:type="pct"/>
            <w:gridSpan w:val="3"/>
            <w:tcBorders>
              <w:top w:val="nil"/>
              <w:left w:val="nil"/>
              <w:right w:val="nil"/>
            </w:tcBorders>
            <w:shd w:val="clear" w:color="auto" w:fill="auto"/>
            <w:noWrap/>
            <w:vAlign w:val="bottom"/>
            <w:hideMark/>
          </w:tcPr>
          <w:p w14:paraId="0AAF007E" w14:textId="77777777" w:rsidR="00765749" w:rsidRPr="00D23BFA" w:rsidRDefault="00765749" w:rsidP="00232FBD">
            <w:pPr>
              <w:jc w:val="center"/>
              <w:rPr>
                <w:rFonts w:eastAsia="Times New Roman"/>
                <w:b/>
                <w:bCs/>
                <w:sz w:val="16"/>
                <w:szCs w:val="16"/>
                <w:lang w:eastAsia="en-GB"/>
              </w:rPr>
            </w:pPr>
            <w:r w:rsidRPr="00D23BFA">
              <w:rPr>
                <w:rFonts w:eastAsia="Times New Roman"/>
                <w:b/>
                <w:bCs/>
                <w:sz w:val="16"/>
                <w:szCs w:val="16"/>
                <w:lang w:eastAsia="en-GB"/>
              </w:rPr>
              <w:t>Range</w:t>
            </w:r>
          </w:p>
        </w:tc>
        <w:tc>
          <w:tcPr>
            <w:tcW w:w="533" w:type="pct"/>
            <w:vMerge w:val="restart"/>
            <w:tcBorders>
              <w:top w:val="nil"/>
              <w:left w:val="nil"/>
              <w:right w:val="nil"/>
            </w:tcBorders>
            <w:shd w:val="clear" w:color="auto" w:fill="auto"/>
            <w:vAlign w:val="bottom"/>
            <w:hideMark/>
          </w:tcPr>
          <w:p w14:paraId="76B287AF" w14:textId="77777777" w:rsidR="00765749" w:rsidRPr="00D23BFA" w:rsidRDefault="00765749" w:rsidP="00232FBD">
            <w:pPr>
              <w:jc w:val="right"/>
              <w:rPr>
                <w:rFonts w:eastAsia="Times New Roman"/>
                <w:b/>
                <w:bCs/>
                <w:sz w:val="16"/>
                <w:szCs w:val="16"/>
                <w:lang w:eastAsia="en-GB"/>
              </w:rPr>
            </w:pPr>
            <w:r w:rsidRPr="00D23BFA">
              <w:rPr>
                <w:rFonts w:eastAsia="Times New Roman"/>
                <w:b/>
                <w:bCs/>
                <w:sz w:val="16"/>
                <w:szCs w:val="16"/>
                <w:lang w:eastAsia="en-GB"/>
              </w:rPr>
              <w:t xml:space="preserve">Weighted Average </w:t>
            </w:r>
            <w:r w:rsidRPr="00D23BFA">
              <w:rPr>
                <w:rFonts w:eastAsia="Times New Roman"/>
                <w:b/>
                <w:bCs/>
                <w:sz w:val="16"/>
                <w:szCs w:val="16"/>
                <w:vertAlign w:val="superscript"/>
                <w:lang w:eastAsia="en-GB"/>
              </w:rPr>
              <w:t>(1)</w:t>
            </w:r>
          </w:p>
        </w:tc>
        <w:tc>
          <w:tcPr>
            <w:tcW w:w="866" w:type="pct"/>
            <w:tcBorders>
              <w:top w:val="nil"/>
              <w:left w:val="nil"/>
              <w:right w:val="nil"/>
            </w:tcBorders>
            <w:shd w:val="clear" w:color="auto" w:fill="auto"/>
            <w:noWrap/>
            <w:vAlign w:val="bottom"/>
            <w:hideMark/>
          </w:tcPr>
          <w:p w14:paraId="3A0C4155" w14:textId="77777777" w:rsidR="00765749" w:rsidRPr="00D23BFA" w:rsidRDefault="00765749" w:rsidP="00232FBD">
            <w:pPr>
              <w:jc w:val="right"/>
              <w:rPr>
                <w:rFonts w:eastAsia="Times New Roman"/>
                <w:b/>
                <w:bCs/>
                <w:sz w:val="16"/>
                <w:szCs w:val="16"/>
                <w:lang w:eastAsia="en-GB"/>
              </w:rPr>
            </w:pPr>
            <w:r w:rsidRPr="00D23BFA">
              <w:rPr>
                <w:b/>
                <w:bCs/>
                <w:sz w:val="16"/>
                <w:szCs w:val="16"/>
              </w:rPr>
              <w:t>input to fair value of</w:t>
            </w:r>
          </w:p>
        </w:tc>
        <w:tc>
          <w:tcPr>
            <w:tcW w:w="867" w:type="pct"/>
            <w:tcBorders>
              <w:top w:val="nil"/>
              <w:left w:val="nil"/>
              <w:right w:val="nil"/>
            </w:tcBorders>
            <w:shd w:val="clear" w:color="auto" w:fill="auto"/>
            <w:noWrap/>
            <w:vAlign w:val="bottom"/>
            <w:hideMark/>
          </w:tcPr>
          <w:p w14:paraId="03331DFE" w14:textId="4475065D" w:rsidR="00765749" w:rsidRPr="00D23BFA" w:rsidRDefault="00A1471A" w:rsidP="00232FBD">
            <w:pPr>
              <w:jc w:val="right"/>
              <w:rPr>
                <w:rFonts w:eastAsia="Times New Roman"/>
                <w:b/>
                <w:bCs/>
                <w:sz w:val="16"/>
                <w:szCs w:val="16"/>
                <w:lang w:eastAsia="en-GB"/>
              </w:rPr>
            </w:pPr>
            <w:r w:rsidRPr="00D23BFA">
              <w:rPr>
                <w:b/>
                <w:bCs/>
                <w:sz w:val="16"/>
                <w:szCs w:val="16"/>
              </w:rPr>
              <w:t>I</w:t>
            </w:r>
            <w:r w:rsidR="00765749" w:rsidRPr="00D23BFA">
              <w:rPr>
                <w:b/>
                <w:bCs/>
                <w:sz w:val="16"/>
                <w:szCs w:val="16"/>
              </w:rPr>
              <w:t>nvestments</w:t>
            </w:r>
            <w:r>
              <w:rPr>
                <w:b/>
                <w:bCs/>
                <w:sz w:val="16"/>
                <w:szCs w:val="16"/>
              </w:rPr>
              <w:t xml:space="preserve"> affected by unobservable input</w:t>
            </w:r>
            <w:r w:rsidR="00765749" w:rsidRPr="00D23BFA">
              <w:rPr>
                <w:b/>
                <w:bCs/>
                <w:sz w:val="16"/>
                <w:szCs w:val="16"/>
              </w:rPr>
              <w:t xml:space="preserve"> </w:t>
            </w:r>
            <w:r w:rsidR="00765749" w:rsidRPr="00D23BFA">
              <w:rPr>
                <w:b/>
                <w:bCs/>
                <w:sz w:val="16"/>
                <w:szCs w:val="16"/>
                <w:vertAlign w:val="superscript"/>
              </w:rPr>
              <w:t>(</w:t>
            </w:r>
            <w:r w:rsidR="001F1C5B">
              <w:rPr>
                <w:b/>
                <w:bCs/>
                <w:sz w:val="16"/>
                <w:szCs w:val="16"/>
                <w:vertAlign w:val="superscript"/>
              </w:rPr>
              <w:t>3</w:t>
            </w:r>
            <w:r w:rsidR="00765749" w:rsidRPr="00D23BFA">
              <w:rPr>
                <w:b/>
                <w:bCs/>
                <w:sz w:val="16"/>
                <w:szCs w:val="16"/>
                <w:vertAlign w:val="superscript"/>
              </w:rPr>
              <w:t>)</w:t>
            </w:r>
          </w:p>
        </w:tc>
      </w:tr>
      <w:tr w:rsidR="00765749" w:rsidRPr="00D23BFA" w14:paraId="263D8C4A" w14:textId="77777777" w:rsidTr="00232FBD">
        <w:trPr>
          <w:trHeight w:val="239"/>
        </w:trPr>
        <w:tc>
          <w:tcPr>
            <w:tcW w:w="667" w:type="pct"/>
            <w:tcBorders>
              <w:top w:val="nil"/>
              <w:left w:val="nil"/>
              <w:bottom w:val="single" w:sz="4" w:space="0" w:color="auto"/>
              <w:right w:val="nil"/>
            </w:tcBorders>
            <w:shd w:val="clear" w:color="auto" w:fill="auto"/>
            <w:noWrap/>
            <w:hideMark/>
          </w:tcPr>
          <w:p w14:paraId="68BB0C0D" w14:textId="77777777" w:rsidR="00765749" w:rsidRPr="00D23BFA" w:rsidRDefault="00765749" w:rsidP="00232FBD">
            <w:pPr>
              <w:rPr>
                <w:rFonts w:eastAsia="Times New Roman"/>
                <w:b/>
                <w:bCs/>
                <w:sz w:val="16"/>
                <w:szCs w:val="16"/>
                <w:lang w:eastAsia="en-GB"/>
              </w:rPr>
            </w:pPr>
            <w:r w:rsidRPr="00D23BFA">
              <w:rPr>
                <w:rFonts w:eastAsia="Times New Roman"/>
                <w:b/>
                <w:bCs/>
                <w:color w:val="000000"/>
                <w:sz w:val="16"/>
                <w:szCs w:val="16"/>
                <w:lang w:eastAsia="en-GB"/>
              </w:rPr>
              <w:t>(in thousands)</w:t>
            </w:r>
          </w:p>
        </w:tc>
        <w:tc>
          <w:tcPr>
            <w:tcW w:w="601" w:type="pct"/>
            <w:tcBorders>
              <w:top w:val="nil"/>
              <w:left w:val="nil"/>
              <w:bottom w:val="single" w:sz="4" w:space="0" w:color="auto"/>
              <w:right w:val="nil"/>
            </w:tcBorders>
            <w:shd w:val="clear" w:color="auto" w:fill="auto"/>
            <w:noWrap/>
            <w:vAlign w:val="bottom"/>
            <w:hideMark/>
          </w:tcPr>
          <w:p w14:paraId="6ACA3A64" w14:textId="77777777" w:rsidR="00765749" w:rsidRPr="00D23BFA" w:rsidRDefault="00765749" w:rsidP="00232FBD">
            <w:pPr>
              <w:jc w:val="right"/>
              <w:rPr>
                <w:rFonts w:eastAsia="Times New Roman"/>
                <w:b/>
                <w:bCs/>
                <w:sz w:val="16"/>
                <w:szCs w:val="16"/>
                <w:lang w:eastAsia="en-GB"/>
              </w:rPr>
            </w:pPr>
            <w:r w:rsidRPr="00D23BFA">
              <w:rPr>
                <w:rFonts w:eastAsia="Times New Roman"/>
                <w:b/>
                <w:bCs/>
                <w:sz w:val="16"/>
                <w:szCs w:val="16"/>
                <w:lang w:eastAsia="en-GB"/>
              </w:rPr>
              <w:t>technique(s)</w:t>
            </w:r>
          </w:p>
        </w:tc>
        <w:tc>
          <w:tcPr>
            <w:tcW w:w="666" w:type="pct"/>
            <w:tcBorders>
              <w:top w:val="nil"/>
              <w:left w:val="nil"/>
              <w:bottom w:val="single" w:sz="4" w:space="0" w:color="auto"/>
              <w:right w:val="nil"/>
            </w:tcBorders>
            <w:shd w:val="clear" w:color="auto" w:fill="auto"/>
            <w:noWrap/>
            <w:vAlign w:val="bottom"/>
            <w:hideMark/>
          </w:tcPr>
          <w:p w14:paraId="6B2F0F34" w14:textId="77777777" w:rsidR="00765749" w:rsidRPr="00D23BFA" w:rsidRDefault="00765749" w:rsidP="00232FBD">
            <w:pPr>
              <w:jc w:val="right"/>
              <w:rPr>
                <w:rFonts w:eastAsia="Times New Roman"/>
                <w:b/>
                <w:bCs/>
                <w:sz w:val="16"/>
                <w:szCs w:val="16"/>
                <w:lang w:eastAsia="en-GB"/>
              </w:rPr>
            </w:pPr>
            <w:r w:rsidRPr="00D23BFA">
              <w:rPr>
                <w:rFonts w:eastAsia="Times New Roman"/>
                <w:b/>
                <w:bCs/>
                <w:sz w:val="16"/>
                <w:szCs w:val="16"/>
                <w:lang w:eastAsia="en-GB"/>
              </w:rPr>
              <w:t>input(s)</w:t>
            </w:r>
          </w:p>
        </w:tc>
        <w:tc>
          <w:tcPr>
            <w:tcW w:w="399" w:type="pct"/>
            <w:tcBorders>
              <w:top w:val="nil"/>
              <w:left w:val="nil"/>
              <w:bottom w:val="single" w:sz="4" w:space="0" w:color="auto"/>
              <w:right w:val="nil"/>
            </w:tcBorders>
            <w:shd w:val="clear" w:color="auto" w:fill="auto"/>
            <w:noWrap/>
            <w:vAlign w:val="bottom"/>
            <w:hideMark/>
          </w:tcPr>
          <w:p w14:paraId="076727EB" w14:textId="77777777" w:rsidR="00765749" w:rsidRPr="00D23BFA" w:rsidRDefault="00765749" w:rsidP="00232FBD">
            <w:pPr>
              <w:jc w:val="right"/>
              <w:rPr>
                <w:rFonts w:eastAsia="Times New Roman"/>
                <w:b/>
                <w:bCs/>
                <w:sz w:val="16"/>
                <w:szCs w:val="16"/>
                <w:lang w:eastAsia="en-GB"/>
              </w:rPr>
            </w:pPr>
            <w:r w:rsidRPr="00D23BFA">
              <w:rPr>
                <w:rFonts w:eastAsia="Times New Roman"/>
                <w:b/>
                <w:bCs/>
                <w:sz w:val="16"/>
                <w:szCs w:val="16"/>
                <w:lang w:eastAsia="en-GB"/>
              </w:rPr>
              <w:t xml:space="preserve">Low </w:t>
            </w:r>
            <w:r w:rsidRPr="00D23BFA">
              <w:rPr>
                <w:rFonts w:eastAsia="Times New Roman"/>
                <w:b/>
                <w:bCs/>
                <w:sz w:val="16"/>
                <w:szCs w:val="16"/>
                <w:vertAlign w:val="superscript"/>
                <w:lang w:eastAsia="en-GB"/>
              </w:rPr>
              <w:t>(1)</w:t>
            </w:r>
          </w:p>
        </w:tc>
        <w:tc>
          <w:tcPr>
            <w:tcW w:w="401" w:type="pct"/>
            <w:gridSpan w:val="2"/>
            <w:tcBorders>
              <w:top w:val="nil"/>
              <w:left w:val="nil"/>
              <w:bottom w:val="single" w:sz="4" w:space="0" w:color="auto"/>
              <w:right w:val="nil"/>
            </w:tcBorders>
            <w:shd w:val="clear" w:color="auto" w:fill="auto"/>
            <w:noWrap/>
            <w:vAlign w:val="bottom"/>
            <w:hideMark/>
          </w:tcPr>
          <w:p w14:paraId="1B7316C0" w14:textId="77777777" w:rsidR="00765749" w:rsidRPr="00D23BFA" w:rsidRDefault="00765749" w:rsidP="00232FBD">
            <w:pPr>
              <w:jc w:val="right"/>
              <w:rPr>
                <w:rFonts w:eastAsia="Times New Roman"/>
                <w:b/>
                <w:bCs/>
                <w:sz w:val="16"/>
                <w:szCs w:val="16"/>
                <w:lang w:eastAsia="en-GB"/>
              </w:rPr>
            </w:pPr>
            <w:r w:rsidRPr="00D23BFA">
              <w:rPr>
                <w:rFonts w:eastAsia="Times New Roman"/>
                <w:b/>
                <w:bCs/>
                <w:sz w:val="16"/>
                <w:szCs w:val="16"/>
                <w:lang w:eastAsia="en-GB"/>
              </w:rPr>
              <w:t xml:space="preserve">High </w:t>
            </w:r>
            <w:r w:rsidRPr="00D23BFA">
              <w:rPr>
                <w:rFonts w:eastAsia="Times New Roman"/>
                <w:b/>
                <w:bCs/>
                <w:sz w:val="16"/>
                <w:szCs w:val="16"/>
                <w:vertAlign w:val="superscript"/>
                <w:lang w:eastAsia="en-GB"/>
              </w:rPr>
              <w:t>(1)</w:t>
            </w:r>
          </w:p>
        </w:tc>
        <w:tc>
          <w:tcPr>
            <w:tcW w:w="533" w:type="pct"/>
            <w:vMerge/>
            <w:tcBorders>
              <w:top w:val="nil"/>
              <w:left w:val="nil"/>
              <w:bottom w:val="single" w:sz="4" w:space="0" w:color="auto"/>
              <w:right w:val="nil"/>
            </w:tcBorders>
            <w:vAlign w:val="bottom"/>
            <w:hideMark/>
          </w:tcPr>
          <w:p w14:paraId="293C75F4" w14:textId="77777777" w:rsidR="00765749" w:rsidRPr="00D23BFA" w:rsidRDefault="00765749" w:rsidP="00232FBD">
            <w:pPr>
              <w:jc w:val="right"/>
              <w:rPr>
                <w:rFonts w:eastAsia="Times New Roman"/>
                <w:b/>
                <w:bCs/>
                <w:sz w:val="16"/>
                <w:szCs w:val="16"/>
                <w:lang w:eastAsia="en-GB"/>
              </w:rPr>
            </w:pPr>
          </w:p>
        </w:tc>
        <w:tc>
          <w:tcPr>
            <w:tcW w:w="866" w:type="pct"/>
            <w:tcBorders>
              <w:top w:val="nil"/>
              <w:left w:val="nil"/>
              <w:bottom w:val="single" w:sz="4" w:space="0" w:color="auto"/>
              <w:right w:val="nil"/>
            </w:tcBorders>
            <w:shd w:val="clear" w:color="auto" w:fill="auto"/>
            <w:noWrap/>
            <w:vAlign w:val="bottom"/>
            <w:hideMark/>
          </w:tcPr>
          <w:p w14:paraId="0F85DFF2" w14:textId="226944FE" w:rsidR="00765749" w:rsidRPr="00D23BFA" w:rsidRDefault="00765749" w:rsidP="00232FBD">
            <w:pPr>
              <w:jc w:val="right"/>
              <w:rPr>
                <w:rFonts w:eastAsia="Times New Roman"/>
                <w:b/>
                <w:bCs/>
                <w:sz w:val="16"/>
                <w:szCs w:val="16"/>
                <w:lang w:eastAsia="en-GB"/>
              </w:rPr>
            </w:pPr>
            <w:r w:rsidRPr="00D23BFA">
              <w:rPr>
                <w:b/>
                <w:bCs/>
                <w:sz w:val="16"/>
                <w:szCs w:val="16"/>
              </w:rPr>
              <w:t>Level 3 investments</w:t>
            </w:r>
            <w:r w:rsidR="001F1C5B" w:rsidRPr="001F1C5B">
              <w:rPr>
                <w:b/>
                <w:bCs/>
                <w:sz w:val="16"/>
                <w:szCs w:val="16"/>
                <w:vertAlign w:val="superscript"/>
              </w:rPr>
              <w:t>(2)</w:t>
            </w:r>
          </w:p>
        </w:tc>
        <w:tc>
          <w:tcPr>
            <w:tcW w:w="867" w:type="pct"/>
            <w:tcBorders>
              <w:top w:val="nil"/>
              <w:left w:val="nil"/>
              <w:bottom w:val="single" w:sz="4" w:space="0" w:color="auto"/>
              <w:right w:val="nil"/>
            </w:tcBorders>
            <w:shd w:val="clear" w:color="auto" w:fill="auto"/>
            <w:noWrap/>
            <w:vAlign w:val="bottom"/>
            <w:hideMark/>
          </w:tcPr>
          <w:p w14:paraId="1DECF346" w14:textId="77777777" w:rsidR="00765749" w:rsidRPr="00D23BFA" w:rsidRDefault="00765749" w:rsidP="00232FBD">
            <w:pPr>
              <w:jc w:val="right"/>
              <w:rPr>
                <w:rFonts w:eastAsia="Times New Roman"/>
                <w:b/>
                <w:bCs/>
                <w:sz w:val="16"/>
                <w:szCs w:val="16"/>
                <w:lang w:eastAsia="en-GB"/>
              </w:rPr>
            </w:pPr>
            <w:r w:rsidRPr="00D23BFA">
              <w:rPr>
                <w:b/>
                <w:bCs/>
                <w:sz w:val="16"/>
                <w:szCs w:val="16"/>
              </w:rPr>
              <w:t>(in thousands)</w:t>
            </w:r>
          </w:p>
        </w:tc>
      </w:tr>
      <w:tr w:rsidR="00765749" w:rsidRPr="00D23BFA" w14:paraId="2FD4E245" w14:textId="77777777" w:rsidTr="00232FBD">
        <w:trPr>
          <w:trHeight w:val="75"/>
        </w:trPr>
        <w:tc>
          <w:tcPr>
            <w:tcW w:w="667" w:type="pct"/>
            <w:tcBorders>
              <w:top w:val="single" w:sz="4" w:space="0" w:color="auto"/>
              <w:left w:val="nil"/>
              <w:right w:val="nil"/>
            </w:tcBorders>
            <w:shd w:val="clear" w:color="auto" w:fill="auto"/>
            <w:noWrap/>
            <w:vAlign w:val="bottom"/>
            <w:hideMark/>
          </w:tcPr>
          <w:p w14:paraId="223BADC7"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601" w:type="pct"/>
            <w:tcBorders>
              <w:top w:val="single" w:sz="4" w:space="0" w:color="auto"/>
              <w:left w:val="nil"/>
              <w:right w:val="nil"/>
            </w:tcBorders>
            <w:shd w:val="clear" w:color="auto" w:fill="auto"/>
            <w:noWrap/>
            <w:vAlign w:val="bottom"/>
            <w:hideMark/>
          </w:tcPr>
          <w:p w14:paraId="66867C4A"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666" w:type="pct"/>
            <w:tcBorders>
              <w:top w:val="single" w:sz="4" w:space="0" w:color="auto"/>
              <w:left w:val="nil"/>
              <w:right w:val="nil"/>
            </w:tcBorders>
            <w:shd w:val="clear" w:color="auto" w:fill="auto"/>
            <w:noWrap/>
            <w:vAlign w:val="bottom"/>
            <w:hideMark/>
          </w:tcPr>
          <w:p w14:paraId="505B0A48"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399" w:type="pct"/>
            <w:tcBorders>
              <w:top w:val="single" w:sz="4" w:space="0" w:color="auto"/>
              <w:left w:val="nil"/>
              <w:right w:val="nil"/>
            </w:tcBorders>
            <w:shd w:val="clear" w:color="auto" w:fill="auto"/>
            <w:noWrap/>
            <w:vAlign w:val="bottom"/>
            <w:hideMark/>
          </w:tcPr>
          <w:p w14:paraId="4FA65F78" w14:textId="77777777" w:rsidR="00765749" w:rsidRPr="00D23BFA" w:rsidRDefault="00765749" w:rsidP="00232FBD">
            <w:pPr>
              <w:ind w:firstLineChars="100" w:firstLine="160"/>
              <w:jc w:val="right"/>
              <w:rPr>
                <w:rFonts w:eastAsia="Times New Roman"/>
                <w:color w:val="000000"/>
                <w:sz w:val="16"/>
                <w:szCs w:val="16"/>
                <w:lang w:eastAsia="en-GB"/>
              </w:rPr>
            </w:pPr>
            <w:r w:rsidRPr="00D23BFA">
              <w:rPr>
                <w:rFonts w:eastAsia="Times New Roman"/>
                <w:color w:val="000000"/>
                <w:sz w:val="16"/>
                <w:szCs w:val="16"/>
                <w:lang w:eastAsia="en-GB"/>
              </w:rPr>
              <w:t> </w:t>
            </w:r>
          </w:p>
        </w:tc>
        <w:tc>
          <w:tcPr>
            <w:tcW w:w="401" w:type="pct"/>
            <w:gridSpan w:val="2"/>
            <w:tcBorders>
              <w:top w:val="single" w:sz="4" w:space="0" w:color="auto"/>
              <w:left w:val="nil"/>
              <w:right w:val="nil"/>
            </w:tcBorders>
            <w:shd w:val="clear" w:color="auto" w:fill="auto"/>
            <w:noWrap/>
            <w:vAlign w:val="bottom"/>
            <w:hideMark/>
          </w:tcPr>
          <w:p w14:paraId="3CA96D57" w14:textId="77777777" w:rsidR="00765749" w:rsidRPr="00D23BFA" w:rsidRDefault="00765749" w:rsidP="00232FBD">
            <w:pPr>
              <w:ind w:firstLineChars="100" w:firstLine="160"/>
              <w:jc w:val="right"/>
              <w:rPr>
                <w:rFonts w:eastAsia="Times New Roman"/>
                <w:color w:val="000000"/>
                <w:sz w:val="16"/>
                <w:szCs w:val="16"/>
                <w:lang w:eastAsia="en-GB"/>
              </w:rPr>
            </w:pPr>
            <w:r w:rsidRPr="00D23BFA">
              <w:rPr>
                <w:rFonts w:eastAsia="Times New Roman"/>
                <w:color w:val="000000"/>
                <w:sz w:val="16"/>
                <w:szCs w:val="16"/>
                <w:lang w:eastAsia="en-GB"/>
              </w:rPr>
              <w:t> </w:t>
            </w:r>
          </w:p>
        </w:tc>
        <w:tc>
          <w:tcPr>
            <w:tcW w:w="533" w:type="pct"/>
            <w:tcBorders>
              <w:top w:val="single" w:sz="4" w:space="0" w:color="auto"/>
              <w:left w:val="nil"/>
              <w:right w:val="nil"/>
            </w:tcBorders>
            <w:shd w:val="clear" w:color="auto" w:fill="auto"/>
            <w:noWrap/>
            <w:vAlign w:val="bottom"/>
            <w:hideMark/>
          </w:tcPr>
          <w:p w14:paraId="4AD467EA" w14:textId="77777777" w:rsidR="00765749" w:rsidRPr="00D23BFA" w:rsidRDefault="00765749" w:rsidP="00232FBD">
            <w:pPr>
              <w:ind w:firstLineChars="200" w:firstLine="320"/>
              <w:jc w:val="right"/>
              <w:rPr>
                <w:rFonts w:eastAsia="Times New Roman"/>
                <w:color w:val="000000"/>
                <w:sz w:val="16"/>
                <w:szCs w:val="16"/>
                <w:lang w:eastAsia="en-GB"/>
              </w:rPr>
            </w:pPr>
            <w:r w:rsidRPr="00D23BFA">
              <w:rPr>
                <w:rFonts w:eastAsia="Times New Roman"/>
                <w:color w:val="000000"/>
                <w:sz w:val="16"/>
                <w:szCs w:val="16"/>
                <w:lang w:eastAsia="en-GB"/>
              </w:rPr>
              <w:t> </w:t>
            </w:r>
          </w:p>
        </w:tc>
        <w:tc>
          <w:tcPr>
            <w:tcW w:w="866" w:type="pct"/>
            <w:tcBorders>
              <w:top w:val="single" w:sz="4" w:space="0" w:color="auto"/>
              <w:left w:val="nil"/>
              <w:right w:val="nil"/>
            </w:tcBorders>
            <w:shd w:val="clear" w:color="auto" w:fill="auto"/>
            <w:noWrap/>
            <w:vAlign w:val="bottom"/>
            <w:hideMark/>
          </w:tcPr>
          <w:p w14:paraId="51A35685"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867" w:type="pct"/>
            <w:tcBorders>
              <w:top w:val="single" w:sz="4" w:space="0" w:color="auto"/>
              <w:left w:val="nil"/>
              <w:right w:val="nil"/>
            </w:tcBorders>
            <w:shd w:val="clear" w:color="auto" w:fill="auto"/>
            <w:noWrap/>
            <w:vAlign w:val="bottom"/>
            <w:hideMark/>
          </w:tcPr>
          <w:p w14:paraId="023B1658"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r>
      <w:tr w:rsidR="00765749" w:rsidRPr="00D23BFA" w14:paraId="2490420A" w14:textId="77777777" w:rsidTr="00232FBD">
        <w:trPr>
          <w:trHeight w:val="799"/>
        </w:trPr>
        <w:tc>
          <w:tcPr>
            <w:tcW w:w="667" w:type="pct"/>
            <w:tcBorders>
              <w:top w:val="nil"/>
              <w:left w:val="nil"/>
              <w:bottom w:val="nil"/>
              <w:right w:val="nil"/>
            </w:tcBorders>
            <w:shd w:val="clear" w:color="auto" w:fill="auto"/>
            <w:noWrap/>
            <w:vAlign w:val="bottom"/>
          </w:tcPr>
          <w:p w14:paraId="14F942AB" w14:textId="5284BBC5" w:rsidR="00765749" w:rsidRPr="00D23BFA" w:rsidRDefault="00765749" w:rsidP="00232FBD">
            <w:pPr>
              <w:rPr>
                <w:rFonts w:eastAsia="Times New Roman"/>
                <w:color w:val="000000"/>
                <w:sz w:val="16"/>
                <w:szCs w:val="16"/>
                <w:lang w:eastAsia="en-GB"/>
              </w:rPr>
            </w:pPr>
            <w:r>
              <w:rPr>
                <w:rFonts w:eastAsia="Times New Roman"/>
                <w:color w:val="000000"/>
                <w:sz w:val="16"/>
                <w:szCs w:val="16"/>
                <w:lang w:eastAsia="en-GB"/>
              </w:rPr>
              <w:t>$</w:t>
            </w:r>
            <w:r w:rsidR="00232FBD">
              <w:rPr>
                <w:rFonts w:eastAsia="Times New Roman"/>
                <w:color w:val="000000"/>
                <w:sz w:val="16"/>
                <w:szCs w:val="16"/>
                <w:lang w:eastAsia="en-GB"/>
              </w:rPr>
              <w:t>1,055,421</w:t>
            </w:r>
          </w:p>
        </w:tc>
        <w:tc>
          <w:tcPr>
            <w:tcW w:w="601" w:type="pct"/>
            <w:tcBorders>
              <w:top w:val="nil"/>
              <w:left w:val="nil"/>
              <w:bottom w:val="nil"/>
              <w:right w:val="nil"/>
            </w:tcBorders>
            <w:shd w:val="clear" w:color="auto" w:fill="auto"/>
            <w:noWrap/>
            <w:vAlign w:val="bottom"/>
          </w:tcPr>
          <w:p w14:paraId="397F5D2F"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Public comparables</w:t>
            </w:r>
          </w:p>
        </w:tc>
        <w:tc>
          <w:tcPr>
            <w:tcW w:w="666" w:type="pct"/>
            <w:tcBorders>
              <w:top w:val="nil"/>
              <w:left w:val="nil"/>
              <w:bottom w:val="nil"/>
              <w:right w:val="nil"/>
            </w:tcBorders>
            <w:shd w:val="clear" w:color="auto" w:fill="auto"/>
            <w:noWrap/>
            <w:vAlign w:val="bottom"/>
          </w:tcPr>
          <w:p w14:paraId="66269D5A"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1P Reserve multiple ($/Boe)</w:t>
            </w:r>
          </w:p>
        </w:tc>
        <w:tc>
          <w:tcPr>
            <w:tcW w:w="399" w:type="pct"/>
            <w:tcBorders>
              <w:top w:val="nil"/>
              <w:left w:val="nil"/>
              <w:bottom w:val="nil"/>
              <w:right w:val="nil"/>
            </w:tcBorders>
            <w:shd w:val="clear" w:color="auto" w:fill="auto"/>
            <w:noWrap/>
            <w:vAlign w:val="bottom"/>
          </w:tcPr>
          <w:p w14:paraId="726F7842"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$12</w:t>
            </w:r>
          </w:p>
        </w:tc>
        <w:tc>
          <w:tcPr>
            <w:tcW w:w="401" w:type="pct"/>
            <w:gridSpan w:val="2"/>
            <w:tcBorders>
              <w:top w:val="nil"/>
              <w:left w:val="nil"/>
              <w:bottom w:val="nil"/>
              <w:right w:val="nil"/>
            </w:tcBorders>
            <w:shd w:val="clear" w:color="auto" w:fill="auto"/>
            <w:noWrap/>
            <w:vAlign w:val="bottom"/>
          </w:tcPr>
          <w:p w14:paraId="396571C4"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$13</w:t>
            </w:r>
          </w:p>
        </w:tc>
        <w:tc>
          <w:tcPr>
            <w:tcW w:w="533" w:type="pct"/>
            <w:tcBorders>
              <w:top w:val="nil"/>
              <w:left w:val="nil"/>
              <w:bottom w:val="nil"/>
              <w:right w:val="nil"/>
            </w:tcBorders>
            <w:shd w:val="clear" w:color="auto" w:fill="auto"/>
            <w:noWrap/>
            <w:vAlign w:val="bottom"/>
          </w:tcPr>
          <w:p w14:paraId="03CA345D"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$12</w:t>
            </w:r>
          </w:p>
        </w:tc>
        <w:tc>
          <w:tcPr>
            <w:tcW w:w="866" w:type="pct"/>
            <w:tcBorders>
              <w:top w:val="nil"/>
              <w:left w:val="nil"/>
              <w:bottom w:val="nil"/>
              <w:right w:val="nil"/>
            </w:tcBorders>
            <w:shd w:val="clear" w:color="000000" w:fill="FFFFFF"/>
          </w:tcPr>
          <w:p w14:paraId="7F47842F" w14:textId="24ECD28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10</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weighted average change in the input would result in 1</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change in the total fair value of Level 3 investments</w:t>
            </w:r>
          </w:p>
        </w:tc>
        <w:tc>
          <w:tcPr>
            <w:tcW w:w="867" w:type="pct"/>
            <w:tcBorders>
              <w:top w:val="nil"/>
              <w:left w:val="nil"/>
              <w:bottom w:val="nil"/>
              <w:right w:val="nil"/>
            </w:tcBorders>
            <w:shd w:val="clear" w:color="auto" w:fill="auto"/>
            <w:noWrap/>
            <w:vAlign w:val="bottom"/>
          </w:tcPr>
          <w:p w14:paraId="75A70C50"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$352,337</w:t>
            </w:r>
          </w:p>
        </w:tc>
      </w:tr>
      <w:tr w:rsidR="00765749" w:rsidRPr="00D23BFA" w14:paraId="6723CBE0" w14:textId="77777777" w:rsidTr="00232FBD">
        <w:trPr>
          <w:trHeight w:val="799"/>
        </w:trPr>
        <w:tc>
          <w:tcPr>
            <w:tcW w:w="667" w:type="pct"/>
            <w:tcBorders>
              <w:top w:val="nil"/>
              <w:left w:val="nil"/>
              <w:bottom w:val="nil"/>
              <w:right w:val="nil"/>
            </w:tcBorders>
            <w:shd w:val="clear" w:color="auto" w:fill="auto"/>
            <w:noWrap/>
            <w:vAlign w:val="bottom"/>
          </w:tcPr>
          <w:p w14:paraId="4D423F8A" w14:textId="77777777" w:rsidR="00765749" w:rsidRPr="00D23BFA" w:rsidRDefault="00765749" w:rsidP="00232FBD">
            <w:pPr>
              <w:rPr>
                <w:rFonts w:eastAsia="Times New Roman"/>
                <w:color w:val="000000"/>
                <w:sz w:val="16"/>
                <w:szCs w:val="16"/>
                <w:lang w:eastAsia="en-GB"/>
              </w:rPr>
            </w:pPr>
          </w:p>
        </w:tc>
        <w:tc>
          <w:tcPr>
            <w:tcW w:w="601" w:type="pct"/>
            <w:tcBorders>
              <w:top w:val="nil"/>
              <w:left w:val="nil"/>
              <w:bottom w:val="nil"/>
              <w:right w:val="nil"/>
            </w:tcBorders>
            <w:shd w:val="clear" w:color="auto" w:fill="auto"/>
            <w:noWrap/>
            <w:vAlign w:val="bottom"/>
          </w:tcPr>
          <w:p w14:paraId="018C7D09" w14:textId="77777777" w:rsidR="00765749" w:rsidRPr="00D23BFA" w:rsidRDefault="00765749" w:rsidP="00232FBD">
            <w:pPr>
              <w:jc w:val="right"/>
              <w:rPr>
                <w:rFonts w:eastAsia="Times New Roman"/>
                <w:color w:val="000000"/>
                <w:sz w:val="16"/>
                <w:szCs w:val="16"/>
                <w:lang w:eastAsia="en-GB"/>
              </w:rPr>
            </w:pPr>
          </w:p>
        </w:tc>
        <w:tc>
          <w:tcPr>
            <w:tcW w:w="666" w:type="pct"/>
            <w:tcBorders>
              <w:top w:val="nil"/>
              <w:left w:val="nil"/>
              <w:bottom w:val="nil"/>
              <w:right w:val="nil"/>
            </w:tcBorders>
            <w:shd w:val="clear" w:color="auto" w:fill="auto"/>
            <w:noWrap/>
            <w:vAlign w:val="bottom"/>
            <w:hideMark/>
          </w:tcPr>
          <w:p w14:paraId="05A564F7"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2P Reserve multiple ($/Boe</w:t>
            </w:r>
            <w:r w:rsidRPr="00C525E1">
              <w:rPr>
                <w:color w:val="000000"/>
                <w:sz w:val="16"/>
              </w:rPr>
              <w:t>)</w:t>
            </w:r>
          </w:p>
        </w:tc>
        <w:tc>
          <w:tcPr>
            <w:tcW w:w="399" w:type="pct"/>
            <w:tcBorders>
              <w:top w:val="nil"/>
              <w:left w:val="nil"/>
              <w:bottom w:val="nil"/>
              <w:right w:val="nil"/>
            </w:tcBorders>
            <w:shd w:val="clear" w:color="auto" w:fill="auto"/>
            <w:noWrap/>
            <w:vAlign w:val="bottom"/>
          </w:tcPr>
          <w:p w14:paraId="351F0F08"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$5</w:t>
            </w:r>
          </w:p>
        </w:tc>
        <w:tc>
          <w:tcPr>
            <w:tcW w:w="401" w:type="pct"/>
            <w:gridSpan w:val="2"/>
            <w:tcBorders>
              <w:top w:val="nil"/>
              <w:left w:val="nil"/>
              <w:bottom w:val="nil"/>
              <w:right w:val="nil"/>
            </w:tcBorders>
            <w:shd w:val="clear" w:color="auto" w:fill="auto"/>
            <w:noWrap/>
            <w:vAlign w:val="bottom"/>
          </w:tcPr>
          <w:p w14:paraId="039066D5"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$6</w:t>
            </w:r>
          </w:p>
        </w:tc>
        <w:tc>
          <w:tcPr>
            <w:tcW w:w="533" w:type="pct"/>
            <w:tcBorders>
              <w:top w:val="nil"/>
              <w:left w:val="nil"/>
              <w:bottom w:val="nil"/>
              <w:right w:val="nil"/>
            </w:tcBorders>
            <w:shd w:val="clear" w:color="auto" w:fill="auto"/>
            <w:noWrap/>
            <w:vAlign w:val="bottom"/>
          </w:tcPr>
          <w:p w14:paraId="55C5A10D"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$6</w:t>
            </w:r>
          </w:p>
        </w:tc>
        <w:tc>
          <w:tcPr>
            <w:tcW w:w="866" w:type="pct"/>
            <w:tcBorders>
              <w:top w:val="nil"/>
              <w:left w:val="nil"/>
              <w:bottom w:val="nil"/>
              <w:right w:val="nil"/>
            </w:tcBorders>
            <w:shd w:val="clear" w:color="000000" w:fill="FFFFFF"/>
            <w:vAlign w:val="bottom"/>
          </w:tcPr>
          <w:p w14:paraId="19C0639A" w14:textId="6181FD25"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10</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weighted average change in the input would result in 1</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change in the total fair value of Level 3 investments</w:t>
            </w:r>
          </w:p>
        </w:tc>
        <w:tc>
          <w:tcPr>
            <w:tcW w:w="867" w:type="pct"/>
            <w:tcBorders>
              <w:top w:val="nil"/>
              <w:left w:val="nil"/>
              <w:bottom w:val="nil"/>
              <w:right w:val="nil"/>
            </w:tcBorders>
            <w:shd w:val="clear" w:color="auto" w:fill="auto"/>
            <w:noWrap/>
            <w:vAlign w:val="bottom"/>
          </w:tcPr>
          <w:p w14:paraId="04B9CE16"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$487,771</w:t>
            </w:r>
          </w:p>
        </w:tc>
      </w:tr>
      <w:tr w:rsidR="00765749" w:rsidRPr="00D23BFA" w14:paraId="1AC19583" w14:textId="77777777" w:rsidTr="00232FBD">
        <w:trPr>
          <w:trHeight w:val="799"/>
        </w:trPr>
        <w:tc>
          <w:tcPr>
            <w:tcW w:w="667" w:type="pct"/>
            <w:tcBorders>
              <w:top w:val="nil"/>
              <w:left w:val="nil"/>
              <w:bottom w:val="nil"/>
              <w:right w:val="nil"/>
            </w:tcBorders>
            <w:shd w:val="clear" w:color="auto" w:fill="auto"/>
            <w:noWrap/>
            <w:hideMark/>
          </w:tcPr>
          <w:p w14:paraId="1B8A4046" w14:textId="77777777" w:rsidR="00765749" w:rsidRPr="00D23BFA" w:rsidRDefault="00765749" w:rsidP="00232FBD">
            <w:pPr>
              <w:rPr>
                <w:rFonts w:eastAsia="Times New Roman"/>
                <w:color w:val="000000"/>
                <w:sz w:val="16"/>
                <w:szCs w:val="16"/>
                <w:lang w:eastAsia="en-GB"/>
              </w:rPr>
            </w:pPr>
          </w:p>
        </w:tc>
        <w:tc>
          <w:tcPr>
            <w:tcW w:w="601" w:type="pct"/>
            <w:tcBorders>
              <w:top w:val="single" w:sz="4" w:space="0" w:color="auto"/>
              <w:left w:val="nil"/>
              <w:right w:val="nil"/>
            </w:tcBorders>
            <w:shd w:val="clear" w:color="auto" w:fill="auto"/>
            <w:noWrap/>
            <w:vAlign w:val="bottom"/>
            <w:hideMark/>
          </w:tcPr>
          <w:p w14:paraId="21D06D16"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 xml:space="preserve">Transaction comparables </w:t>
            </w:r>
          </w:p>
        </w:tc>
        <w:tc>
          <w:tcPr>
            <w:tcW w:w="666" w:type="pct"/>
            <w:tcBorders>
              <w:top w:val="single" w:sz="4" w:space="0" w:color="auto"/>
              <w:left w:val="nil"/>
              <w:right w:val="nil"/>
            </w:tcBorders>
            <w:shd w:val="clear" w:color="auto" w:fill="auto"/>
            <w:vAlign w:val="bottom"/>
            <w:hideMark/>
          </w:tcPr>
          <w:p w14:paraId="53F5AC8C"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Acreage Multiple ($/Boepd per Acre</w:t>
            </w:r>
            <w:r w:rsidRPr="00C525E1">
              <w:rPr>
                <w:color w:val="000000"/>
                <w:sz w:val="16"/>
              </w:rPr>
              <w:t>)</w:t>
            </w:r>
          </w:p>
        </w:tc>
        <w:tc>
          <w:tcPr>
            <w:tcW w:w="399" w:type="pct"/>
            <w:tcBorders>
              <w:top w:val="single" w:sz="4" w:space="0" w:color="auto"/>
              <w:left w:val="nil"/>
              <w:right w:val="nil"/>
            </w:tcBorders>
            <w:shd w:val="clear" w:color="auto" w:fill="auto"/>
            <w:noWrap/>
            <w:vAlign w:val="bottom"/>
          </w:tcPr>
          <w:p w14:paraId="12E9629C"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$2,800</w:t>
            </w:r>
          </w:p>
        </w:tc>
        <w:tc>
          <w:tcPr>
            <w:tcW w:w="401" w:type="pct"/>
            <w:gridSpan w:val="2"/>
            <w:tcBorders>
              <w:top w:val="single" w:sz="4" w:space="0" w:color="auto"/>
              <w:left w:val="nil"/>
              <w:right w:val="nil"/>
            </w:tcBorders>
            <w:shd w:val="clear" w:color="auto" w:fill="auto"/>
            <w:noWrap/>
            <w:vAlign w:val="bottom"/>
          </w:tcPr>
          <w:p w14:paraId="1E78B5CB"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$11,700</w:t>
            </w:r>
          </w:p>
        </w:tc>
        <w:tc>
          <w:tcPr>
            <w:tcW w:w="533" w:type="pct"/>
            <w:tcBorders>
              <w:top w:val="single" w:sz="4" w:space="0" w:color="auto"/>
              <w:left w:val="nil"/>
              <w:right w:val="nil"/>
            </w:tcBorders>
            <w:shd w:val="clear" w:color="auto" w:fill="auto"/>
            <w:noWrap/>
            <w:vAlign w:val="bottom"/>
          </w:tcPr>
          <w:p w14:paraId="17E2EC4A"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$5,800</w:t>
            </w:r>
          </w:p>
        </w:tc>
        <w:tc>
          <w:tcPr>
            <w:tcW w:w="866" w:type="pct"/>
            <w:tcBorders>
              <w:top w:val="single" w:sz="4" w:space="0" w:color="auto"/>
              <w:left w:val="nil"/>
              <w:right w:val="nil"/>
            </w:tcBorders>
            <w:shd w:val="clear" w:color="000000" w:fill="FFFFFF"/>
            <w:vAlign w:val="bottom"/>
          </w:tcPr>
          <w:p w14:paraId="778F878E" w14:textId="7640CA74"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10</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weighted average change in the input would result in 1</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change in the total fair value of Level 3 investments</w:t>
            </w:r>
          </w:p>
        </w:tc>
        <w:tc>
          <w:tcPr>
            <w:tcW w:w="867" w:type="pct"/>
            <w:tcBorders>
              <w:top w:val="single" w:sz="4" w:space="0" w:color="auto"/>
              <w:left w:val="nil"/>
              <w:right w:val="nil"/>
            </w:tcBorders>
            <w:shd w:val="clear" w:color="auto" w:fill="auto"/>
            <w:noWrap/>
            <w:vAlign w:val="bottom"/>
          </w:tcPr>
          <w:p w14:paraId="58504706"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$756,162</w:t>
            </w:r>
          </w:p>
        </w:tc>
      </w:tr>
      <w:tr w:rsidR="00765749" w:rsidRPr="00D23BFA" w14:paraId="1F5500AD" w14:textId="77777777" w:rsidTr="00232FBD">
        <w:trPr>
          <w:trHeight w:val="799"/>
        </w:trPr>
        <w:tc>
          <w:tcPr>
            <w:tcW w:w="667" w:type="pct"/>
            <w:tcBorders>
              <w:top w:val="nil"/>
              <w:left w:val="nil"/>
              <w:bottom w:val="nil"/>
              <w:right w:val="nil"/>
            </w:tcBorders>
            <w:shd w:val="clear" w:color="auto" w:fill="auto"/>
            <w:noWrap/>
          </w:tcPr>
          <w:p w14:paraId="0F917E63" w14:textId="77777777" w:rsidR="00765749" w:rsidRPr="00D23BFA" w:rsidRDefault="00765749" w:rsidP="00232FBD">
            <w:pPr>
              <w:rPr>
                <w:rFonts w:eastAsia="Times New Roman"/>
                <w:color w:val="000000"/>
                <w:sz w:val="16"/>
                <w:szCs w:val="16"/>
                <w:lang w:eastAsia="en-GB"/>
              </w:rPr>
            </w:pPr>
          </w:p>
        </w:tc>
        <w:tc>
          <w:tcPr>
            <w:tcW w:w="601" w:type="pct"/>
            <w:tcBorders>
              <w:left w:val="nil"/>
              <w:bottom w:val="single" w:sz="4" w:space="0" w:color="auto"/>
              <w:right w:val="nil"/>
            </w:tcBorders>
            <w:shd w:val="clear" w:color="auto" w:fill="auto"/>
            <w:noWrap/>
            <w:vAlign w:val="bottom"/>
          </w:tcPr>
          <w:p w14:paraId="5BAA4D7E" w14:textId="77777777" w:rsidR="00765749" w:rsidRPr="00D23BFA" w:rsidRDefault="00765749" w:rsidP="00232FBD">
            <w:pPr>
              <w:jc w:val="right"/>
              <w:rPr>
                <w:rFonts w:eastAsia="Times New Roman"/>
                <w:color w:val="000000"/>
                <w:sz w:val="16"/>
                <w:szCs w:val="16"/>
                <w:lang w:eastAsia="en-GB"/>
              </w:rPr>
            </w:pPr>
          </w:p>
        </w:tc>
        <w:tc>
          <w:tcPr>
            <w:tcW w:w="666" w:type="pct"/>
            <w:tcBorders>
              <w:left w:val="nil"/>
              <w:bottom w:val="single" w:sz="4" w:space="0" w:color="auto"/>
              <w:right w:val="nil"/>
            </w:tcBorders>
            <w:shd w:val="clear" w:color="auto" w:fill="auto"/>
            <w:vAlign w:val="bottom"/>
          </w:tcPr>
          <w:p w14:paraId="2F6BB716" w14:textId="5881F6B9"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2P / 2C Reserve multiple ($/BOE)</w:t>
            </w:r>
          </w:p>
        </w:tc>
        <w:tc>
          <w:tcPr>
            <w:tcW w:w="399" w:type="pct"/>
            <w:tcBorders>
              <w:left w:val="nil"/>
              <w:bottom w:val="single" w:sz="4" w:space="0" w:color="auto"/>
              <w:right w:val="nil"/>
            </w:tcBorders>
            <w:shd w:val="clear" w:color="auto" w:fill="auto"/>
            <w:noWrap/>
            <w:vAlign w:val="bottom"/>
          </w:tcPr>
          <w:p w14:paraId="525B9870"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$7</w:t>
            </w:r>
          </w:p>
        </w:tc>
        <w:tc>
          <w:tcPr>
            <w:tcW w:w="401" w:type="pct"/>
            <w:gridSpan w:val="2"/>
            <w:tcBorders>
              <w:left w:val="nil"/>
              <w:bottom w:val="single" w:sz="4" w:space="0" w:color="auto"/>
              <w:right w:val="nil"/>
            </w:tcBorders>
            <w:shd w:val="clear" w:color="auto" w:fill="auto"/>
            <w:noWrap/>
            <w:vAlign w:val="bottom"/>
          </w:tcPr>
          <w:p w14:paraId="1EF3EB8A"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$12</w:t>
            </w:r>
          </w:p>
        </w:tc>
        <w:tc>
          <w:tcPr>
            <w:tcW w:w="533" w:type="pct"/>
            <w:tcBorders>
              <w:left w:val="nil"/>
              <w:bottom w:val="single" w:sz="4" w:space="0" w:color="auto"/>
              <w:right w:val="nil"/>
            </w:tcBorders>
            <w:shd w:val="clear" w:color="auto" w:fill="auto"/>
            <w:noWrap/>
            <w:vAlign w:val="bottom"/>
          </w:tcPr>
          <w:p w14:paraId="0E9FC15C"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$10</w:t>
            </w:r>
          </w:p>
        </w:tc>
        <w:tc>
          <w:tcPr>
            <w:tcW w:w="866" w:type="pct"/>
            <w:tcBorders>
              <w:left w:val="nil"/>
              <w:bottom w:val="single" w:sz="4" w:space="0" w:color="auto"/>
              <w:right w:val="nil"/>
            </w:tcBorders>
            <w:shd w:val="clear" w:color="000000" w:fill="FFFFFF"/>
            <w:vAlign w:val="bottom"/>
          </w:tcPr>
          <w:p w14:paraId="21C9B10D" w14:textId="5AE9DEB6"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25</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weighted average chang</w:t>
            </w:r>
            <w:r>
              <w:rPr>
                <w:rFonts w:eastAsia="Times New Roman"/>
                <w:color w:val="000000"/>
                <w:sz w:val="16"/>
                <w:szCs w:val="16"/>
                <w:lang w:eastAsia="en-GB"/>
              </w:rPr>
              <w:t>e in the input would result in 2</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change in the total fair value of Level 3 investments</w:t>
            </w:r>
          </w:p>
        </w:tc>
        <w:tc>
          <w:tcPr>
            <w:tcW w:w="867" w:type="pct"/>
            <w:tcBorders>
              <w:left w:val="nil"/>
              <w:bottom w:val="single" w:sz="4" w:space="0" w:color="auto"/>
              <w:right w:val="nil"/>
            </w:tcBorders>
            <w:shd w:val="clear" w:color="auto" w:fill="auto"/>
            <w:noWrap/>
            <w:vAlign w:val="bottom"/>
          </w:tcPr>
          <w:p w14:paraId="519A1644"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$196,806</w:t>
            </w:r>
          </w:p>
        </w:tc>
      </w:tr>
      <w:tr w:rsidR="00765749" w:rsidRPr="00D23BFA" w14:paraId="7BC82AA0" w14:textId="77777777" w:rsidTr="00232FBD">
        <w:trPr>
          <w:trHeight w:val="799"/>
        </w:trPr>
        <w:tc>
          <w:tcPr>
            <w:tcW w:w="667" w:type="pct"/>
            <w:tcBorders>
              <w:top w:val="nil"/>
              <w:left w:val="nil"/>
              <w:bottom w:val="nil"/>
              <w:right w:val="nil"/>
            </w:tcBorders>
            <w:shd w:val="clear" w:color="auto" w:fill="auto"/>
            <w:noWrap/>
            <w:hideMark/>
          </w:tcPr>
          <w:p w14:paraId="1B07BBC0" w14:textId="77777777" w:rsidR="00765749" w:rsidRPr="00D23BFA" w:rsidRDefault="00765749" w:rsidP="00232FBD">
            <w:pPr>
              <w:rPr>
                <w:rFonts w:eastAsia="Times New Roman"/>
                <w:color w:val="000000"/>
                <w:sz w:val="16"/>
                <w:szCs w:val="16"/>
                <w:lang w:eastAsia="en-GB"/>
              </w:rPr>
            </w:pPr>
          </w:p>
        </w:tc>
        <w:tc>
          <w:tcPr>
            <w:tcW w:w="601" w:type="pct"/>
            <w:tcBorders>
              <w:top w:val="nil"/>
              <w:left w:val="nil"/>
              <w:bottom w:val="nil"/>
              <w:right w:val="nil"/>
            </w:tcBorders>
            <w:shd w:val="clear" w:color="auto" w:fill="auto"/>
            <w:noWrap/>
            <w:vAlign w:val="bottom"/>
            <w:hideMark/>
          </w:tcPr>
          <w:p w14:paraId="12BA727E" w14:textId="60CB00FC" w:rsidR="00765749" w:rsidRPr="00D23BFA" w:rsidRDefault="00765749" w:rsidP="00232FBD">
            <w:pPr>
              <w:jc w:val="right"/>
              <w:rPr>
                <w:rFonts w:eastAsia="Times New Roman"/>
                <w:color w:val="000000"/>
                <w:sz w:val="16"/>
                <w:szCs w:val="16"/>
                <w:lang w:eastAsia="en-GB"/>
              </w:rPr>
            </w:pPr>
            <w:r w:rsidRPr="00D23BFA">
              <w:rPr>
                <w:sz w:val="16"/>
                <w:szCs w:val="16"/>
              </w:rPr>
              <w:t>Discounted cash flow</w:t>
            </w:r>
            <w:r w:rsidR="002E407D" w:rsidRPr="002E407D">
              <w:rPr>
                <w:sz w:val="16"/>
                <w:szCs w:val="16"/>
                <w:vertAlign w:val="superscript"/>
              </w:rPr>
              <w:t>(5)</w:t>
            </w:r>
          </w:p>
        </w:tc>
        <w:tc>
          <w:tcPr>
            <w:tcW w:w="666" w:type="pct"/>
            <w:tcBorders>
              <w:top w:val="nil"/>
              <w:left w:val="nil"/>
              <w:bottom w:val="nil"/>
              <w:right w:val="nil"/>
            </w:tcBorders>
            <w:shd w:val="clear" w:color="auto" w:fill="auto"/>
            <w:noWrap/>
            <w:vAlign w:val="bottom"/>
            <w:hideMark/>
          </w:tcPr>
          <w:p w14:paraId="15C71907"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Oil Price Curve ($/bbl)</w:t>
            </w:r>
          </w:p>
        </w:tc>
        <w:tc>
          <w:tcPr>
            <w:tcW w:w="399" w:type="pct"/>
            <w:tcBorders>
              <w:top w:val="nil"/>
              <w:left w:val="nil"/>
              <w:bottom w:val="nil"/>
              <w:right w:val="nil"/>
            </w:tcBorders>
            <w:shd w:val="clear" w:color="auto" w:fill="auto"/>
            <w:noWrap/>
            <w:vAlign w:val="bottom"/>
          </w:tcPr>
          <w:p w14:paraId="1217DF70"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w:t>
            </w:r>
            <w:r>
              <w:rPr>
                <w:rFonts w:eastAsia="Times New Roman"/>
                <w:color w:val="000000"/>
                <w:sz w:val="16"/>
                <w:szCs w:val="16"/>
                <w:lang w:eastAsia="en-GB"/>
              </w:rPr>
              <w:t>57</w:t>
            </w:r>
          </w:p>
        </w:tc>
        <w:tc>
          <w:tcPr>
            <w:tcW w:w="401" w:type="pct"/>
            <w:gridSpan w:val="2"/>
            <w:tcBorders>
              <w:top w:val="nil"/>
              <w:left w:val="nil"/>
              <w:bottom w:val="nil"/>
              <w:right w:val="nil"/>
            </w:tcBorders>
            <w:shd w:val="clear" w:color="auto" w:fill="auto"/>
            <w:noWrap/>
            <w:vAlign w:val="bottom"/>
          </w:tcPr>
          <w:p w14:paraId="38E38083"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w:t>
            </w:r>
            <w:r>
              <w:rPr>
                <w:rFonts w:eastAsia="Times New Roman"/>
                <w:color w:val="000000"/>
                <w:sz w:val="16"/>
                <w:szCs w:val="16"/>
                <w:lang w:eastAsia="en-GB"/>
              </w:rPr>
              <w:t>68</w:t>
            </w:r>
          </w:p>
        </w:tc>
        <w:tc>
          <w:tcPr>
            <w:tcW w:w="533" w:type="pct"/>
            <w:tcBorders>
              <w:top w:val="nil"/>
              <w:left w:val="nil"/>
              <w:bottom w:val="nil"/>
              <w:right w:val="nil"/>
            </w:tcBorders>
            <w:shd w:val="clear" w:color="auto" w:fill="auto"/>
            <w:noWrap/>
            <w:vAlign w:val="bottom"/>
          </w:tcPr>
          <w:p w14:paraId="0AC5FD9B"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w:t>
            </w:r>
            <w:r>
              <w:rPr>
                <w:rFonts w:eastAsia="Times New Roman"/>
                <w:color w:val="000000"/>
                <w:sz w:val="16"/>
                <w:szCs w:val="16"/>
                <w:lang w:eastAsia="en-GB"/>
              </w:rPr>
              <w:t>63</w:t>
            </w:r>
          </w:p>
        </w:tc>
        <w:tc>
          <w:tcPr>
            <w:tcW w:w="866" w:type="pct"/>
            <w:tcBorders>
              <w:top w:val="nil"/>
              <w:left w:val="nil"/>
              <w:bottom w:val="nil"/>
              <w:right w:val="nil"/>
            </w:tcBorders>
            <w:shd w:val="clear" w:color="000000" w:fill="FFFFFF"/>
            <w:vAlign w:val="bottom"/>
          </w:tcPr>
          <w:p w14:paraId="689ED8E1" w14:textId="1E48071D" w:rsidR="00765749" w:rsidRPr="00D23BFA" w:rsidRDefault="00282EDB" w:rsidP="00232FBD">
            <w:pPr>
              <w:jc w:val="right"/>
              <w:rPr>
                <w:rFonts w:eastAsia="Times New Roman"/>
                <w:color w:val="000000"/>
                <w:sz w:val="16"/>
                <w:szCs w:val="16"/>
                <w:lang w:eastAsia="en-GB"/>
              </w:rPr>
            </w:pPr>
            <w:r>
              <w:rPr>
                <w:rFonts w:eastAsia="Times New Roman"/>
                <w:color w:val="000000"/>
                <w:sz w:val="16"/>
                <w:szCs w:val="16"/>
                <w:lang w:eastAsia="en-GB"/>
              </w:rPr>
              <w:t>2</w:t>
            </w:r>
            <w:r w:rsidR="00765749" w:rsidRPr="00D23BFA">
              <w:rPr>
                <w:rFonts w:eastAsia="Times New Roman"/>
                <w:color w:val="000000"/>
                <w:sz w:val="16"/>
                <w:szCs w:val="16"/>
                <w:lang w:eastAsia="en-GB"/>
              </w:rPr>
              <w:t>0</w:t>
            </w:r>
            <w:r w:rsidR="00621A24">
              <w:rPr>
                <w:rFonts w:eastAsia="Times New Roman"/>
                <w:color w:val="000000"/>
                <w:sz w:val="16"/>
                <w:szCs w:val="16"/>
                <w:lang w:eastAsia="en-GB"/>
              </w:rPr>
              <w:t xml:space="preserve"> per cent.</w:t>
            </w:r>
            <w:r w:rsidR="00765749" w:rsidRPr="00D23BFA">
              <w:rPr>
                <w:rFonts w:eastAsia="Times New Roman"/>
                <w:color w:val="000000"/>
                <w:sz w:val="16"/>
                <w:szCs w:val="16"/>
                <w:lang w:eastAsia="en-GB"/>
              </w:rPr>
              <w:t xml:space="preserve"> weighted average change in the input would result in </w:t>
            </w:r>
            <w:r>
              <w:rPr>
                <w:rFonts w:eastAsia="Times New Roman"/>
                <w:color w:val="000000"/>
                <w:sz w:val="16"/>
                <w:szCs w:val="16"/>
                <w:lang w:eastAsia="en-GB"/>
              </w:rPr>
              <w:t>22</w:t>
            </w:r>
            <w:r w:rsidR="00621A24">
              <w:rPr>
                <w:rFonts w:eastAsia="Times New Roman"/>
                <w:color w:val="000000"/>
                <w:sz w:val="16"/>
                <w:szCs w:val="16"/>
                <w:lang w:eastAsia="en-GB"/>
              </w:rPr>
              <w:t xml:space="preserve"> per cent.</w:t>
            </w:r>
            <w:r w:rsidR="00765749" w:rsidRPr="00D23BFA">
              <w:rPr>
                <w:rFonts w:eastAsia="Times New Roman"/>
                <w:color w:val="000000"/>
                <w:sz w:val="16"/>
                <w:szCs w:val="16"/>
                <w:lang w:eastAsia="en-GB"/>
              </w:rPr>
              <w:t xml:space="preserve"> change in the total fair value of Level 3 investments</w:t>
            </w:r>
          </w:p>
        </w:tc>
        <w:tc>
          <w:tcPr>
            <w:tcW w:w="867" w:type="pct"/>
            <w:tcBorders>
              <w:top w:val="nil"/>
              <w:left w:val="nil"/>
              <w:bottom w:val="nil"/>
              <w:right w:val="nil"/>
            </w:tcBorders>
            <w:shd w:val="clear" w:color="auto" w:fill="auto"/>
            <w:noWrap/>
            <w:vAlign w:val="bottom"/>
          </w:tcPr>
          <w:p w14:paraId="30F32B12"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w:t>
            </w:r>
            <w:r>
              <w:rPr>
                <w:color w:val="000000"/>
                <w:sz w:val="16"/>
                <w:szCs w:val="16"/>
              </w:rPr>
              <w:t>1,055,421</w:t>
            </w:r>
            <w:r w:rsidRPr="00D23BFA">
              <w:rPr>
                <w:color w:val="000000"/>
                <w:sz w:val="16"/>
                <w:szCs w:val="16"/>
              </w:rPr>
              <w:t xml:space="preserve"> </w:t>
            </w:r>
          </w:p>
        </w:tc>
      </w:tr>
      <w:tr w:rsidR="00765749" w:rsidRPr="00D23BFA" w14:paraId="10F7DE08" w14:textId="77777777" w:rsidTr="00232FBD">
        <w:trPr>
          <w:trHeight w:val="799"/>
        </w:trPr>
        <w:tc>
          <w:tcPr>
            <w:tcW w:w="667" w:type="pct"/>
            <w:tcBorders>
              <w:top w:val="nil"/>
              <w:left w:val="nil"/>
              <w:bottom w:val="nil"/>
              <w:right w:val="nil"/>
            </w:tcBorders>
            <w:shd w:val="clear" w:color="auto" w:fill="auto"/>
            <w:noWrap/>
            <w:hideMark/>
          </w:tcPr>
          <w:p w14:paraId="49183B34" w14:textId="77777777" w:rsidR="00765749" w:rsidRPr="00D23BFA" w:rsidRDefault="00765749" w:rsidP="00232FBD">
            <w:pPr>
              <w:rPr>
                <w:rFonts w:eastAsia="Times New Roman"/>
                <w:color w:val="000000"/>
                <w:sz w:val="16"/>
                <w:szCs w:val="16"/>
                <w:lang w:eastAsia="en-GB"/>
              </w:rPr>
            </w:pPr>
          </w:p>
        </w:tc>
        <w:tc>
          <w:tcPr>
            <w:tcW w:w="601" w:type="pct"/>
            <w:tcBorders>
              <w:top w:val="nil"/>
              <w:left w:val="nil"/>
              <w:bottom w:val="nil"/>
              <w:right w:val="nil"/>
            </w:tcBorders>
            <w:shd w:val="clear" w:color="auto" w:fill="auto"/>
            <w:noWrap/>
            <w:vAlign w:val="bottom"/>
            <w:hideMark/>
          </w:tcPr>
          <w:p w14:paraId="41A41621" w14:textId="77777777" w:rsidR="00765749" w:rsidRPr="00D23BFA" w:rsidRDefault="00765749" w:rsidP="00232FBD">
            <w:pPr>
              <w:jc w:val="right"/>
              <w:rPr>
                <w:rFonts w:eastAsia="Times New Roman"/>
                <w:color w:val="000000"/>
                <w:sz w:val="16"/>
                <w:szCs w:val="16"/>
                <w:lang w:eastAsia="en-GB"/>
              </w:rPr>
            </w:pPr>
          </w:p>
        </w:tc>
        <w:tc>
          <w:tcPr>
            <w:tcW w:w="666" w:type="pct"/>
            <w:tcBorders>
              <w:top w:val="nil"/>
              <w:left w:val="nil"/>
              <w:bottom w:val="nil"/>
              <w:right w:val="nil"/>
            </w:tcBorders>
            <w:shd w:val="clear" w:color="auto" w:fill="auto"/>
            <w:noWrap/>
            <w:vAlign w:val="bottom"/>
            <w:hideMark/>
          </w:tcPr>
          <w:p w14:paraId="4EF1BA77"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Gas Price Curve ($/mcfe)</w:t>
            </w:r>
          </w:p>
        </w:tc>
        <w:tc>
          <w:tcPr>
            <w:tcW w:w="399" w:type="pct"/>
            <w:tcBorders>
              <w:top w:val="nil"/>
              <w:left w:val="nil"/>
              <w:bottom w:val="nil"/>
              <w:right w:val="nil"/>
            </w:tcBorders>
            <w:shd w:val="clear" w:color="auto" w:fill="auto"/>
            <w:noWrap/>
            <w:vAlign w:val="bottom"/>
          </w:tcPr>
          <w:p w14:paraId="2A8B5633" w14:textId="0D674F1F"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 xml:space="preserve"> $</w:t>
            </w:r>
            <w:r w:rsidR="00282EDB">
              <w:rPr>
                <w:rFonts w:eastAsia="Times New Roman"/>
                <w:color w:val="000000"/>
                <w:sz w:val="16"/>
                <w:szCs w:val="16"/>
                <w:lang w:eastAsia="en-GB"/>
              </w:rPr>
              <w:t>3</w:t>
            </w:r>
            <w:r w:rsidRPr="00D23BFA">
              <w:rPr>
                <w:rFonts w:eastAsia="Times New Roman"/>
                <w:color w:val="000000"/>
                <w:sz w:val="16"/>
                <w:szCs w:val="16"/>
                <w:lang w:eastAsia="en-GB"/>
              </w:rPr>
              <w:t xml:space="preserve"> </w:t>
            </w:r>
          </w:p>
        </w:tc>
        <w:tc>
          <w:tcPr>
            <w:tcW w:w="401" w:type="pct"/>
            <w:gridSpan w:val="2"/>
            <w:tcBorders>
              <w:top w:val="nil"/>
              <w:left w:val="nil"/>
              <w:bottom w:val="nil"/>
              <w:right w:val="nil"/>
            </w:tcBorders>
            <w:shd w:val="clear" w:color="auto" w:fill="auto"/>
            <w:noWrap/>
            <w:vAlign w:val="bottom"/>
          </w:tcPr>
          <w:p w14:paraId="3E76BCBE"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 xml:space="preserve"> $3 </w:t>
            </w:r>
          </w:p>
        </w:tc>
        <w:tc>
          <w:tcPr>
            <w:tcW w:w="533" w:type="pct"/>
            <w:tcBorders>
              <w:top w:val="nil"/>
              <w:left w:val="nil"/>
              <w:bottom w:val="nil"/>
              <w:right w:val="nil"/>
            </w:tcBorders>
            <w:shd w:val="clear" w:color="auto" w:fill="auto"/>
            <w:noWrap/>
            <w:vAlign w:val="bottom"/>
          </w:tcPr>
          <w:p w14:paraId="6C33932C" w14:textId="0DEC2CCB"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 xml:space="preserve"> $</w:t>
            </w:r>
            <w:r w:rsidR="00232FBD">
              <w:rPr>
                <w:rFonts w:eastAsia="Times New Roman"/>
                <w:color w:val="000000"/>
                <w:sz w:val="16"/>
                <w:szCs w:val="16"/>
                <w:lang w:eastAsia="en-GB"/>
              </w:rPr>
              <w:t>3</w:t>
            </w:r>
            <w:r w:rsidRPr="00D23BFA">
              <w:rPr>
                <w:rFonts w:eastAsia="Times New Roman"/>
                <w:color w:val="000000"/>
                <w:sz w:val="16"/>
                <w:szCs w:val="16"/>
                <w:lang w:eastAsia="en-GB"/>
              </w:rPr>
              <w:t xml:space="preserve"> </w:t>
            </w:r>
          </w:p>
        </w:tc>
        <w:tc>
          <w:tcPr>
            <w:tcW w:w="866" w:type="pct"/>
            <w:tcBorders>
              <w:top w:val="nil"/>
              <w:left w:val="nil"/>
              <w:bottom w:val="nil"/>
              <w:right w:val="nil"/>
            </w:tcBorders>
            <w:shd w:val="clear" w:color="000000" w:fill="FFFFFF"/>
            <w:vAlign w:val="bottom"/>
          </w:tcPr>
          <w:p w14:paraId="11A1EA23" w14:textId="24AB00AB"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10</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weighted average change in the input would result in 3</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change in the total fair value of Level 3 investments</w:t>
            </w:r>
          </w:p>
        </w:tc>
        <w:tc>
          <w:tcPr>
            <w:tcW w:w="867" w:type="pct"/>
            <w:tcBorders>
              <w:top w:val="nil"/>
              <w:left w:val="nil"/>
              <w:bottom w:val="nil"/>
              <w:right w:val="nil"/>
            </w:tcBorders>
            <w:shd w:val="clear" w:color="auto" w:fill="auto"/>
            <w:noWrap/>
            <w:vAlign w:val="bottom"/>
          </w:tcPr>
          <w:p w14:paraId="0B9FEA9A" w14:textId="7135AE42" w:rsidR="00765749" w:rsidRPr="00D23BFA" w:rsidRDefault="00765749" w:rsidP="001C0DF3">
            <w:pPr>
              <w:jc w:val="right"/>
              <w:rPr>
                <w:rFonts w:eastAsia="Times New Roman"/>
                <w:color w:val="000000"/>
                <w:sz w:val="16"/>
                <w:szCs w:val="16"/>
                <w:lang w:eastAsia="en-GB"/>
              </w:rPr>
            </w:pPr>
            <w:r w:rsidRPr="00D23BFA">
              <w:rPr>
                <w:rFonts w:eastAsia="Times New Roman"/>
                <w:color w:val="000000"/>
                <w:sz w:val="16"/>
                <w:szCs w:val="16"/>
                <w:lang w:eastAsia="en-GB"/>
              </w:rPr>
              <w:t>$</w:t>
            </w:r>
            <w:r w:rsidR="001C0DF3">
              <w:rPr>
                <w:color w:val="000000"/>
                <w:sz w:val="16"/>
                <w:szCs w:val="16"/>
              </w:rPr>
              <w:t>852,102</w:t>
            </w:r>
            <w:r w:rsidRPr="00D23BFA">
              <w:rPr>
                <w:color w:val="000000"/>
                <w:sz w:val="16"/>
                <w:szCs w:val="16"/>
              </w:rPr>
              <w:t xml:space="preserve"> </w:t>
            </w:r>
          </w:p>
        </w:tc>
      </w:tr>
      <w:tr w:rsidR="00765749" w:rsidRPr="00D23BFA" w14:paraId="28DACF0F" w14:textId="77777777" w:rsidTr="00232FBD">
        <w:trPr>
          <w:trHeight w:val="799"/>
        </w:trPr>
        <w:tc>
          <w:tcPr>
            <w:tcW w:w="667" w:type="pct"/>
            <w:tcBorders>
              <w:top w:val="nil"/>
              <w:left w:val="nil"/>
              <w:bottom w:val="nil"/>
              <w:right w:val="nil"/>
            </w:tcBorders>
            <w:shd w:val="clear" w:color="auto" w:fill="auto"/>
            <w:noWrap/>
          </w:tcPr>
          <w:p w14:paraId="100D8258" w14:textId="77777777" w:rsidR="00765749" w:rsidRPr="00D23BFA" w:rsidRDefault="00765749" w:rsidP="00232FBD">
            <w:pPr>
              <w:rPr>
                <w:rFonts w:eastAsia="Times New Roman"/>
                <w:color w:val="000000"/>
                <w:sz w:val="16"/>
                <w:szCs w:val="16"/>
                <w:lang w:eastAsia="en-GB"/>
              </w:rPr>
            </w:pPr>
          </w:p>
        </w:tc>
        <w:tc>
          <w:tcPr>
            <w:tcW w:w="601" w:type="pct"/>
            <w:tcBorders>
              <w:top w:val="nil"/>
              <w:left w:val="nil"/>
              <w:bottom w:val="nil"/>
              <w:right w:val="nil"/>
            </w:tcBorders>
            <w:shd w:val="clear" w:color="auto" w:fill="auto"/>
            <w:noWrap/>
            <w:vAlign w:val="bottom"/>
          </w:tcPr>
          <w:p w14:paraId="714E2E9A" w14:textId="77777777" w:rsidR="00765749" w:rsidRPr="00D23BFA" w:rsidRDefault="00765749" w:rsidP="00232FBD">
            <w:pPr>
              <w:jc w:val="right"/>
              <w:rPr>
                <w:rFonts w:eastAsia="Times New Roman"/>
                <w:color w:val="000000"/>
                <w:sz w:val="16"/>
                <w:szCs w:val="16"/>
                <w:lang w:eastAsia="en-GB"/>
              </w:rPr>
            </w:pPr>
          </w:p>
        </w:tc>
        <w:tc>
          <w:tcPr>
            <w:tcW w:w="666" w:type="pct"/>
            <w:tcBorders>
              <w:top w:val="nil"/>
              <w:left w:val="nil"/>
              <w:bottom w:val="nil"/>
              <w:right w:val="nil"/>
            </w:tcBorders>
            <w:shd w:val="clear" w:color="auto" w:fill="auto"/>
            <w:noWrap/>
            <w:vAlign w:val="bottom"/>
          </w:tcPr>
          <w:p w14:paraId="5F5EB278"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Discount Rate</w:t>
            </w:r>
          </w:p>
        </w:tc>
        <w:tc>
          <w:tcPr>
            <w:tcW w:w="399" w:type="pct"/>
            <w:tcBorders>
              <w:top w:val="nil"/>
              <w:left w:val="nil"/>
              <w:bottom w:val="nil"/>
              <w:right w:val="nil"/>
            </w:tcBorders>
            <w:shd w:val="clear" w:color="auto" w:fill="auto"/>
            <w:noWrap/>
            <w:vAlign w:val="bottom"/>
          </w:tcPr>
          <w:p w14:paraId="4EF18E6B"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16</w:t>
            </w:r>
            <w:r>
              <w:rPr>
                <w:rFonts w:eastAsia="Times New Roman"/>
                <w:color w:val="000000"/>
                <w:sz w:val="16"/>
                <w:szCs w:val="16"/>
                <w:lang w:eastAsia="en-GB"/>
              </w:rPr>
              <w:t>%</w:t>
            </w:r>
          </w:p>
        </w:tc>
        <w:tc>
          <w:tcPr>
            <w:tcW w:w="401" w:type="pct"/>
            <w:gridSpan w:val="2"/>
            <w:tcBorders>
              <w:top w:val="nil"/>
              <w:left w:val="nil"/>
              <w:bottom w:val="nil"/>
              <w:right w:val="nil"/>
            </w:tcBorders>
            <w:shd w:val="clear" w:color="auto" w:fill="auto"/>
            <w:noWrap/>
            <w:vAlign w:val="bottom"/>
          </w:tcPr>
          <w:p w14:paraId="23F17D22"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20%</w:t>
            </w:r>
          </w:p>
        </w:tc>
        <w:tc>
          <w:tcPr>
            <w:tcW w:w="533" w:type="pct"/>
            <w:tcBorders>
              <w:top w:val="nil"/>
              <w:left w:val="nil"/>
              <w:bottom w:val="nil"/>
              <w:right w:val="nil"/>
            </w:tcBorders>
            <w:shd w:val="clear" w:color="auto" w:fill="auto"/>
            <w:noWrap/>
            <w:vAlign w:val="bottom"/>
          </w:tcPr>
          <w:p w14:paraId="025A482A" w14:textId="77777777" w:rsidR="00765749" w:rsidRPr="00D23BFA" w:rsidRDefault="00765749" w:rsidP="00232FBD">
            <w:pPr>
              <w:jc w:val="right"/>
              <w:rPr>
                <w:rFonts w:eastAsia="Times New Roman"/>
                <w:color w:val="000000"/>
                <w:sz w:val="16"/>
                <w:szCs w:val="16"/>
                <w:lang w:eastAsia="en-GB"/>
              </w:rPr>
            </w:pPr>
            <w:r>
              <w:rPr>
                <w:rFonts w:eastAsia="Times New Roman"/>
                <w:color w:val="000000"/>
                <w:sz w:val="16"/>
                <w:szCs w:val="16"/>
                <w:lang w:eastAsia="en-GB"/>
              </w:rPr>
              <w:t>17%</w:t>
            </w:r>
            <w:r w:rsidRPr="00D23BFA">
              <w:rPr>
                <w:rFonts w:eastAsia="Times New Roman"/>
                <w:color w:val="000000"/>
                <w:sz w:val="16"/>
                <w:szCs w:val="16"/>
                <w:lang w:eastAsia="en-GB"/>
              </w:rPr>
              <w:t xml:space="preserve"> </w:t>
            </w:r>
          </w:p>
        </w:tc>
        <w:tc>
          <w:tcPr>
            <w:tcW w:w="866" w:type="pct"/>
            <w:tcBorders>
              <w:top w:val="nil"/>
              <w:left w:val="nil"/>
              <w:bottom w:val="nil"/>
              <w:right w:val="nil"/>
            </w:tcBorders>
            <w:shd w:val="clear" w:color="000000" w:fill="FFFFFF"/>
            <w:vAlign w:val="bottom"/>
          </w:tcPr>
          <w:p w14:paraId="5C8F1952" w14:textId="35E6553E"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10</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weighted average change in the input wo</w:t>
            </w:r>
            <w:r>
              <w:rPr>
                <w:rFonts w:eastAsia="Times New Roman"/>
                <w:color w:val="000000"/>
                <w:sz w:val="16"/>
                <w:szCs w:val="16"/>
                <w:lang w:eastAsia="en-GB"/>
              </w:rPr>
              <w:t>uld result in 1</w:t>
            </w:r>
            <w:r w:rsidR="00621A24">
              <w:rPr>
                <w:rFonts w:eastAsia="Times New Roman"/>
                <w:color w:val="000000"/>
                <w:sz w:val="16"/>
                <w:szCs w:val="16"/>
                <w:lang w:eastAsia="en-GB"/>
              </w:rPr>
              <w:t xml:space="preserve"> per cent.</w:t>
            </w:r>
            <w:r w:rsidRPr="00D23BFA">
              <w:rPr>
                <w:rFonts w:eastAsia="Times New Roman"/>
                <w:color w:val="000000"/>
                <w:sz w:val="16"/>
                <w:szCs w:val="16"/>
                <w:lang w:eastAsia="en-GB"/>
              </w:rPr>
              <w:t xml:space="preserve"> change in the total fair value of Level 3 investments</w:t>
            </w:r>
          </w:p>
        </w:tc>
        <w:tc>
          <w:tcPr>
            <w:tcW w:w="867" w:type="pct"/>
            <w:tcBorders>
              <w:top w:val="nil"/>
              <w:left w:val="nil"/>
              <w:bottom w:val="nil"/>
              <w:right w:val="nil"/>
            </w:tcBorders>
            <w:shd w:val="clear" w:color="auto" w:fill="auto"/>
            <w:noWrap/>
            <w:vAlign w:val="bottom"/>
          </w:tcPr>
          <w:p w14:paraId="78CB431E" w14:textId="67B28AF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w:t>
            </w:r>
            <w:r w:rsidR="00232FBD">
              <w:rPr>
                <w:color w:val="000000"/>
                <w:sz w:val="16"/>
                <w:szCs w:val="16"/>
              </w:rPr>
              <w:t>215,313</w:t>
            </w:r>
            <w:r w:rsidRPr="00D23BFA">
              <w:rPr>
                <w:color w:val="000000"/>
                <w:sz w:val="16"/>
                <w:szCs w:val="16"/>
              </w:rPr>
              <w:t xml:space="preserve"> </w:t>
            </w:r>
          </w:p>
        </w:tc>
      </w:tr>
      <w:tr w:rsidR="00765749" w:rsidRPr="00D23BFA" w14:paraId="754084DB" w14:textId="77777777" w:rsidTr="00232FBD">
        <w:trPr>
          <w:trHeight w:val="241"/>
        </w:trPr>
        <w:tc>
          <w:tcPr>
            <w:tcW w:w="667" w:type="pct"/>
            <w:tcBorders>
              <w:top w:val="nil"/>
              <w:left w:val="nil"/>
              <w:bottom w:val="single" w:sz="4" w:space="0" w:color="auto"/>
              <w:right w:val="nil"/>
            </w:tcBorders>
            <w:shd w:val="clear" w:color="auto" w:fill="auto"/>
            <w:noWrap/>
          </w:tcPr>
          <w:p w14:paraId="6D464159" w14:textId="77777777" w:rsidR="00765749" w:rsidRPr="00D23BFA" w:rsidRDefault="00765749" w:rsidP="00232FBD">
            <w:pPr>
              <w:rPr>
                <w:rFonts w:eastAsia="Times New Roman"/>
                <w:color w:val="000000"/>
                <w:sz w:val="16"/>
                <w:szCs w:val="16"/>
                <w:lang w:eastAsia="en-GB"/>
              </w:rPr>
            </w:pPr>
          </w:p>
        </w:tc>
        <w:tc>
          <w:tcPr>
            <w:tcW w:w="601" w:type="pct"/>
            <w:tcBorders>
              <w:top w:val="nil"/>
              <w:left w:val="nil"/>
              <w:bottom w:val="single" w:sz="4" w:space="0" w:color="auto"/>
              <w:right w:val="nil"/>
            </w:tcBorders>
            <w:shd w:val="clear" w:color="auto" w:fill="auto"/>
            <w:noWrap/>
            <w:hideMark/>
          </w:tcPr>
          <w:p w14:paraId="3B45D770"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666" w:type="pct"/>
            <w:tcBorders>
              <w:top w:val="nil"/>
              <w:left w:val="nil"/>
              <w:bottom w:val="single" w:sz="4" w:space="0" w:color="auto"/>
              <w:right w:val="nil"/>
            </w:tcBorders>
            <w:shd w:val="clear" w:color="auto" w:fill="auto"/>
            <w:noWrap/>
            <w:hideMark/>
          </w:tcPr>
          <w:p w14:paraId="0166B0F1"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399" w:type="pct"/>
            <w:tcBorders>
              <w:top w:val="nil"/>
              <w:left w:val="nil"/>
              <w:bottom w:val="single" w:sz="4" w:space="0" w:color="auto"/>
              <w:right w:val="nil"/>
            </w:tcBorders>
            <w:shd w:val="clear" w:color="auto" w:fill="auto"/>
            <w:noWrap/>
            <w:hideMark/>
          </w:tcPr>
          <w:p w14:paraId="5B9ECB71"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 </w:t>
            </w:r>
          </w:p>
        </w:tc>
        <w:tc>
          <w:tcPr>
            <w:tcW w:w="401" w:type="pct"/>
            <w:gridSpan w:val="2"/>
            <w:tcBorders>
              <w:top w:val="nil"/>
              <w:left w:val="nil"/>
              <w:bottom w:val="single" w:sz="4" w:space="0" w:color="auto"/>
              <w:right w:val="nil"/>
            </w:tcBorders>
            <w:shd w:val="clear" w:color="auto" w:fill="auto"/>
            <w:noWrap/>
            <w:hideMark/>
          </w:tcPr>
          <w:p w14:paraId="75EF893D" w14:textId="77777777" w:rsidR="00765749" w:rsidRPr="00D23BFA" w:rsidRDefault="00765749" w:rsidP="00232FBD">
            <w:pPr>
              <w:jc w:val="right"/>
              <w:rPr>
                <w:rFonts w:eastAsia="Times New Roman"/>
                <w:color w:val="000000"/>
                <w:sz w:val="16"/>
                <w:szCs w:val="16"/>
                <w:lang w:eastAsia="en-GB"/>
              </w:rPr>
            </w:pPr>
            <w:r w:rsidRPr="00D23BFA">
              <w:rPr>
                <w:rFonts w:eastAsia="Times New Roman"/>
                <w:color w:val="000000"/>
                <w:sz w:val="16"/>
                <w:szCs w:val="16"/>
                <w:lang w:eastAsia="en-GB"/>
              </w:rPr>
              <w:t> </w:t>
            </w:r>
          </w:p>
        </w:tc>
        <w:tc>
          <w:tcPr>
            <w:tcW w:w="533" w:type="pct"/>
            <w:tcBorders>
              <w:top w:val="nil"/>
              <w:left w:val="nil"/>
              <w:bottom w:val="single" w:sz="4" w:space="0" w:color="auto"/>
              <w:right w:val="nil"/>
            </w:tcBorders>
            <w:shd w:val="clear" w:color="auto" w:fill="auto"/>
            <w:noWrap/>
            <w:hideMark/>
          </w:tcPr>
          <w:p w14:paraId="0170D0A4" w14:textId="77777777" w:rsidR="00765749" w:rsidRPr="00D23BFA" w:rsidRDefault="00765749" w:rsidP="00232FBD">
            <w:pPr>
              <w:jc w:val="center"/>
              <w:rPr>
                <w:rFonts w:eastAsia="Times New Roman"/>
                <w:color w:val="000000"/>
                <w:sz w:val="16"/>
                <w:szCs w:val="16"/>
                <w:lang w:eastAsia="en-GB"/>
              </w:rPr>
            </w:pPr>
            <w:r w:rsidRPr="00D23BFA">
              <w:rPr>
                <w:rFonts w:eastAsia="Times New Roman"/>
                <w:color w:val="000000"/>
                <w:sz w:val="16"/>
                <w:szCs w:val="16"/>
                <w:lang w:eastAsia="en-GB"/>
              </w:rPr>
              <w:t> </w:t>
            </w:r>
          </w:p>
        </w:tc>
        <w:tc>
          <w:tcPr>
            <w:tcW w:w="866" w:type="pct"/>
            <w:tcBorders>
              <w:top w:val="nil"/>
              <w:left w:val="nil"/>
              <w:bottom w:val="single" w:sz="4" w:space="0" w:color="auto"/>
              <w:right w:val="nil"/>
            </w:tcBorders>
            <w:shd w:val="clear" w:color="auto" w:fill="auto"/>
            <w:noWrap/>
            <w:hideMark/>
          </w:tcPr>
          <w:p w14:paraId="6000D135"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867" w:type="pct"/>
            <w:tcBorders>
              <w:top w:val="nil"/>
              <w:left w:val="nil"/>
              <w:bottom w:val="single" w:sz="4" w:space="0" w:color="auto"/>
              <w:right w:val="nil"/>
            </w:tcBorders>
            <w:shd w:val="clear" w:color="auto" w:fill="auto"/>
            <w:noWrap/>
            <w:hideMark/>
          </w:tcPr>
          <w:p w14:paraId="1A66CFD9"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r>
      <w:tr w:rsidR="00765749" w:rsidRPr="00D23BFA" w14:paraId="226B970A" w14:textId="77777777" w:rsidTr="00232FBD">
        <w:trPr>
          <w:trHeight w:val="300"/>
        </w:trPr>
        <w:tc>
          <w:tcPr>
            <w:tcW w:w="667" w:type="pct"/>
            <w:tcBorders>
              <w:top w:val="nil"/>
              <w:left w:val="nil"/>
              <w:bottom w:val="nil"/>
              <w:right w:val="nil"/>
            </w:tcBorders>
            <w:shd w:val="clear" w:color="auto" w:fill="auto"/>
            <w:noWrap/>
          </w:tcPr>
          <w:p w14:paraId="4735BB45" w14:textId="478A130D" w:rsidR="00765749" w:rsidRPr="00D23BFA" w:rsidRDefault="0016440C" w:rsidP="00232FBD">
            <w:pPr>
              <w:rPr>
                <w:rFonts w:eastAsia="Times New Roman"/>
                <w:color w:val="000000"/>
                <w:sz w:val="16"/>
                <w:szCs w:val="16"/>
                <w:lang w:eastAsia="en-GB"/>
              </w:rPr>
            </w:pPr>
            <w:r>
              <w:rPr>
                <w:rFonts w:eastAsia="Times New Roman"/>
                <w:color w:val="000000"/>
                <w:sz w:val="16"/>
                <w:szCs w:val="16"/>
                <w:lang w:eastAsia="en-GB"/>
              </w:rPr>
              <w:t>$</w:t>
            </w:r>
            <w:r w:rsidR="00B04443">
              <w:rPr>
                <w:rFonts w:eastAsia="Times New Roman"/>
                <w:color w:val="000000"/>
                <w:sz w:val="16"/>
                <w:szCs w:val="16"/>
                <w:lang w:eastAsia="en-GB"/>
              </w:rPr>
              <w:t>137,689</w:t>
            </w:r>
          </w:p>
        </w:tc>
        <w:tc>
          <w:tcPr>
            <w:tcW w:w="601" w:type="pct"/>
            <w:tcBorders>
              <w:top w:val="nil"/>
              <w:left w:val="nil"/>
              <w:bottom w:val="nil"/>
              <w:right w:val="nil"/>
            </w:tcBorders>
            <w:shd w:val="clear" w:color="auto" w:fill="auto"/>
            <w:noWrap/>
            <w:hideMark/>
          </w:tcPr>
          <w:p w14:paraId="735E2DB0"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Other</w:t>
            </w:r>
          </w:p>
        </w:tc>
        <w:tc>
          <w:tcPr>
            <w:tcW w:w="666" w:type="pct"/>
            <w:tcBorders>
              <w:top w:val="nil"/>
              <w:left w:val="nil"/>
              <w:bottom w:val="nil"/>
              <w:right w:val="nil"/>
            </w:tcBorders>
            <w:shd w:val="clear" w:color="auto" w:fill="auto"/>
            <w:noWrap/>
            <w:hideMark/>
          </w:tcPr>
          <w:p w14:paraId="7F0BC127" w14:textId="77777777" w:rsidR="00765749" w:rsidRPr="00D23BFA" w:rsidRDefault="00765749" w:rsidP="00232FBD">
            <w:pPr>
              <w:rPr>
                <w:rFonts w:eastAsia="Times New Roman"/>
                <w:color w:val="000000"/>
                <w:sz w:val="16"/>
                <w:szCs w:val="16"/>
                <w:lang w:eastAsia="en-GB"/>
              </w:rPr>
            </w:pPr>
          </w:p>
        </w:tc>
        <w:tc>
          <w:tcPr>
            <w:tcW w:w="399" w:type="pct"/>
            <w:tcBorders>
              <w:top w:val="nil"/>
              <w:left w:val="nil"/>
              <w:bottom w:val="nil"/>
              <w:right w:val="nil"/>
            </w:tcBorders>
            <w:shd w:val="clear" w:color="auto" w:fill="auto"/>
            <w:noWrap/>
            <w:hideMark/>
          </w:tcPr>
          <w:p w14:paraId="00FDFE11" w14:textId="77777777" w:rsidR="00765749" w:rsidRPr="00D23BFA" w:rsidRDefault="00765749" w:rsidP="00232FBD">
            <w:pPr>
              <w:jc w:val="right"/>
              <w:rPr>
                <w:rFonts w:eastAsia="Times New Roman"/>
                <w:color w:val="000000"/>
                <w:sz w:val="16"/>
                <w:szCs w:val="16"/>
                <w:lang w:eastAsia="en-GB"/>
              </w:rPr>
            </w:pPr>
          </w:p>
        </w:tc>
        <w:tc>
          <w:tcPr>
            <w:tcW w:w="401" w:type="pct"/>
            <w:gridSpan w:val="2"/>
            <w:tcBorders>
              <w:top w:val="nil"/>
              <w:left w:val="nil"/>
              <w:bottom w:val="nil"/>
              <w:right w:val="nil"/>
            </w:tcBorders>
            <w:shd w:val="clear" w:color="auto" w:fill="auto"/>
            <w:noWrap/>
            <w:hideMark/>
          </w:tcPr>
          <w:p w14:paraId="2B088042" w14:textId="77777777" w:rsidR="00765749" w:rsidRPr="00D23BFA" w:rsidRDefault="00765749" w:rsidP="00232FBD">
            <w:pPr>
              <w:jc w:val="right"/>
              <w:rPr>
                <w:rFonts w:eastAsia="Times New Roman"/>
                <w:color w:val="000000"/>
                <w:sz w:val="16"/>
                <w:szCs w:val="16"/>
                <w:lang w:eastAsia="en-GB"/>
              </w:rPr>
            </w:pPr>
          </w:p>
        </w:tc>
        <w:tc>
          <w:tcPr>
            <w:tcW w:w="533" w:type="pct"/>
            <w:tcBorders>
              <w:top w:val="nil"/>
              <w:left w:val="nil"/>
              <w:bottom w:val="nil"/>
              <w:right w:val="nil"/>
            </w:tcBorders>
            <w:shd w:val="clear" w:color="auto" w:fill="auto"/>
            <w:noWrap/>
            <w:hideMark/>
          </w:tcPr>
          <w:p w14:paraId="002D32A8" w14:textId="77777777" w:rsidR="00765749" w:rsidRPr="00D23BFA" w:rsidRDefault="00765749" w:rsidP="00232FBD">
            <w:pPr>
              <w:jc w:val="right"/>
              <w:rPr>
                <w:rFonts w:eastAsia="Times New Roman"/>
                <w:color w:val="000000"/>
                <w:sz w:val="16"/>
                <w:szCs w:val="16"/>
                <w:lang w:eastAsia="en-GB"/>
              </w:rPr>
            </w:pPr>
          </w:p>
        </w:tc>
        <w:tc>
          <w:tcPr>
            <w:tcW w:w="866" w:type="pct"/>
            <w:tcBorders>
              <w:top w:val="nil"/>
              <w:left w:val="nil"/>
              <w:bottom w:val="nil"/>
              <w:right w:val="nil"/>
            </w:tcBorders>
            <w:shd w:val="clear" w:color="auto" w:fill="auto"/>
            <w:noWrap/>
            <w:hideMark/>
          </w:tcPr>
          <w:p w14:paraId="60FD0B5E" w14:textId="77777777" w:rsidR="00765749" w:rsidRPr="00D23BFA" w:rsidRDefault="00765749" w:rsidP="00232FBD">
            <w:pPr>
              <w:rPr>
                <w:rFonts w:eastAsia="Times New Roman"/>
                <w:color w:val="000000"/>
                <w:sz w:val="16"/>
                <w:szCs w:val="16"/>
                <w:lang w:eastAsia="en-GB"/>
              </w:rPr>
            </w:pPr>
          </w:p>
        </w:tc>
        <w:tc>
          <w:tcPr>
            <w:tcW w:w="867" w:type="pct"/>
            <w:tcBorders>
              <w:top w:val="nil"/>
              <w:left w:val="nil"/>
              <w:bottom w:val="nil"/>
              <w:right w:val="nil"/>
            </w:tcBorders>
            <w:shd w:val="clear" w:color="auto" w:fill="auto"/>
            <w:noWrap/>
            <w:hideMark/>
          </w:tcPr>
          <w:p w14:paraId="66A9FD69" w14:textId="77777777" w:rsidR="00765749" w:rsidRPr="00D23BFA" w:rsidRDefault="00765749" w:rsidP="00232FBD">
            <w:pPr>
              <w:jc w:val="center"/>
              <w:rPr>
                <w:rFonts w:eastAsia="Times New Roman"/>
                <w:color w:val="000000"/>
                <w:sz w:val="16"/>
                <w:szCs w:val="16"/>
                <w:lang w:eastAsia="en-GB"/>
              </w:rPr>
            </w:pPr>
          </w:p>
        </w:tc>
      </w:tr>
      <w:tr w:rsidR="00765749" w:rsidRPr="00D23BFA" w14:paraId="14733A34" w14:textId="77777777" w:rsidTr="00232FBD">
        <w:trPr>
          <w:trHeight w:val="45"/>
        </w:trPr>
        <w:tc>
          <w:tcPr>
            <w:tcW w:w="667" w:type="pct"/>
            <w:tcBorders>
              <w:top w:val="nil"/>
              <w:left w:val="nil"/>
              <w:bottom w:val="single" w:sz="4" w:space="0" w:color="auto"/>
              <w:right w:val="nil"/>
            </w:tcBorders>
            <w:shd w:val="clear" w:color="auto" w:fill="auto"/>
            <w:noWrap/>
          </w:tcPr>
          <w:p w14:paraId="148E11B5" w14:textId="77777777" w:rsidR="00765749" w:rsidRPr="00D23BFA" w:rsidRDefault="00765749" w:rsidP="00232FBD">
            <w:pPr>
              <w:rPr>
                <w:rFonts w:eastAsia="Times New Roman"/>
                <w:color w:val="000000"/>
                <w:sz w:val="16"/>
                <w:szCs w:val="16"/>
                <w:lang w:eastAsia="en-GB"/>
              </w:rPr>
            </w:pPr>
          </w:p>
        </w:tc>
        <w:tc>
          <w:tcPr>
            <w:tcW w:w="601" w:type="pct"/>
            <w:tcBorders>
              <w:top w:val="nil"/>
              <w:left w:val="nil"/>
              <w:bottom w:val="single" w:sz="4" w:space="0" w:color="auto"/>
              <w:right w:val="nil"/>
            </w:tcBorders>
            <w:shd w:val="clear" w:color="auto" w:fill="auto"/>
            <w:noWrap/>
            <w:hideMark/>
          </w:tcPr>
          <w:p w14:paraId="294A13A3"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666" w:type="pct"/>
            <w:tcBorders>
              <w:top w:val="nil"/>
              <w:left w:val="nil"/>
              <w:bottom w:val="single" w:sz="4" w:space="0" w:color="auto"/>
              <w:right w:val="nil"/>
            </w:tcBorders>
            <w:shd w:val="clear" w:color="auto" w:fill="auto"/>
            <w:noWrap/>
            <w:hideMark/>
          </w:tcPr>
          <w:p w14:paraId="19E0279D"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399" w:type="pct"/>
            <w:tcBorders>
              <w:top w:val="nil"/>
              <w:left w:val="nil"/>
              <w:bottom w:val="single" w:sz="4" w:space="0" w:color="auto"/>
              <w:right w:val="nil"/>
            </w:tcBorders>
            <w:shd w:val="clear" w:color="auto" w:fill="auto"/>
            <w:noWrap/>
            <w:hideMark/>
          </w:tcPr>
          <w:p w14:paraId="475C6BE1"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401" w:type="pct"/>
            <w:gridSpan w:val="2"/>
            <w:tcBorders>
              <w:top w:val="nil"/>
              <w:left w:val="nil"/>
              <w:bottom w:val="single" w:sz="4" w:space="0" w:color="auto"/>
              <w:right w:val="nil"/>
            </w:tcBorders>
            <w:shd w:val="clear" w:color="auto" w:fill="auto"/>
            <w:noWrap/>
            <w:hideMark/>
          </w:tcPr>
          <w:p w14:paraId="3FA37945"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533" w:type="pct"/>
            <w:tcBorders>
              <w:top w:val="nil"/>
              <w:left w:val="nil"/>
              <w:bottom w:val="single" w:sz="4" w:space="0" w:color="auto"/>
              <w:right w:val="nil"/>
            </w:tcBorders>
            <w:shd w:val="clear" w:color="auto" w:fill="auto"/>
            <w:noWrap/>
            <w:hideMark/>
          </w:tcPr>
          <w:p w14:paraId="7D70206F"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866" w:type="pct"/>
            <w:tcBorders>
              <w:top w:val="nil"/>
              <w:left w:val="nil"/>
              <w:bottom w:val="single" w:sz="4" w:space="0" w:color="auto"/>
              <w:right w:val="nil"/>
            </w:tcBorders>
            <w:shd w:val="clear" w:color="auto" w:fill="auto"/>
            <w:noWrap/>
            <w:hideMark/>
          </w:tcPr>
          <w:p w14:paraId="51993065"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c>
          <w:tcPr>
            <w:tcW w:w="867" w:type="pct"/>
            <w:tcBorders>
              <w:top w:val="nil"/>
              <w:left w:val="nil"/>
              <w:bottom w:val="single" w:sz="4" w:space="0" w:color="auto"/>
              <w:right w:val="nil"/>
            </w:tcBorders>
            <w:shd w:val="clear" w:color="auto" w:fill="auto"/>
            <w:noWrap/>
            <w:hideMark/>
          </w:tcPr>
          <w:p w14:paraId="7CE26615" w14:textId="77777777" w:rsidR="00765749" w:rsidRPr="00D23BFA" w:rsidRDefault="00765749" w:rsidP="00232FBD">
            <w:pPr>
              <w:rPr>
                <w:rFonts w:eastAsia="Times New Roman"/>
                <w:color w:val="000000"/>
                <w:sz w:val="16"/>
                <w:szCs w:val="16"/>
                <w:lang w:eastAsia="en-GB"/>
              </w:rPr>
            </w:pPr>
            <w:r w:rsidRPr="00D23BFA">
              <w:rPr>
                <w:rFonts w:eastAsia="Times New Roman"/>
                <w:color w:val="000000"/>
                <w:sz w:val="16"/>
                <w:szCs w:val="16"/>
                <w:lang w:eastAsia="en-GB"/>
              </w:rPr>
              <w:t> </w:t>
            </w:r>
          </w:p>
        </w:tc>
      </w:tr>
      <w:tr w:rsidR="00765749" w:rsidRPr="00D23BFA" w14:paraId="00070018" w14:textId="77777777" w:rsidTr="00232FBD">
        <w:trPr>
          <w:trHeight w:val="315"/>
        </w:trPr>
        <w:tc>
          <w:tcPr>
            <w:tcW w:w="667" w:type="pct"/>
            <w:tcBorders>
              <w:top w:val="nil"/>
              <w:left w:val="nil"/>
              <w:bottom w:val="nil"/>
              <w:right w:val="nil"/>
            </w:tcBorders>
            <w:shd w:val="clear" w:color="auto" w:fill="auto"/>
            <w:noWrap/>
            <w:vAlign w:val="bottom"/>
          </w:tcPr>
          <w:p w14:paraId="238C990F" w14:textId="2B1E91FA" w:rsidR="00765749" w:rsidRPr="00D23BFA" w:rsidRDefault="0016440C" w:rsidP="00232FBD">
            <w:pPr>
              <w:rPr>
                <w:rFonts w:eastAsia="Times New Roman"/>
                <w:b/>
                <w:color w:val="000000"/>
                <w:sz w:val="16"/>
                <w:szCs w:val="16"/>
                <w:lang w:eastAsia="en-GB"/>
              </w:rPr>
            </w:pPr>
            <w:r>
              <w:rPr>
                <w:rFonts w:eastAsia="Times New Roman"/>
                <w:b/>
                <w:color w:val="000000"/>
                <w:sz w:val="16"/>
                <w:szCs w:val="16"/>
                <w:lang w:eastAsia="en-GB"/>
              </w:rPr>
              <w:t>$1,193,1</w:t>
            </w:r>
            <w:r w:rsidR="001F60AA">
              <w:rPr>
                <w:rFonts w:eastAsia="Times New Roman"/>
                <w:b/>
                <w:color w:val="000000"/>
                <w:sz w:val="16"/>
                <w:szCs w:val="16"/>
                <w:lang w:eastAsia="en-GB"/>
              </w:rPr>
              <w:t>09</w:t>
            </w:r>
          </w:p>
        </w:tc>
        <w:tc>
          <w:tcPr>
            <w:tcW w:w="601" w:type="pct"/>
            <w:tcBorders>
              <w:top w:val="nil"/>
              <w:left w:val="nil"/>
              <w:bottom w:val="nil"/>
              <w:right w:val="nil"/>
            </w:tcBorders>
            <w:shd w:val="clear" w:color="auto" w:fill="auto"/>
            <w:noWrap/>
            <w:vAlign w:val="bottom"/>
            <w:hideMark/>
          </w:tcPr>
          <w:p w14:paraId="63D8A8D1" w14:textId="77777777" w:rsidR="00765749" w:rsidRPr="00D23BFA" w:rsidRDefault="00765749" w:rsidP="00232FBD">
            <w:pPr>
              <w:rPr>
                <w:rFonts w:eastAsia="Times New Roman"/>
                <w:b/>
                <w:bCs/>
                <w:color w:val="000000"/>
                <w:sz w:val="16"/>
                <w:szCs w:val="16"/>
                <w:lang w:eastAsia="en-GB"/>
              </w:rPr>
            </w:pPr>
            <w:r w:rsidRPr="00D23BFA">
              <w:rPr>
                <w:rFonts w:eastAsia="Times New Roman"/>
                <w:b/>
                <w:bCs/>
                <w:color w:val="000000"/>
                <w:sz w:val="16"/>
                <w:szCs w:val="16"/>
                <w:lang w:eastAsia="en-GB"/>
              </w:rPr>
              <w:t>Total</w:t>
            </w:r>
          </w:p>
        </w:tc>
        <w:tc>
          <w:tcPr>
            <w:tcW w:w="666" w:type="pct"/>
            <w:tcBorders>
              <w:top w:val="nil"/>
              <w:left w:val="nil"/>
              <w:bottom w:val="nil"/>
              <w:right w:val="nil"/>
            </w:tcBorders>
            <w:shd w:val="clear" w:color="auto" w:fill="auto"/>
            <w:noWrap/>
            <w:vAlign w:val="bottom"/>
            <w:hideMark/>
          </w:tcPr>
          <w:p w14:paraId="09D14800" w14:textId="77777777" w:rsidR="00765749" w:rsidRPr="00D23BFA" w:rsidRDefault="00765749" w:rsidP="00232FBD">
            <w:pPr>
              <w:rPr>
                <w:rFonts w:eastAsia="Times New Roman"/>
                <w:color w:val="000000"/>
                <w:sz w:val="16"/>
                <w:szCs w:val="16"/>
                <w:lang w:eastAsia="en-GB"/>
              </w:rPr>
            </w:pPr>
          </w:p>
        </w:tc>
        <w:tc>
          <w:tcPr>
            <w:tcW w:w="399" w:type="pct"/>
            <w:tcBorders>
              <w:top w:val="nil"/>
              <w:left w:val="nil"/>
              <w:bottom w:val="nil"/>
              <w:right w:val="nil"/>
            </w:tcBorders>
            <w:shd w:val="clear" w:color="auto" w:fill="auto"/>
            <w:noWrap/>
            <w:vAlign w:val="bottom"/>
            <w:hideMark/>
          </w:tcPr>
          <w:p w14:paraId="3CC3D4F5" w14:textId="77777777" w:rsidR="00765749" w:rsidRPr="00D23BFA" w:rsidRDefault="00765749" w:rsidP="00232FBD">
            <w:pPr>
              <w:ind w:firstLineChars="100" w:firstLine="160"/>
              <w:jc w:val="right"/>
              <w:rPr>
                <w:rFonts w:eastAsia="Times New Roman"/>
                <w:color w:val="000000"/>
                <w:sz w:val="16"/>
                <w:szCs w:val="16"/>
                <w:lang w:eastAsia="en-GB"/>
              </w:rPr>
            </w:pPr>
          </w:p>
        </w:tc>
        <w:tc>
          <w:tcPr>
            <w:tcW w:w="401" w:type="pct"/>
            <w:gridSpan w:val="2"/>
            <w:tcBorders>
              <w:top w:val="nil"/>
              <w:left w:val="nil"/>
              <w:bottom w:val="nil"/>
              <w:right w:val="nil"/>
            </w:tcBorders>
            <w:shd w:val="clear" w:color="auto" w:fill="auto"/>
            <w:noWrap/>
            <w:vAlign w:val="bottom"/>
            <w:hideMark/>
          </w:tcPr>
          <w:p w14:paraId="3FCD943E" w14:textId="77777777" w:rsidR="00765749" w:rsidRPr="00D23BFA" w:rsidRDefault="00765749" w:rsidP="00232FBD">
            <w:pPr>
              <w:ind w:firstLineChars="100" w:firstLine="160"/>
              <w:jc w:val="right"/>
              <w:rPr>
                <w:rFonts w:eastAsia="Times New Roman"/>
                <w:color w:val="000000"/>
                <w:sz w:val="16"/>
                <w:szCs w:val="16"/>
                <w:lang w:eastAsia="en-GB"/>
              </w:rPr>
            </w:pPr>
          </w:p>
        </w:tc>
        <w:tc>
          <w:tcPr>
            <w:tcW w:w="533" w:type="pct"/>
            <w:tcBorders>
              <w:top w:val="nil"/>
              <w:left w:val="nil"/>
              <w:bottom w:val="nil"/>
              <w:right w:val="nil"/>
            </w:tcBorders>
            <w:shd w:val="clear" w:color="auto" w:fill="auto"/>
            <w:noWrap/>
            <w:vAlign w:val="bottom"/>
            <w:hideMark/>
          </w:tcPr>
          <w:p w14:paraId="4CBCF52D" w14:textId="77777777" w:rsidR="00765749" w:rsidRPr="00D23BFA" w:rsidRDefault="00765749" w:rsidP="00232FBD">
            <w:pPr>
              <w:rPr>
                <w:rFonts w:eastAsia="Times New Roman"/>
                <w:color w:val="000000"/>
                <w:sz w:val="16"/>
                <w:szCs w:val="16"/>
                <w:lang w:eastAsia="en-GB"/>
              </w:rPr>
            </w:pPr>
          </w:p>
        </w:tc>
        <w:tc>
          <w:tcPr>
            <w:tcW w:w="866" w:type="pct"/>
            <w:tcBorders>
              <w:top w:val="nil"/>
              <w:left w:val="nil"/>
              <w:bottom w:val="nil"/>
              <w:right w:val="nil"/>
            </w:tcBorders>
            <w:shd w:val="clear" w:color="auto" w:fill="auto"/>
            <w:noWrap/>
            <w:vAlign w:val="bottom"/>
            <w:hideMark/>
          </w:tcPr>
          <w:p w14:paraId="08169359" w14:textId="77777777" w:rsidR="00765749" w:rsidRPr="00D23BFA" w:rsidRDefault="00765749" w:rsidP="00232FBD">
            <w:pPr>
              <w:ind w:firstLineChars="200" w:firstLine="320"/>
              <w:jc w:val="right"/>
              <w:rPr>
                <w:rFonts w:eastAsia="Times New Roman"/>
                <w:color w:val="000000"/>
                <w:sz w:val="16"/>
                <w:szCs w:val="16"/>
                <w:lang w:eastAsia="en-GB"/>
              </w:rPr>
            </w:pPr>
          </w:p>
        </w:tc>
        <w:tc>
          <w:tcPr>
            <w:tcW w:w="867" w:type="pct"/>
            <w:tcBorders>
              <w:top w:val="nil"/>
              <w:left w:val="nil"/>
              <w:bottom w:val="nil"/>
              <w:right w:val="nil"/>
            </w:tcBorders>
            <w:shd w:val="clear" w:color="auto" w:fill="auto"/>
            <w:noWrap/>
            <w:vAlign w:val="bottom"/>
            <w:hideMark/>
          </w:tcPr>
          <w:p w14:paraId="651F6232" w14:textId="77777777" w:rsidR="00765749" w:rsidRPr="00D23BFA" w:rsidRDefault="00765749" w:rsidP="00232FBD">
            <w:pPr>
              <w:rPr>
                <w:rFonts w:eastAsia="Times New Roman"/>
                <w:color w:val="000000"/>
                <w:sz w:val="16"/>
                <w:szCs w:val="16"/>
                <w:lang w:eastAsia="en-GB"/>
              </w:rPr>
            </w:pPr>
          </w:p>
        </w:tc>
      </w:tr>
    </w:tbl>
    <w:p w14:paraId="75758AF5" w14:textId="10986B7B" w:rsidR="009D1DAA" w:rsidRDefault="009D1DAA" w:rsidP="00EB7E49">
      <w:pPr>
        <w:pStyle w:val="Bodytext"/>
        <w:ind w:left="567"/>
      </w:pPr>
    </w:p>
    <w:p w14:paraId="426003DB" w14:textId="7880CEE8" w:rsidR="00AF11A0" w:rsidRDefault="00AF11A0" w:rsidP="00C32021">
      <w:pPr>
        <w:pStyle w:val="Bodytext"/>
        <w:ind w:left="567"/>
        <w:jc w:val="both"/>
      </w:pPr>
    </w:p>
    <w:p w14:paraId="41D3032F" w14:textId="52AD0A23" w:rsidR="00184565" w:rsidRPr="002D1A2F" w:rsidRDefault="00184565" w:rsidP="00C32021">
      <w:pPr>
        <w:ind w:left="737" w:hanging="170"/>
        <w:jc w:val="both"/>
        <w:rPr>
          <w:rFonts w:eastAsia="Arial"/>
          <w:sz w:val="16"/>
          <w:szCs w:val="16"/>
        </w:rPr>
      </w:pPr>
      <w:r w:rsidRPr="002D1A2F">
        <w:rPr>
          <w:rFonts w:eastAsia="Arial"/>
          <w:sz w:val="16"/>
          <w:szCs w:val="16"/>
          <w:vertAlign w:val="superscript"/>
        </w:rPr>
        <w:t xml:space="preserve">(1)  </w:t>
      </w:r>
      <w:r w:rsidRPr="002D1A2F">
        <w:rPr>
          <w:rFonts w:eastAsia="Arial"/>
          <w:sz w:val="16"/>
          <w:szCs w:val="16"/>
        </w:rPr>
        <w:t>Calculated based on fair values</w:t>
      </w:r>
      <w:r w:rsidR="00FD57D9">
        <w:rPr>
          <w:rFonts w:eastAsia="Arial"/>
          <w:sz w:val="16"/>
          <w:szCs w:val="16"/>
        </w:rPr>
        <w:t xml:space="preserve"> of the Partnership</w:t>
      </w:r>
      <w:r w:rsidR="009A7B83">
        <w:rPr>
          <w:rFonts w:eastAsia="Arial"/>
          <w:sz w:val="16"/>
          <w:szCs w:val="16"/>
        </w:rPr>
        <w:t>’</w:t>
      </w:r>
      <w:r w:rsidR="00FD57D9">
        <w:rPr>
          <w:rFonts w:eastAsia="Arial"/>
          <w:sz w:val="16"/>
          <w:szCs w:val="16"/>
        </w:rPr>
        <w:t>s Level 3 investments</w:t>
      </w:r>
      <w:r w:rsidRPr="002D1A2F">
        <w:rPr>
          <w:rFonts w:eastAsia="Arial"/>
          <w:sz w:val="16"/>
          <w:szCs w:val="16"/>
        </w:rPr>
        <w:t xml:space="preserve"> </w:t>
      </w:r>
    </w:p>
    <w:p w14:paraId="429A9FC1" w14:textId="77777777" w:rsidR="002E407D" w:rsidRPr="000A1807" w:rsidRDefault="00184565" w:rsidP="00C32021">
      <w:pPr>
        <w:ind w:left="737" w:hanging="170"/>
        <w:jc w:val="both"/>
        <w:rPr>
          <w:rFonts w:eastAsia="Arial"/>
          <w:sz w:val="16"/>
          <w:szCs w:val="16"/>
        </w:rPr>
      </w:pPr>
      <w:r w:rsidRPr="002D1A2F">
        <w:rPr>
          <w:rFonts w:eastAsia="Arial"/>
          <w:sz w:val="16"/>
          <w:szCs w:val="16"/>
          <w:vertAlign w:val="superscript"/>
        </w:rPr>
        <w:t>(2)</w:t>
      </w:r>
      <w:r w:rsidRPr="002D1A2F">
        <w:rPr>
          <w:rFonts w:eastAsia="Arial"/>
          <w:sz w:val="16"/>
          <w:szCs w:val="16"/>
        </w:rPr>
        <w:t xml:space="preserve"> </w:t>
      </w:r>
      <w:r w:rsidR="002E407D" w:rsidRPr="000A1807">
        <w:rPr>
          <w:rFonts w:eastAsia="Arial"/>
          <w:sz w:val="16"/>
          <w:szCs w:val="16"/>
        </w:rPr>
        <w:t>Based on its professional experience and recent market conditions, the Investment Manager has provided the Board with these weighted average change in the inputs with a forecasted time period of 6 to 12 months.</w:t>
      </w:r>
    </w:p>
    <w:p w14:paraId="603BC909" w14:textId="77777777" w:rsidR="002E407D" w:rsidRDefault="002C1336" w:rsidP="00C32021">
      <w:pPr>
        <w:ind w:left="567"/>
        <w:jc w:val="both"/>
        <w:rPr>
          <w:rFonts w:eastAsia="Arial"/>
          <w:sz w:val="16"/>
          <w:szCs w:val="16"/>
        </w:rPr>
      </w:pPr>
      <w:r w:rsidRPr="00586C0B">
        <w:rPr>
          <w:rFonts w:eastAsia="Arial"/>
          <w:sz w:val="16"/>
          <w:szCs w:val="16"/>
          <w:vertAlign w:val="superscript"/>
        </w:rPr>
        <w:t>(3)</w:t>
      </w:r>
      <w:r>
        <w:rPr>
          <w:rFonts w:eastAsia="Arial"/>
          <w:sz w:val="16"/>
          <w:szCs w:val="16"/>
        </w:rPr>
        <w:t xml:space="preserve"> </w:t>
      </w:r>
      <w:r w:rsidR="002E407D" w:rsidRPr="000A1807">
        <w:rPr>
          <w:rFonts w:eastAsia="Arial"/>
          <w:sz w:val="16"/>
          <w:szCs w:val="16"/>
        </w:rPr>
        <w:t>The Partnership’s Level 3 investments are valued using one or more of the techniques which utilise one or more of the unobservable inputs, so the amounts in the “Fair value of Level 3 investments” column will not aggregate to the total fair value of the Partnership’s Level 3 investments</w:t>
      </w:r>
    </w:p>
    <w:p w14:paraId="709C4BBD" w14:textId="77777777" w:rsidR="002E407D" w:rsidRPr="000A1807" w:rsidRDefault="002E407D" w:rsidP="00C32021">
      <w:pPr>
        <w:ind w:left="567"/>
        <w:jc w:val="both"/>
        <w:rPr>
          <w:rFonts w:eastAsia="Times New Roman"/>
          <w:color w:val="000000"/>
          <w:sz w:val="16"/>
          <w:szCs w:val="16"/>
          <w:lang w:eastAsia="en-GB"/>
        </w:rPr>
      </w:pPr>
      <w:r w:rsidRPr="000A1807">
        <w:rPr>
          <w:rFonts w:eastAsia="Arial"/>
          <w:sz w:val="16"/>
          <w:szCs w:val="16"/>
          <w:vertAlign w:val="superscript"/>
        </w:rPr>
        <w:t>(</w:t>
      </w:r>
      <w:r>
        <w:rPr>
          <w:rFonts w:eastAsia="Arial"/>
          <w:sz w:val="16"/>
          <w:szCs w:val="16"/>
          <w:vertAlign w:val="superscript"/>
        </w:rPr>
        <w:t>4</w:t>
      </w:r>
      <w:r w:rsidRPr="000A1807">
        <w:rPr>
          <w:rFonts w:eastAsia="Arial"/>
          <w:sz w:val="16"/>
          <w:szCs w:val="16"/>
          <w:vertAlign w:val="superscript"/>
        </w:rPr>
        <w:t>)</w:t>
      </w:r>
      <w:r w:rsidRPr="000A1807">
        <w:rPr>
          <w:rFonts w:eastAsia="Arial"/>
          <w:sz w:val="16"/>
          <w:szCs w:val="16"/>
        </w:rPr>
        <w:t xml:space="preserve"> </w:t>
      </w:r>
      <w:r w:rsidRPr="00883537">
        <w:rPr>
          <w:rFonts w:eastAsia="Arial"/>
          <w:sz w:val="16"/>
          <w:szCs w:val="16"/>
        </w:rPr>
        <w:t>As at 31 December 2019, the sensitivity of this unobservable input to the total fair value of Level 3 investments was determined to be significant by applying the same methodology that determined it not to be significant as at 31 December 2018</w:t>
      </w:r>
    </w:p>
    <w:p w14:paraId="648DCC3B" w14:textId="77777777" w:rsidR="002E407D" w:rsidRPr="000A1807" w:rsidRDefault="002E407D" w:rsidP="00C32021">
      <w:pPr>
        <w:ind w:left="567"/>
        <w:jc w:val="both"/>
        <w:rPr>
          <w:rFonts w:eastAsia="Cambria"/>
        </w:rPr>
      </w:pPr>
      <w:r w:rsidRPr="000A1807">
        <w:rPr>
          <w:rFonts w:eastAsia="Arial"/>
          <w:sz w:val="16"/>
          <w:szCs w:val="16"/>
          <w:vertAlign w:val="superscript"/>
        </w:rPr>
        <w:t>(</w:t>
      </w:r>
      <w:r>
        <w:rPr>
          <w:rFonts w:eastAsia="Arial"/>
          <w:sz w:val="16"/>
          <w:szCs w:val="16"/>
          <w:vertAlign w:val="superscript"/>
        </w:rPr>
        <w:t>5</w:t>
      </w:r>
      <w:r w:rsidRPr="000A1807">
        <w:rPr>
          <w:rFonts w:eastAsia="Arial"/>
          <w:sz w:val="16"/>
          <w:szCs w:val="16"/>
          <w:vertAlign w:val="superscript"/>
        </w:rPr>
        <w:t>)</w:t>
      </w:r>
      <w:r w:rsidRPr="000A1807">
        <w:rPr>
          <w:rFonts w:eastAsia="Arial"/>
          <w:sz w:val="16"/>
          <w:szCs w:val="16"/>
        </w:rPr>
        <w:t xml:space="preserve"> </w:t>
      </w:r>
      <w:r>
        <w:rPr>
          <w:rFonts w:eastAsia="Arial"/>
          <w:sz w:val="16"/>
          <w:szCs w:val="16"/>
        </w:rPr>
        <w:t>Discounted cash flow technique involves the use of a discount factor of 10 per cent.</w:t>
      </w:r>
    </w:p>
    <w:p w14:paraId="70BCE916" w14:textId="20ECD059" w:rsidR="00586C0B" w:rsidRDefault="002E407D" w:rsidP="00184565">
      <w:pPr>
        <w:ind w:left="567"/>
        <w:rPr>
          <w:rFonts w:eastAsia="Times New Roman"/>
          <w:color w:val="000000"/>
          <w:sz w:val="16"/>
          <w:szCs w:val="16"/>
          <w:lang w:eastAsia="en-GB"/>
        </w:rPr>
      </w:pPr>
      <w:r w:rsidRPr="000A1807">
        <w:rPr>
          <w:rFonts w:eastAsia="Arial"/>
          <w:sz w:val="16"/>
          <w:szCs w:val="16"/>
        </w:rPr>
        <w:lastRenderedPageBreak/>
        <w:t xml:space="preserve"> </w:t>
      </w:r>
    </w:p>
    <w:p w14:paraId="11E6883F" w14:textId="77777777" w:rsidR="00205F72" w:rsidRDefault="00205F72" w:rsidP="00EB7E49">
      <w:pPr>
        <w:pStyle w:val="Bodytext"/>
        <w:ind w:left="567"/>
      </w:pPr>
    </w:p>
    <w:p w14:paraId="33EEF6FC" w14:textId="6A2DB5BE" w:rsidR="00234DF1" w:rsidRPr="00811BA1" w:rsidRDefault="00234DF1" w:rsidP="00C32021">
      <w:pPr>
        <w:pStyle w:val="Bodytext"/>
        <w:ind w:left="567"/>
        <w:jc w:val="both"/>
      </w:pPr>
      <w:r w:rsidRPr="00811BA1">
        <w:t xml:space="preserve">The Board reviews and considers </w:t>
      </w:r>
      <w:r w:rsidRPr="00081323">
        <w:t xml:space="preserve">the fair value of </w:t>
      </w:r>
      <w:r w:rsidR="002646F2" w:rsidRPr="00081323">
        <w:t xml:space="preserve">each of </w:t>
      </w:r>
      <w:r w:rsidRPr="00081323">
        <w:t>the Partnership’s investments arrived at by the Investment Manager before incorporating</w:t>
      </w:r>
      <w:r w:rsidR="002646F2" w:rsidRPr="00081323">
        <w:t xml:space="preserve"> such values</w:t>
      </w:r>
      <w:r w:rsidRPr="00081323">
        <w:t xml:space="preserve"> into the fair value of the Partnership. The variety of valuation bases adopted, quality of management</w:t>
      </w:r>
      <w:r w:rsidRPr="00811BA1">
        <w:t xml:space="preserve"> information provided by the underlying investee companies and the lack of liquid markets for the investments mean that there are inherent difficulties in determining the fair value of these investments </w:t>
      </w:r>
      <w:r w:rsidR="002A142F">
        <w:t xml:space="preserve">and such difficulties </w:t>
      </w:r>
      <w:r w:rsidRPr="00811BA1">
        <w:t>cannot be eliminated. Therefore</w:t>
      </w:r>
      <w:r w:rsidR="005B56A6">
        <w:t>,</w:t>
      </w:r>
      <w:r w:rsidRPr="00811BA1">
        <w:t xml:space="preserve"> the amounts realised on the sale of investments may differ from the fair values reflected in these Financial Statements and the differences may be significant.</w:t>
      </w:r>
    </w:p>
    <w:p w14:paraId="7185E55B" w14:textId="77777777" w:rsidR="007B4D24" w:rsidRPr="00811BA1" w:rsidRDefault="007B4D24" w:rsidP="00C32021">
      <w:pPr>
        <w:pStyle w:val="Bodytext"/>
        <w:ind w:left="567"/>
        <w:jc w:val="both"/>
      </w:pPr>
    </w:p>
    <w:p w14:paraId="42ECC755" w14:textId="5F3B4755" w:rsidR="007E361D" w:rsidRPr="00CE78B7" w:rsidRDefault="00234DF1" w:rsidP="00C32021">
      <w:pPr>
        <w:pStyle w:val="Bodytext"/>
        <w:ind w:left="567"/>
        <w:jc w:val="both"/>
        <w:rPr>
          <w:lang w:val="en-US"/>
        </w:rPr>
      </w:pPr>
      <w:r w:rsidRPr="00811BA1">
        <w:t>The Board approves the valuations performed by the Investment Manager and monitors the range of reasonably possible changes in significant observable inputs on a regular basis</w:t>
      </w:r>
      <w:r w:rsidR="007E361D">
        <w:t xml:space="preserve"> </w:t>
      </w:r>
      <w:r w:rsidR="007E361D" w:rsidRPr="00CE78B7">
        <w:rPr>
          <w:bCs/>
        </w:rPr>
        <w:t>with consultation from the Investment Manager</w:t>
      </w:r>
      <w:r w:rsidR="007E361D" w:rsidRPr="00CE78B7">
        <w:t xml:space="preserve">. </w:t>
      </w:r>
      <w:r w:rsidR="007E361D" w:rsidRPr="00CE78B7">
        <w:rPr>
          <w:bCs/>
        </w:rPr>
        <w:t xml:space="preserve">Using its extensive industry experience, the Investment Manager provides the Board with its determination of the reasonably possible changes in significant unobservable inputs in normal market conditions as of the </w:t>
      </w:r>
      <w:r w:rsidR="00E066CF">
        <w:rPr>
          <w:bCs/>
        </w:rPr>
        <w:t>year</w:t>
      </w:r>
      <w:r w:rsidR="007E361D" w:rsidRPr="00CE78B7">
        <w:rPr>
          <w:bCs/>
        </w:rPr>
        <w:t xml:space="preserve"> end.</w:t>
      </w:r>
    </w:p>
    <w:p w14:paraId="2F2B6703" w14:textId="77777777" w:rsidR="002A142F" w:rsidRPr="00811BA1" w:rsidRDefault="002A142F" w:rsidP="00C32021">
      <w:pPr>
        <w:pStyle w:val="Bodytext"/>
        <w:jc w:val="both"/>
      </w:pPr>
    </w:p>
    <w:p w14:paraId="2031BCF9" w14:textId="77777777" w:rsidR="002A142F" w:rsidRDefault="002A142F" w:rsidP="00C32021">
      <w:pPr>
        <w:pStyle w:val="Bodytext"/>
        <w:ind w:left="567"/>
        <w:jc w:val="both"/>
      </w:pPr>
      <w:r w:rsidRPr="00811BA1">
        <w:t xml:space="preserve">The Directors have considered whether a discount or premium should be applied to the net asset value of the Partnership. In view of the investment in the Partnership and the nature of the Partnership’s assets, no adjustment to the net asset value of the Partnership has been </w:t>
      </w:r>
      <w:r>
        <w:t>deemed to be necessary</w:t>
      </w:r>
      <w:r w:rsidRPr="00811BA1">
        <w:t xml:space="preserve"> (see Note 3).</w:t>
      </w:r>
    </w:p>
    <w:p w14:paraId="3B9E68C0" w14:textId="77777777" w:rsidR="00234DF1" w:rsidRPr="00811BA1" w:rsidRDefault="00234DF1" w:rsidP="00EB7E49">
      <w:pPr>
        <w:pStyle w:val="Bodytext"/>
      </w:pPr>
    </w:p>
    <w:p w14:paraId="472560EC" w14:textId="72531A4C" w:rsidR="00234DF1" w:rsidRDefault="00E23070" w:rsidP="00EB7E49">
      <w:pPr>
        <w:pStyle w:val="Heading2"/>
      </w:pPr>
      <w:r w:rsidRPr="00811BA1">
        <w:t>6</w:t>
      </w:r>
      <w:r w:rsidR="00234DF1" w:rsidRPr="00811BA1">
        <w:t>.</w:t>
      </w:r>
      <w:r w:rsidR="00234DF1" w:rsidRPr="00811BA1">
        <w:tab/>
        <w:t>Investment at fair value through profit or loss</w:t>
      </w:r>
    </w:p>
    <w:p w14:paraId="38DCA982" w14:textId="77777777" w:rsidR="00A16580" w:rsidRDefault="00A16580" w:rsidP="00EB7E49">
      <w:pPr>
        <w:pStyle w:val="Bodytext"/>
        <w:ind w:left="567"/>
      </w:pPr>
      <w:r w:rsidRPr="00811BA1">
        <w:t>The movement in fair value is derived from the fair value movements in the underlying investments held by the Partnership, net of income and expenses of the Partnership and its related Investment Undertakings, including any Performance Allocation and applicable taxes.</w:t>
      </w:r>
    </w:p>
    <w:p w14:paraId="59C67E6A" w14:textId="77777777" w:rsidR="005870C1" w:rsidRDefault="005870C1" w:rsidP="00EB7E49">
      <w:pPr>
        <w:pStyle w:val="Bodytext"/>
        <w:ind w:left="567"/>
      </w:pPr>
    </w:p>
    <w:p w14:paraId="0004090B" w14:textId="77777777" w:rsidR="007B4D24" w:rsidRPr="00811BA1" w:rsidRDefault="007B4D24" w:rsidP="00EB7E49">
      <w:pPr>
        <w:pStyle w:val="Bodytext"/>
        <w:ind w:left="567"/>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559"/>
        <w:gridCol w:w="1813"/>
        <w:gridCol w:w="1813"/>
      </w:tblGrid>
      <w:tr w:rsidR="00AE2D96" w:rsidRPr="00811BA1" w14:paraId="3F1CD4DD" w14:textId="77777777" w:rsidTr="00AE2D96">
        <w:trPr>
          <w:trHeight w:val="700"/>
        </w:trPr>
        <w:tc>
          <w:tcPr>
            <w:tcW w:w="5559" w:type="dxa"/>
            <w:tcBorders>
              <w:bottom w:val="single" w:sz="4" w:space="0" w:color="auto"/>
            </w:tcBorders>
            <w:vAlign w:val="bottom"/>
          </w:tcPr>
          <w:p w14:paraId="35DB8D2A" w14:textId="77777777" w:rsidR="00AE2D96" w:rsidRPr="00811BA1" w:rsidRDefault="00AE2D96" w:rsidP="00EB7E49">
            <w:pPr>
              <w:pStyle w:val="Bodytext"/>
            </w:pPr>
          </w:p>
        </w:tc>
        <w:tc>
          <w:tcPr>
            <w:tcW w:w="1813" w:type="dxa"/>
            <w:tcBorders>
              <w:bottom w:val="single" w:sz="4" w:space="0" w:color="auto"/>
            </w:tcBorders>
            <w:vAlign w:val="bottom"/>
          </w:tcPr>
          <w:p w14:paraId="42C35781" w14:textId="77777777" w:rsidR="00AE2D96" w:rsidRPr="00811BA1" w:rsidRDefault="00AE2D96" w:rsidP="00EB7E49">
            <w:pPr>
              <w:pStyle w:val="Bodytext"/>
              <w:jc w:val="right"/>
              <w:rPr>
                <w:b/>
              </w:rPr>
            </w:pPr>
            <w:r w:rsidRPr="00811BA1">
              <w:rPr>
                <w:b/>
              </w:rPr>
              <w:t>31 December</w:t>
            </w:r>
          </w:p>
          <w:p w14:paraId="5B00CFFF" w14:textId="50C888E9" w:rsidR="00AE2D96" w:rsidRPr="00811BA1" w:rsidRDefault="00AE2D96" w:rsidP="00EB7E49">
            <w:pPr>
              <w:pStyle w:val="Bodytext"/>
              <w:jc w:val="right"/>
              <w:rPr>
                <w:b/>
              </w:rPr>
            </w:pPr>
            <w:r w:rsidRPr="00811BA1">
              <w:rPr>
                <w:b/>
              </w:rPr>
              <w:t>201</w:t>
            </w:r>
            <w:r w:rsidR="007E361D">
              <w:rPr>
                <w:b/>
              </w:rPr>
              <w:t>9</w:t>
            </w:r>
          </w:p>
          <w:p w14:paraId="49384533" w14:textId="77777777" w:rsidR="00AE2D96" w:rsidRPr="00811BA1" w:rsidRDefault="00AE2D96" w:rsidP="00EB7E49">
            <w:pPr>
              <w:pStyle w:val="Bodytext"/>
              <w:jc w:val="right"/>
              <w:rPr>
                <w:b/>
              </w:rPr>
            </w:pPr>
            <w:r w:rsidRPr="00811BA1">
              <w:rPr>
                <w:b/>
              </w:rPr>
              <w:t>$’000</w:t>
            </w:r>
          </w:p>
        </w:tc>
        <w:tc>
          <w:tcPr>
            <w:tcW w:w="1813" w:type="dxa"/>
            <w:tcBorders>
              <w:bottom w:val="single" w:sz="4" w:space="0" w:color="auto"/>
            </w:tcBorders>
            <w:vAlign w:val="bottom"/>
          </w:tcPr>
          <w:p w14:paraId="2E567746" w14:textId="77777777" w:rsidR="00AE2D96" w:rsidRPr="00AE2D96" w:rsidRDefault="00AE2D96" w:rsidP="00AE2D96">
            <w:pPr>
              <w:pStyle w:val="Bodytext"/>
              <w:jc w:val="right"/>
            </w:pPr>
            <w:r w:rsidRPr="00AE2D96">
              <w:t>31 December</w:t>
            </w:r>
          </w:p>
          <w:p w14:paraId="462A7472" w14:textId="38392A50" w:rsidR="00AE2D96" w:rsidRPr="00AE2D96" w:rsidRDefault="00AE2D96" w:rsidP="00AE2D96">
            <w:pPr>
              <w:pStyle w:val="Bodytext"/>
              <w:jc w:val="right"/>
            </w:pPr>
            <w:r w:rsidRPr="00AE2D96">
              <w:t>201</w:t>
            </w:r>
            <w:r w:rsidR="007E361D">
              <w:t>8</w:t>
            </w:r>
          </w:p>
          <w:p w14:paraId="140E5B58" w14:textId="65C22635" w:rsidR="00AE2D96" w:rsidRPr="00AE2D96" w:rsidRDefault="00AE2D96" w:rsidP="00EB7E49">
            <w:pPr>
              <w:pStyle w:val="Bodytext"/>
              <w:jc w:val="right"/>
            </w:pPr>
            <w:r w:rsidRPr="00AE2D96">
              <w:t>$’000</w:t>
            </w:r>
          </w:p>
        </w:tc>
      </w:tr>
      <w:tr w:rsidR="00AE2D96" w:rsidRPr="00811BA1" w14:paraId="65BFA0DE" w14:textId="77777777" w:rsidTr="00AE2D96">
        <w:tc>
          <w:tcPr>
            <w:tcW w:w="5559" w:type="dxa"/>
            <w:tcBorders>
              <w:top w:val="single" w:sz="4" w:space="0" w:color="auto"/>
            </w:tcBorders>
          </w:tcPr>
          <w:p w14:paraId="501EE7AB" w14:textId="77777777" w:rsidR="00AE2D96" w:rsidRPr="00811BA1" w:rsidRDefault="00AE2D96" w:rsidP="00EB7E49">
            <w:pPr>
              <w:pStyle w:val="Bodytext"/>
              <w:rPr>
                <w:b/>
              </w:rPr>
            </w:pPr>
            <w:r w:rsidRPr="00811BA1">
              <w:rPr>
                <w:b/>
              </w:rPr>
              <w:t>Cost</w:t>
            </w:r>
          </w:p>
        </w:tc>
        <w:tc>
          <w:tcPr>
            <w:tcW w:w="1813" w:type="dxa"/>
            <w:tcBorders>
              <w:top w:val="single" w:sz="4" w:space="0" w:color="auto"/>
            </w:tcBorders>
            <w:vAlign w:val="center"/>
          </w:tcPr>
          <w:p w14:paraId="4CAA6C9A" w14:textId="77777777" w:rsidR="00AE2D96" w:rsidRPr="00811BA1" w:rsidRDefault="00AE2D96" w:rsidP="00EB7E49">
            <w:pPr>
              <w:pStyle w:val="Bodytext"/>
              <w:jc w:val="right"/>
              <w:rPr>
                <w:b/>
              </w:rPr>
            </w:pPr>
          </w:p>
        </w:tc>
        <w:tc>
          <w:tcPr>
            <w:tcW w:w="1813" w:type="dxa"/>
            <w:tcBorders>
              <w:top w:val="single" w:sz="4" w:space="0" w:color="auto"/>
            </w:tcBorders>
            <w:vAlign w:val="center"/>
          </w:tcPr>
          <w:p w14:paraId="0C4C4751" w14:textId="77777777" w:rsidR="00AE2D96" w:rsidRPr="00AE2D96" w:rsidRDefault="00AE2D96" w:rsidP="00EB7E49">
            <w:pPr>
              <w:pStyle w:val="Bodytext"/>
              <w:jc w:val="right"/>
            </w:pPr>
          </w:p>
        </w:tc>
      </w:tr>
      <w:tr w:rsidR="007E361D" w:rsidRPr="00811BA1" w14:paraId="20915407" w14:textId="77777777" w:rsidTr="002D2CEC">
        <w:tc>
          <w:tcPr>
            <w:tcW w:w="5559" w:type="dxa"/>
          </w:tcPr>
          <w:p w14:paraId="038B5917" w14:textId="555E5DD7" w:rsidR="007E361D" w:rsidRPr="00811BA1" w:rsidRDefault="007E361D" w:rsidP="007E361D">
            <w:pPr>
              <w:pStyle w:val="Bodytext"/>
            </w:pPr>
            <w:r w:rsidRPr="00811BA1">
              <w:t>Brought forward</w:t>
            </w:r>
          </w:p>
        </w:tc>
        <w:tc>
          <w:tcPr>
            <w:tcW w:w="1813" w:type="dxa"/>
            <w:vAlign w:val="center"/>
          </w:tcPr>
          <w:p w14:paraId="13E5852D" w14:textId="2160E246" w:rsidR="007E361D" w:rsidRPr="008D2EB3" w:rsidRDefault="00C012A8" w:rsidP="007E361D">
            <w:pPr>
              <w:pStyle w:val="Bodytext"/>
              <w:jc w:val="right"/>
              <w:rPr>
                <w:b/>
              </w:rPr>
            </w:pPr>
            <w:r w:rsidRPr="00C012A8">
              <w:rPr>
                <w:b/>
              </w:rPr>
              <w:t>1,225,271</w:t>
            </w:r>
          </w:p>
        </w:tc>
        <w:tc>
          <w:tcPr>
            <w:tcW w:w="1813" w:type="dxa"/>
          </w:tcPr>
          <w:p w14:paraId="15F43953" w14:textId="4F1A0767" w:rsidR="007E361D" w:rsidRPr="00AE2D96" w:rsidRDefault="007E361D" w:rsidP="007E361D">
            <w:pPr>
              <w:pStyle w:val="Bodytext"/>
              <w:jc w:val="right"/>
            </w:pPr>
            <w:r w:rsidRPr="002F5119">
              <w:t>1,302,335</w:t>
            </w:r>
          </w:p>
        </w:tc>
      </w:tr>
      <w:tr w:rsidR="007E361D" w:rsidRPr="00811BA1" w14:paraId="31C1BD22" w14:textId="77777777" w:rsidTr="002D2CEC">
        <w:tc>
          <w:tcPr>
            <w:tcW w:w="5559" w:type="dxa"/>
          </w:tcPr>
          <w:p w14:paraId="0D378FC4" w14:textId="099B8B68" w:rsidR="007E361D" w:rsidRPr="00811BA1" w:rsidRDefault="007E361D" w:rsidP="007E361D">
            <w:pPr>
              <w:pStyle w:val="Bodytext"/>
            </w:pPr>
            <w:r>
              <w:t>Distribution from the Partnership</w:t>
            </w:r>
          </w:p>
        </w:tc>
        <w:tc>
          <w:tcPr>
            <w:tcW w:w="1813" w:type="dxa"/>
            <w:vAlign w:val="center"/>
          </w:tcPr>
          <w:p w14:paraId="2793095A" w14:textId="35D4A70E" w:rsidR="007E361D" w:rsidRPr="008D2EB3" w:rsidRDefault="00C012A8" w:rsidP="007E361D">
            <w:pPr>
              <w:pStyle w:val="Bodytext"/>
              <w:jc w:val="right"/>
              <w:rPr>
                <w:b/>
              </w:rPr>
            </w:pPr>
            <w:r w:rsidRPr="00C012A8">
              <w:rPr>
                <w:b/>
              </w:rPr>
              <w:t>(2,100)</w:t>
            </w:r>
          </w:p>
        </w:tc>
        <w:tc>
          <w:tcPr>
            <w:tcW w:w="1813" w:type="dxa"/>
          </w:tcPr>
          <w:p w14:paraId="40348B53" w14:textId="352F1E3B" w:rsidR="007E361D" w:rsidRPr="00AE2D96" w:rsidRDefault="007E361D" w:rsidP="007E361D">
            <w:pPr>
              <w:pStyle w:val="Bodytext"/>
              <w:jc w:val="right"/>
            </w:pPr>
            <w:r w:rsidRPr="002F5119">
              <w:t>(77,064)</w:t>
            </w:r>
          </w:p>
        </w:tc>
      </w:tr>
      <w:tr w:rsidR="007E361D" w:rsidRPr="00811BA1" w14:paraId="24A129B9" w14:textId="77777777" w:rsidTr="002D2CEC">
        <w:tc>
          <w:tcPr>
            <w:tcW w:w="5559" w:type="dxa"/>
            <w:tcBorders>
              <w:top w:val="single" w:sz="4" w:space="0" w:color="auto"/>
              <w:bottom w:val="single" w:sz="4" w:space="0" w:color="auto"/>
            </w:tcBorders>
          </w:tcPr>
          <w:p w14:paraId="4E107D8F" w14:textId="57F39E1A" w:rsidR="007E361D" w:rsidRPr="00811BA1" w:rsidRDefault="007E361D" w:rsidP="007E361D">
            <w:pPr>
              <w:pStyle w:val="Bodytext"/>
            </w:pPr>
            <w:r w:rsidRPr="00811BA1">
              <w:t>Carried forward</w:t>
            </w:r>
          </w:p>
        </w:tc>
        <w:tc>
          <w:tcPr>
            <w:tcW w:w="1813" w:type="dxa"/>
            <w:tcBorders>
              <w:top w:val="single" w:sz="4" w:space="0" w:color="auto"/>
              <w:bottom w:val="single" w:sz="4" w:space="0" w:color="auto"/>
            </w:tcBorders>
            <w:vAlign w:val="center"/>
          </w:tcPr>
          <w:p w14:paraId="69ADA865" w14:textId="7F24E94F" w:rsidR="007E361D" w:rsidRPr="008D2EB3" w:rsidRDefault="00C012A8" w:rsidP="007E361D">
            <w:pPr>
              <w:pStyle w:val="Bodytext"/>
              <w:jc w:val="right"/>
              <w:rPr>
                <w:b/>
              </w:rPr>
            </w:pPr>
            <w:r w:rsidRPr="00C012A8">
              <w:rPr>
                <w:b/>
              </w:rPr>
              <w:t>1,223,171</w:t>
            </w:r>
          </w:p>
        </w:tc>
        <w:tc>
          <w:tcPr>
            <w:tcW w:w="1813" w:type="dxa"/>
            <w:tcBorders>
              <w:top w:val="single" w:sz="4" w:space="0" w:color="auto"/>
              <w:bottom w:val="single" w:sz="4" w:space="0" w:color="auto"/>
            </w:tcBorders>
          </w:tcPr>
          <w:p w14:paraId="26CB63E6" w14:textId="189F5BE1" w:rsidR="007E361D" w:rsidRPr="00AE2D96" w:rsidRDefault="007E361D" w:rsidP="007E361D">
            <w:pPr>
              <w:pStyle w:val="Bodytext"/>
              <w:jc w:val="right"/>
            </w:pPr>
            <w:r w:rsidRPr="002F5119">
              <w:t>1,225,271</w:t>
            </w:r>
          </w:p>
        </w:tc>
      </w:tr>
      <w:tr w:rsidR="007E361D" w:rsidRPr="00811BA1" w14:paraId="154B5AAD" w14:textId="77777777" w:rsidTr="002D2CEC">
        <w:tc>
          <w:tcPr>
            <w:tcW w:w="5559" w:type="dxa"/>
            <w:tcBorders>
              <w:top w:val="single" w:sz="4" w:space="0" w:color="auto"/>
            </w:tcBorders>
          </w:tcPr>
          <w:p w14:paraId="55CA68D6" w14:textId="77777777" w:rsidR="007E361D" w:rsidRPr="00811BA1" w:rsidRDefault="007E361D" w:rsidP="007E361D">
            <w:pPr>
              <w:pStyle w:val="Bodytext"/>
            </w:pPr>
          </w:p>
        </w:tc>
        <w:tc>
          <w:tcPr>
            <w:tcW w:w="1813" w:type="dxa"/>
            <w:tcBorders>
              <w:top w:val="single" w:sz="4" w:space="0" w:color="auto"/>
            </w:tcBorders>
            <w:vAlign w:val="center"/>
          </w:tcPr>
          <w:p w14:paraId="5124B049" w14:textId="74619450" w:rsidR="007E361D" w:rsidRPr="008D2EB3" w:rsidRDefault="007E361D" w:rsidP="007E361D">
            <w:pPr>
              <w:pStyle w:val="Bodytext"/>
              <w:jc w:val="right"/>
              <w:rPr>
                <w:b/>
              </w:rPr>
            </w:pPr>
          </w:p>
        </w:tc>
        <w:tc>
          <w:tcPr>
            <w:tcW w:w="1813" w:type="dxa"/>
            <w:tcBorders>
              <w:top w:val="single" w:sz="4" w:space="0" w:color="auto"/>
            </w:tcBorders>
          </w:tcPr>
          <w:p w14:paraId="7AA18D4D" w14:textId="3A53C640" w:rsidR="007E361D" w:rsidRPr="00AE2D96" w:rsidRDefault="007E361D" w:rsidP="007E361D">
            <w:pPr>
              <w:pStyle w:val="Bodytext"/>
              <w:jc w:val="right"/>
            </w:pPr>
          </w:p>
        </w:tc>
      </w:tr>
      <w:tr w:rsidR="007E361D" w:rsidRPr="00811BA1" w14:paraId="4B299B00" w14:textId="77777777" w:rsidTr="002D2CEC">
        <w:tc>
          <w:tcPr>
            <w:tcW w:w="5559" w:type="dxa"/>
          </w:tcPr>
          <w:p w14:paraId="06E25C98" w14:textId="77777777" w:rsidR="007E361D" w:rsidRPr="00811BA1" w:rsidRDefault="007E361D" w:rsidP="007E361D">
            <w:pPr>
              <w:pStyle w:val="Bodytext"/>
              <w:rPr>
                <w:b/>
              </w:rPr>
            </w:pPr>
            <w:r w:rsidRPr="00811BA1">
              <w:rPr>
                <w:b/>
              </w:rPr>
              <w:t>Fair value adjustment through profit or loss</w:t>
            </w:r>
          </w:p>
        </w:tc>
        <w:tc>
          <w:tcPr>
            <w:tcW w:w="1813" w:type="dxa"/>
            <w:vAlign w:val="center"/>
          </w:tcPr>
          <w:p w14:paraId="3506DA1C" w14:textId="5E83B473" w:rsidR="007E361D" w:rsidRPr="008D2EB3" w:rsidRDefault="007E361D" w:rsidP="007E361D">
            <w:pPr>
              <w:pStyle w:val="Bodytext"/>
              <w:jc w:val="right"/>
              <w:rPr>
                <w:b/>
              </w:rPr>
            </w:pPr>
          </w:p>
        </w:tc>
        <w:tc>
          <w:tcPr>
            <w:tcW w:w="1813" w:type="dxa"/>
          </w:tcPr>
          <w:p w14:paraId="58C38302" w14:textId="3AE959B2" w:rsidR="007E361D" w:rsidRPr="00AE2D96" w:rsidRDefault="007E361D" w:rsidP="007E361D">
            <w:pPr>
              <w:pStyle w:val="Bodytext"/>
              <w:jc w:val="right"/>
            </w:pPr>
          </w:p>
        </w:tc>
      </w:tr>
      <w:tr w:rsidR="007E361D" w:rsidRPr="00811BA1" w14:paraId="61CC15AE" w14:textId="77777777" w:rsidTr="002D2CEC">
        <w:tc>
          <w:tcPr>
            <w:tcW w:w="5559" w:type="dxa"/>
          </w:tcPr>
          <w:p w14:paraId="162C2B04" w14:textId="09E382F0" w:rsidR="007E361D" w:rsidRPr="00811BA1" w:rsidRDefault="007E361D" w:rsidP="007E361D">
            <w:pPr>
              <w:pStyle w:val="Bodytext"/>
            </w:pPr>
            <w:r w:rsidRPr="00811BA1">
              <w:t>Brought forward</w:t>
            </w:r>
          </w:p>
        </w:tc>
        <w:tc>
          <w:tcPr>
            <w:tcW w:w="1813" w:type="dxa"/>
            <w:vAlign w:val="center"/>
          </w:tcPr>
          <w:p w14:paraId="377AEE07" w14:textId="2538D2CE" w:rsidR="007E361D" w:rsidRPr="008D2EB3" w:rsidRDefault="00C012A8" w:rsidP="007E361D">
            <w:pPr>
              <w:pStyle w:val="Bodytext"/>
              <w:jc w:val="right"/>
              <w:rPr>
                <w:b/>
              </w:rPr>
            </w:pPr>
            <w:r w:rsidRPr="00C012A8">
              <w:rPr>
                <w:b/>
              </w:rPr>
              <w:t>203,714</w:t>
            </w:r>
          </w:p>
        </w:tc>
        <w:tc>
          <w:tcPr>
            <w:tcW w:w="1813" w:type="dxa"/>
          </w:tcPr>
          <w:p w14:paraId="2C8EE9C4" w14:textId="401E5646" w:rsidR="007E361D" w:rsidRPr="00AE2D96" w:rsidRDefault="007E361D" w:rsidP="007E361D">
            <w:pPr>
              <w:pStyle w:val="Bodytext"/>
              <w:jc w:val="right"/>
            </w:pPr>
            <w:r w:rsidRPr="002F5119">
              <w:t>440,122</w:t>
            </w:r>
          </w:p>
        </w:tc>
      </w:tr>
      <w:tr w:rsidR="007E361D" w:rsidRPr="00811BA1" w14:paraId="65E732FC" w14:textId="77777777" w:rsidTr="00AD7CED">
        <w:tc>
          <w:tcPr>
            <w:tcW w:w="5559" w:type="dxa"/>
            <w:tcBorders>
              <w:bottom w:val="single" w:sz="4" w:space="0" w:color="auto"/>
            </w:tcBorders>
          </w:tcPr>
          <w:p w14:paraId="6D688CED" w14:textId="1A3AB274" w:rsidR="007E361D" w:rsidRPr="00811BA1" w:rsidRDefault="007E361D" w:rsidP="007E361D">
            <w:pPr>
              <w:pStyle w:val="Bodytext"/>
            </w:pPr>
            <w:r w:rsidRPr="00811BA1">
              <w:t>Fair value movement during the year</w:t>
            </w:r>
            <w:r>
              <w:t xml:space="preserve"> – see Summary Income Statement below</w:t>
            </w:r>
          </w:p>
        </w:tc>
        <w:tc>
          <w:tcPr>
            <w:tcW w:w="1813" w:type="dxa"/>
            <w:tcBorders>
              <w:bottom w:val="single" w:sz="4" w:space="0" w:color="auto"/>
            </w:tcBorders>
          </w:tcPr>
          <w:p w14:paraId="5EF35356" w14:textId="0C7DCF3D" w:rsidR="007E361D" w:rsidRPr="00C149D1" w:rsidRDefault="00B229FD" w:rsidP="00C012A8">
            <w:pPr>
              <w:pStyle w:val="Bodytext"/>
              <w:jc w:val="right"/>
              <w:rPr>
                <w:b/>
              </w:rPr>
            </w:pPr>
            <w:r w:rsidRPr="00B229FD">
              <w:rPr>
                <w:b/>
              </w:rPr>
              <w:t>(654,1</w:t>
            </w:r>
            <w:r w:rsidR="00680615">
              <w:rPr>
                <w:b/>
              </w:rPr>
              <w:t>63</w:t>
            </w:r>
            <w:r w:rsidRPr="00B229FD">
              <w:rPr>
                <w:b/>
              </w:rPr>
              <w:t>)</w:t>
            </w:r>
          </w:p>
        </w:tc>
        <w:tc>
          <w:tcPr>
            <w:tcW w:w="1813" w:type="dxa"/>
            <w:tcBorders>
              <w:bottom w:val="single" w:sz="4" w:space="0" w:color="auto"/>
            </w:tcBorders>
          </w:tcPr>
          <w:p w14:paraId="11DBCBC5" w14:textId="4E1F2884" w:rsidR="007E361D" w:rsidRPr="00AE2D96" w:rsidRDefault="007E361D" w:rsidP="007E361D">
            <w:pPr>
              <w:pStyle w:val="Bodytext"/>
              <w:jc w:val="right"/>
            </w:pPr>
            <w:r w:rsidRPr="002F5119">
              <w:t>(236,408)</w:t>
            </w:r>
          </w:p>
        </w:tc>
      </w:tr>
      <w:tr w:rsidR="007E361D" w:rsidRPr="00811BA1" w14:paraId="779DAADB" w14:textId="77777777" w:rsidTr="002D2CEC">
        <w:tc>
          <w:tcPr>
            <w:tcW w:w="5559" w:type="dxa"/>
            <w:tcBorders>
              <w:top w:val="single" w:sz="4" w:space="0" w:color="auto"/>
              <w:bottom w:val="single" w:sz="4" w:space="0" w:color="auto"/>
            </w:tcBorders>
          </w:tcPr>
          <w:p w14:paraId="719BE5CE" w14:textId="77777777" w:rsidR="007E361D" w:rsidRPr="00811BA1" w:rsidRDefault="007E361D" w:rsidP="007E361D">
            <w:pPr>
              <w:pStyle w:val="Bodytext"/>
            </w:pPr>
            <w:r w:rsidRPr="00811BA1">
              <w:t>Carried forward</w:t>
            </w:r>
          </w:p>
        </w:tc>
        <w:tc>
          <w:tcPr>
            <w:tcW w:w="1813" w:type="dxa"/>
            <w:tcBorders>
              <w:top w:val="single" w:sz="4" w:space="0" w:color="auto"/>
              <w:bottom w:val="single" w:sz="4" w:space="0" w:color="auto"/>
            </w:tcBorders>
            <w:vAlign w:val="center"/>
          </w:tcPr>
          <w:p w14:paraId="04CBFE22" w14:textId="51840265" w:rsidR="007E361D" w:rsidRPr="00C149D1" w:rsidRDefault="00B229FD" w:rsidP="00680615">
            <w:pPr>
              <w:pStyle w:val="Bodytext"/>
              <w:jc w:val="right"/>
              <w:rPr>
                <w:b/>
              </w:rPr>
            </w:pPr>
            <w:r w:rsidRPr="00B229FD">
              <w:rPr>
                <w:b/>
              </w:rPr>
              <w:t>(450,4</w:t>
            </w:r>
            <w:r w:rsidR="0017236F">
              <w:rPr>
                <w:b/>
              </w:rPr>
              <w:t>4</w:t>
            </w:r>
            <w:r w:rsidR="00680615">
              <w:rPr>
                <w:b/>
              </w:rPr>
              <w:t>9</w:t>
            </w:r>
            <w:r w:rsidRPr="00B229FD">
              <w:rPr>
                <w:b/>
              </w:rPr>
              <w:t>)</w:t>
            </w:r>
          </w:p>
        </w:tc>
        <w:tc>
          <w:tcPr>
            <w:tcW w:w="1813" w:type="dxa"/>
            <w:tcBorders>
              <w:top w:val="single" w:sz="4" w:space="0" w:color="auto"/>
              <w:bottom w:val="single" w:sz="4" w:space="0" w:color="auto"/>
            </w:tcBorders>
          </w:tcPr>
          <w:p w14:paraId="7B8F1AB7" w14:textId="001A7DB2" w:rsidR="007E361D" w:rsidRPr="00AE2D96" w:rsidRDefault="007E361D" w:rsidP="007E361D">
            <w:pPr>
              <w:pStyle w:val="Bodytext"/>
              <w:jc w:val="right"/>
            </w:pPr>
            <w:r w:rsidRPr="002F5119">
              <w:t>203,714</w:t>
            </w:r>
          </w:p>
        </w:tc>
      </w:tr>
      <w:tr w:rsidR="007E361D" w:rsidRPr="00811BA1" w14:paraId="43E49E25" w14:textId="77777777" w:rsidTr="002D2CEC">
        <w:tc>
          <w:tcPr>
            <w:tcW w:w="5559" w:type="dxa"/>
            <w:tcBorders>
              <w:top w:val="single" w:sz="4" w:space="0" w:color="auto"/>
            </w:tcBorders>
          </w:tcPr>
          <w:p w14:paraId="76B07B55" w14:textId="77777777" w:rsidR="007E361D" w:rsidRPr="00811BA1" w:rsidRDefault="007E361D" w:rsidP="007E361D">
            <w:pPr>
              <w:pStyle w:val="Bodytext"/>
            </w:pPr>
          </w:p>
        </w:tc>
        <w:tc>
          <w:tcPr>
            <w:tcW w:w="1813" w:type="dxa"/>
            <w:tcBorders>
              <w:top w:val="single" w:sz="4" w:space="0" w:color="auto"/>
            </w:tcBorders>
            <w:vAlign w:val="center"/>
          </w:tcPr>
          <w:p w14:paraId="6B785BBF" w14:textId="12D1720A" w:rsidR="007E361D" w:rsidRPr="00C149D1" w:rsidRDefault="007E361D" w:rsidP="007E361D">
            <w:pPr>
              <w:pStyle w:val="Bodytext"/>
              <w:jc w:val="right"/>
              <w:rPr>
                <w:b/>
              </w:rPr>
            </w:pPr>
          </w:p>
        </w:tc>
        <w:tc>
          <w:tcPr>
            <w:tcW w:w="1813" w:type="dxa"/>
            <w:tcBorders>
              <w:top w:val="single" w:sz="4" w:space="0" w:color="auto"/>
            </w:tcBorders>
          </w:tcPr>
          <w:p w14:paraId="04FC18E6" w14:textId="1354B536" w:rsidR="007E361D" w:rsidRPr="00AE2D96" w:rsidRDefault="007E361D" w:rsidP="007E361D">
            <w:pPr>
              <w:pStyle w:val="Bodytext"/>
              <w:jc w:val="right"/>
            </w:pPr>
          </w:p>
        </w:tc>
      </w:tr>
      <w:tr w:rsidR="007E361D" w:rsidRPr="00811BA1" w14:paraId="64AB1EE6" w14:textId="77777777" w:rsidTr="002D2CEC">
        <w:tc>
          <w:tcPr>
            <w:tcW w:w="5559" w:type="dxa"/>
            <w:tcBorders>
              <w:bottom w:val="single" w:sz="18" w:space="0" w:color="auto"/>
            </w:tcBorders>
          </w:tcPr>
          <w:p w14:paraId="3493BD92" w14:textId="4454A1C6" w:rsidR="007E361D" w:rsidRPr="00811BA1" w:rsidRDefault="007E361D" w:rsidP="007E361D">
            <w:pPr>
              <w:pStyle w:val="Bodytext"/>
              <w:rPr>
                <w:b/>
              </w:rPr>
            </w:pPr>
            <w:r w:rsidRPr="00811BA1">
              <w:rPr>
                <w:b/>
              </w:rPr>
              <w:t>Fair value at year end</w:t>
            </w:r>
          </w:p>
        </w:tc>
        <w:tc>
          <w:tcPr>
            <w:tcW w:w="1813" w:type="dxa"/>
            <w:tcBorders>
              <w:bottom w:val="single" w:sz="18" w:space="0" w:color="auto"/>
            </w:tcBorders>
            <w:vAlign w:val="center"/>
          </w:tcPr>
          <w:p w14:paraId="22DC527F" w14:textId="505CAF1D" w:rsidR="007E361D" w:rsidRPr="00C149D1" w:rsidRDefault="00B229FD" w:rsidP="007E361D">
            <w:pPr>
              <w:pStyle w:val="Bodytext"/>
              <w:jc w:val="right"/>
              <w:rPr>
                <w:b/>
              </w:rPr>
            </w:pPr>
            <w:r w:rsidRPr="00B229FD">
              <w:rPr>
                <w:b/>
              </w:rPr>
              <w:t>772,7</w:t>
            </w:r>
            <w:r w:rsidR="0017236F">
              <w:rPr>
                <w:b/>
              </w:rPr>
              <w:t>22</w:t>
            </w:r>
          </w:p>
        </w:tc>
        <w:tc>
          <w:tcPr>
            <w:tcW w:w="1813" w:type="dxa"/>
            <w:tcBorders>
              <w:bottom w:val="single" w:sz="18" w:space="0" w:color="auto"/>
            </w:tcBorders>
          </w:tcPr>
          <w:p w14:paraId="6B75D8DC" w14:textId="4C981597" w:rsidR="007E361D" w:rsidRPr="00AE2D96" w:rsidRDefault="007E361D" w:rsidP="007E361D">
            <w:pPr>
              <w:pStyle w:val="Bodytext"/>
              <w:jc w:val="right"/>
            </w:pPr>
            <w:r w:rsidRPr="002F5119">
              <w:t>1,428,985</w:t>
            </w:r>
          </w:p>
        </w:tc>
      </w:tr>
    </w:tbl>
    <w:p w14:paraId="52456FE7" w14:textId="77777777" w:rsidR="0016505A" w:rsidRPr="00811BA1" w:rsidRDefault="0016505A" w:rsidP="00EB7E49">
      <w:pPr>
        <w:pStyle w:val="Bodytext"/>
        <w:ind w:left="567"/>
      </w:pPr>
    </w:p>
    <w:p w14:paraId="4CE2C596" w14:textId="77777777" w:rsidR="00234DF1" w:rsidRPr="00811BA1" w:rsidRDefault="00234DF1" w:rsidP="00EB7E49">
      <w:pPr>
        <w:pStyle w:val="Heading3"/>
        <w:ind w:left="567"/>
      </w:pPr>
      <w:r w:rsidRPr="00811BA1">
        <w:t>Summary financial information for the Partnership</w:t>
      </w:r>
    </w:p>
    <w:p w14:paraId="32C2EF13" w14:textId="77777777" w:rsidR="0016505A" w:rsidRPr="00811BA1" w:rsidRDefault="0016505A" w:rsidP="00EB7E49">
      <w:pPr>
        <w:pStyle w:val="Bodytext"/>
        <w:ind w:left="567"/>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783"/>
        <w:gridCol w:w="1696"/>
        <w:gridCol w:w="1706"/>
      </w:tblGrid>
      <w:tr w:rsidR="00AE2D96" w:rsidRPr="00811BA1" w14:paraId="793CAB81" w14:textId="77777777" w:rsidTr="00AE2D96">
        <w:trPr>
          <w:trHeight w:val="700"/>
        </w:trPr>
        <w:tc>
          <w:tcPr>
            <w:tcW w:w="5783" w:type="dxa"/>
            <w:tcBorders>
              <w:bottom w:val="single" w:sz="4" w:space="0" w:color="auto"/>
            </w:tcBorders>
            <w:vAlign w:val="bottom"/>
          </w:tcPr>
          <w:p w14:paraId="7B5A6EBC" w14:textId="06DBE221" w:rsidR="00AE2D96" w:rsidRPr="00811BA1" w:rsidRDefault="00AE2D96" w:rsidP="00EB7E49">
            <w:pPr>
              <w:pStyle w:val="Bodytext"/>
              <w:rPr>
                <w:b/>
              </w:rPr>
            </w:pPr>
            <w:r>
              <w:rPr>
                <w:b/>
              </w:rPr>
              <w:t>Summary Balance Sheet</w:t>
            </w:r>
          </w:p>
        </w:tc>
        <w:tc>
          <w:tcPr>
            <w:tcW w:w="1696" w:type="dxa"/>
            <w:tcBorders>
              <w:bottom w:val="single" w:sz="4" w:space="0" w:color="auto"/>
            </w:tcBorders>
            <w:vAlign w:val="bottom"/>
          </w:tcPr>
          <w:p w14:paraId="57572366" w14:textId="77777777" w:rsidR="00AE2D96" w:rsidRPr="00811BA1" w:rsidRDefault="00AE2D96" w:rsidP="00EB7E49">
            <w:pPr>
              <w:pStyle w:val="Bodytext"/>
              <w:jc w:val="right"/>
              <w:rPr>
                <w:b/>
              </w:rPr>
            </w:pPr>
            <w:r w:rsidRPr="00811BA1">
              <w:rPr>
                <w:b/>
              </w:rPr>
              <w:t>31 December</w:t>
            </w:r>
          </w:p>
          <w:p w14:paraId="44F5D8B2" w14:textId="01812298" w:rsidR="00AE2D96" w:rsidRPr="00811BA1" w:rsidRDefault="00AE2D96" w:rsidP="00EB7E49">
            <w:pPr>
              <w:pStyle w:val="Bodytext"/>
              <w:jc w:val="right"/>
              <w:rPr>
                <w:b/>
              </w:rPr>
            </w:pPr>
            <w:r w:rsidRPr="00811BA1">
              <w:rPr>
                <w:b/>
              </w:rPr>
              <w:t>201</w:t>
            </w:r>
            <w:r w:rsidR="007E361D">
              <w:rPr>
                <w:b/>
              </w:rPr>
              <w:t>9</w:t>
            </w:r>
          </w:p>
          <w:p w14:paraId="2686F9EF" w14:textId="77777777" w:rsidR="00AE2D96" w:rsidRPr="00811BA1" w:rsidRDefault="00AE2D96" w:rsidP="00EB7E49">
            <w:pPr>
              <w:pStyle w:val="Bodytext"/>
              <w:jc w:val="right"/>
              <w:rPr>
                <w:b/>
              </w:rPr>
            </w:pPr>
            <w:r w:rsidRPr="00811BA1">
              <w:rPr>
                <w:b/>
              </w:rPr>
              <w:t>$’000</w:t>
            </w:r>
          </w:p>
        </w:tc>
        <w:tc>
          <w:tcPr>
            <w:tcW w:w="1706" w:type="dxa"/>
            <w:tcBorders>
              <w:bottom w:val="single" w:sz="4" w:space="0" w:color="auto"/>
            </w:tcBorders>
            <w:vAlign w:val="bottom"/>
          </w:tcPr>
          <w:p w14:paraId="507AC9DD" w14:textId="77777777" w:rsidR="00AE2D96" w:rsidRPr="00AE2D96" w:rsidRDefault="00AE2D96" w:rsidP="00AE2D96">
            <w:pPr>
              <w:pStyle w:val="Bodytext"/>
              <w:jc w:val="right"/>
            </w:pPr>
            <w:r w:rsidRPr="00AE2D96">
              <w:t>31 December</w:t>
            </w:r>
          </w:p>
          <w:p w14:paraId="119EF137" w14:textId="5218C170" w:rsidR="00AE2D96" w:rsidRPr="00AE2D96" w:rsidRDefault="00AE2D96" w:rsidP="00AE2D96">
            <w:pPr>
              <w:pStyle w:val="Bodytext"/>
              <w:jc w:val="right"/>
            </w:pPr>
            <w:r w:rsidRPr="00AE2D96">
              <w:t>201</w:t>
            </w:r>
            <w:r w:rsidR="007E361D">
              <w:t>8</w:t>
            </w:r>
          </w:p>
          <w:p w14:paraId="1B3606EA" w14:textId="19987ADD" w:rsidR="00AE2D96" w:rsidRPr="00AE2D96" w:rsidRDefault="00AE2D96" w:rsidP="00EB7E49">
            <w:pPr>
              <w:pStyle w:val="Bodytext"/>
              <w:jc w:val="right"/>
            </w:pPr>
            <w:r w:rsidRPr="00AE2D96">
              <w:t>$’000</w:t>
            </w:r>
          </w:p>
        </w:tc>
      </w:tr>
      <w:tr w:rsidR="007E361D" w:rsidRPr="00811BA1" w14:paraId="49AA53C7" w14:textId="77777777" w:rsidTr="002D2CEC">
        <w:tc>
          <w:tcPr>
            <w:tcW w:w="5783" w:type="dxa"/>
            <w:tcBorders>
              <w:top w:val="single" w:sz="4" w:space="0" w:color="auto"/>
            </w:tcBorders>
          </w:tcPr>
          <w:p w14:paraId="278C5D24" w14:textId="3C7EB4D3" w:rsidR="007E361D" w:rsidRPr="00811BA1" w:rsidRDefault="007E361D" w:rsidP="007E361D">
            <w:pPr>
              <w:pStyle w:val="Bodytext"/>
            </w:pPr>
            <w:r w:rsidRPr="00811BA1">
              <w:t>Investments at fair value</w:t>
            </w:r>
            <w:r>
              <w:t xml:space="preserve"> (net)</w:t>
            </w:r>
          </w:p>
        </w:tc>
        <w:tc>
          <w:tcPr>
            <w:tcW w:w="1696" w:type="dxa"/>
            <w:tcBorders>
              <w:top w:val="single" w:sz="4" w:space="0" w:color="auto"/>
            </w:tcBorders>
            <w:vAlign w:val="center"/>
          </w:tcPr>
          <w:p w14:paraId="4EDDE97F" w14:textId="587F6490" w:rsidR="007E361D" w:rsidRPr="008D2EB3" w:rsidRDefault="00C012A8" w:rsidP="007E361D">
            <w:pPr>
              <w:pStyle w:val="Bodytext"/>
              <w:jc w:val="right"/>
              <w:rPr>
                <w:b/>
                <w:bCs/>
              </w:rPr>
            </w:pPr>
            <w:r w:rsidRPr="00C012A8">
              <w:rPr>
                <w:b/>
                <w:bCs/>
              </w:rPr>
              <w:t>612,289</w:t>
            </w:r>
          </w:p>
        </w:tc>
        <w:tc>
          <w:tcPr>
            <w:tcW w:w="1706" w:type="dxa"/>
            <w:tcBorders>
              <w:top w:val="single" w:sz="4" w:space="0" w:color="auto"/>
            </w:tcBorders>
          </w:tcPr>
          <w:p w14:paraId="506C828C" w14:textId="1678B433" w:rsidR="007E361D" w:rsidRPr="00AE2D96" w:rsidRDefault="007E361D" w:rsidP="007E361D">
            <w:pPr>
              <w:pStyle w:val="Bodytext"/>
              <w:jc w:val="right"/>
            </w:pPr>
            <w:r w:rsidRPr="00597291">
              <w:t>1,307,117</w:t>
            </w:r>
          </w:p>
        </w:tc>
      </w:tr>
      <w:tr w:rsidR="007E361D" w:rsidRPr="00811BA1" w14:paraId="653D9CEA" w14:textId="77777777" w:rsidTr="002D2CEC">
        <w:tc>
          <w:tcPr>
            <w:tcW w:w="5783" w:type="dxa"/>
          </w:tcPr>
          <w:p w14:paraId="3194784A" w14:textId="63C85917" w:rsidR="007E361D" w:rsidRPr="00811BA1" w:rsidRDefault="007E361D" w:rsidP="007E361D">
            <w:pPr>
              <w:pStyle w:val="Bodytext"/>
            </w:pPr>
            <w:r w:rsidRPr="00811BA1">
              <w:t>Cash and cash equivalents</w:t>
            </w:r>
            <w:r w:rsidRPr="003D1B71">
              <w:rPr>
                <w:vertAlign w:val="superscript"/>
              </w:rPr>
              <w:t>(1)</w:t>
            </w:r>
          </w:p>
        </w:tc>
        <w:tc>
          <w:tcPr>
            <w:tcW w:w="1696" w:type="dxa"/>
            <w:vAlign w:val="center"/>
          </w:tcPr>
          <w:p w14:paraId="27D77B29" w14:textId="1E2D81DD" w:rsidR="007E361D" w:rsidRPr="008D2EB3" w:rsidRDefault="00C012A8" w:rsidP="007E361D">
            <w:pPr>
              <w:pStyle w:val="Bodytext"/>
              <w:jc w:val="right"/>
              <w:rPr>
                <w:b/>
                <w:bCs/>
              </w:rPr>
            </w:pPr>
            <w:r w:rsidRPr="00C012A8">
              <w:rPr>
                <w:b/>
                <w:bCs/>
              </w:rPr>
              <w:t>28,382</w:t>
            </w:r>
          </w:p>
        </w:tc>
        <w:tc>
          <w:tcPr>
            <w:tcW w:w="1706" w:type="dxa"/>
          </w:tcPr>
          <w:p w14:paraId="3EC1C76A" w14:textId="040AA576" w:rsidR="007E361D" w:rsidRPr="00AE2D96" w:rsidRDefault="007E361D" w:rsidP="007E361D">
            <w:pPr>
              <w:pStyle w:val="Bodytext"/>
              <w:jc w:val="right"/>
            </w:pPr>
            <w:r w:rsidRPr="00597291">
              <w:t>40,479</w:t>
            </w:r>
          </w:p>
        </w:tc>
      </w:tr>
      <w:tr w:rsidR="007E361D" w:rsidRPr="00811BA1" w14:paraId="1D66D66F" w14:textId="77777777" w:rsidTr="002D2CEC">
        <w:tc>
          <w:tcPr>
            <w:tcW w:w="5783" w:type="dxa"/>
          </w:tcPr>
          <w:p w14:paraId="07B9BA84" w14:textId="673A679A" w:rsidR="007E361D" w:rsidRPr="00811BA1" w:rsidRDefault="007E361D" w:rsidP="007E361D">
            <w:pPr>
              <w:pStyle w:val="Bodytext"/>
            </w:pPr>
            <w:r w:rsidRPr="00811BA1">
              <w:t xml:space="preserve">Money market </w:t>
            </w:r>
            <w:r>
              <w:t xml:space="preserve">fixed </w:t>
            </w:r>
            <w:r w:rsidRPr="00811BA1">
              <w:t>deposits</w:t>
            </w:r>
            <w:r w:rsidRPr="003D1B71">
              <w:rPr>
                <w:vertAlign w:val="superscript"/>
              </w:rPr>
              <w:t>(1)</w:t>
            </w:r>
          </w:p>
        </w:tc>
        <w:tc>
          <w:tcPr>
            <w:tcW w:w="1696" w:type="dxa"/>
            <w:vAlign w:val="center"/>
          </w:tcPr>
          <w:p w14:paraId="7B3516F1" w14:textId="3A5FEB54" w:rsidR="007E361D" w:rsidRPr="008D2EB3" w:rsidRDefault="00C012A8" w:rsidP="007E361D">
            <w:pPr>
              <w:pStyle w:val="Bodytext"/>
              <w:jc w:val="right"/>
              <w:rPr>
                <w:b/>
                <w:bCs/>
              </w:rPr>
            </w:pPr>
            <w:r w:rsidRPr="00C012A8">
              <w:rPr>
                <w:b/>
                <w:bCs/>
              </w:rPr>
              <w:t>134,975</w:t>
            </w:r>
          </w:p>
        </w:tc>
        <w:tc>
          <w:tcPr>
            <w:tcW w:w="1706" w:type="dxa"/>
          </w:tcPr>
          <w:p w14:paraId="055ACBD7" w14:textId="1BD63D64" w:rsidR="007E361D" w:rsidRPr="00AE2D96" w:rsidRDefault="007E361D" w:rsidP="007E361D">
            <w:pPr>
              <w:pStyle w:val="Bodytext"/>
              <w:jc w:val="right"/>
            </w:pPr>
            <w:r w:rsidRPr="00597291">
              <w:t>87,000</w:t>
            </w:r>
          </w:p>
        </w:tc>
      </w:tr>
      <w:tr w:rsidR="007E361D" w:rsidRPr="00811BA1" w14:paraId="748CF344" w14:textId="77777777" w:rsidTr="002D2CEC">
        <w:tc>
          <w:tcPr>
            <w:tcW w:w="5783" w:type="dxa"/>
          </w:tcPr>
          <w:p w14:paraId="2EA20550" w14:textId="27C80645" w:rsidR="007E361D" w:rsidRPr="00811BA1" w:rsidRDefault="007E361D" w:rsidP="007E361D">
            <w:pPr>
              <w:pStyle w:val="Bodytext"/>
            </w:pPr>
            <w:r w:rsidRPr="00811BA1">
              <w:t xml:space="preserve">Management </w:t>
            </w:r>
            <w:r w:rsidR="00407D9F">
              <w:t>F</w:t>
            </w:r>
            <w:r w:rsidRPr="00811BA1">
              <w:t>ee payable – see Note 1</w:t>
            </w:r>
            <w:r>
              <w:t>0</w:t>
            </w:r>
          </w:p>
        </w:tc>
        <w:tc>
          <w:tcPr>
            <w:tcW w:w="1696" w:type="dxa"/>
            <w:vAlign w:val="center"/>
          </w:tcPr>
          <w:p w14:paraId="18B29ADE" w14:textId="0EB6BDE2" w:rsidR="007E361D" w:rsidRPr="008D2EB3" w:rsidRDefault="00B229FD" w:rsidP="007E361D">
            <w:pPr>
              <w:pStyle w:val="Bodytext"/>
              <w:jc w:val="right"/>
              <w:rPr>
                <w:b/>
                <w:bCs/>
              </w:rPr>
            </w:pPr>
            <w:r w:rsidRPr="00B229FD">
              <w:rPr>
                <w:b/>
                <w:bCs/>
              </w:rPr>
              <w:t>(2,4</w:t>
            </w:r>
            <w:r w:rsidR="0017236F">
              <w:rPr>
                <w:b/>
                <w:bCs/>
              </w:rPr>
              <w:t>43</w:t>
            </w:r>
            <w:r w:rsidRPr="00B229FD">
              <w:rPr>
                <w:b/>
                <w:bCs/>
              </w:rPr>
              <w:t>)</w:t>
            </w:r>
          </w:p>
        </w:tc>
        <w:tc>
          <w:tcPr>
            <w:tcW w:w="1706" w:type="dxa"/>
          </w:tcPr>
          <w:p w14:paraId="57AFF05D" w14:textId="1D24DDF6" w:rsidR="007E361D" w:rsidRPr="00AE2D96" w:rsidRDefault="007E361D" w:rsidP="007E361D">
            <w:pPr>
              <w:pStyle w:val="Bodytext"/>
              <w:jc w:val="right"/>
            </w:pPr>
            <w:r w:rsidRPr="00597291">
              <w:t>(5,367)</w:t>
            </w:r>
          </w:p>
        </w:tc>
      </w:tr>
      <w:tr w:rsidR="007E361D" w:rsidRPr="00811BA1" w14:paraId="412656B6" w14:textId="77777777" w:rsidTr="002D2CEC">
        <w:tc>
          <w:tcPr>
            <w:tcW w:w="5783" w:type="dxa"/>
            <w:tcBorders>
              <w:bottom w:val="single" w:sz="4" w:space="0" w:color="auto"/>
            </w:tcBorders>
          </w:tcPr>
          <w:p w14:paraId="5E5D77D4" w14:textId="360D0E55" w:rsidR="007E361D" w:rsidRPr="00811BA1" w:rsidRDefault="007E361D" w:rsidP="00E61357">
            <w:pPr>
              <w:pStyle w:val="Bodytext"/>
            </w:pPr>
            <w:r w:rsidRPr="00811BA1">
              <w:t xml:space="preserve">Other net </w:t>
            </w:r>
            <w:r w:rsidR="00E61357">
              <w:t>liabilities</w:t>
            </w:r>
          </w:p>
        </w:tc>
        <w:tc>
          <w:tcPr>
            <w:tcW w:w="1696" w:type="dxa"/>
            <w:tcBorders>
              <w:bottom w:val="single" w:sz="4" w:space="0" w:color="auto"/>
            </w:tcBorders>
            <w:vAlign w:val="center"/>
          </w:tcPr>
          <w:p w14:paraId="42CAF13C" w14:textId="139F527C" w:rsidR="007E361D" w:rsidRPr="008D2EB3" w:rsidRDefault="00B229FD" w:rsidP="007E361D">
            <w:pPr>
              <w:pStyle w:val="Bodytext"/>
              <w:jc w:val="right"/>
              <w:rPr>
                <w:b/>
                <w:bCs/>
              </w:rPr>
            </w:pPr>
            <w:r w:rsidRPr="00B229FD">
              <w:rPr>
                <w:b/>
                <w:bCs/>
              </w:rPr>
              <w:t>(48</w:t>
            </w:r>
            <w:r w:rsidR="00680615">
              <w:rPr>
                <w:b/>
                <w:bCs/>
              </w:rPr>
              <w:t>1</w:t>
            </w:r>
            <w:r w:rsidRPr="00B229FD">
              <w:rPr>
                <w:b/>
                <w:bCs/>
              </w:rPr>
              <w:t>)</w:t>
            </w:r>
          </w:p>
        </w:tc>
        <w:tc>
          <w:tcPr>
            <w:tcW w:w="1706" w:type="dxa"/>
            <w:tcBorders>
              <w:bottom w:val="single" w:sz="4" w:space="0" w:color="auto"/>
            </w:tcBorders>
          </w:tcPr>
          <w:p w14:paraId="39EF8D79" w14:textId="57607A55" w:rsidR="007E361D" w:rsidRPr="00AE2D96" w:rsidRDefault="007E361D" w:rsidP="007E361D">
            <w:pPr>
              <w:pStyle w:val="Bodytext"/>
              <w:jc w:val="right"/>
            </w:pPr>
            <w:r w:rsidRPr="00597291">
              <w:t>(244)</w:t>
            </w:r>
          </w:p>
        </w:tc>
      </w:tr>
      <w:tr w:rsidR="007E361D" w:rsidRPr="00811BA1" w14:paraId="3A01BF07" w14:textId="77777777" w:rsidTr="002D2CEC">
        <w:tc>
          <w:tcPr>
            <w:tcW w:w="5783" w:type="dxa"/>
            <w:tcBorders>
              <w:top w:val="single" w:sz="4" w:space="0" w:color="auto"/>
              <w:bottom w:val="single" w:sz="18" w:space="0" w:color="auto"/>
            </w:tcBorders>
          </w:tcPr>
          <w:p w14:paraId="76D95436" w14:textId="7BD208CD" w:rsidR="007E361D" w:rsidRPr="00811BA1" w:rsidRDefault="007E361D" w:rsidP="007E361D">
            <w:pPr>
              <w:pStyle w:val="Bodytext"/>
              <w:rPr>
                <w:b/>
              </w:rPr>
            </w:pPr>
            <w:r w:rsidRPr="00811BA1">
              <w:rPr>
                <w:b/>
              </w:rPr>
              <w:t>Fair value of REL’s investment in the Partnership</w:t>
            </w:r>
          </w:p>
        </w:tc>
        <w:tc>
          <w:tcPr>
            <w:tcW w:w="1696" w:type="dxa"/>
            <w:tcBorders>
              <w:top w:val="single" w:sz="4" w:space="0" w:color="auto"/>
              <w:bottom w:val="single" w:sz="18" w:space="0" w:color="auto"/>
            </w:tcBorders>
            <w:vAlign w:val="bottom"/>
          </w:tcPr>
          <w:p w14:paraId="0A80A27E" w14:textId="622C082E" w:rsidR="007E361D" w:rsidRPr="008D2EB3" w:rsidRDefault="00B229FD" w:rsidP="007E361D">
            <w:pPr>
              <w:pStyle w:val="Bodytext"/>
              <w:jc w:val="right"/>
              <w:rPr>
                <w:b/>
                <w:bCs/>
              </w:rPr>
            </w:pPr>
            <w:r w:rsidRPr="00B229FD">
              <w:rPr>
                <w:b/>
                <w:bCs/>
              </w:rPr>
              <w:t>772,7</w:t>
            </w:r>
            <w:r w:rsidR="0017236F">
              <w:rPr>
                <w:b/>
                <w:bCs/>
              </w:rPr>
              <w:t>22</w:t>
            </w:r>
          </w:p>
        </w:tc>
        <w:tc>
          <w:tcPr>
            <w:tcW w:w="1706" w:type="dxa"/>
            <w:tcBorders>
              <w:top w:val="single" w:sz="4" w:space="0" w:color="auto"/>
              <w:bottom w:val="single" w:sz="18" w:space="0" w:color="auto"/>
            </w:tcBorders>
          </w:tcPr>
          <w:p w14:paraId="171467DB" w14:textId="1D04EFF0" w:rsidR="007E361D" w:rsidRPr="00AE2D96" w:rsidRDefault="007E361D" w:rsidP="007E361D">
            <w:pPr>
              <w:pStyle w:val="Bodytext"/>
              <w:jc w:val="right"/>
            </w:pPr>
            <w:r w:rsidRPr="00597291">
              <w:t>1,428,985</w:t>
            </w:r>
          </w:p>
        </w:tc>
      </w:tr>
    </w:tbl>
    <w:p w14:paraId="1C04F74A" w14:textId="4872AD4C" w:rsidR="003D1B71" w:rsidRPr="008972EB" w:rsidRDefault="003D1B71" w:rsidP="00C32021">
      <w:pPr>
        <w:pStyle w:val="Bodytext"/>
        <w:ind w:left="567"/>
        <w:jc w:val="both"/>
      </w:pPr>
      <w:r w:rsidRPr="008972EB">
        <w:rPr>
          <w:rFonts w:eastAsia="Times New Roman"/>
          <w:vertAlign w:val="superscript"/>
        </w:rPr>
        <w:t>(1)</w:t>
      </w:r>
      <w:r w:rsidRPr="008972EB">
        <w:rPr>
          <w:rFonts w:eastAsia="Times New Roman"/>
        </w:rPr>
        <w:t xml:space="preserve"> </w:t>
      </w:r>
      <w:r w:rsidRPr="008972EB">
        <w:rPr>
          <w:rFonts w:eastAsia="Times New Roman"/>
          <w:sz w:val="16"/>
          <w:szCs w:val="16"/>
        </w:rPr>
        <w:t>These figures are comprised of $</w:t>
      </w:r>
      <w:r w:rsidR="003E45C9">
        <w:rPr>
          <w:rFonts w:eastAsia="Times New Roman"/>
          <w:sz w:val="16"/>
          <w:szCs w:val="16"/>
        </w:rPr>
        <w:t>163.4</w:t>
      </w:r>
      <w:r w:rsidRPr="008972EB">
        <w:rPr>
          <w:rFonts w:eastAsia="Times New Roman"/>
          <w:sz w:val="16"/>
          <w:szCs w:val="16"/>
        </w:rPr>
        <w:t xml:space="preserve"> million held at the Partnership and $</w:t>
      </w:r>
      <w:r w:rsidR="003E45C9">
        <w:rPr>
          <w:rFonts w:eastAsia="Times New Roman"/>
          <w:sz w:val="16"/>
          <w:szCs w:val="16"/>
        </w:rPr>
        <w:t>19.0</w:t>
      </w:r>
      <w:r w:rsidRPr="008972EB">
        <w:rPr>
          <w:rFonts w:eastAsia="Times New Roman"/>
          <w:sz w:val="16"/>
          <w:szCs w:val="16"/>
        </w:rPr>
        <w:t xml:space="preserve"> million held at </w:t>
      </w:r>
      <w:r w:rsidRPr="004213ED">
        <w:rPr>
          <w:rFonts w:eastAsia="Times New Roman"/>
          <w:sz w:val="16"/>
          <w:szCs w:val="16"/>
        </w:rPr>
        <w:t>REL US Corp.</w:t>
      </w:r>
      <w:r w:rsidRPr="004213ED">
        <w:rPr>
          <w:rFonts w:eastAsia="Times New Roman"/>
        </w:rPr>
        <w:t xml:space="preserve"> </w:t>
      </w:r>
      <w:r w:rsidRPr="004213ED">
        <w:rPr>
          <w:rFonts w:eastAsia="Times New Roman"/>
          <w:sz w:val="16"/>
          <w:szCs w:val="16"/>
        </w:rPr>
        <w:t>Based on current and cumulative earnings and profit, the distribution of</w:t>
      </w:r>
      <w:r w:rsidR="00F573BD">
        <w:rPr>
          <w:rFonts w:eastAsia="Times New Roman"/>
          <w:sz w:val="16"/>
          <w:szCs w:val="16"/>
        </w:rPr>
        <w:t xml:space="preserve"> the $19 million of</w:t>
      </w:r>
      <w:r w:rsidRPr="004213ED">
        <w:rPr>
          <w:rFonts w:eastAsia="Times New Roman"/>
          <w:sz w:val="16"/>
          <w:szCs w:val="16"/>
        </w:rPr>
        <w:t xml:space="preserve"> cash from REL US Corp to the Partnership for the year ended 31 December 201</w:t>
      </w:r>
      <w:r w:rsidR="00DF0125" w:rsidRPr="004213ED">
        <w:rPr>
          <w:rFonts w:eastAsia="Times New Roman"/>
          <w:sz w:val="16"/>
          <w:szCs w:val="16"/>
        </w:rPr>
        <w:t>9</w:t>
      </w:r>
      <w:r w:rsidRPr="004213ED">
        <w:rPr>
          <w:rFonts w:eastAsia="Times New Roman"/>
          <w:sz w:val="16"/>
          <w:szCs w:val="16"/>
        </w:rPr>
        <w:t xml:space="preserve"> is subject to the U.S. federal tax rate of </w:t>
      </w:r>
      <w:r w:rsidR="00AC5AA5">
        <w:rPr>
          <w:rFonts w:eastAsia="Times New Roman"/>
          <w:sz w:val="16"/>
          <w:szCs w:val="16"/>
        </w:rPr>
        <w:t>30</w:t>
      </w:r>
      <w:r w:rsidR="00621A24">
        <w:rPr>
          <w:rFonts w:eastAsia="Times New Roman"/>
          <w:sz w:val="16"/>
          <w:szCs w:val="16"/>
        </w:rPr>
        <w:t xml:space="preserve"> per cent.</w:t>
      </w:r>
      <w:r w:rsidRPr="004213ED">
        <w:rPr>
          <w:rFonts w:eastAsia="Times New Roman"/>
          <w:sz w:val="16"/>
          <w:szCs w:val="16"/>
        </w:rPr>
        <w:t>, or $</w:t>
      </w:r>
      <w:r w:rsidR="00AC5AA5">
        <w:rPr>
          <w:rFonts w:eastAsia="Times New Roman"/>
          <w:sz w:val="16"/>
          <w:szCs w:val="16"/>
        </w:rPr>
        <w:t>5.7</w:t>
      </w:r>
      <w:r w:rsidRPr="004213ED">
        <w:rPr>
          <w:rFonts w:eastAsia="Times New Roman"/>
          <w:sz w:val="16"/>
          <w:szCs w:val="16"/>
        </w:rPr>
        <w:t xml:space="preserve"> million as of 31 December 201</w:t>
      </w:r>
      <w:r w:rsidR="004213ED" w:rsidRPr="004213ED">
        <w:rPr>
          <w:rFonts w:eastAsia="Times New Roman"/>
          <w:sz w:val="16"/>
          <w:szCs w:val="16"/>
        </w:rPr>
        <w:t>9</w:t>
      </w:r>
    </w:p>
    <w:p w14:paraId="40384CE9" w14:textId="4AEB6C19" w:rsidR="003D1B71" w:rsidRDefault="003D1B71" w:rsidP="00EB7E49">
      <w:pPr>
        <w:pStyle w:val="Bodytext"/>
        <w:ind w:left="567"/>
      </w:pPr>
    </w:p>
    <w:p w14:paraId="449ED2AC" w14:textId="77777777" w:rsidR="003D1B71" w:rsidRDefault="003D1B71" w:rsidP="00EB7E49">
      <w:pPr>
        <w:pStyle w:val="Bodytext"/>
        <w:ind w:left="567"/>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783"/>
        <w:gridCol w:w="1696"/>
        <w:gridCol w:w="1706"/>
      </w:tblGrid>
      <w:tr w:rsidR="00AE2D96" w:rsidRPr="00811BA1" w14:paraId="338E5F26" w14:textId="77777777" w:rsidTr="00AE2D96">
        <w:trPr>
          <w:trHeight w:val="700"/>
        </w:trPr>
        <w:tc>
          <w:tcPr>
            <w:tcW w:w="5783" w:type="dxa"/>
            <w:tcBorders>
              <w:bottom w:val="single" w:sz="4" w:space="0" w:color="auto"/>
            </w:tcBorders>
            <w:vAlign w:val="bottom"/>
          </w:tcPr>
          <w:p w14:paraId="6F57467B" w14:textId="009AE3B2" w:rsidR="00AE2D96" w:rsidRPr="00811BA1" w:rsidRDefault="00AE2D96" w:rsidP="00EB7E49">
            <w:pPr>
              <w:pStyle w:val="Bodytext"/>
              <w:rPr>
                <w:b/>
              </w:rPr>
            </w:pPr>
            <w:r>
              <w:rPr>
                <w:b/>
              </w:rPr>
              <w:t>Reconciliation of Partnership’s investments at fair value</w:t>
            </w:r>
          </w:p>
        </w:tc>
        <w:tc>
          <w:tcPr>
            <w:tcW w:w="1696" w:type="dxa"/>
            <w:tcBorders>
              <w:bottom w:val="single" w:sz="4" w:space="0" w:color="auto"/>
            </w:tcBorders>
            <w:vAlign w:val="bottom"/>
          </w:tcPr>
          <w:p w14:paraId="0237DEB0" w14:textId="77777777" w:rsidR="00AE2D96" w:rsidRPr="00811BA1" w:rsidRDefault="00AE2D96" w:rsidP="00EB7E49">
            <w:pPr>
              <w:pStyle w:val="Bodytext"/>
              <w:jc w:val="right"/>
              <w:rPr>
                <w:b/>
              </w:rPr>
            </w:pPr>
            <w:r w:rsidRPr="00811BA1">
              <w:rPr>
                <w:b/>
              </w:rPr>
              <w:t>31 December</w:t>
            </w:r>
          </w:p>
          <w:p w14:paraId="3466BF1C" w14:textId="7703C176" w:rsidR="00AE2D96" w:rsidRPr="00811BA1" w:rsidRDefault="00AE2D96" w:rsidP="00EB7E49">
            <w:pPr>
              <w:pStyle w:val="Bodytext"/>
              <w:jc w:val="right"/>
              <w:rPr>
                <w:b/>
              </w:rPr>
            </w:pPr>
            <w:r w:rsidRPr="00811BA1">
              <w:rPr>
                <w:b/>
              </w:rPr>
              <w:t>201</w:t>
            </w:r>
            <w:r w:rsidR="007E361D">
              <w:rPr>
                <w:b/>
              </w:rPr>
              <w:t>9</w:t>
            </w:r>
          </w:p>
          <w:p w14:paraId="64BE5F5A" w14:textId="77777777" w:rsidR="00AE2D96" w:rsidRPr="00811BA1" w:rsidRDefault="00AE2D96" w:rsidP="00EB7E49">
            <w:pPr>
              <w:pStyle w:val="Bodytext"/>
              <w:jc w:val="right"/>
              <w:rPr>
                <w:b/>
              </w:rPr>
            </w:pPr>
            <w:r w:rsidRPr="00811BA1">
              <w:rPr>
                <w:b/>
              </w:rPr>
              <w:t>$’000</w:t>
            </w:r>
          </w:p>
        </w:tc>
        <w:tc>
          <w:tcPr>
            <w:tcW w:w="1706" w:type="dxa"/>
            <w:tcBorders>
              <w:bottom w:val="single" w:sz="4" w:space="0" w:color="auto"/>
            </w:tcBorders>
            <w:vAlign w:val="bottom"/>
          </w:tcPr>
          <w:p w14:paraId="7AB6464E" w14:textId="77777777" w:rsidR="00AE2D96" w:rsidRPr="00AE2D96" w:rsidRDefault="00AE2D96" w:rsidP="00AE2D96">
            <w:pPr>
              <w:pStyle w:val="Bodytext"/>
              <w:jc w:val="right"/>
            </w:pPr>
            <w:r w:rsidRPr="00AE2D96">
              <w:t>31 December</w:t>
            </w:r>
          </w:p>
          <w:p w14:paraId="3DB42582" w14:textId="6621BB95" w:rsidR="00AE2D96" w:rsidRPr="00AE2D96" w:rsidRDefault="00AE2D96" w:rsidP="00AE2D96">
            <w:pPr>
              <w:pStyle w:val="Bodytext"/>
              <w:jc w:val="right"/>
            </w:pPr>
            <w:r w:rsidRPr="00AE2D96">
              <w:t>201</w:t>
            </w:r>
            <w:r w:rsidR="007E361D">
              <w:t>8</w:t>
            </w:r>
          </w:p>
          <w:p w14:paraId="4AB88935" w14:textId="430FB9C7" w:rsidR="00AE2D96" w:rsidRPr="00AE2D96" w:rsidRDefault="00AE2D96" w:rsidP="00EB7E49">
            <w:pPr>
              <w:pStyle w:val="Bodytext"/>
              <w:jc w:val="right"/>
            </w:pPr>
            <w:r w:rsidRPr="00AE2D96">
              <w:t>$’000</w:t>
            </w:r>
          </w:p>
        </w:tc>
      </w:tr>
      <w:tr w:rsidR="007E361D" w:rsidRPr="00811BA1" w14:paraId="23A086C5" w14:textId="77777777" w:rsidTr="002D2CEC">
        <w:tc>
          <w:tcPr>
            <w:tcW w:w="5783" w:type="dxa"/>
            <w:tcBorders>
              <w:top w:val="single" w:sz="4" w:space="0" w:color="auto"/>
            </w:tcBorders>
          </w:tcPr>
          <w:p w14:paraId="26EDE7B9" w14:textId="719FD7DD" w:rsidR="007E361D" w:rsidRPr="00C50AB9" w:rsidRDefault="007E361D" w:rsidP="007E361D">
            <w:pPr>
              <w:pStyle w:val="Bodytext"/>
            </w:pPr>
            <w:r w:rsidRPr="00C50AB9">
              <w:t xml:space="preserve">Investments at fair value – Level 1 (gross)  </w:t>
            </w:r>
          </w:p>
        </w:tc>
        <w:tc>
          <w:tcPr>
            <w:tcW w:w="1696" w:type="dxa"/>
            <w:tcBorders>
              <w:top w:val="single" w:sz="4" w:space="0" w:color="auto"/>
            </w:tcBorders>
            <w:vAlign w:val="center"/>
          </w:tcPr>
          <w:p w14:paraId="0FDF67CC" w14:textId="3D2C19EB" w:rsidR="007E361D" w:rsidRPr="00C149D1" w:rsidRDefault="00C012A8" w:rsidP="007E361D">
            <w:pPr>
              <w:pStyle w:val="Bodytext"/>
              <w:jc w:val="right"/>
              <w:rPr>
                <w:b/>
                <w:bCs/>
              </w:rPr>
            </w:pPr>
            <w:r w:rsidRPr="00C012A8">
              <w:rPr>
                <w:b/>
                <w:bCs/>
              </w:rPr>
              <w:t>70,131</w:t>
            </w:r>
          </w:p>
        </w:tc>
        <w:tc>
          <w:tcPr>
            <w:tcW w:w="1706" w:type="dxa"/>
            <w:tcBorders>
              <w:top w:val="single" w:sz="4" w:space="0" w:color="auto"/>
            </w:tcBorders>
          </w:tcPr>
          <w:p w14:paraId="26641EEB" w14:textId="50F4F0EE" w:rsidR="007E361D" w:rsidRPr="00C50AB9" w:rsidRDefault="007E361D" w:rsidP="007E361D">
            <w:pPr>
              <w:pStyle w:val="Bodytext"/>
              <w:jc w:val="right"/>
            </w:pPr>
            <w:r w:rsidRPr="00321CC3">
              <w:t>167,283</w:t>
            </w:r>
          </w:p>
        </w:tc>
      </w:tr>
      <w:tr w:rsidR="007E361D" w:rsidRPr="00811BA1" w14:paraId="37BC5581" w14:textId="77777777" w:rsidTr="002D2CEC">
        <w:tc>
          <w:tcPr>
            <w:tcW w:w="5783" w:type="dxa"/>
            <w:tcBorders>
              <w:bottom w:val="single" w:sz="4" w:space="0" w:color="auto"/>
            </w:tcBorders>
          </w:tcPr>
          <w:p w14:paraId="21D1E9E7" w14:textId="1C29373E" w:rsidR="007E361D" w:rsidRPr="00C50AB9" w:rsidRDefault="007E361D" w:rsidP="007E361D">
            <w:pPr>
              <w:pStyle w:val="Bodytext"/>
            </w:pPr>
            <w:r w:rsidRPr="00C50AB9">
              <w:t>Investments at fair value – Level 3 (gross) - see Note 5</w:t>
            </w:r>
          </w:p>
        </w:tc>
        <w:tc>
          <w:tcPr>
            <w:tcW w:w="1696" w:type="dxa"/>
            <w:tcBorders>
              <w:bottom w:val="single" w:sz="4" w:space="0" w:color="auto"/>
            </w:tcBorders>
            <w:vAlign w:val="center"/>
          </w:tcPr>
          <w:p w14:paraId="0D06F62C" w14:textId="2D78AC0A" w:rsidR="007E361D" w:rsidRPr="00C149D1" w:rsidRDefault="00C012A8" w:rsidP="007E361D">
            <w:pPr>
              <w:pStyle w:val="Bodytext"/>
              <w:jc w:val="right"/>
              <w:rPr>
                <w:b/>
                <w:bCs/>
              </w:rPr>
            </w:pPr>
            <w:r w:rsidRPr="00C012A8">
              <w:rPr>
                <w:b/>
                <w:bCs/>
              </w:rPr>
              <w:t>523,157</w:t>
            </w:r>
          </w:p>
        </w:tc>
        <w:tc>
          <w:tcPr>
            <w:tcW w:w="1706" w:type="dxa"/>
            <w:tcBorders>
              <w:bottom w:val="single" w:sz="4" w:space="0" w:color="auto"/>
            </w:tcBorders>
          </w:tcPr>
          <w:p w14:paraId="0D5FD4FA" w14:textId="275A626B" w:rsidR="007E361D" w:rsidRPr="00C50AB9" w:rsidRDefault="007E361D" w:rsidP="007E361D">
            <w:pPr>
              <w:pStyle w:val="Bodytext"/>
              <w:jc w:val="right"/>
            </w:pPr>
            <w:r w:rsidRPr="00321CC3">
              <w:t>1,193,109</w:t>
            </w:r>
          </w:p>
        </w:tc>
      </w:tr>
      <w:tr w:rsidR="007E361D" w:rsidRPr="00811BA1" w14:paraId="54DF23DD" w14:textId="77777777" w:rsidTr="002D2CEC">
        <w:tc>
          <w:tcPr>
            <w:tcW w:w="5783" w:type="dxa"/>
            <w:tcBorders>
              <w:top w:val="single" w:sz="4" w:space="0" w:color="auto"/>
            </w:tcBorders>
          </w:tcPr>
          <w:p w14:paraId="77E4FF81" w14:textId="01909AC4" w:rsidR="007E361D" w:rsidRPr="00C50AB9" w:rsidRDefault="007E361D" w:rsidP="007E361D">
            <w:pPr>
              <w:pStyle w:val="Bodytext"/>
            </w:pPr>
            <w:r w:rsidRPr="00C50AB9">
              <w:lastRenderedPageBreak/>
              <w:t>Investments at fair value (gross)</w:t>
            </w:r>
          </w:p>
        </w:tc>
        <w:tc>
          <w:tcPr>
            <w:tcW w:w="1696" w:type="dxa"/>
            <w:tcBorders>
              <w:top w:val="single" w:sz="4" w:space="0" w:color="auto"/>
            </w:tcBorders>
            <w:vAlign w:val="center"/>
          </w:tcPr>
          <w:p w14:paraId="272AFBBD" w14:textId="24062503" w:rsidR="007E361D" w:rsidRPr="00C149D1" w:rsidRDefault="00C012A8" w:rsidP="007E361D">
            <w:pPr>
              <w:pStyle w:val="Bodytext"/>
              <w:jc w:val="right"/>
              <w:rPr>
                <w:b/>
                <w:bCs/>
              </w:rPr>
            </w:pPr>
            <w:r w:rsidRPr="00C012A8">
              <w:rPr>
                <w:b/>
                <w:bCs/>
              </w:rPr>
              <w:t>593,288</w:t>
            </w:r>
          </w:p>
        </w:tc>
        <w:tc>
          <w:tcPr>
            <w:tcW w:w="1706" w:type="dxa"/>
            <w:tcBorders>
              <w:top w:val="single" w:sz="4" w:space="0" w:color="auto"/>
            </w:tcBorders>
          </w:tcPr>
          <w:p w14:paraId="596BD57F" w14:textId="7AD9B6ED" w:rsidR="007E361D" w:rsidRPr="00C50AB9" w:rsidRDefault="007E361D" w:rsidP="007E361D">
            <w:pPr>
              <w:pStyle w:val="Bodytext"/>
              <w:jc w:val="right"/>
            </w:pPr>
            <w:r w:rsidRPr="00321CC3">
              <w:t>1,360,392</w:t>
            </w:r>
          </w:p>
        </w:tc>
      </w:tr>
      <w:tr w:rsidR="007E361D" w:rsidRPr="00811BA1" w14:paraId="28A7361D" w14:textId="77777777" w:rsidTr="00AD7CED">
        <w:tc>
          <w:tcPr>
            <w:tcW w:w="5783" w:type="dxa"/>
          </w:tcPr>
          <w:p w14:paraId="7283DF08" w14:textId="0644DC76" w:rsidR="007E361D" w:rsidRPr="00811BA1" w:rsidRDefault="007E361D" w:rsidP="007E361D">
            <w:pPr>
              <w:pStyle w:val="Bodytext"/>
            </w:pPr>
            <w:r>
              <w:t>Accrued General Partner performance allocation – see Note 10</w:t>
            </w:r>
          </w:p>
        </w:tc>
        <w:tc>
          <w:tcPr>
            <w:tcW w:w="1696" w:type="dxa"/>
          </w:tcPr>
          <w:p w14:paraId="48101B36" w14:textId="643D9BDB" w:rsidR="007E361D" w:rsidRPr="00C149D1" w:rsidRDefault="00C012A8" w:rsidP="00C012A8">
            <w:pPr>
              <w:pStyle w:val="Bodytext"/>
              <w:jc w:val="right"/>
              <w:rPr>
                <w:b/>
                <w:bCs/>
              </w:rPr>
            </w:pPr>
            <w:r w:rsidRPr="00C012A8">
              <w:rPr>
                <w:b/>
                <w:bCs/>
              </w:rPr>
              <w:t>–</w:t>
            </w:r>
          </w:p>
        </w:tc>
        <w:tc>
          <w:tcPr>
            <w:tcW w:w="1706" w:type="dxa"/>
          </w:tcPr>
          <w:p w14:paraId="6491FBC1" w14:textId="28F77D39" w:rsidR="007E361D" w:rsidRPr="00AE2D96" w:rsidRDefault="007E361D" w:rsidP="007E361D">
            <w:pPr>
              <w:pStyle w:val="Bodytext"/>
              <w:jc w:val="right"/>
            </w:pPr>
            <w:r w:rsidRPr="00321CC3">
              <w:t>(55,863)</w:t>
            </w:r>
          </w:p>
        </w:tc>
      </w:tr>
      <w:tr w:rsidR="00C012A8" w:rsidRPr="00811BA1" w14:paraId="33D19988" w14:textId="77777777" w:rsidTr="00AD7CED">
        <w:tc>
          <w:tcPr>
            <w:tcW w:w="5783" w:type="dxa"/>
          </w:tcPr>
          <w:p w14:paraId="31D3B15B" w14:textId="4ED2E7DB" w:rsidR="00C012A8" w:rsidRPr="00811BA1" w:rsidRDefault="00C012A8" w:rsidP="00C012A8">
            <w:pPr>
              <w:pStyle w:val="Bodytext"/>
            </w:pPr>
            <w:r>
              <w:t>Provision for taxation</w:t>
            </w:r>
          </w:p>
        </w:tc>
        <w:tc>
          <w:tcPr>
            <w:tcW w:w="1696" w:type="dxa"/>
          </w:tcPr>
          <w:p w14:paraId="2147BA17" w14:textId="2A4DB392" w:rsidR="00C012A8" w:rsidRPr="00C149D1" w:rsidRDefault="00C012A8" w:rsidP="00C012A8">
            <w:pPr>
              <w:pStyle w:val="Bodytext"/>
              <w:jc w:val="right"/>
              <w:rPr>
                <w:b/>
                <w:bCs/>
              </w:rPr>
            </w:pPr>
            <w:r w:rsidRPr="00C012A8">
              <w:rPr>
                <w:b/>
                <w:bCs/>
              </w:rPr>
              <w:t>–</w:t>
            </w:r>
          </w:p>
        </w:tc>
        <w:tc>
          <w:tcPr>
            <w:tcW w:w="1706" w:type="dxa"/>
          </w:tcPr>
          <w:p w14:paraId="306910B7" w14:textId="3FE6CD3C" w:rsidR="00C012A8" w:rsidRPr="00AE2D96" w:rsidRDefault="00C012A8" w:rsidP="00C012A8">
            <w:pPr>
              <w:pStyle w:val="Bodytext"/>
              <w:jc w:val="right"/>
            </w:pPr>
            <w:r w:rsidRPr="00321CC3">
              <w:t>(4,500)</w:t>
            </w:r>
          </w:p>
        </w:tc>
      </w:tr>
      <w:tr w:rsidR="00C012A8" w:rsidRPr="00811BA1" w14:paraId="2998E73F" w14:textId="77777777" w:rsidTr="002D2CEC">
        <w:tc>
          <w:tcPr>
            <w:tcW w:w="5783" w:type="dxa"/>
            <w:tcBorders>
              <w:bottom w:val="single" w:sz="4" w:space="0" w:color="auto"/>
            </w:tcBorders>
          </w:tcPr>
          <w:p w14:paraId="2739105F" w14:textId="019862BA" w:rsidR="00C012A8" w:rsidRPr="00811BA1" w:rsidRDefault="00C012A8" w:rsidP="00C012A8">
            <w:pPr>
              <w:pStyle w:val="Bodytext"/>
            </w:pPr>
            <w:r>
              <w:t>Cash and cash equivalents</w:t>
            </w:r>
          </w:p>
        </w:tc>
        <w:tc>
          <w:tcPr>
            <w:tcW w:w="1696" w:type="dxa"/>
            <w:tcBorders>
              <w:bottom w:val="single" w:sz="4" w:space="0" w:color="auto"/>
            </w:tcBorders>
            <w:vAlign w:val="center"/>
          </w:tcPr>
          <w:p w14:paraId="5335D09F" w14:textId="4B764EC2" w:rsidR="00C012A8" w:rsidRPr="00C149D1" w:rsidRDefault="00C012A8" w:rsidP="00C012A8">
            <w:pPr>
              <w:pStyle w:val="Bodytext"/>
              <w:jc w:val="right"/>
              <w:rPr>
                <w:b/>
                <w:bCs/>
              </w:rPr>
            </w:pPr>
            <w:r w:rsidRPr="00C012A8">
              <w:rPr>
                <w:b/>
                <w:bCs/>
              </w:rPr>
              <w:t>19,001</w:t>
            </w:r>
          </w:p>
        </w:tc>
        <w:tc>
          <w:tcPr>
            <w:tcW w:w="1706" w:type="dxa"/>
            <w:tcBorders>
              <w:bottom w:val="single" w:sz="4" w:space="0" w:color="auto"/>
            </w:tcBorders>
          </w:tcPr>
          <w:p w14:paraId="76B3F63A" w14:textId="345D7116" w:rsidR="00C012A8" w:rsidRPr="00AE2D96" w:rsidRDefault="00C012A8" w:rsidP="00C012A8">
            <w:pPr>
              <w:pStyle w:val="Bodytext"/>
              <w:jc w:val="right"/>
            </w:pPr>
            <w:r w:rsidRPr="00321CC3">
              <w:t>7,088</w:t>
            </w:r>
          </w:p>
        </w:tc>
      </w:tr>
      <w:tr w:rsidR="00C012A8" w:rsidRPr="00811BA1" w14:paraId="0E7FFA3F" w14:textId="77777777" w:rsidTr="002D2CEC">
        <w:tc>
          <w:tcPr>
            <w:tcW w:w="5783" w:type="dxa"/>
            <w:tcBorders>
              <w:top w:val="single" w:sz="4" w:space="0" w:color="auto"/>
              <w:bottom w:val="single" w:sz="18" w:space="0" w:color="auto"/>
            </w:tcBorders>
          </w:tcPr>
          <w:p w14:paraId="69EC308E" w14:textId="4C0D92C3" w:rsidR="00C012A8" w:rsidRPr="00811BA1" w:rsidRDefault="00C012A8" w:rsidP="00C012A8">
            <w:pPr>
              <w:pStyle w:val="Bodytext"/>
              <w:rPr>
                <w:b/>
              </w:rPr>
            </w:pPr>
            <w:r w:rsidRPr="00811BA1">
              <w:rPr>
                <w:b/>
              </w:rPr>
              <w:t>Partnership</w:t>
            </w:r>
            <w:r>
              <w:rPr>
                <w:b/>
              </w:rPr>
              <w:t>’s investments at fair value (net)</w:t>
            </w:r>
          </w:p>
        </w:tc>
        <w:tc>
          <w:tcPr>
            <w:tcW w:w="1696" w:type="dxa"/>
            <w:tcBorders>
              <w:top w:val="single" w:sz="4" w:space="0" w:color="auto"/>
              <w:bottom w:val="single" w:sz="18" w:space="0" w:color="auto"/>
            </w:tcBorders>
            <w:vAlign w:val="bottom"/>
          </w:tcPr>
          <w:p w14:paraId="250F9B2B" w14:textId="66D5137B" w:rsidR="00C012A8" w:rsidRPr="00C149D1" w:rsidRDefault="00C012A8" w:rsidP="00C012A8">
            <w:pPr>
              <w:pStyle w:val="Bodytext"/>
              <w:jc w:val="right"/>
              <w:rPr>
                <w:b/>
                <w:bCs/>
              </w:rPr>
            </w:pPr>
            <w:r w:rsidRPr="00C012A8">
              <w:rPr>
                <w:b/>
                <w:bCs/>
              </w:rPr>
              <w:t>612,289</w:t>
            </w:r>
          </w:p>
        </w:tc>
        <w:tc>
          <w:tcPr>
            <w:tcW w:w="1706" w:type="dxa"/>
            <w:tcBorders>
              <w:top w:val="single" w:sz="4" w:space="0" w:color="auto"/>
              <w:bottom w:val="single" w:sz="18" w:space="0" w:color="auto"/>
            </w:tcBorders>
          </w:tcPr>
          <w:p w14:paraId="40269045" w14:textId="3D41D356" w:rsidR="00C012A8" w:rsidRPr="00AE2D96" w:rsidRDefault="00C012A8" w:rsidP="00C012A8">
            <w:pPr>
              <w:pStyle w:val="Bodytext"/>
              <w:jc w:val="right"/>
            </w:pPr>
            <w:r w:rsidRPr="00321CC3">
              <w:t>1,307,117</w:t>
            </w:r>
          </w:p>
        </w:tc>
      </w:tr>
    </w:tbl>
    <w:p w14:paraId="3D597468" w14:textId="77777777" w:rsidR="00AD3B5D" w:rsidRPr="00811BA1" w:rsidRDefault="00AD3B5D" w:rsidP="00EB7E49">
      <w:pPr>
        <w:pStyle w:val="Bodytext"/>
        <w:ind w:left="567"/>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83"/>
        <w:gridCol w:w="1701"/>
        <w:gridCol w:w="1701"/>
      </w:tblGrid>
      <w:tr w:rsidR="00AE2D96" w:rsidRPr="00811BA1" w14:paraId="2CEAD1DA" w14:textId="77777777" w:rsidTr="00AE2D96">
        <w:trPr>
          <w:trHeight w:val="1173"/>
        </w:trPr>
        <w:tc>
          <w:tcPr>
            <w:tcW w:w="5783" w:type="dxa"/>
            <w:tcBorders>
              <w:bottom w:val="single" w:sz="4" w:space="0" w:color="auto"/>
            </w:tcBorders>
            <w:vAlign w:val="bottom"/>
          </w:tcPr>
          <w:p w14:paraId="6F23B117" w14:textId="77777777" w:rsidR="00AE2D96" w:rsidRPr="00811BA1" w:rsidRDefault="00AE2D96" w:rsidP="00EB7E49">
            <w:pPr>
              <w:pStyle w:val="Bodytext"/>
              <w:rPr>
                <w:b/>
              </w:rPr>
            </w:pPr>
            <w:r w:rsidRPr="00811BA1">
              <w:rPr>
                <w:b/>
              </w:rPr>
              <w:t>Summary Income Statement</w:t>
            </w:r>
          </w:p>
        </w:tc>
        <w:tc>
          <w:tcPr>
            <w:tcW w:w="1701" w:type="dxa"/>
            <w:tcBorders>
              <w:bottom w:val="single" w:sz="4" w:space="0" w:color="auto"/>
            </w:tcBorders>
            <w:vAlign w:val="bottom"/>
          </w:tcPr>
          <w:p w14:paraId="474DAD80" w14:textId="77777777" w:rsidR="00AE2D96" w:rsidRPr="00811BA1" w:rsidRDefault="00AE2D96" w:rsidP="00EB7E49">
            <w:pPr>
              <w:pStyle w:val="Bodytext"/>
              <w:jc w:val="right"/>
              <w:rPr>
                <w:b/>
              </w:rPr>
            </w:pPr>
            <w:r w:rsidRPr="00811BA1">
              <w:rPr>
                <w:b/>
              </w:rPr>
              <w:t>1 January</w:t>
            </w:r>
          </w:p>
          <w:p w14:paraId="0A05E1F1" w14:textId="21556B94" w:rsidR="00AE2D96" w:rsidRPr="00811BA1" w:rsidRDefault="00AE2D96" w:rsidP="00EB7E49">
            <w:pPr>
              <w:pStyle w:val="Bodytext"/>
              <w:jc w:val="right"/>
              <w:rPr>
                <w:b/>
              </w:rPr>
            </w:pPr>
            <w:r w:rsidRPr="00811BA1">
              <w:rPr>
                <w:b/>
              </w:rPr>
              <w:t>201</w:t>
            </w:r>
            <w:r w:rsidR="007E361D">
              <w:rPr>
                <w:b/>
              </w:rPr>
              <w:t>9</w:t>
            </w:r>
            <w:r w:rsidRPr="00811BA1">
              <w:rPr>
                <w:b/>
              </w:rPr>
              <w:t xml:space="preserve"> to</w:t>
            </w:r>
          </w:p>
          <w:p w14:paraId="1EB9973F" w14:textId="77777777" w:rsidR="00AE2D96" w:rsidRPr="00811BA1" w:rsidRDefault="00AE2D96" w:rsidP="00EB7E49">
            <w:pPr>
              <w:pStyle w:val="Bodytext"/>
              <w:jc w:val="right"/>
              <w:rPr>
                <w:b/>
              </w:rPr>
            </w:pPr>
            <w:r w:rsidRPr="00811BA1">
              <w:rPr>
                <w:b/>
              </w:rPr>
              <w:t>31 December</w:t>
            </w:r>
          </w:p>
          <w:p w14:paraId="50EC044F" w14:textId="650CBE5E" w:rsidR="00AE2D96" w:rsidRPr="00811BA1" w:rsidRDefault="00AE2D96" w:rsidP="00EB7E49">
            <w:pPr>
              <w:pStyle w:val="Bodytext"/>
              <w:jc w:val="right"/>
              <w:rPr>
                <w:b/>
              </w:rPr>
            </w:pPr>
            <w:r w:rsidRPr="00811BA1">
              <w:rPr>
                <w:b/>
              </w:rPr>
              <w:t>201</w:t>
            </w:r>
            <w:r w:rsidR="007E361D">
              <w:rPr>
                <w:b/>
              </w:rPr>
              <w:t>9</w:t>
            </w:r>
          </w:p>
          <w:p w14:paraId="096E1BED" w14:textId="77777777" w:rsidR="00AE2D96" w:rsidRPr="00811BA1" w:rsidRDefault="00AE2D96" w:rsidP="00EB7E49">
            <w:pPr>
              <w:pStyle w:val="Bodytext"/>
              <w:jc w:val="right"/>
              <w:rPr>
                <w:b/>
              </w:rPr>
            </w:pPr>
            <w:r w:rsidRPr="00811BA1">
              <w:rPr>
                <w:b/>
              </w:rPr>
              <w:t>$’000</w:t>
            </w:r>
          </w:p>
        </w:tc>
        <w:tc>
          <w:tcPr>
            <w:tcW w:w="1701" w:type="dxa"/>
            <w:tcBorders>
              <w:bottom w:val="single" w:sz="4" w:space="0" w:color="auto"/>
            </w:tcBorders>
            <w:vAlign w:val="bottom"/>
          </w:tcPr>
          <w:p w14:paraId="01DDE543" w14:textId="77777777" w:rsidR="00AE2D96" w:rsidRPr="00C46EC3" w:rsidRDefault="00AE2D96" w:rsidP="00AE2D96">
            <w:pPr>
              <w:pStyle w:val="Bodytext"/>
              <w:jc w:val="right"/>
            </w:pPr>
            <w:r w:rsidRPr="00C46EC3">
              <w:t>1 January</w:t>
            </w:r>
          </w:p>
          <w:p w14:paraId="38B0FD5A" w14:textId="34EFFF6E" w:rsidR="00AE2D96" w:rsidRPr="00C46EC3" w:rsidRDefault="00AE2D96" w:rsidP="00AE2D96">
            <w:pPr>
              <w:pStyle w:val="Bodytext"/>
              <w:jc w:val="right"/>
            </w:pPr>
            <w:r w:rsidRPr="00C46EC3">
              <w:t>201</w:t>
            </w:r>
            <w:r w:rsidR="007E361D">
              <w:t>8</w:t>
            </w:r>
            <w:r w:rsidRPr="00C46EC3">
              <w:t xml:space="preserve"> to</w:t>
            </w:r>
          </w:p>
          <w:p w14:paraId="78F44082" w14:textId="77777777" w:rsidR="00AE2D96" w:rsidRPr="00C46EC3" w:rsidRDefault="00AE2D96" w:rsidP="00AE2D96">
            <w:pPr>
              <w:pStyle w:val="Bodytext"/>
              <w:jc w:val="right"/>
            </w:pPr>
            <w:r w:rsidRPr="00C46EC3">
              <w:t>31 December</w:t>
            </w:r>
          </w:p>
          <w:p w14:paraId="4D5BB1C3" w14:textId="7626EC49" w:rsidR="00AE2D96" w:rsidRPr="00C46EC3" w:rsidRDefault="00AE2D96" w:rsidP="00AE2D96">
            <w:pPr>
              <w:pStyle w:val="Bodytext"/>
              <w:jc w:val="right"/>
            </w:pPr>
            <w:r w:rsidRPr="00C46EC3">
              <w:t>201</w:t>
            </w:r>
            <w:r w:rsidR="007E361D">
              <w:t>8</w:t>
            </w:r>
          </w:p>
          <w:p w14:paraId="5737F069" w14:textId="51BF6D51" w:rsidR="00AE2D96" w:rsidRPr="00C46EC3" w:rsidRDefault="00AE2D96" w:rsidP="00EB7E49">
            <w:pPr>
              <w:pStyle w:val="Bodytext"/>
              <w:jc w:val="right"/>
            </w:pPr>
            <w:r w:rsidRPr="00C46EC3">
              <w:t>$’000</w:t>
            </w:r>
          </w:p>
        </w:tc>
      </w:tr>
      <w:tr w:rsidR="007E361D" w:rsidRPr="00811BA1" w14:paraId="7E7309E2" w14:textId="77777777" w:rsidTr="00AD7CED">
        <w:tc>
          <w:tcPr>
            <w:tcW w:w="5783" w:type="dxa"/>
            <w:tcBorders>
              <w:top w:val="single" w:sz="4" w:space="0" w:color="auto"/>
            </w:tcBorders>
          </w:tcPr>
          <w:p w14:paraId="478164C6" w14:textId="05894747" w:rsidR="007E361D" w:rsidRPr="00811BA1" w:rsidRDefault="007E361D" w:rsidP="00C012A8">
            <w:pPr>
              <w:pStyle w:val="Bodytext"/>
            </w:pPr>
            <w:r w:rsidRPr="00811BA1">
              <w:t>Unrealised</w:t>
            </w:r>
            <w:r>
              <w:t xml:space="preserve"> and realised loss</w:t>
            </w:r>
            <w:r w:rsidR="00C012A8">
              <w:t xml:space="preserve"> </w:t>
            </w:r>
            <w:r w:rsidRPr="00811BA1">
              <w:t>on</w:t>
            </w:r>
            <w:r>
              <w:t xml:space="preserve"> Partnership’s</w:t>
            </w:r>
            <w:r w:rsidRPr="00811BA1">
              <w:t xml:space="preserve"> investments (</w:t>
            </w:r>
            <w:r>
              <w:t>net</w:t>
            </w:r>
            <w:r w:rsidRPr="00811BA1">
              <w:t>)</w:t>
            </w:r>
          </w:p>
        </w:tc>
        <w:tc>
          <w:tcPr>
            <w:tcW w:w="1701" w:type="dxa"/>
            <w:tcBorders>
              <w:top w:val="single" w:sz="4" w:space="0" w:color="auto"/>
            </w:tcBorders>
          </w:tcPr>
          <w:p w14:paraId="4A03CBD5" w14:textId="5E51309C" w:rsidR="007E361D" w:rsidRPr="008D2EB3" w:rsidRDefault="00B229FD" w:rsidP="00C012A8">
            <w:pPr>
              <w:pStyle w:val="Bodytext"/>
              <w:jc w:val="right"/>
              <w:rPr>
                <w:b/>
                <w:bCs/>
              </w:rPr>
            </w:pPr>
            <w:r w:rsidRPr="00B229FD">
              <w:rPr>
                <w:b/>
                <w:bCs/>
              </w:rPr>
              <w:t>(644,276)</w:t>
            </w:r>
          </w:p>
        </w:tc>
        <w:tc>
          <w:tcPr>
            <w:tcW w:w="1701" w:type="dxa"/>
            <w:tcBorders>
              <w:top w:val="single" w:sz="4" w:space="0" w:color="auto"/>
            </w:tcBorders>
          </w:tcPr>
          <w:p w14:paraId="0CAE051D" w14:textId="12212B2B" w:rsidR="007E361D" w:rsidRPr="00C46EC3" w:rsidRDefault="007E361D" w:rsidP="007E361D">
            <w:pPr>
              <w:pStyle w:val="Bodytext"/>
              <w:jc w:val="right"/>
            </w:pPr>
            <w:r w:rsidRPr="00BF03A4">
              <w:t>(210,941)</w:t>
            </w:r>
          </w:p>
        </w:tc>
      </w:tr>
      <w:tr w:rsidR="007E361D" w:rsidRPr="00811BA1" w14:paraId="15F5938A" w14:textId="77777777" w:rsidTr="007E361D">
        <w:tc>
          <w:tcPr>
            <w:tcW w:w="5783" w:type="dxa"/>
          </w:tcPr>
          <w:p w14:paraId="1E4F1EBC" w14:textId="212A779D" w:rsidR="007E361D" w:rsidRPr="00811BA1" w:rsidRDefault="007E361D" w:rsidP="007E361D">
            <w:pPr>
              <w:pStyle w:val="Bodytext"/>
            </w:pPr>
            <w:r>
              <w:t>Interest and o</w:t>
            </w:r>
            <w:r w:rsidRPr="00811BA1">
              <w:t>ther income</w:t>
            </w:r>
          </w:p>
        </w:tc>
        <w:tc>
          <w:tcPr>
            <w:tcW w:w="1701" w:type="dxa"/>
            <w:vAlign w:val="center"/>
          </w:tcPr>
          <w:p w14:paraId="5C5AE10C" w14:textId="6D04AD4B" w:rsidR="007E361D" w:rsidRPr="008D2EB3" w:rsidRDefault="00C012A8" w:rsidP="007E361D">
            <w:pPr>
              <w:pStyle w:val="Bodytext"/>
              <w:jc w:val="right"/>
              <w:rPr>
                <w:b/>
                <w:bCs/>
              </w:rPr>
            </w:pPr>
            <w:r w:rsidRPr="00C012A8">
              <w:rPr>
                <w:b/>
                <w:bCs/>
              </w:rPr>
              <w:t>4,983</w:t>
            </w:r>
          </w:p>
        </w:tc>
        <w:tc>
          <w:tcPr>
            <w:tcW w:w="1701" w:type="dxa"/>
          </w:tcPr>
          <w:p w14:paraId="24282D6F" w14:textId="17B9D455" w:rsidR="007E361D" w:rsidRPr="00C46EC3" w:rsidRDefault="007E361D" w:rsidP="007E361D">
            <w:pPr>
              <w:pStyle w:val="Bodytext"/>
              <w:jc w:val="right"/>
            </w:pPr>
            <w:r w:rsidRPr="00BF03A4">
              <w:t>2,871</w:t>
            </w:r>
          </w:p>
        </w:tc>
      </w:tr>
      <w:tr w:rsidR="007E361D" w:rsidRPr="00811BA1" w14:paraId="7AC070CD" w14:textId="77777777" w:rsidTr="007E361D">
        <w:tc>
          <w:tcPr>
            <w:tcW w:w="5783" w:type="dxa"/>
          </w:tcPr>
          <w:p w14:paraId="0929D247" w14:textId="3FA55BD5" w:rsidR="007E361D" w:rsidRPr="00811BA1" w:rsidRDefault="007E361D" w:rsidP="007E361D">
            <w:pPr>
              <w:pStyle w:val="Bodytext"/>
            </w:pPr>
            <w:r w:rsidRPr="00811BA1">
              <w:t xml:space="preserve">Management </w:t>
            </w:r>
            <w:r w:rsidR="00407D9F">
              <w:t>F</w:t>
            </w:r>
            <w:r w:rsidRPr="00811BA1">
              <w:t>ee expense – see Note 1</w:t>
            </w:r>
            <w:r>
              <w:t>0</w:t>
            </w:r>
          </w:p>
        </w:tc>
        <w:tc>
          <w:tcPr>
            <w:tcW w:w="1701" w:type="dxa"/>
            <w:vAlign w:val="center"/>
          </w:tcPr>
          <w:p w14:paraId="2474A9AA" w14:textId="0C1593B4" w:rsidR="007E361D" w:rsidRPr="008D2EB3" w:rsidRDefault="00B229FD" w:rsidP="0017236F">
            <w:pPr>
              <w:pStyle w:val="Bodytext"/>
              <w:jc w:val="right"/>
              <w:rPr>
                <w:b/>
                <w:bCs/>
              </w:rPr>
            </w:pPr>
            <w:r w:rsidRPr="00B229FD">
              <w:rPr>
                <w:b/>
                <w:bCs/>
              </w:rPr>
              <w:t>(13,9</w:t>
            </w:r>
            <w:r w:rsidR="0017236F">
              <w:rPr>
                <w:b/>
                <w:bCs/>
              </w:rPr>
              <w:t>2</w:t>
            </w:r>
            <w:r w:rsidR="0050627A">
              <w:rPr>
                <w:b/>
                <w:bCs/>
              </w:rPr>
              <w:t>3</w:t>
            </w:r>
            <w:r w:rsidRPr="00B229FD">
              <w:rPr>
                <w:b/>
                <w:bCs/>
              </w:rPr>
              <w:t>)</w:t>
            </w:r>
          </w:p>
        </w:tc>
        <w:tc>
          <w:tcPr>
            <w:tcW w:w="1701" w:type="dxa"/>
          </w:tcPr>
          <w:p w14:paraId="6FF93759" w14:textId="3A6061D7" w:rsidR="007E361D" w:rsidRPr="00C46EC3" w:rsidRDefault="007E361D" w:rsidP="007E361D">
            <w:pPr>
              <w:pStyle w:val="Bodytext"/>
              <w:jc w:val="right"/>
            </w:pPr>
            <w:r w:rsidRPr="00BF03A4">
              <w:t>(25,008)</w:t>
            </w:r>
          </w:p>
        </w:tc>
      </w:tr>
      <w:tr w:rsidR="007E361D" w:rsidRPr="00811BA1" w14:paraId="1C2BE96F" w14:textId="77777777" w:rsidTr="007E361D">
        <w:tc>
          <w:tcPr>
            <w:tcW w:w="5783" w:type="dxa"/>
            <w:tcBorders>
              <w:bottom w:val="single" w:sz="4" w:space="0" w:color="auto"/>
            </w:tcBorders>
          </w:tcPr>
          <w:p w14:paraId="43B460A8" w14:textId="5B3D60F8" w:rsidR="007E361D" w:rsidRPr="00811BA1" w:rsidRDefault="007E361D" w:rsidP="007E361D">
            <w:pPr>
              <w:pStyle w:val="Bodytext"/>
            </w:pPr>
            <w:r w:rsidRPr="00811BA1">
              <w:t>Other operating expense</w:t>
            </w:r>
            <w:r>
              <w:t>s</w:t>
            </w:r>
          </w:p>
        </w:tc>
        <w:tc>
          <w:tcPr>
            <w:tcW w:w="1701" w:type="dxa"/>
            <w:tcBorders>
              <w:bottom w:val="single" w:sz="4" w:space="0" w:color="auto"/>
            </w:tcBorders>
            <w:vAlign w:val="center"/>
          </w:tcPr>
          <w:p w14:paraId="79ECF45B" w14:textId="32D01D62" w:rsidR="007E361D" w:rsidRPr="008D2EB3" w:rsidRDefault="00C012A8" w:rsidP="007E361D">
            <w:pPr>
              <w:pStyle w:val="Bodytext"/>
              <w:jc w:val="right"/>
              <w:rPr>
                <w:b/>
                <w:bCs/>
              </w:rPr>
            </w:pPr>
            <w:r w:rsidRPr="00C012A8">
              <w:rPr>
                <w:b/>
                <w:bCs/>
              </w:rPr>
              <w:t>(94</w:t>
            </w:r>
            <w:r w:rsidR="0050627A">
              <w:rPr>
                <w:b/>
                <w:bCs/>
              </w:rPr>
              <w:t>7</w:t>
            </w:r>
            <w:r w:rsidRPr="00C012A8">
              <w:rPr>
                <w:b/>
                <w:bCs/>
              </w:rPr>
              <w:t>)</w:t>
            </w:r>
          </w:p>
        </w:tc>
        <w:tc>
          <w:tcPr>
            <w:tcW w:w="1701" w:type="dxa"/>
            <w:tcBorders>
              <w:bottom w:val="single" w:sz="4" w:space="0" w:color="auto"/>
            </w:tcBorders>
          </w:tcPr>
          <w:p w14:paraId="4BEC1B77" w14:textId="073A0D45" w:rsidR="007E361D" w:rsidRPr="00C46EC3" w:rsidRDefault="007E361D" w:rsidP="007E361D">
            <w:pPr>
              <w:pStyle w:val="Bodytext"/>
              <w:jc w:val="right"/>
            </w:pPr>
            <w:r w:rsidRPr="00BF03A4">
              <w:t>(3,330)</w:t>
            </w:r>
          </w:p>
        </w:tc>
      </w:tr>
      <w:tr w:rsidR="007E361D" w:rsidRPr="00811BA1" w14:paraId="4D3E8E90" w14:textId="77777777" w:rsidTr="00AD7CED">
        <w:tc>
          <w:tcPr>
            <w:tcW w:w="5783" w:type="dxa"/>
            <w:tcBorders>
              <w:top w:val="single" w:sz="4" w:space="0" w:color="auto"/>
              <w:bottom w:val="single" w:sz="18" w:space="0" w:color="auto"/>
            </w:tcBorders>
          </w:tcPr>
          <w:p w14:paraId="5BA71A32" w14:textId="14BDE218" w:rsidR="007E361D" w:rsidRPr="00811BA1" w:rsidRDefault="007E361D" w:rsidP="00C012A8">
            <w:pPr>
              <w:pStyle w:val="Bodytext"/>
              <w:rPr>
                <w:b/>
              </w:rPr>
            </w:pPr>
            <w:r w:rsidRPr="00811BA1">
              <w:rPr>
                <w:b/>
              </w:rPr>
              <w:t xml:space="preserve">Portion of the operating </w:t>
            </w:r>
            <w:r>
              <w:rPr>
                <w:b/>
              </w:rPr>
              <w:t>loss</w:t>
            </w:r>
            <w:r w:rsidR="00C012A8">
              <w:rPr>
                <w:b/>
              </w:rPr>
              <w:t xml:space="preserve"> </w:t>
            </w:r>
            <w:r w:rsidRPr="00811BA1">
              <w:rPr>
                <w:b/>
              </w:rPr>
              <w:t>for the year attributable to REL’s investment in the Partnership</w:t>
            </w:r>
          </w:p>
        </w:tc>
        <w:tc>
          <w:tcPr>
            <w:tcW w:w="1701" w:type="dxa"/>
            <w:tcBorders>
              <w:top w:val="single" w:sz="4" w:space="0" w:color="auto"/>
              <w:bottom w:val="single" w:sz="18" w:space="0" w:color="auto"/>
            </w:tcBorders>
          </w:tcPr>
          <w:p w14:paraId="34A4C5F5" w14:textId="7220F12C" w:rsidR="007E361D" w:rsidRPr="008D2EB3" w:rsidRDefault="00B229FD" w:rsidP="009C43C5">
            <w:pPr>
              <w:pStyle w:val="Bodytext"/>
              <w:jc w:val="right"/>
              <w:rPr>
                <w:b/>
                <w:bCs/>
              </w:rPr>
            </w:pPr>
            <w:r w:rsidRPr="00B229FD">
              <w:rPr>
                <w:b/>
                <w:bCs/>
              </w:rPr>
              <w:t>(654,1</w:t>
            </w:r>
            <w:r w:rsidR="0017236F">
              <w:rPr>
                <w:b/>
                <w:bCs/>
              </w:rPr>
              <w:t>6</w:t>
            </w:r>
            <w:r w:rsidR="009C43C5">
              <w:rPr>
                <w:b/>
                <w:bCs/>
              </w:rPr>
              <w:t>3</w:t>
            </w:r>
            <w:r w:rsidRPr="00B229FD">
              <w:rPr>
                <w:b/>
                <w:bCs/>
              </w:rPr>
              <w:t>)</w:t>
            </w:r>
          </w:p>
        </w:tc>
        <w:tc>
          <w:tcPr>
            <w:tcW w:w="1701" w:type="dxa"/>
            <w:tcBorders>
              <w:top w:val="single" w:sz="4" w:space="0" w:color="auto"/>
              <w:bottom w:val="single" w:sz="18" w:space="0" w:color="auto"/>
            </w:tcBorders>
          </w:tcPr>
          <w:p w14:paraId="17C98452" w14:textId="1B5FC3B1" w:rsidR="007E361D" w:rsidRPr="00C46EC3" w:rsidRDefault="007E361D" w:rsidP="007E361D">
            <w:pPr>
              <w:pStyle w:val="Bodytext"/>
              <w:jc w:val="right"/>
            </w:pPr>
            <w:r w:rsidRPr="00BF03A4">
              <w:t>(236,408)</w:t>
            </w:r>
          </w:p>
        </w:tc>
      </w:tr>
    </w:tbl>
    <w:p w14:paraId="665F970E" w14:textId="77777777" w:rsidR="0016505A" w:rsidRDefault="0016505A" w:rsidP="00EB7E49">
      <w:pPr>
        <w:pStyle w:val="Bodytext"/>
        <w:ind w:left="567"/>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83"/>
        <w:gridCol w:w="1701"/>
        <w:gridCol w:w="1701"/>
      </w:tblGrid>
      <w:tr w:rsidR="00C46EC3" w:rsidRPr="00811BA1" w14:paraId="4BC2F041" w14:textId="77777777" w:rsidTr="00C46EC3">
        <w:trPr>
          <w:trHeight w:val="1173"/>
        </w:trPr>
        <w:tc>
          <w:tcPr>
            <w:tcW w:w="5783" w:type="dxa"/>
            <w:tcBorders>
              <w:bottom w:val="single" w:sz="4" w:space="0" w:color="auto"/>
            </w:tcBorders>
            <w:vAlign w:val="bottom"/>
          </w:tcPr>
          <w:p w14:paraId="6729BE90" w14:textId="6744AAC3" w:rsidR="00C46EC3" w:rsidRPr="00811BA1" w:rsidRDefault="00C46EC3" w:rsidP="001450D9">
            <w:pPr>
              <w:pStyle w:val="Bodytext"/>
              <w:rPr>
                <w:b/>
              </w:rPr>
            </w:pPr>
            <w:r>
              <w:rPr>
                <w:b/>
              </w:rPr>
              <w:t xml:space="preserve">Reconciliation of unrealised and realised </w:t>
            </w:r>
            <w:r w:rsidR="00930676">
              <w:rPr>
                <w:b/>
              </w:rPr>
              <w:t>loss</w:t>
            </w:r>
            <w:r w:rsidR="001450D9">
              <w:rPr>
                <w:b/>
              </w:rPr>
              <w:t xml:space="preserve"> </w:t>
            </w:r>
            <w:r>
              <w:rPr>
                <w:b/>
              </w:rPr>
              <w:t>on Partnership’s investments</w:t>
            </w:r>
          </w:p>
        </w:tc>
        <w:tc>
          <w:tcPr>
            <w:tcW w:w="1701" w:type="dxa"/>
            <w:tcBorders>
              <w:bottom w:val="single" w:sz="4" w:space="0" w:color="auto"/>
            </w:tcBorders>
            <w:vAlign w:val="bottom"/>
          </w:tcPr>
          <w:p w14:paraId="478091AC" w14:textId="77777777" w:rsidR="00C46EC3" w:rsidRPr="00811BA1" w:rsidRDefault="00C46EC3" w:rsidP="00EB7E49">
            <w:pPr>
              <w:pStyle w:val="Bodytext"/>
              <w:jc w:val="right"/>
              <w:rPr>
                <w:b/>
              </w:rPr>
            </w:pPr>
            <w:r w:rsidRPr="00811BA1">
              <w:rPr>
                <w:b/>
              </w:rPr>
              <w:t>1 January</w:t>
            </w:r>
          </w:p>
          <w:p w14:paraId="2A615AE3" w14:textId="43E33079" w:rsidR="00C46EC3" w:rsidRPr="00811BA1" w:rsidRDefault="00C46EC3" w:rsidP="00EB7E49">
            <w:pPr>
              <w:pStyle w:val="Bodytext"/>
              <w:jc w:val="right"/>
              <w:rPr>
                <w:b/>
              </w:rPr>
            </w:pPr>
            <w:r w:rsidRPr="00811BA1">
              <w:rPr>
                <w:b/>
              </w:rPr>
              <w:t>201</w:t>
            </w:r>
            <w:r w:rsidR="007E361D">
              <w:rPr>
                <w:b/>
              </w:rPr>
              <w:t>9</w:t>
            </w:r>
            <w:r w:rsidRPr="00811BA1">
              <w:rPr>
                <w:b/>
              </w:rPr>
              <w:t xml:space="preserve"> to</w:t>
            </w:r>
          </w:p>
          <w:p w14:paraId="73E8836A" w14:textId="77777777" w:rsidR="00C46EC3" w:rsidRPr="00811BA1" w:rsidRDefault="00C46EC3" w:rsidP="00EB7E49">
            <w:pPr>
              <w:pStyle w:val="Bodytext"/>
              <w:jc w:val="right"/>
              <w:rPr>
                <w:b/>
              </w:rPr>
            </w:pPr>
            <w:r w:rsidRPr="00811BA1">
              <w:rPr>
                <w:b/>
              </w:rPr>
              <w:t>31 December</w:t>
            </w:r>
          </w:p>
          <w:p w14:paraId="3A066841" w14:textId="7DC75D42" w:rsidR="00C46EC3" w:rsidRPr="00811BA1" w:rsidRDefault="00C46EC3" w:rsidP="00EB7E49">
            <w:pPr>
              <w:pStyle w:val="Bodytext"/>
              <w:jc w:val="right"/>
              <w:rPr>
                <w:b/>
              </w:rPr>
            </w:pPr>
            <w:r w:rsidRPr="00811BA1">
              <w:rPr>
                <w:b/>
              </w:rPr>
              <w:t>201</w:t>
            </w:r>
            <w:r w:rsidR="007E361D">
              <w:rPr>
                <w:b/>
              </w:rPr>
              <w:t>9</w:t>
            </w:r>
          </w:p>
          <w:p w14:paraId="22DA4AED" w14:textId="77777777" w:rsidR="00C46EC3" w:rsidRPr="00811BA1" w:rsidRDefault="00C46EC3" w:rsidP="00EB7E49">
            <w:pPr>
              <w:pStyle w:val="Bodytext"/>
              <w:jc w:val="right"/>
              <w:rPr>
                <w:b/>
              </w:rPr>
            </w:pPr>
            <w:r w:rsidRPr="00811BA1">
              <w:rPr>
                <w:b/>
              </w:rPr>
              <w:t>$’000</w:t>
            </w:r>
          </w:p>
        </w:tc>
        <w:tc>
          <w:tcPr>
            <w:tcW w:w="1701" w:type="dxa"/>
            <w:tcBorders>
              <w:bottom w:val="single" w:sz="4" w:space="0" w:color="auto"/>
            </w:tcBorders>
            <w:vAlign w:val="bottom"/>
          </w:tcPr>
          <w:p w14:paraId="48CB2B15" w14:textId="77777777" w:rsidR="00C46EC3" w:rsidRPr="00C46EC3" w:rsidRDefault="00C46EC3" w:rsidP="00184565">
            <w:pPr>
              <w:pStyle w:val="Bodytext"/>
              <w:jc w:val="right"/>
            </w:pPr>
            <w:r w:rsidRPr="00C46EC3">
              <w:t>1 January</w:t>
            </w:r>
          </w:p>
          <w:p w14:paraId="3540B060" w14:textId="64519BDE" w:rsidR="00C46EC3" w:rsidRPr="00C46EC3" w:rsidRDefault="00C46EC3" w:rsidP="00184565">
            <w:pPr>
              <w:pStyle w:val="Bodytext"/>
              <w:jc w:val="right"/>
            </w:pPr>
            <w:r w:rsidRPr="00C46EC3">
              <w:t>201</w:t>
            </w:r>
            <w:r w:rsidR="007E361D">
              <w:t>8</w:t>
            </w:r>
            <w:r w:rsidR="002D2CEC">
              <w:t xml:space="preserve"> </w:t>
            </w:r>
            <w:r w:rsidRPr="00C46EC3">
              <w:t>to</w:t>
            </w:r>
          </w:p>
          <w:p w14:paraId="0DBB345C" w14:textId="77777777" w:rsidR="00C46EC3" w:rsidRPr="00C46EC3" w:rsidRDefault="00C46EC3" w:rsidP="00184565">
            <w:pPr>
              <w:pStyle w:val="Bodytext"/>
              <w:jc w:val="right"/>
            </w:pPr>
            <w:r w:rsidRPr="00C46EC3">
              <w:t>31 December</w:t>
            </w:r>
          </w:p>
          <w:p w14:paraId="61D46CF6" w14:textId="29D58D42" w:rsidR="00C46EC3" w:rsidRPr="00C46EC3" w:rsidRDefault="00C46EC3" w:rsidP="00184565">
            <w:pPr>
              <w:pStyle w:val="Bodytext"/>
              <w:jc w:val="right"/>
            </w:pPr>
            <w:r w:rsidRPr="00C46EC3">
              <w:t>201</w:t>
            </w:r>
            <w:r w:rsidR="007E361D">
              <w:t>8</w:t>
            </w:r>
          </w:p>
          <w:p w14:paraId="631F55E2" w14:textId="2D64F468" w:rsidR="00C46EC3" w:rsidRPr="00C46EC3" w:rsidRDefault="00C46EC3" w:rsidP="00EB7E49">
            <w:pPr>
              <w:pStyle w:val="Bodytext"/>
              <w:jc w:val="right"/>
            </w:pPr>
            <w:r w:rsidRPr="00C46EC3">
              <w:t>$’000</w:t>
            </w:r>
          </w:p>
        </w:tc>
      </w:tr>
      <w:tr w:rsidR="007E361D" w:rsidRPr="0078149D" w14:paraId="14BA49BC" w14:textId="77777777" w:rsidTr="007E361D">
        <w:tc>
          <w:tcPr>
            <w:tcW w:w="5783" w:type="dxa"/>
            <w:tcBorders>
              <w:top w:val="single" w:sz="4" w:space="0" w:color="auto"/>
            </w:tcBorders>
          </w:tcPr>
          <w:p w14:paraId="1087B8FF" w14:textId="1C590B2F" w:rsidR="007E361D" w:rsidRPr="00811BA1" w:rsidRDefault="007E361D" w:rsidP="007E361D">
            <w:pPr>
              <w:pStyle w:val="Bodytext"/>
            </w:pPr>
            <w:r w:rsidRPr="00811BA1">
              <w:t xml:space="preserve">Unrealised </w:t>
            </w:r>
            <w:r>
              <w:t>loss</w:t>
            </w:r>
            <w:r w:rsidRPr="00811BA1">
              <w:t xml:space="preserve"> on</w:t>
            </w:r>
            <w:r>
              <w:t xml:space="preserve"> Partnership’s</w:t>
            </w:r>
            <w:r w:rsidRPr="00811BA1">
              <w:t xml:space="preserve"> investments (</w:t>
            </w:r>
            <w:r>
              <w:t>gross</w:t>
            </w:r>
            <w:r w:rsidRPr="00811BA1">
              <w:t>)</w:t>
            </w:r>
          </w:p>
        </w:tc>
        <w:tc>
          <w:tcPr>
            <w:tcW w:w="1701" w:type="dxa"/>
            <w:tcBorders>
              <w:top w:val="single" w:sz="4" w:space="0" w:color="auto"/>
            </w:tcBorders>
            <w:vAlign w:val="center"/>
          </w:tcPr>
          <w:p w14:paraId="41D0B7C6" w14:textId="05FD8553" w:rsidR="007E361D" w:rsidRPr="008D2EB3" w:rsidRDefault="00B229FD" w:rsidP="007E361D">
            <w:pPr>
              <w:pStyle w:val="Bodytext"/>
              <w:jc w:val="right"/>
              <w:rPr>
                <w:b/>
              </w:rPr>
            </w:pPr>
            <w:r w:rsidRPr="00B229FD">
              <w:rPr>
                <w:b/>
              </w:rPr>
              <w:t>(667,962)</w:t>
            </w:r>
          </w:p>
        </w:tc>
        <w:tc>
          <w:tcPr>
            <w:tcW w:w="1701" w:type="dxa"/>
            <w:tcBorders>
              <w:top w:val="single" w:sz="4" w:space="0" w:color="auto"/>
            </w:tcBorders>
          </w:tcPr>
          <w:p w14:paraId="4E7C9B61" w14:textId="061F2EAA" w:rsidR="007E361D" w:rsidRPr="00C46EC3" w:rsidRDefault="007E361D" w:rsidP="007E361D">
            <w:pPr>
              <w:pStyle w:val="Bodytext"/>
              <w:jc w:val="right"/>
            </w:pPr>
            <w:r w:rsidRPr="001337EC">
              <w:t>(375,237)</w:t>
            </w:r>
          </w:p>
        </w:tc>
      </w:tr>
      <w:tr w:rsidR="007E361D" w:rsidRPr="0078149D" w14:paraId="561B47F7" w14:textId="77777777" w:rsidTr="007E361D">
        <w:tc>
          <w:tcPr>
            <w:tcW w:w="5783" w:type="dxa"/>
          </w:tcPr>
          <w:p w14:paraId="49AB7242" w14:textId="02409B60" w:rsidR="007E361D" w:rsidRPr="00811BA1" w:rsidRDefault="007E361D" w:rsidP="00B229FD">
            <w:pPr>
              <w:pStyle w:val="Bodytext"/>
            </w:pPr>
            <w:r>
              <w:t xml:space="preserve">Realised </w:t>
            </w:r>
            <w:r w:rsidR="00B229FD">
              <w:t>(loss)/</w:t>
            </w:r>
            <w:r>
              <w:t>gain on Partnership’s investments (gross)</w:t>
            </w:r>
          </w:p>
        </w:tc>
        <w:tc>
          <w:tcPr>
            <w:tcW w:w="1701" w:type="dxa"/>
            <w:vAlign w:val="center"/>
          </w:tcPr>
          <w:p w14:paraId="514B3A52" w14:textId="69F0717B" w:rsidR="007E361D" w:rsidRPr="008D2EB3" w:rsidRDefault="00B229FD" w:rsidP="007E361D">
            <w:pPr>
              <w:pStyle w:val="Bodytext"/>
              <w:jc w:val="right"/>
              <w:rPr>
                <w:b/>
              </w:rPr>
            </w:pPr>
            <w:r>
              <w:rPr>
                <w:b/>
              </w:rPr>
              <w:t>(</w:t>
            </w:r>
            <w:r w:rsidRPr="00B229FD">
              <w:rPr>
                <w:b/>
              </w:rPr>
              <w:t>18,793</w:t>
            </w:r>
            <w:r>
              <w:rPr>
                <w:b/>
              </w:rPr>
              <w:t>)</w:t>
            </w:r>
          </w:p>
        </w:tc>
        <w:tc>
          <w:tcPr>
            <w:tcW w:w="1701" w:type="dxa"/>
          </w:tcPr>
          <w:p w14:paraId="4B43B50B" w14:textId="4724BCB3" w:rsidR="007E361D" w:rsidRPr="00C46EC3" w:rsidRDefault="007E361D" w:rsidP="007E361D">
            <w:pPr>
              <w:pStyle w:val="Bodytext"/>
              <w:jc w:val="right"/>
            </w:pPr>
            <w:r w:rsidRPr="001337EC">
              <w:t>67,168</w:t>
            </w:r>
          </w:p>
        </w:tc>
      </w:tr>
      <w:tr w:rsidR="007E361D" w:rsidRPr="0078149D" w14:paraId="1CA18097" w14:textId="77777777" w:rsidTr="007E361D">
        <w:tc>
          <w:tcPr>
            <w:tcW w:w="5783" w:type="dxa"/>
          </w:tcPr>
          <w:p w14:paraId="2E0F568D" w14:textId="457ACF44" w:rsidR="007E361D" w:rsidRPr="00811BA1" w:rsidRDefault="007E361D" w:rsidP="007E361D">
            <w:pPr>
              <w:pStyle w:val="Bodytext"/>
            </w:pPr>
            <w:r>
              <w:t>Income from Partnership’s investments (gross)</w:t>
            </w:r>
          </w:p>
        </w:tc>
        <w:tc>
          <w:tcPr>
            <w:tcW w:w="1701" w:type="dxa"/>
            <w:vAlign w:val="center"/>
          </w:tcPr>
          <w:p w14:paraId="1D782CA0" w14:textId="214D933A" w:rsidR="007E361D" w:rsidRPr="008D2EB3" w:rsidRDefault="001450D9" w:rsidP="007E361D">
            <w:pPr>
              <w:pStyle w:val="Bodytext"/>
              <w:jc w:val="right"/>
              <w:rPr>
                <w:b/>
              </w:rPr>
            </w:pPr>
            <w:r w:rsidRPr="001450D9">
              <w:rPr>
                <w:b/>
              </w:rPr>
              <w:t>30</w:t>
            </w:r>
          </w:p>
        </w:tc>
        <w:tc>
          <w:tcPr>
            <w:tcW w:w="1701" w:type="dxa"/>
          </w:tcPr>
          <w:p w14:paraId="39092167" w14:textId="1B476860" w:rsidR="007E361D" w:rsidRPr="00C46EC3" w:rsidRDefault="007E361D" w:rsidP="007E361D">
            <w:pPr>
              <w:pStyle w:val="Bodytext"/>
              <w:jc w:val="right"/>
            </w:pPr>
            <w:r w:rsidRPr="001337EC">
              <w:t>1,573</w:t>
            </w:r>
          </w:p>
        </w:tc>
      </w:tr>
      <w:tr w:rsidR="007E361D" w:rsidRPr="0078149D" w14:paraId="291E21CF" w14:textId="77777777" w:rsidTr="007E361D">
        <w:tc>
          <w:tcPr>
            <w:tcW w:w="5783" w:type="dxa"/>
          </w:tcPr>
          <w:p w14:paraId="6FA4ACC3" w14:textId="1FC68AB9" w:rsidR="007E361D" w:rsidRPr="00811BA1" w:rsidRDefault="007E361D" w:rsidP="007E361D">
            <w:pPr>
              <w:pStyle w:val="Bodytext"/>
            </w:pPr>
            <w:r>
              <w:t>General Partner’s performance allocation – see Note 10</w:t>
            </w:r>
          </w:p>
        </w:tc>
        <w:tc>
          <w:tcPr>
            <w:tcW w:w="1701" w:type="dxa"/>
            <w:vAlign w:val="center"/>
          </w:tcPr>
          <w:p w14:paraId="1B84B379" w14:textId="029E4B63" w:rsidR="007E361D" w:rsidRPr="00C149D1" w:rsidRDefault="0015393C" w:rsidP="007E361D">
            <w:pPr>
              <w:pStyle w:val="Bodytext"/>
              <w:jc w:val="right"/>
              <w:rPr>
                <w:b/>
              </w:rPr>
            </w:pPr>
            <w:r w:rsidRPr="0015393C">
              <w:rPr>
                <w:b/>
              </w:rPr>
              <w:t>42,301</w:t>
            </w:r>
          </w:p>
        </w:tc>
        <w:tc>
          <w:tcPr>
            <w:tcW w:w="1701" w:type="dxa"/>
          </w:tcPr>
          <w:p w14:paraId="4A39F4FA" w14:textId="3452F144" w:rsidR="007E361D" w:rsidRPr="00C46EC3" w:rsidRDefault="007E361D" w:rsidP="007E361D">
            <w:pPr>
              <w:pStyle w:val="Bodytext"/>
              <w:jc w:val="right"/>
            </w:pPr>
            <w:r w:rsidRPr="001337EC">
              <w:t>53,611</w:t>
            </w:r>
          </w:p>
        </w:tc>
      </w:tr>
      <w:tr w:rsidR="007E361D" w:rsidRPr="0078149D" w14:paraId="68E4E313" w14:textId="77777777" w:rsidTr="007E361D">
        <w:tc>
          <w:tcPr>
            <w:tcW w:w="5783" w:type="dxa"/>
            <w:tcBorders>
              <w:bottom w:val="single" w:sz="4" w:space="0" w:color="auto"/>
            </w:tcBorders>
          </w:tcPr>
          <w:p w14:paraId="0403C890" w14:textId="75040CE5" w:rsidR="007E361D" w:rsidRPr="00811BA1" w:rsidRDefault="007E361D" w:rsidP="007E361D">
            <w:pPr>
              <w:pStyle w:val="Bodytext"/>
            </w:pPr>
            <w:r>
              <w:t>Release of provision for taxation</w:t>
            </w:r>
          </w:p>
        </w:tc>
        <w:tc>
          <w:tcPr>
            <w:tcW w:w="1701" w:type="dxa"/>
            <w:tcBorders>
              <w:bottom w:val="single" w:sz="4" w:space="0" w:color="auto"/>
            </w:tcBorders>
            <w:vAlign w:val="center"/>
          </w:tcPr>
          <w:p w14:paraId="2031DEEF" w14:textId="6D1827D8" w:rsidR="007E361D" w:rsidRPr="00C149D1" w:rsidRDefault="0015393C" w:rsidP="007E361D">
            <w:pPr>
              <w:pStyle w:val="Bodytext"/>
              <w:jc w:val="right"/>
              <w:rPr>
                <w:b/>
              </w:rPr>
            </w:pPr>
            <w:r w:rsidRPr="0015393C">
              <w:rPr>
                <w:b/>
              </w:rPr>
              <w:t>148</w:t>
            </w:r>
          </w:p>
        </w:tc>
        <w:tc>
          <w:tcPr>
            <w:tcW w:w="1701" w:type="dxa"/>
            <w:tcBorders>
              <w:bottom w:val="single" w:sz="4" w:space="0" w:color="auto"/>
            </w:tcBorders>
          </w:tcPr>
          <w:p w14:paraId="13252FB9" w14:textId="7AA46839" w:rsidR="007E361D" w:rsidRPr="00C46EC3" w:rsidRDefault="007E361D" w:rsidP="007E361D">
            <w:pPr>
              <w:pStyle w:val="Bodytext"/>
              <w:jc w:val="right"/>
            </w:pPr>
            <w:r w:rsidRPr="001337EC">
              <w:t>41,944</w:t>
            </w:r>
          </w:p>
        </w:tc>
      </w:tr>
      <w:tr w:rsidR="007E361D" w:rsidRPr="0078149D" w14:paraId="423CB04B" w14:textId="77777777" w:rsidTr="00AD7CED">
        <w:tc>
          <w:tcPr>
            <w:tcW w:w="5783" w:type="dxa"/>
            <w:tcBorders>
              <w:top w:val="single" w:sz="4" w:space="0" w:color="auto"/>
              <w:bottom w:val="single" w:sz="18" w:space="0" w:color="auto"/>
            </w:tcBorders>
          </w:tcPr>
          <w:p w14:paraId="2FE83CED" w14:textId="5A12E8FF" w:rsidR="007E361D" w:rsidRPr="00811BA1" w:rsidRDefault="007E361D" w:rsidP="007E361D">
            <w:pPr>
              <w:pStyle w:val="Bodytext"/>
              <w:rPr>
                <w:b/>
              </w:rPr>
            </w:pPr>
            <w:r>
              <w:rPr>
                <w:b/>
              </w:rPr>
              <w:t>Unrealised and realised loss on Partnership’s investments (net)</w:t>
            </w:r>
          </w:p>
        </w:tc>
        <w:tc>
          <w:tcPr>
            <w:tcW w:w="1701" w:type="dxa"/>
            <w:tcBorders>
              <w:top w:val="single" w:sz="4" w:space="0" w:color="auto"/>
              <w:bottom w:val="single" w:sz="18" w:space="0" w:color="auto"/>
            </w:tcBorders>
          </w:tcPr>
          <w:p w14:paraId="7B760E96" w14:textId="483E5B97" w:rsidR="007E361D" w:rsidRPr="00C149D1" w:rsidRDefault="0015393C" w:rsidP="0015393C">
            <w:pPr>
              <w:pStyle w:val="Bodytext"/>
              <w:jc w:val="right"/>
              <w:rPr>
                <w:b/>
              </w:rPr>
            </w:pPr>
            <w:r w:rsidRPr="0015393C">
              <w:rPr>
                <w:b/>
              </w:rPr>
              <w:t>(644,27</w:t>
            </w:r>
            <w:r w:rsidR="00B229FD">
              <w:rPr>
                <w:b/>
              </w:rPr>
              <w:t>6</w:t>
            </w:r>
            <w:r w:rsidRPr="0015393C">
              <w:rPr>
                <w:b/>
              </w:rPr>
              <w:t>)</w:t>
            </w:r>
          </w:p>
        </w:tc>
        <w:tc>
          <w:tcPr>
            <w:tcW w:w="1701" w:type="dxa"/>
            <w:tcBorders>
              <w:top w:val="single" w:sz="4" w:space="0" w:color="auto"/>
              <w:bottom w:val="single" w:sz="18" w:space="0" w:color="auto"/>
            </w:tcBorders>
          </w:tcPr>
          <w:p w14:paraId="056172A6" w14:textId="65152C27" w:rsidR="007E361D" w:rsidRPr="00C46EC3" w:rsidRDefault="007E361D" w:rsidP="007E361D">
            <w:pPr>
              <w:pStyle w:val="Bodytext"/>
              <w:jc w:val="right"/>
            </w:pPr>
            <w:r w:rsidRPr="001337EC">
              <w:t>(210,941)</w:t>
            </w:r>
          </w:p>
        </w:tc>
      </w:tr>
    </w:tbl>
    <w:p w14:paraId="26103859" w14:textId="4F1E9A96" w:rsidR="002123DD" w:rsidRDefault="002123DD" w:rsidP="00EB7E49">
      <w:pPr>
        <w:pStyle w:val="Bodytext"/>
        <w:ind w:left="567"/>
      </w:pPr>
    </w:p>
    <w:p w14:paraId="5B7A99D0" w14:textId="77777777" w:rsidR="00F87CE0" w:rsidRPr="008A3505" w:rsidRDefault="00F87CE0" w:rsidP="00EB7E49">
      <w:pPr>
        <w:pStyle w:val="Bodytext"/>
        <w:ind w:left="567"/>
      </w:pPr>
    </w:p>
    <w:p w14:paraId="2728A170" w14:textId="5CC4D8D9" w:rsidR="00234DF1" w:rsidRPr="00811BA1" w:rsidRDefault="000B696A" w:rsidP="00EB7E49">
      <w:pPr>
        <w:pStyle w:val="Heading2"/>
      </w:pPr>
      <w:bookmarkStart w:id="36" w:name="_Hlk36935184"/>
      <w:r w:rsidRPr="00811BA1">
        <w:t>7</w:t>
      </w:r>
      <w:r w:rsidR="00234DF1" w:rsidRPr="00811BA1">
        <w:t>.</w:t>
      </w:r>
      <w:r w:rsidR="00234DF1" w:rsidRPr="00811BA1">
        <w:tab/>
        <w:t>Cash and cash equivalents</w:t>
      </w:r>
    </w:p>
    <w:p w14:paraId="5CC61017" w14:textId="10260237" w:rsidR="00234DF1" w:rsidRPr="00811BA1" w:rsidRDefault="00234DF1" w:rsidP="00C32021">
      <w:pPr>
        <w:pStyle w:val="Bodytext"/>
        <w:ind w:left="567"/>
        <w:jc w:val="both"/>
      </w:pPr>
      <w:r w:rsidRPr="00811BA1">
        <w:t xml:space="preserve">These comprise cash and short-term bank deposits available on demand. The carrying amounts of these assets approximate </w:t>
      </w:r>
      <w:r w:rsidR="00BD1F7B" w:rsidRPr="00811BA1">
        <w:t xml:space="preserve">to </w:t>
      </w:r>
      <w:r w:rsidRPr="00811BA1">
        <w:t>their fair value.</w:t>
      </w:r>
      <w:r w:rsidR="00565C51">
        <w:t xml:space="preserve"> </w:t>
      </w:r>
    </w:p>
    <w:bookmarkEnd w:id="36"/>
    <w:p w14:paraId="28B0D3DD" w14:textId="77777777" w:rsidR="00F87CE0" w:rsidRPr="00811BA1" w:rsidRDefault="00F87CE0" w:rsidP="00EB7E49">
      <w:pPr>
        <w:pStyle w:val="Bodytext"/>
        <w:ind w:left="567"/>
      </w:pPr>
    </w:p>
    <w:p w14:paraId="33EF5F92" w14:textId="203E3698" w:rsidR="00234DF1" w:rsidRPr="00811BA1" w:rsidRDefault="00527E4F" w:rsidP="00EB7E49">
      <w:pPr>
        <w:pStyle w:val="Heading2"/>
      </w:pPr>
      <w:r>
        <w:t>8</w:t>
      </w:r>
      <w:r w:rsidR="00234DF1" w:rsidRPr="00811BA1">
        <w:t>.</w:t>
      </w:r>
      <w:r w:rsidR="00234DF1" w:rsidRPr="00811BA1">
        <w:tab/>
        <w:t>Share capital</w:t>
      </w:r>
    </w:p>
    <w:p w14:paraId="01322827" w14:textId="77777777" w:rsidR="00932F70" w:rsidRPr="00811BA1" w:rsidRDefault="00932F70" w:rsidP="00EB7E49">
      <w:pPr>
        <w:pStyle w:val="Bodytext"/>
        <w:ind w:left="567"/>
      </w:pPr>
    </w:p>
    <w:tbl>
      <w:tblPr>
        <w:tblStyle w:val="TableGrid"/>
        <w:tblW w:w="92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77"/>
        <w:gridCol w:w="1701"/>
        <w:gridCol w:w="1803"/>
      </w:tblGrid>
      <w:tr w:rsidR="00E52666" w:rsidRPr="00811BA1" w14:paraId="09913683" w14:textId="77777777" w:rsidTr="00EC3B86">
        <w:trPr>
          <w:trHeight w:val="693"/>
        </w:trPr>
        <w:tc>
          <w:tcPr>
            <w:tcW w:w="5777" w:type="dxa"/>
            <w:tcBorders>
              <w:bottom w:val="single" w:sz="4" w:space="0" w:color="auto"/>
            </w:tcBorders>
          </w:tcPr>
          <w:p w14:paraId="7C3B17E9" w14:textId="77777777" w:rsidR="00E52666" w:rsidRPr="00811BA1" w:rsidRDefault="00E52666" w:rsidP="00EB7E49">
            <w:pPr>
              <w:pStyle w:val="Bodytext"/>
            </w:pPr>
          </w:p>
        </w:tc>
        <w:tc>
          <w:tcPr>
            <w:tcW w:w="1701" w:type="dxa"/>
            <w:tcBorders>
              <w:bottom w:val="single" w:sz="4" w:space="0" w:color="auto"/>
            </w:tcBorders>
            <w:vAlign w:val="bottom"/>
          </w:tcPr>
          <w:p w14:paraId="02114B3F" w14:textId="77777777" w:rsidR="00E52666" w:rsidRPr="00811BA1" w:rsidRDefault="00E52666" w:rsidP="00EB7E49">
            <w:pPr>
              <w:pStyle w:val="Bodytext"/>
              <w:jc w:val="right"/>
              <w:rPr>
                <w:b/>
              </w:rPr>
            </w:pPr>
            <w:r w:rsidRPr="00811BA1">
              <w:rPr>
                <w:b/>
              </w:rPr>
              <w:t>31 December</w:t>
            </w:r>
          </w:p>
          <w:p w14:paraId="6C8069CE" w14:textId="784BC29C" w:rsidR="00E52666" w:rsidRPr="00811BA1" w:rsidRDefault="00E52666" w:rsidP="00EB7E49">
            <w:pPr>
              <w:pStyle w:val="Bodytext"/>
              <w:jc w:val="right"/>
              <w:rPr>
                <w:b/>
              </w:rPr>
            </w:pPr>
            <w:r w:rsidRPr="00811BA1">
              <w:rPr>
                <w:b/>
              </w:rPr>
              <w:t>201</w:t>
            </w:r>
            <w:r w:rsidR="007E361D">
              <w:rPr>
                <w:b/>
              </w:rPr>
              <w:t>9</w:t>
            </w:r>
          </w:p>
          <w:p w14:paraId="1567ED57" w14:textId="77777777" w:rsidR="00E52666" w:rsidRPr="00811BA1" w:rsidRDefault="00E52666" w:rsidP="00EB7E49">
            <w:pPr>
              <w:pStyle w:val="Bodytext"/>
              <w:jc w:val="right"/>
              <w:rPr>
                <w:b/>
              </w:rPr>
            </w:pPr>
            <w:r w:rsidRPr="00811BA1">
              <w:rPr>
                <w:b/>
              </w:rPr>
              <w:t>$’000</w:t>
            </w:r>
          </w:p>
        </w:tc>
        <w:tc>
          <w:tcPr>
            <w:tcW w:w="1803" w:type="dxa"/>
            <w:tcBorders>
              <w:bottom w:val="single" w:sz="4" w:space="0" w:color="auto"/>
            </w:tcBorders>
            <w:vAlign w:val="bottom"/>
          </w:tcPr>
          <w:p w14:paraId="4F08E391" w14:textId="77777777" w:rsidR="00E52666" w:rsidRPr="00811BA1" w:rsidRDefault="00E52666" w:rsidP="00EB7E49">
            <w:pPr>
              <w:pStyle w:val="Bodytext"/>
              <w:jc w:val="right"/>
            </w:pPr>
            <w:r w:rsidRPr="00811BA1">
              <w:t>31 December</w:t>
            </w:r>
          </w:p>
          <w:p w14:paraId="230F1E06" w14:textId="0D75D0D6" w:rsidR="00E52666" w:rsidRPr="00811BA1" w:rsidRDefault="00E52666" w:rsidP="00EB7E49">
            <w:pPr>
              <w:pStyle w:val="Bodytext"/>
              <w:jc w:val="right"/>
            </w:pPr>
            <w:r w:rsidRPr="00811BA1">
              <w:t>201</w:t>
            </w:r>
            <w:r w:rsidR="007E361D">
              <w:t>8</w:t>
            </w:r>
          </w:p>
          <w:p w14:paraId="15FF98AF" w14:textId="77777777" w:rsidR="00E52666" w:rsidRPr="00811BA1" w:rsidRDefault="00E52666" w:rsidP="00EB7E49">
            <w:pPr>
              <w:pStyle w:val="Bodytext"/>
              <w:jc w:val="right"/>
            </w:pPr>
            <w:r w:rsidRPr="00811BA1">
              <w:t>$’000</w:t>
            </w:r>
          </w:p>
        </w:tc>
      </w:tr>
      <w:tr w:rsidR="00E52666" w:rsidRPr="00811BA1" w14:paraId="3E3FCE4A" w14:textId="77777777" w:rsidTr="00EC3B86">
        <w:tc>
          <w:tcPr>
            <w:tcW w:w="5777" w:type="dxa"/>
            <w:tcBorders>
              <w:top w:val="single" w:sz="4" w:space="0" w:color="auto"/>
            </w:tcBorders>
          </w:tcPr>
          <w:p w14:paraId="22E4F743" w14:textId="77777777" w:rsidR="00E52666" w:rsidRPr="00811BA1" w:rsidRDefault="00E52666" w:rsidP="00EB7E49">
            <w:pPr>
              <w:pStyle w:val="Bodytext"/>
              <w:rPr>
                <w:b/>
              </w:rPr>
            </w:pPr>
            <w:r w:rsidRPr="00811BA1">
              <w:rPr>
                <w:b/>
              </w:rPr>
              <w:t>Authorised:</w:t>
            </w:r>
          </w:p>
        </w:tc>
        <w:tc>
          <w:tcPr>
            <w:tcW w:w="1701" w:type="dxa"/>
            <w:tcBorders>
              <w:top w:val="single" w:sz="4" w:space="0" w:color="auto"/>
            </w:tcBorders>
            <w:vAlign w:val="center"/>
          </w:tcPr>
          <w:p w14:paraId="44EE9D9B" w14:textId="77777777" w:rsidR="00E52666" w:rsidRPr="00811BA1" w:rsidRDefault="00E52666" w:rsidP="00EB7E49">
            <w:pPr>
              <w:pStyle w:val="Bodytext"/>
              <w:jc w:val="right"/>
              <w:rPr>
                <w:b/>
              </w:rPr>
            </w:pPr>
          </w:p>
        </w:tc>
        <w:tc>
          <w:tcPr>
            <w:tcW w:w="1803" w:type="dxa"/>
            <w:tcBorders>
              <w:top w:val="single" w:sz="4" w:space="0" w:color="auto"/>
            </w:tcBorders>
            <w:vAlign w:val="center"/>
          </w:tcPr>
          <w:p w14:paraId="11211C1A" w14:textId="77777777" w:rsidR="00E52666" w:rsidRPr="00811BA1" w:rsidRDefault="00E52666" w:rsidP="00EB7E49">
            <w:pPr>
              <w:pStyle w:val="Bodytext"/>
              <w:jc w:val="right"/>
            </w:pPr>
          </w:p>
        </w:tc>
      </w:tr>
      <w:tr w:rsidR="00E52666" w:rsidRPr="00811BA1" w14:paraId="0AA8307F" w14:textId="77777777" w:rsidTr="00EC3B86">
        <w:tc>
          <w:tcPr>
            <w:tcW w:w="5777" w:type="dxa"/>
            <w:tcBorders>
              <w:bottom w:val="single" w:sz="18" w:space="0" w:color="auto"/>
            </w:tcBorders>
          </w:tcPr>
          <w:p w14:paraId="30D9B33E" w14:textId="76E295F4" w:rsidR="00E52666" w:rsidRPr="00811BA1" w:rsidRDefault="00E52666" w:rsidP="00EB7E49">
            <w:pPr>
              <w:pStyle w:val="Bodytext"/>
            </w:pPr>
            <w:r w:rsidRPr="00811BA1">
              <w:t xml:space="preserve">Ordinary </w:t>
            </w:r>
            <w:r w:rsidR="00546CC0">
              <w:t>S</w:t>
            </w:r>
            <w:r w:rsidR="00546CC0" w:rsidRPr="00811BA1">
              <w:t xml:space="preserve">hares </w:t>
            </w:r>
            <w:r w:rsidRPr="00811BA1">
              <w:t>of no par value</w:t>
            </w:r>
          </w:p>
        </w:tc>
        <w:tc>
          <w:tcPr>
            <w:tcW w:w="1701" w:type="dxa"/>
            <w:tcBorders>
              <w:bottom w:val="single" w:sz="18" w:space="0" w:color="auto"/>
            </w:tcBorders>
            <w:vAlign w:val="center"/>
          </w:tcPr>
          <w:p w14:paraId="2ABE1A81" w14:textId="77777777" w:rsidR="00E52666" w:rsidRPr="00811BA1" w:rsidRDefault="00E52666" w:rsidP="00EB7E49">
            <w:pPr>
              <w:pStyle w:val="Bodytext"/>
              <w:jc w:val="right"/>
              <w:rPr>
                <w:b/>
              </w:rPr>
            </w:pPr>
            <w:r w:rsidRPr="00811BA1">
              <w:rPr>
                <w:b/>
              </w:rPr>
              <w:t>Unlimited</w:t>
            </w:r>
          </w:p>
        </w:tc>
        <w:tc>
          <w:tcPr>
            <w:tcW w:w="1803" w:type="dxa"/>
            <w:tcBorders>
              <w:bottom w:val="single" w:sz="18" w:space="0" w:color="auto"/>
            </w:tcBorders>
            <w:vAlign w:val="center"/>
          </w:tcPr>
          <w:p w14:paraId="5A0B9D8E" w14:textId="77777777" w:rsidR="00E52666" w:rsidRPr="00811BA1" w:rsidRDefault="00E52666" w:rsidP="00EB7E49">
            <w:pPr>
              <w:pStyle w:val="Bodytext"/>
              <w:jc w:val="right"/>
            </w:pPr>
            <w:r w:rsidRPr="00811BA1">
              <w:t>Unlimited</w:t>
            </w:r>
          </w:p>
        </w:tc>
      </w:tr>
    </w:tbl>
    <w:p w14:paraId="71593ECB" w14:textId="77777777" w:rsidR="00B57082" w:rsidRPr="00811BA1" w:rsidRDefault="00B57082" w:rsidP="00EB7E49">
      <w:pPr>
        <w:pStyle w:val="Bodytext"/>
        <w:ind w:left="567"/>
      </w:pPr>
    </w:p>
    <w:p w14:paraId="07CAD69A" w14:textId="77777777" w:rsidR="00234DF1" w:rsidRPr="00811BA1" w:rsidRDefault="00234DF1" w:rsidP="00EB7E49">
      <w:pPr>
        <w:pStyle w:val="Bodytext"/>
        <w:ind w:left="567"/>
      </w:pPr>
    </w:p>
    <w:tbl>
      <w:tblPr>
        <w:tblStyle w:val="TableGrid"/>
        <w:tblW w:w="92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778"/>
        <w:gridCol w:w="1701"/>
        <w:gridCol w:w="1802"/>
      </w:tblGrid>
      <w:tr w:rsidR="00B57082" w:rsidRPr="00811BA1" w14:paraId="3EAFBD6A" w14:textId="77777777" w:rsidTr="007E361D">
        <w:trPr>
          <w:trHeight w:val="463"/>
        </w:trPr>
        <w:tc>
          <w:tcPr>
            <w:tcW w:w="5778" w:type="dxa"/>
            <w:tcBorders>
              <w:bottom w:val="single" w:sz="4" w:space="0" w:color="auto"/>
            </w:tcBorders>
          </w:tcPr>
          <w:p w14:paraId="0B97984E" w14:textId="77777777" w:rsidR="00B57082" w:rsidRPr="00811BA1" w:rsidRDefault="00B57082" w:rsidP="00EB7E49">
            <w:pPr>
              <w:pStyle w:val="Bodytext"/>
            </w:pPr>
          </w:p>
        </w:tc>
        <w:tc>
          <w:tcPr>
            <w:tcW w:w="1701" w:type="dxa"/>
            <w:tcBorders>
              <w:bottom w:val="single" w:sz="4" w:space="0" w:color="auto"/>
            </w:tcBorders>
            <w:vAlign w:val="bottom"/>
          </w:tcPr>
          <w:p w14:paraId="51BAB151" w14:textId="77777777" w:rsidR="00B57082" w:rsidRPr="00811BA1" w:rsidRDefault="00B57082" w:rsidP="00EB7E49">
            <w:pPr>
              <w:pStyle w:val="Bodytext"/>
              <w:jc w:val="right"/>
              <w:rPr>
                <w:b/>
              </w:rPr>
            </w:pPr>
            <w:r w:rsidRPr="00811BA1">
              <w:rPr>
                <w:b/>
              </w:rPr>
              <w:t>Total</w:t>
            </w:r>
          </w:p>
          <w:p w14:paraId="0231471F" w14:textId="229A4556" w:rsidR="00B57082" w:rsidRPr="00811BA1" w:rsidRDefault="00B57082" w:rsidP="00EB7E49">
            <w:pPr>
              <w:pStyle w:val="Bodytext"/>
              <w:jc w:val="right"/>
              <w:rPr>
                <w:b/>
              </w:rPr>
            </w:pPr>
            <w:r w:rsidRPr="00811BA1">
              <w:rPr>
                <w:b/>
              </w:rPr>
              <w:t>No</w:t>
            </w:r>
            <w:r w:rsidR="007C2368" w:rsidRPr="00811BA1">
              <w:rPr>
                <w:b/>
              </w:rPr>
              <w:t>.</w:t>
            </w:r>
          </w:p>
        </w:tc>
        <w:tc>
          <w:tcPr>
            <w:tcW w:w="1802" w:type="dxa"/>
            <w:tcBorders>
              <w:bottom w:val="single" w:sz="4" w:space="0" w:color="auto"/>
            </w:tcBorders>
            <w:vAlign w:val="bottom"/>
          </w:tcPr>
          <w:p w14:paraId="378229CF" w14:textId="77777777" w:rsidR="00B57082" w:rsidRPr="00811BA1" w:rsidRDefault="00B57082" w:rsidP="00EB7E49">
            <w:pPr>
              <w:pStyle w:val="Bodytext"/>
              <w:jc w:val="right"/>
            </w:pPr>
            <w:r w:rsidRPr="00811BA1">
              <w:t>Total</w:t>
            </w:r>
          </w:p>
          <w:p w14:paraId="178AB0DD" w14:textId="77777777" w:rsidR="00B57082" w:rsidRPr="00811BA1" w:rsidRDefault="00B57082" w:rsidP="00EB7E49">
            <w:pPr>
              <w:pStyle w:val="Bodytext"/>
              <w:jc w:val="right"/>
            </w:pPr>
            <w:r w:rsidRPr="00811BA1">
              <w:t>No.</w:t>
            </w:r>
          </w:p>
        </w:tc>
      </w:tr>
      <w:tr w:rsidR="007E361D" w:rsidRPr="00811BA1" w14:paraId="6639085D" w14:textId="77777777" w:rsidTr="007E361D">
        <w:tc>
          <w:tcPr>
            <w:tcW w:w="5778" w:type="dxa"/>
            <w:tcBorders>
              <w:top w:val="single" w:sz="4" w:space="0" w:color="auto"/>
            </w:tcBorders>
          </w:tcPr>
          <w:p w14:paraId="77026F02" w14:textId="77777777" w:rsidR="007E361D" w:rsidRPr="00811BA1" w:rsidRDefault="007E361D" w:rsidP="007E361D">
            <w:pPr>
              <w:pStyle w:val="Bodytext"/>
              <w:rPr>
                <w:b/>
              </w:rPr>
            </w:pPr>
            <w:r w:rsidRPr="00811BA1">
              <w:rPr>
                <w:b/>
              </w:rPr>
              <w:t>Issued and fully paid:</w:t>
            </w:r>
          </w:p>
        </w:tc>
        <w:tc>
          <w:tcPr>
            <w:tcW w:w="1701" w:type="dxa"/>
            <w:tcBorders>
              <w:top w:val="single" w:sz="4" w:space="0" w:color="auto"/>
            </w:tcBorders>
            <w:vAlign w:val="center"/>
          </w:tcPr>
          <w:p w14:paraId="3369A852" w14:textId="77777777" w:rsidR="007E361D" w:rsidRPr="00811BA1" w:rsidRDefault="007E361D" w:rsidP="007E361D">
            <w:pPr>
              <w:pStyle w:val="Bodytext"/>
              <w:jc w:val="right"/>
              <w:rPr>
                <w:b/>
              </w:rPr>
            </w:pPr>
          </w:p>
        </w:tc>
        <w:tc>
          <w:tcPr>
            <w:tcW w:w="1802" w:type="dxa"/>
            <w:tcBorders>
              <w:top w:val="single" w:sz="4" w:space="0" w:color="auto"/>
            </w:tcBorders>
          </w:tcPr>
          <w:p w14:paraId="776B30B8" w14:textId="77777777" w:rsidR="007E361D" w:rsidRPr="00811BA1" w:rsidRDefault="007E361D" w:rsidP="007E361D">
            <w:pPr>
              <w:pStyle w:val="Bodytext"/>
              <w:jc w:val="right"/>
            </w:pPr>
          </w:p>
        </w:tc>
      </w:tr>
      <w:tr w:rsidR="007E361D" w:rsidRPr="00811BA1" w14:paraId="69CDFB19" w14:textId="77777777" w:rsidTr="007E361D">
        <w:tc>
          <w:tcPr>
            <w:tcW w:w="5778" w:type="dxa"/>
          </w:tcPr>
          <w:p w14:paraId="3502CC00" w14:textId="6D9FAFE4" w:rsidR="007E361D" w:rsidRPr="00811BA1" w:rsidRDefault="007E361D" w:rsidP="007E361D">
            <w:pPr>
              <w:pStyle w:val="Bodytext"/>
              <w:rPr>
                <w:b/>
              </w:rPr>
            </w:pPr>
            <w:r w:rsidRPr="00811BA1">
              <w:rPr>
                <w:b/>
              </w:rPr>
              <w:t xml:space="preserve">Unlimited </w:t>
            </w:r>
            <w:r>
              <w:rPr>
                <w:b/>
              </w:rPr>
              <w:t>S</w:t>
            </w:r>
            <w:r w:rsidRPr="00811BA1">
              <w:rPr>
                <w:b/>
              </w:rPr>
              <w:t>hares of no par value</w:t>
            </w:r>
          </w:p>
        </w:tc>
        <w:tc>
          <w:tcPr>
            <w:tcW w:w="1701" w:type="dxa"/>
            <w:vAlign w:val="center"/>
          </w:tcPr>
          <w:p w14:paraId="4758EB46" w14:textId="77777777" w:rsidR="007E361D" w:rsidRPr="00811BA1" w:rsidRDefault="007E361D" w:rsidP="007E361D">
            <w:pPr>
              <w:pStyle w:val="Bodytext"/>
              <w:jc w:val="right"/>
              <w:rPr>
                <w:b/>
              </w:rPr>
            </w:pPr>
          </w:p>
        </w:tc>
        <w:tc>
          <w:tcPr>
            <w:tcW w:w="1802" w:type="dxa"/>
          </w:tcPr>
          <w:p w14:paraId="3946BD03" w14:textId="77777777" w:rsidR="007E361D" w:rsidRPr="00811BA1" w:rsidRDefault="007E361D" w:rsidP="007E361D">
            <w:pPr>
              <w:pStyle w:val="Bodytext"/>
              <w:jc w:val="right"/>
            </w:pPr>
          </w:p>
        </w:tc>
      </w:tr>
      <w:tr w:rsidR="007E361D" w:rsidRPr="004E3CA2" w14:paraId="2D86E477" w14:textId="77777777" w:rsidTr="007E361D">
        <w:tc>
          <w:tcPr>
            <w:tcW w:w="5778" w:type="dxa"/>
          </w:tcPr>
          <w:p w14:paraId="1E26D436" w14:textId="77777777" w:rsidR="007E361D" w:rsidRPr="004E3CA2" w:rsidRDefault="007E361D" w:rsidP="007E361D">
            <w:pPr>
              <w:pStyle w:val="Bodytext"/>
            </w:pPr>
            <w:r w:rsidRPr="004E3CA2">
              <w:t>Shares as at inception</w:t>
            </w:r>
          </w:p>
        </w:tc>
        <w:tc>
          <w:tcPr>
            <w:tcW w:w="1701" w:type="dxa"/>
            <w:vAlign w:val="center"/>
          </w:tcPr>
          <w:p w14:paraId="52A7E532" w14:textId="6BBE215A" w:rsidR="007E361D" w:rsidRPr="00455865" w:rsidRDefault="007E361D" w:rsidP="007E361D">
            <w:pPr>
              <w:pStyle w:val="Bodytext"/>
              <w:jc w:val="right"/>
              <w:rPr>
                <w:b/>
              </w:rPr>
            </w:pPr>
            <w:r w:rsidRPr="00455865">
              <w:rPr>
                <w:b/>
              </w:rPr>
              <w:t>–</w:t>
            </w:r>
          </w:p>
        </w:tc>
        <w:tc>
          <w:tcPr>
            <w:tcW w:w="1802" w:type="dxa"/>
          </w:tcPr>
          <w:p w14:paraId="0E10973E" w14:textId="476DF0B2" w:rsidR="007E361D" w:rsidRPr="004E3CA2" w:rsidRDefault="007E361D" w:rsidP="007E361D">
            <w:pPr>
              <w:pStyle w:val="Bodytext"/>
              <w:jc w:val="right"/>
            </w:pPr>
            <w:r w:rsidRPr="00576B74">
              <w:t>–</w:t>
            </w:r>
          </w:p>
        </w:tc>
      </w:tr>
      <w:tr w:rsidR="007E361D" w:rsidRPr="004E3CA2" w14:paraId="227F407A" w14:textId="77777777" w:rsidTr="007E361D">
        <w:tc>
          <w:tcPr>
            <w:tcW w:w="5778" w:type="dxa"/>
          </w:tcPr>
          <w:p w14:paraId="1D59D894" w14:textId="7E2260FC" w:rsidR="007E361D" w:rsidRPr="004E3CA2" w:rsidRDefault="007E361D" w:rsidP="007E361D">
            <w:pPr>
              <w:pStyle w:val="Bodytext"/>
            </w:pPr>
            <w:r w:rsidRPr="004E3CA2">
              <w:t>Issued on 23 May 2013</w:t>
            </w:r>
          </w:p>
        </w:tc>
        <w:tc>
          <w:tcPr>
            <w:tcW w:w="1701" w:type="dxa"/>
            <w:vAlign w:val="center"/>
          </w:tcPr>
          <w:p w14:paraId="1AD65AAB" w14:textId="0C071BA8" w:rsidR="007E361D" w:rsidRPr="004E3CA2" w:rsidRDefault="007E361D" w:rsidP="007E361D">
            <w:pPr>
              <w:pStyle w:val="Bodytext"/>
              <w:jc w:val="right"/>
              <w:rPr>
                <w:b/>
              </w:rPr>
            </w:pPr>
            <w:r w:rsidRPr="004E3CA2">
              <w:rPr>
                <w:b/>
              </w:rPr>
              <w:t>1</w:t>
            </w:r>
          </w:p>
        </w:tc>
        <w:tc>
          <w:tcPr>
            <w:tcW w:w="1802" w:type="dxa"/>
          </w:tcPr>
          <w:p w14:paraId="2C610EBD" w14:textId="5FB7B454" w:rsidR="007E361D" w:rsidRPr="004E3CA2" w:rsidRDefault="007E361D" w:rsidP="007E361D">
            <w:pPr>
              <w:pStyle w:val="Bodytext"/>
              <w:jc w:val="right"/>
              <w:rPr>
                <w:bCs/>
              </w:rPr>
            </w:pPr>
            <w:r w:rsidRPr="00576B74">
              <w:t>1</w:t>
            </w:r>
          </w:p>
        </w:tc>
      </w:tr>
      <w:tr w:rsidR="007E361D" w:rsidRPr="004E3CA2" w14:paraId="7F8CA549" w14:textId="77777777" w:rsidTr="007E361D">
        <w:tc>
          <w:tcPr>
            <w:tcW w:w="5778" w:type="dxa"/>
          </w:tcPr>
          <w:p w14:paraId="5F045E8B" w14:textId="5BEB1853" w:rsidR="007E361D" w:rsidRPr="004E3CA2" w:rsidRDefault="007E361D" w:rsidP="007E361D">
            <w:pPr>
              <w:pStyle w:val="Bodytext"/>
            </w:pPr>
            <w:r w:rsidRPr="004E3CA2">
              <w:t>Issued on 29 October 2013</w:t>
            </w:r>
          </w:p>
        </w:tc>
        <w:tc>
          <w:tcPr>
            <w:tcW w:w="1701" w:type="dxa"/>
            <w:vAlign w:val="center"/>
          </w:tcPr>
          <w:p w14:paraId="45ABD935" w14:textId="52397708" w:rsidR="007E361D" w:rsidRPr="004E3CA2" w:rsidRDefault="007E361D" w:rsidP="007E361D">
            <w:pPr>
              <w:pStyle w:val="Bodytext"/>
              <w:jc w:val="right"/>
              <w:rPr>
                <w:b/>
              </w:rPr>
            </w:pPr>
            <w:r w:rsidRPr="004E3CA2">
              <w:rPr>
                <w:b/>
              </w:rPr>
              <w:t>71,032,057</w:t>
            </w:r>
          </w:p>
        </w:tc>
        <w:tc>
          <w:tcPr>
            <w:tcW w:w="1802" w:type="dxa"/>
          </w:tcPr>
          <w:p w14:paraId="6CB89081" w14:textId="258DE84A" w:rsidR="007E361D" w:rsidRPr="004D1B6D" w:rsidRDefault="007E361D" w:rsidP="007E361D">
            <w:pPr>
              <w:pStyle w:val="Bodytext"/>
              <w:jc w:val="right"/>
              <w:rPr>
                <w:bCs/>
              </w:rPr>
            </w:pPr>
            <w:r w:rsidRPr="00576B74">
              <w:t>71,032,057</w:t>
            </w:r>
          </w:p>
        </w:tc>
      </w:tr>
      <w:tr w:rsidR="007E361D" w:rsidRPr="004E3CA2" w14:paraId="27B84439" w14:textId="77777777" w:rsidTr="007E361D">
        <w:tc>
          <w:tcPr>
            <w:tcW w:w="5778" w:type="dxa"/>
          </w:tcPr>
          <w:p w14:paraId="4391C152" w14:textId="77777777" w:rsidR="007E361D" w:rsidRPr="004E3CA2" w:rsidRDefault="007E361D" w:rsidP="007E361D">
            <w:pPr>
              <w:pStyle w:val="Bodytext"/>
            </w:pPr>
            <w:r w:rsidRPr="004E3CA2">
              <w:t>Issued on 10 October 2014</w:t>
            </w:r>
          </w:p>
        </w:tc>
        <w:tc>
          <w:tcPr>
            <w:tcW w:w="1701" w:type="dxa"/>
            <w:vAlign w:val="center"/>
          </w:tcPr>
          <w:p w14:paraId="49B23DEE" w14:textId="25668CA7" w:rsidR="007E361D" w:rsidRPr="004E3CA2" w:rsidRDefault="007E361D" w:rsidP="007E361D">
            <w:pPr>
              <w:pStyle w:val="Bodytext"/>
              <w:jc w:val="right"/>
              <w:rPr>
                <w:b/>
              </w:rPr>
            </w:pPr>
            <w:r w:rsidRPr="004E3CA2">
              <w:rPr>
                <w:b/>
              </w:rPr>
              <w:t>5,000,000</w:t>
            </w:r>
          </w:p>
        </w:tc>
        <w:tc>
          <w:tcPr>
            <w:tcW w:w="1802" w:type="dxa"/>
          </w:tcPr>
          <w:p w14:paraId="55FEB6D1" w14:textId="50151654" w:rsidR="007E361D" w:rsidRPr="004E3CA2" w:rsidRDefault="007E361D" w:rsidP="007E361D">
            <w:pPr>
              <w:pStyle w:val="Bodytext"/>
              <w:jc w:val="right"/>
            </w:pPr>
            <w:r w:rsidRPr="00576B74">
              <w:t>5,000,000</w:t>
            </w:r>
          </w:p>
        </w:tc>
      </w:tr>
      <w:tr w:rsidR="007E361D" w:rsidRPr="004E3CA2" w14:paraId="2CF26AF0" w14:textId="77777777" w:rsidTr="007E361D">
        <w:tc>
          <w:tcPr>
            <w:tcW w:w="5778" w:type="dxa"/>
          </w:tcPr>
          <w:p w14:paraId="487853A6" w14:textId="40D1CA2A" w:rsidR="007E361D" w:rsidRPr="004E3CA2" w:rsidRDefault="007E361D" w:rsidP="007E361D">
            <w:pPr>
              <w:pStyle w:val="Bodytext"/>
            </w:pPr>
            <w:r w:rsidRPr="004E3CA2">
              <w:t>Issued on 11 December 2015</w:t>
            </w:r>
          </w:p>
        </w:tc>
        <w:tc>
          <w:tcPr>
            <w:tcW w:w="1701" w:type="dxa"/>
            <w:vAlign w:val="center"/>
          </w:tcPr>
          <w:p w14:paraId="4B2DD83A" w14:textId="6A2EAA39" w:rsidR="007E361D" w:rsidRPr="004E3CA2" w:rsidRDefault="007E361D" w:rsidP="007E361D">
            <w:pPr>
              <w:pStyle w:val="Bodytext"/>
              <w:jc w:val="right"/>
              <w:rPr>
                <w:b/>
                <w:bCs/>
              </w:rPr>
            </w:pPr>
            <w:r w:rsidRPr="004E3CA2">
              <w:rPr>
                <w:b/>
                <w:bCs/>
              </w:rPr>
              <w:t>8,448,006</w:t>
            </w:r>
          </w:p>
        </w:tc>
        <w:tc>
          <w:tcPr>
            <w:tcW w:w="1802" w:type="dxa"/>
          </w:tcPr>
          <w:p w14:paraId="38CD0981" w14:textId="54067E3D" w:rsidR="007E361D" w:rsidRPr="004E3CA2" w:rsidRDefault="007E361D" w:rsidP="007E361D">
            <w:pPr>
              <w:pStyle w:val="Bodytext"/>
              <w:jc w:val="right"/>
            </w:pPr>
            <w:r w:rsidRPr="00576B74">
              <w:t>8,448,006</w:t>
            </w:r>
          </w:p>
        </w:tc>
      </w:tr>
      <w:tr w:rsidR="007E361D" w:rsidRPr="004E3CA2" w14:paraId="5CC980FB" w14:textId="77777777" w:rsidTr="007E361D">
        <w:tc>
          <w:tcPr>
            <w:tcW w:w="5778" w:type="dxa"/>
            <w:tcBorders>
              <w:bottom w:val="single" w:sz="4" w:space="0" w:color="auto"/>
            </w:tcBorders>
          </w:tcPr>
          <w:p w14:paraId="5E8D5B97" w14:textId="6C2F9624" w:rsidR="007E361D" w:rsidRPr="004E3CA2" w:rsidRDefault="007E361D" w:rsidP="007E361D">
            <w:pPr>
              <w:pStyle w:val="Bodytext"/>
            </w:pPr>
            <w:r w:rsidRPr="0072436D">
              <w:t>Cancelled</w:t>
            </w:r>
            <w:r>
              <w:t xml:space="preserve"> on 23 November 2018</w:t>
            </w:r>
          </w:p>
        </w:tc>
        <w:tc>
          <w:tcPr>
            <w:tcW w:w="1701" w:type="dxa"/>
            <w:tcBorders>
              <w:bottom w:val="single" w:sz="4" w:space="0" w:color="auto"/>
            </w:tcBorders>
            <w:vAlign w:val="center"/>
          </w:tcPr>
          <w:p w14:paraId="6FFF93BB" w14:textId="7BBEE31D" w:rsidR="007E361D" w:rsidRPr="004E3CA2" w:rsidRDefault="007E361D" w:rsidP="007E361D">
            <w:pPr>
              <w:pStyle w:val="Bodytext"/>
              <w:jc w:val="right"/>
              <w:rPr>
                <w:b/>
                <w:bCs/>
              </w:rPr>
            </w:pPr>
            <w:r>
              <w:rPr>
                <w:b/>
                <w:bCs/>
              </w:rPr>
              <w:t>(4,583,333)</w:t>
            </w:r>
          </w:p>
        </w:tc>
        <w:tc>
          <w:tcPr>
            <w:tcW w:w="1802" w:type="dxa"/>
            <w:tcBorders>
              <w:bottom w:val="single" w:sz="4" w:space="0" w:color="auto"/>
            </w:tcBorders>
          </w:tcPr>
          <w:p w14:paraId="3AD37202" w14:textId="7D8F1224" w:rsidR="007E361D" w:rsidRPr="004E3CA2" w:rsidRDefault="007E361D" w:rsidP="007E361D">
            <w:pPr>
              <w:pStyle w:val="Bodytext"/>
              <w:jc w:val="right"/>
              <w:rPr>
                <w:bCs/>
              </w:rPr>
            </w:pPr>
            <w:r w:rsidRPr="00576B74">
              <w:t>(4,583,333)</w:t>
            </w:r>
          </w:p>
        </w:tc>
      </w:tr>
      <w:tr w:rsidR="007E361D" w:rsidRPr="004E3CA2" w14:paraId="43782268" w14:textId="77777777" w:rsidTr="007E361D">
        <w:tc>
          <w:tcPr>
            <w:tcW w:w="5778" w:type="dxa"/>
            <w:tcBorders>
              <w:top w:val="single" w:sz="4" w:space="0" w:color="auto"/>
              <w:bottom w:val="single" w:sz="12" w:space="0" w:color="auto"/>
            </w:tcBorders>
          </w:tcPr>
          <w:p w14:paraId="631DFF71" w14:textId="5DD055B4" w:rsidR="007E361D" w:rsidRPr="004E3CA2" w:rsidRDefault="007E361D" w:rsidP="007E361D">
            <w:pPr>
              <w:pStyle w:val="Bodytext"/>
              <w:rPr>
                <w:b/>
              </w:rPr>
            </w:pPr>
            <w:r w:rsidRPr="004E3CA2">
              <w:rPr>
                <w:b/>
              </w:rPr>
              <w:t>Shares as at year end</w:t>
            </w:r>
          </w:p>
        </w:tc>
        <w:tc>
          <w:tcPr>
            <w:tcW w:w="1701" w:type="dxa"/>
            <w:tcBorders>
              <w:top w:val="single" w:sz="4" w:space="0" w:color="auto"/>
              <w:bottom w:val="single" w:sz="12" w:space="0" w:color="auto"/>
            </w:tcBorders>
            <w:vAlign w:val="center"/>
          </w:tcPr>
          <w:p w14:paraId="10DD8FDC" w14:textId="338C48D7" w:rsidR="007E361D" w:rsidRPr="004E3CA2" w:rsidRDefault="007E361D" w:rsidP="007E361D">
            <w:pPr>
              <w:pStyle w:val="Bodytext"/>
              <w:jc w:val="right"/>
              <w:rPr>
                <w:b/>
              </w:rPr>
            </w:pPr>
            <w:r>
              <w:rPr>
                <w:b/>
              </w:rPr>
              <w:t>79,896,731</w:t>
            </w:r>
          </w:p>
        </w:tc>
        <w:tc>
          <w:tcPr>
            <w:tcW w:w="1802" w:type="dxa"/>
            <w:tcBorders>
              <w:top w:val="single" w:sz="4" w:space="0" w:color="auto"/>
              <w:bottom w:val="single" w:sz="12" w:space="0" w:color="auto"/>
            </w:tcBorders>
          </w:tcPr>
          <w:p w14:paraId="1EE49D6D" w14:textId="74B7E65C" w:rsidR="007E361D" w:rsidRPr="004E3CA2" w:rsidRDefault="007E361D" w:rsidP="007E361D">
            <w:pPr>
              <w:pStyle w:val="Bodytext"/>
              <w:jc w:val="right"/>
            </w:pPr>
            <w:r w:rsidRPr="00576B74">
              <w:t>79,896,731</w:t>
            </w:r>
          </w:p>
        </w:tc>
      </w:tr>
    </w:tbl>
    <w:p w14:paraId="72CCD861" w14:textId="77777777" w:rsidR="00B57082" w:rsidRPr="004E3CA2" w:rsidRDefault="00B57082" w:rsidP="00EB7E49"/>
    <w:tbl>
      <w:tblPr>
        <w:tblStyle w:val="TableGrid"/>
        <w:tblW w:w="92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778"/>
        <w:gridCol w:w="1701"/>
        <w:gridCol w:w="1802"/>
      </w:tblGrid>
      <w:tr w:rsidR="00B57082" w:rsidRPr="004E3CA2" w14:paraId="32100817" w14:textId="77777777" w:rsidTr="007E361D">
        <w:tc>
          <w:tcPr>
            <w:tcW w:w="5778" w:type="dxa"/>
            <w:tcBorders>
              <w:bottom w:val="single" w:sz="4" w:space="0" w:color="auto"/>
            </w:tcBorders>
          </w:tcPr>
          <w:p w14:paraId="3795F0F5" w14:textId="77777777" w:rsidR="00B57082" w:rsidRPr="004E3CA2" w:rsidRDefault="00B57082" w:rsidP="00EB7E49">
            <w:pPr>
              <w:pStyle w:val="Bodytext"/>
              <w:rPr>
                <w:b/>
              </w:rPr>
            </w:pPr>
            <w:r w:rsidRPr="004E3CA2">
              <w:rPr>
                <w:b/>
              </w:rPr>
              <w:t>Share capital</w:t>
            </w:r>
          </w:p>
        </w:tc>
        <w:tc>
          <w:tcPr>
            <w:tcW w:w="1701" w:type="dxa"/>
            <w:tcBorders>
              <w:bottom w:val="single" w:sz="4" w:space="0" w:color="auto"/>
            </w:tcBorders>
            <w:vAlign w:val="center"/>
          </w:tcPr>
          <w:p w14:paraId="0E49BA41" w14:textId="77777777" w:rsidR="00B57082" w:rsidRPr="004E3CA2" w:rsidRDefault="00B57082" w:rsidP="00EB7E49">
            <w:pPr>
              <w:pStyle w:val="Bodytext"/>
              <w:jc w:val="right"/>
              <w:rPr>
                <w:b/>
              </w:rPr>
            </w:pPr>
            <w:r w:rsidRPr="004E3CA2">
              <w:rPr>
                <w:b/>
              </w:rPr>
              <w:t>$’000</w:t>
            </w:r>
          </w:p>
        </w:tc>
        <w:tc>
          <w:tcPr>
            <w:tcW w:w="1802" w:type="dxa"/>
            <w:tcBorders>
              <w:bottom w:val="single" w:sz="4" w:space="0" w:color="auto"/>
            </w:tcBorders>
            <w:vAlign w:val="center"/>
          </w:tcPr>
          <w:p w14:paraId="3D7AFB86" w14:textId="77777777" w:rsidR="00B57082" w:rsidRPr="004E3CA2" w:rsidRDefault="00B57082" w:rsidP="00EB7E49">
            <w:pPr>
              <w:pStyle w:val="Bodytext"/>
              <w:jc w:val="right"/>
            </w:pPr>
            <w:r w:rsidRPr="004E3CA2">
              <w:t>$’000</w:t>
            </w:r>
          </w:p>
        </w:tc>
      </w:tr>
      <w:tr w:rsidR="007E361D" w:rsidRPr="004E3CA2" w14:paraId="7ECC4FE5" w14:textId="77777777" w:rsidTr="007E361D">
        <w:tc>
          <w:tcPr>
            <w:tcW w:w="5778" w:type="dxa"/>
            <w:tcBorders>
              <w:top w:val="single" w:sz="4" w:space="0" w:color="auto"/>
            </w:tcBorders>
          </w:tcPr>
          <w:p w14:paraId="2C132DFA" w14:textId="77777777" w:rsidR="007E361D" w:rsidRPr="004E3CA2" w:rsidRDefault="007E361D" w:rsidP="007E361D">
            <w:pPr>
              <w:pStyle w:val="Bodytext"/>
            </w:pPr>
            <w:r w:rsidRPr="004E3CA2">
              <w:t>Share capital brought forward</w:t>
            </w:r>
          </w:p>
        </w:tc>
        <w:tc>
          <w:tcPr>
            <w:tcW w:w="1701" w:type="dxa"/>
            <w:tcBorders>
              <w:top w:val="single" w:sz="4" w:space="0" w:color="auto"/>
            </w:tcBorders>
            <w:vAlign w:val="center"/>
          </w:tcPr>
          <w:p w14:paraId="76D79E91" w14:textId="71E45B7D" w:rsidR="007E361D" w:rsidRPr="008D2EB3" w:rsidRDefault="007E361D" w:rsidP="007E361D">
            <w:pPr>
              <w:pStyle w:val="Bodytext"/>
              <w:jc w:val="right"/>
              <w:rPr>
                <w:b/>
              </w:rPr>
            </w:pPr>
            <w:r w:rsidRPr="008D2EB3">
              <w:rPr>
                <w:b/>
                <w:bCs/>
              </w:rPr>
              <w:t>1,</w:t>
            </w:r>
            <w:r>
              <w:rPr>
                <w:b/>
                <w:bCs/>
              </w:rPr>
              <w:t>246</w:t>
            </w:r>
            <w:r w:rsidRPr="008D2EB3">
              <w:rPr>
                <w:b/>
                <w:bCs/>
              </w:rPr>
              <w:t>,</w:t>
            </w:r>
            <w:r>
              <w:rPr>
                <w:b/>
                <w:bCs/>
              </w:rPr>
              <w:t>559</w:t>
            </w:r>
          </w:p>
        </w:tc>
        <w:tc>
          <w:tcPr>
            <w:tcW w:w="1802" w:type="dxa"/>
            <w:tcBorders>
              <w:top w:val="single" w:sz="4" w:space="0" w:color="auto"/>
            </w:tcBorders>
          </w:tcPr>
          <w:p w14:paraId="48EB1D35" w14:textId="1246ED9D" w:rsidR="007E361D" w:rsidRPr="00C46EC3" w:rsidRDefault="007E361D" w:rsidP="007E361D">
            <w:pPr>
              <w:pStyle w:val="Bodytext"/>
              <w:jc w:val="right"/>
            </w:pPr>
            <w:r w:rsidRPr="00A952BE">
              <w:t>1,317,496</w:t>
            </w:r>
          </w:p>
        </w:tc>
      </w:tr>
      <w:tr w:rsidR="007E361D" w:rsidRPr="004E3CA2" w14:paraId="135B3548" w14:textId="77777777" w:rsidTr="007E361D">
        <w:tc>
          <w:tcPr>
            <w:tcW w:w="5778" w:type="dxa"/>
          </w:tcPr>
          <w:p w14:paraId="7F21F5A1" w14:textId="77777777" w:rsidR="007E361D" w:rsidRPr="004E3CA2" w:rsidRDefault="007E361D" w:rsidP="007E361D">
            <w:pPr>
              <w:pStyle w:val="Bodytext"/>
            </w:pPr>
            <w:r w:rsidRPr="004E3CA2">
              <w:t>Movements for the period:</w:t>
            </w:r>
          </w:p>
        </w:tc>
        <w:tc>
          <w:tcPr>
            <w:tcW w:w="1701" w:type="dxa"/>
            <w:vAlign w:val="center"/>
          </w:tcPr>
          <w:p w14:paraId="54D921FD" w14:textId="3F56405F" w:rsidR="007E361D" w:rsidRPr="008D2EB3" w:rsidRDefault="007E361D" w:rsidP="007E361D">
            <w:pPr>
              <w:pStyle w:val="Bodytext"/>
              <w:jc w:val="right"/>
              <w:rPr>
                <w:b/>
              </w:rPr>
            </w:pPr>
          </w:p>
        </w:tc>
        <w:tc>
          <w:tcPr>
            <w:tcW w:w="1802" w:type="dxa"/>
          </w:tcPr>
          <w:p w14:paraId="28F9D488" w14:textId="74E3AB0A" w:rsidR="007E361D" w:rsidRPr="00C46EC3" w:rsidRDefault="007E361D" w:rsidP="007E361D">
            <w:pPr>
              <w:pStyle w:val="Bodytext"/>
              <w:jc w:val="right"/>
            </w:pPr>
          </w:p>
        </w:tc>
      </w:tr>
      <w:tr w:rsidR="007E361D" w:rsidRPr="004E3CA2" w14:paraId="71410FD9" w14:textId="77777777" w:rsidTr="007E361D">
        <w:tc>
          <w:tcPr>
            <w:tcW w:w="5778" w:type="dxa"/>
            <w:tcBorders>
              <w:bottom w:val="single" w:sz="4" w:space="0" w:color="auto"/>
            </w:tcBorders>
          </w:tcPr>
          <w:p w14:paraId="3A56964B" w14:textId="43E9F173" w:rsidR="007E361D" w:rsidRPr="004E3CA2" w:rsidRDefault="007E361D" w:rsidP="007E361D">
            <w:pPr>
              <w:pStyle w:val="Bodytext"/>
            </w:pPr>
            <w:r w:rsidRPr="004E3CA2">
              <w:t xml:space="preserve">    </w:t>
            </w:r>
            <w:r>
              <w:t>Cancellation of shares</w:t>
            </w:r>
          </w:p>
        </w:tc>
        <w:tc>
          <w:tcPr>
            <w:tcW w:w="1701" w:type="dxa"/>
            <w:tcBorders>
              <w:bottom w:val="single" w:sz="4" w:space="0" w:color="auto"/>
            </w:tcBorders>
            <w:vAlign w:val="center"/>
          </w:tcPr>
          <w:p w14:paraId="26D091DD" w14:textId="7A776D1D" w:rsidR="007E361D" w:rsidRPr="008D2EB3" w:rsidRDefault="0015393C" w:rsidP="007E361D">
            <w:pPr>
              <w:pStyle w:val="Bodytext"/>
              <w:jc w:val="right"/>
              <w:rPr>
                <w:b/>
              </w:rPr>
            </w:pPr>
            <w:r w:rsidRPr="00455865">
              <w:rPr>
                <w:b/>
              </w:rPr>
              <w:t>–</w:t>
            </w:r>
          </w:p>
        </w:tc>
        <w:tc>
          <w:tcPr>
            <w:tcW w:w="1802" w:type="dxa"/>
            <w:tcBorders>
              <w:bottom w:val="single" w:sz="4" w:space="0" w:color="auto"/>
            </w:tcBorders>
          </w:tcPr>
          <w:p w14:paraId="2A78A43A" w14:textId="61243F0C" w:rsidR="007E361D" w:rsidRPr="00C46EC3" w:rsidRDefault="007E361D" w:rsidP="007E361D">
            <w:pPr>
              <w:pStyle w:val="Bodytext"/>
              <w:jc w:val="right"/>
            </w:pPr>
            <w:r w:rsidRPr="00A952BE">
              <w:t>(70,937)</w:t>
            </w:r>
          </w:p>
        </w:tc>
      </w:tr>
      <w:tr w:rsidR="007E361D" w:rsidRPr="00811BA1" w14:paraId="0D6E4FF0" w14:textId="77777777" w:rsidTr="007E361D">
        <w:tc>
          <w:tcPr>
            <w:tcW w:w="5778" w:type="dxa"/>
            <w:tcBorders>
              <w:top w:val="single" w:sz="4" w:space="0" w:color="auto"/>
              <w:bottom w:val="single" w:sz="18" w:space="0" w:color="auto"/>
            </w:tcBorders>
          </w:tcPr>
          <w:p w14:paraId="29F903C6" w14:textId="604CF79C" w:rsidR="007E361D" w:rsidRPr="004E3CA2" w:rsidRDefault="007E361D" w:rsidP="007E361D">
            <w:pPr>
              <w:pStyle w:val="Bodytext"/>
              <w:rPr>
                <w:b/>
              </w:rPr>
            </w:pPr>
            <w:r w:rsidRPr="004E3CA2">
              <w:rPr>
                <w:b/>
              </w:rPr>
              <w:lastRenderedPageBreak/>
              <w:t>Share capital as at year end</w:t>
            </w:r>
          </w:p>
        </w:tc>
        <w:tc>
          <w:tcPr>
            <w:tcW w:w="1701" w:type="dxa"/>
            <w:tcBorders>
              <w:top w:val="single" w:sz="4" w:space="0" w:color="auto"/>
              <w:bottom w:val="single" w:sz="18" w:space="0" w:color="auto"/>
            </w:tcBorders>
            <w:vAlign w:val="center"/>
          </w:tcPr>
          <w:p w14:paraId="511290DB" w14:textId="34E0C123" w:rsidR="007E361D" w:rsidRPr="008D2EB3" w:rsidRDefault="0015393C" w:rsidP="007E361D">
            <w:pPr>
              <w:pStyle w:val="Bodytext"/>
              <w:jc w:val="right"/>
              <w:rPr>
                <w:b/>
              </w:rPr>
            </w:pPr>
            <w:r w:rsidRPr="0015393C">
              <w:rPr>
                <w:b/>
              </w:rPr>
              <w:t>1,246,559</w:t>
            </w:r>
          </w:p>
        </w:tc>
        <w:tc>
          <w:tcPr>
            <w:tcW w:w="1802" w:type="dxa"/>
            <w:tcBorders>
              <w:top w:val="single" w:sz="4" w:space="0" w:color="auto"/>
              <w:bottom w:val="single" w:sz="18" w:space="0" w:color="auto"/>
            </w:tcBorders>
          </w:tcPr>
          <w:p w14:paraId="504BF7CD" w14:textId="24CC9DA9" w:rsidR="007E361D" w:rsidRPr="00C46EC3" w:rsidRDefault="007E361D" w:rsidP="007E361D">
            <w:pPr>
              <w:pStyle w:val="Bodytext"/>
              <w:jc w:val="right"/>
            </w:pPr>
            <w:r w:rsidRPr="00A952BE">
              <w:t>1,246,559</w:t>
            </w:r>
          </w:p>
        </w:tc>
      </w:tr>
    </w:tbl>
    <w:p w14:paraId="5BFD6335" w14:textId="77777777" w:rsidR="00234DF1" w:rsidRPr="00811BA1" w:rsidRDefault="00234DF1" w:rsidP="00EB7E49">
      <w:pPr>
        <w:pStyle w:val="Bodytext"/>
        <w:ind w:left="567"/>
      </w:pPr>
    </w:p>
    <w:p w14:paraId="327A0EED" w14:textId="350C1618" w:rsidR="00234DF1" w:rsidRPr="00811BA1" w:rsidRDefault="00234DF1" w:rsidP="00C32021">
      <w:pPr>
        <w:pStyle w:val="Bodytext"/>
        <w:ind w:left="567"/>
        <w:jc w:val="both"/>
      </w:pPr>
      <w:r w:rsidRPr="00811BA1">
        <w:t xml:space="preserve">The Company has one class of Ordinary Shares. The issued nominal value of the Ordinary Shares represents 100 per cent. of the total issued nominal value of all </w:t>
      </w:r>
      <w:r w:rsidR="006B13F2">
        <w:t>s</w:t>
      </w:r>
      <w:r w:rsidR="00546CC0" w:rsidRPr="00811BA1">
        <w:t xml:space="preserve">hare </w:t>
      </w:r>
      <w:r w:rsidR="006B13F2">
        <w:t>c</w:t>
      </w:r>
      <w:r w:rsidRPr="00811BA1">
        <w:t xml:space="preserve">apital. Under the Company’s Articles of Incorporation, on a show of hands, each Shareholder present in person or by proxy has the right to one vote at general meetings. On a poll, each Shareholder is entitled to one vote for every </w:t>
      </w:r>
      <w:r w:rsidR="00546CC0">
        <w:t>S</w:t>
      </w:r>
      <w:r w:rsidR="00546CC0" w:rsidRPr="00811BA1">
        <w:t xml:space="preserve">hare </w:t>
      </w:r>
      <w:r w:rsidRPr="00811BA1">
        <w:t>held.</w:t>
      </w:r>
    </w:p>
    <w:p w14:paraId="0F9B6DCC" w14:textId="77777777" w:rsidR="0016505A" w:rsidRPr="00811BA1" w:rsidRDefault="0016505A" w:rsidP="00C32021">
      <w:pPr>
        <w:pStyle w:val="Bodytext"/>
        <w:ind w:left="567"/>
        <w:jc w:val="both"/>
      </w:pPr>
    </w:p>
    <w:p w14:paraId="58CFDA76" w14:textId="77777777" w:rsidR="00234DF1" w:rsidRPr="00811BA1" w:rsidRDefault="00234DF1" w:rsidP="00C32021">
      <w:pPr>
        <w:pStyle w:val="Bodytext"/>
        <w:ind w:left="567"/>
        <w:jc w:val="both"/>
      </w:pPr>
      <w:r w:rsidRPr="00811BA1">
        <w:t>Shareholders are entitled to all dividends paid by the Company and, on a winding up, providing the Company has satisfied all of its liabilities, the Shareholders are entitled to all of the surplus assets of the Company. The Ordinary Shares have no right to fixed income.</w:t>
      </w:r>
    </w:p>
    <w:p w14:paraId="04CCCD8F" w14:textId="3FF6A4B1" w:rsidR="00567C20" w:rsidRDefault="00567C20" w:rsidP="00C32021">
      <w:pPr>
        <w:pStyle w:val="Bodytext"/>
        <w:ind w:left="567"/>
        <w:jc w:val="both"/>
      </w:pPr>
    </w:p>
    <w:p w14:paraId="7418E78D" w14:textId="06403BB4" w:rsidR="00567C20" w:rsidRPr="00DA2C04" w:rsidRDefault="00567C20" w:rsidP="00C32021">
      <w:pPr>
        <w:pStyle w:val="Bodytext"/>
        <w:ind w:left="567"/>
        <w:jc w:val="both"/>
      </w:pPr>
      <w:r w:rsidRPr="00DA2C04">
        <w:t xml:space="preserve">On 15 October 2018, the Company announced a Tender Offer for £55.0 million in the value of the Company’s Ordinary Shares. The Company acquired 4,583,333 Ordinary Shares </w:t>
      </w:r>
      <w:r w:rsidR="00DA2C04" w:rsidRPr="00DA2C04">
        <w:t>which were cancelled on</w:t>
      </w:r>
      <w:r w:rsidRPr="00DA2C04">
        <w:t xml:space="preserve"> 23 November 2018.</w:t>
      </w:r>
    </w:p>
    <w:p w14:paraId="1CCA791F" w14:textId="77777777" w:rsidR="00AB1D92" w:rsidRPr="00DA2C04" w:rsidRDefault="00AB1D92" w:rsidP="00C32021">
      <w:pPr>
        <w:pStyle w:val="Bodytext"/>
        <w:ind w:left="567"/>
        <w:jc w:val="both"/>
      </w:pPr>
    </w:p>
    <w:p w14:paraId="198D37C2" w14:textId="7B3CBBD6" w:rsidR="002A5378" w:rsidRDefault="002A5378" w:rsidP="00C32021">
      <w:pPr>
        <w:pStyle w:val="Bodytext"/>
        <w:ind w:left="567"/>
        <w:jc w:val="both"/>
      </w:pPr>
      <w:r w:rsidRPr="00DA2C04">
        <w:t xml:space="preserve">Following </w:t>
      </w:r>
      <w:r w:rsidR="00567C20" w:rsidRPr="00DA2C04">
        <w:t>the cancellation of Ordinary Shares from the Tender Offer,</w:t>
      </w:r>
      <w:r w:rsidRPr="00DA2C04">
        <w:t xml:space="preserve"> the </w:t>
      </w:r>
      <w:r w:rsidR="000127FE" w:rsidRPr="00DA2C04">
        <w:t>s</w:t>
      </w:r>
      <w:r w:rsidR="00546CC0" w:rsidRPr="00DA2C04">
        <w:t xml:space="preserve">hare </w:t>
      </w:r>
      <w:r w:rsidRPr="00DA2C04">
        <w:t xml:space="preserve">capital of the Company is </w:t>
      </w:r>
      <w:r w:rsidR="00567C20" w:rsidRPr="00DA2C04">
        <w:t>79,896,731</w:t>
      </w:r>
      <w:r w:rsidRPr="00DA2C04">
        <w:t xml:space="preserve"> Ordinary Shares in aggregate.</w:t>
      </w:r>
    </w:p>
    <w:p w14:paraId="78325A56" w14:textId="77777777" w:rsidR="001D6337" w:rsidRDefault="001D6337" w:rsidP="00EB7E49">
      <w:pPr>
        <w:pStyle w:val="Bodytext"/>
        <w:ind w:left="567"/>
      </w:pPr>
    </w:p>
    <w:p w14:paraId="05C91BDE" w14:textId="0DC11A7F" w:rsidR="00234DF1" w:rsidRPr="00811BA1" w:rsidRDefault="00527E4F" w:rsidP="00EB7E49">
      <w:pPr>
        <w:pStyle w:val="Heading2"/>
      </w:pPr>
      <w:r>
        <w:t>9</w:t>
      </w:r>
      <w:r w:rsidR="00234DF1" w:rsidRPr="00811BA1">
        <w:t>.</w:t>
      </w:r>
      <w:r w:rsidR="00234DF1" w:rsidRPr="00811BA1">
        <w:tab/>
        <w:t>Contingent liabilities</w:t>
      </w:r>
    </w:p>
    <w:p w14:paraId="0F3ECE05" w14:textId="77777777" w:rsidR="00234DF1" w:rsidRPr="00811BA1" w:rsidRDefault="00234DF1" w:rsidP="00C32021">
      <w:pPr>
        <w:pStyle w:val="Bodytext"/>
        <w:ind w:left="567"/>
        <w:jc w:val="both"/>
      </w:pPr>
      <w:r w:rsidRPr="00811BA1">
        <w:t>Contingent liabilities are potential future cash outflows where the likelihood of payment is considered more than remote but is not considered probable or cannot be measured reliably</w:t>
      </w:r>
      <w:r w:rsidR="00060878" w:rsidRPr="00811BA1">
        <w:t>.</w:t>
      </w:r>
    </w:p>
    <w:p w14:paraId="77725C65" w14:textId="77777777" w:rsidR="00060878" w:rsidRPr="00811BA1" w:rsidRDefault="00060878" w:rsidP="00C32021">
      <w:pPr>
        <w:pStyle w:val="Bodytext"/>
        <w:ind w:left="567"/>
        <w:jc w:val="both"/>
      </w:pPr>
    </w:p>
    <w:p w14:paraId="794F92F0" w14:textId="77777777" w:rsidR="00234DF1" w:rsidRPr="00811BA1" w:rsidRDefault="00234DF1" w:rsidP="00C32021">
      <w:pPr>
        <w:pStyle w:val="Heading3"/>
        <w:ind w:left="567"/>
        <w:jc w:val="both"/>
      </w:pPr>
      <w:r w:rsidRPr="00485255">
        <w:t>Formation and initial expenses</w:t>
      </w:r>
    </w:p>
    <w:p w14:paraId="7CC4F1F4" w14:textId="6940C510" w:rsidR="00234DF1" w:rsidRDefault="00234DF1" w:rsidP="00C32021">
      <w:pPr>
        <w:pStyle w:val="Bodytext"/>
        <w:ind w:left="567"/>
        <w:jc w:val="both"/>
      </w:pPr>
      <w:r w:rsidRPr="00811BA1">
        <w:t>The formation and initial expenses of the Company totalling $</w:t>
      </w:r>
      <w:r w:rsidR="00277324">
        <w:t>22.5</w:t>
      </w:r>
      <w:r w:rsidR="00F252F6">
        <w:t xml:space="preserve"> </w:t>
      </w:r>
      <w:r w:rsidRPr="00811BA1">
        <w:t xml:space="preserve">million have been paid in full by the Investment Manager. </w:t>
      </w:r>
      <w:r w:rsidRPr="00EE08EA">
        <w:t>However, if the Investment Management Agreement is terminated by the Company on or before the seventh anniversary</w:t>
      </w:r>
      <w:r w:rsidRPr="00811BA1">
        <w:t xml:space="preserve"> of Admission (other than for a material breach by the Investment Manager attributable to its fraud)</w:t>
      </w:r>
      <w:r w:rsidR="00FF0927">
        <w:t>,</w:t>
      </w:r>
      <w:r w:rsidRPr="00811BA1">
        <w:t xml:space="preserve"> the Company will be required to reimburse the Investment Manager in respect of the formation and initial expenses of the Company and the costs and the expenses of the Issue to the full extent that such costs and expenses were borne by the Investment Manager. At this time</w:t>
      </w:r>
      <w:r w:rsidR="00E10813">
        <w:t>,</w:t>
      </w:r>
      <w:r w:rsidRPr="00811BA1">
        <w:t xml:space="preserve"> the Directors consider the likelihood of the Investment Management Agreement being terminated by the Company </w:t>
      </w:r>
      <w:r w:rsidR="00333F22">
        <w:t xml:space="preserve">on or before 27 October 2020 </w:t>
      </w:r>
      <w:r w:rsidRPr="00811BA1">
        <w:t>to be remote.</w:t>
      </w:r>
    </w:p>
    <w:p w14:paraId="37D00B2A" w14:textId="43490BD2" w:rsidR="000567DA" w:rsidRDefault="000567DA" w:rsidP="00C32021">
      <w:pPr>
        <w:pStyle w:val="Bodytext"/>
        <w:ind w:left="567"/>
        <w:jc w:val="both"/>
      </w:pPr>
    </w:p>
    <w:p w14:paraId="047154EF" w14:textId="5B10321A" w:rsidR="000567DA" w:rsidRPr="00811BA1" w:rsidRDefault="000567DA" w:rsidP="00C32021">
      <w:pPr>
        <w:pStyle w:val="Heading3"/>
        <w:ind w:left="567"/>
        <w:jc w:val="both"/>
      </w:pPr>
      <w:r>
        <w:t>Discontinuation Resolution</w:t>
      </w:r>
      <w:r w:rsidR="00DD404A">
        <w:t xml:space="preserve"> payment to General Partner</w:t>
      </w:r>
    </w:p>
    <w:p w14:paraId="64574EA7" w14:textId="74D4F79D" w:rsidR="000567DA" w:rsidRPr="00811BA1" w:rsidRDefault="000567DA" w:rsidP="00C32021">
      <w:pPr>
        <w:pStyle w:val="Bodytext"/>
        <w:ind w:left="567"/>
        <w:jc w:val="both"/>
      </w:pPr>
      <w:r>
        <w:t>If the required votes are received in favour of the Discontinuation Resolution (see Note 10), t</w:t>
      </w:r>
      <w:r w:rsidRPr="00AD7CED">
        <w:t>he General Partner will be entitled to receive a payment equal to twenty times the quarterly Management Fee payable to the Investment Manager on the basis of the Company's most recent Net Asset Value</w:t>
      </w:r>
      <w:r w:rsidR="00DD404A">
        <w:t xml:space="preserve"> (approximately</w:t>
      </w:r>
      <w:r w:rsidR="00617876">
        <w:t xml:space="preserve"> $57</w:t>
      </w:r>
      <w:r w:rsidR="00CB22B9">
        <w:t>.9</w:t>
      </w:r>
      <w:r w:rsidR="00617876">
        <w:t xml:space="preserve"> million</w:t>
      </w:r>
      <w:r w:rsidR="00DD404A">
        <w:t xml:space="preserve"> as at 31 December 2019</w:t>
      </w:r>
      <w:r w:rsidR="00617876">
        <w:t>)</w:t>
      </w:r>
      <w:r w:rsidRPr="00AD7CED">
        <w:t xml:space="preserve"> and an amount equal to the Performance Allocation due on the Company's investments on the basis, at the General Partner's option, of the latest quarterly valuation or the actual realisation value for each investment</w:t>
      </w:r>
      <w:r w:rsidR="00617876">
        <w:t xml:space="preserve"> (nil as at 31 December 2019)</w:t>
      </w:r>
      <w:r w:rsidRPr="00811BA1">
        <w:t xml:space="preserve">. At this time, </w:t>
      </w:r>
      <w:r w:rsidR="00E10813">
        <w:t xml:space="preserve">even though there is a material uncertainty in respect of the Discontinuation Resolution </w:t>
      </w:r>
      <w:r w:rsidR="00BF4E59">
        <w:t>V</w:t>
      </w:r>
      <w:r w:rsidR="00E10813">
        <w:t xml:space="preserve">ote, </w:t>
      </w:r>
      <w:r w:rsidRPr="00811BA1">
        <w:t xml:space="preserve">the Directors consider the likelihood of the </w:t>
      </w:r>
      <w:r w:rsidR="00DD404A">
        <w:t>Discontinuation Resolution being passed</w:t>
      </w:r>
      <w:r w:rsidRPr="00811BA1">
        <w:t xml:space="preserve"> to be </w:t>
      </w:r>
      <w:r w:rsidR="003B6BB9">
        <w:t>possible</w:t>
      </w:r>
      <w:r w:rsidRPr="00811BA1">
        <w:t>.</w:t>
      </w:r>
    </w:p>
    <w:p w14:paraId="2E1E4C71" w14:textId="77777777" w:rsidR="001D6337" w:rsidRPr="00811BA1" w:rsidRDefault="001D6337" w:rsidP="00EB7E49">
      <w:pPr>
        <w:pStyle w:val="Bodytext"/>
        <w:ind w:left="567"/>
      </w:pPr>
    </w:p>
    <w:p w14:paraId="7F7F22DB" w14:textId="4A3D46E0" w:rsidR="00234DF1" w:rsidRPr="00811BA1" w:rsidRDefault="000B696A" w:rsidP="00EB7E49">
      <w:pPr>
        <w:pStyle w:val="Heading2"/>
      </w:pPr>
      <w:r w:rsidRPr="00811BA1">
        <w:t>1</w:t>
      </w:r>
      <w:r w:rsidR="00527E4F">
        <w:t>0</w:t>
      </w:r>
      <w:r w:rsidR="00234DF1" w:rsidRPr="00811BA1">
        <w:t>.</w:t>
      </w:r>
      <w:r w:rsidR="00234DF1" w:rsidRPr="00811BA1">
        <w:tab/>
        <w:t>Related party transactions</w:t>
      </w:r>
    </w:p>
    <w:p w14:paraId="4B69228B" w14:textId="77777777" w:rsidR="00234DF1" w:rsidRPr="00811BA1" w:rsidRDefault="00234DF1" w:rsidP="00C32021">
      <w:pPr>
        <w:pStyle w:val="Bodytext"/>
        <w:ind w:left="567"/>
        <w:jc w:val="both"/>
      </w:pPr>
      <w:r w:rsidRPr="00811BA1">
        <w:t>Parties are considered to be related if one party has the ability to control the other party or exercise significant influence over the party in making financial or operational decisions.</w:t>
      </w:r>
    </w:p>
    <w:p w14:paraId="1B5F196C" w14:textId="77777777" w:rsidR="00060878" w:rsidRPr="00811BA1" w:rsidRDefault="00060878" w:rsidP="00C32021">
      <w:pPr>
        <w:pStyle w:val="Bodytext"/>
        <w:ind w:left="567"/>
        <w:jc w:val="both"/>
      </w:pPr>
    </w:p>
    <w:p w14:paraId="2A5EFF6E" w14:textId="77777777" w:rsidR="00234DF1" w:rsidRPr="00811BA1" w:rsidRDefault="00234DF1" w:rsidP="00C32021">
      <w:pPr>
        <w:pStyle w:val="Heading3"/>
        <w:ind w:left="567"/>
        <w:jc w:val="both"/>
      </w:pPr>
      <w:r w:rsidRPr="00811BA1">
        <w:t>Directors</w:t>
      </w:r>
    </w:p>
    <w:p w14:paraId="1979E579" w14:textId="5DB7560D" w:rsidR="00234DF1" w:rsidRPr="00811BA1" w:rsidRDefault="00234DF1" w:rsidP="00C32021">
      <w:pPr>
        <w:pStyle w:val="Bodytext"/>
        <w:ind w:left="567"/>
        <w:jc w:val="both"/>
      </w:pPr>
      <w:r w:rsidRPr="00811BA1">
        <w:t xml:space="preserve">The Company has </w:t>
      </w:r>
      <w:r w:rsidR="003F7D93" w:rsidRPr="00811BA1">
        <w:t>eight</w:t>
      </w:r>
      <w:r w:rsidRPr="00811BA1">
        <w:t xml:space="preserve"> </w:t>
      </w:r>
      <w:r w:rsidR="00906A32">
        <w:t>N</w:t>
      </w:r>
      <w:r w:rsidRPr="00811BA1">
        <w:t>on-executive Directors</w:t>
      </w:r>
      <w:r w:rsidR="00D15581" w:rsidRPr="00811BA1">
        <w:t xml:space="preserve"> (</w:t>
      </w:r>
      <w:r w:rsidR="00610498">
        <w:t>31 December 201</w:t>
      </w:r>
      <w:r w:rsidR="006F4A06">
        <w:t>8</w:t>
      </w:r>
      <w:r w:rsidR="001F56C5" w:rsidRPr="00811BA1">
        <w:t xml:space="preserve">: </w:t>
      </w:r>
      <w:r w:rsidR="001D0017">
        <w:t>eight</w:t>
      </w:r>
      <w:r w:rsidR="00D15581" w:rsidRPr="00811BA1">
        <w:t>)</w:t>
      </w:r>
      <w:r w:rsidRPr="00811BA1">
        <w:t xml:space="preserve">. The Chairman is entitled to annual remuneration </w:t>
      </w:r>
      <w:r w:rsidRPr="00743A19">
        <w:t>of £</w:t>
      </w:r>
      <w:r w:rsidR="004A1B58" w:rsidRPr="00743A19">
        <w:t>1</w:t>
      </w:r>
      <w:r w:rsidR="00D71302">
        <w:t>32</w:t>
      </w:r>
      <w:r w:rsidR="004A1B58" w:rsidRPr="00743A19">
        <w:t>,000</w:t>
      </w:r>
      <w:r w:rsidR="00D15581" w:rsidRPr="00811BA1">
        <w:t xml:space="preserve"> (</w:t>
      </w:r>
      <w:r w:rsidR="00610498">
        <w:t>31 December 201</w:t>
      </w:r>
      <w:r w:rsidR="006F4A06">
        <w:t>8</w:t>
      </w:r>
      <w:r w:rsidR="00D15581" w:rsidRPr="00811BA1">
        <w:t xml:space="preserve">: </w:t>
      </w:r>
      <w:r w:rsidR="00D15581" w:rsidRPr="00AA0D1D">
        <w:t>£1</w:t>
      </w:r>
      <w:r w:rsidR="00E0068A">
        <w:t>32</w:t>
      </w:r>
      <w:r w:rsidR="00D15581" w:rsidRPr="00AA0D1D">
        <w:t>,000</w:t>
      </w:r>
      <w:r w:rsidR="00D15581" w:rsidRPr="00811BA1">
        <w:t>)</w:t>
      </w:r>
      <w:r w:rsidRPr="00811BA1">
        <w:t>.</w:t>
      </w:r>
      <w:r w:rsidR="007613A5" w:rsidRPr="007613A5">
        <w:t xml:space="preserve"> </w:t>
      </w:r>
      <w:r w:rsidR="007613A5">
        <w:t xml:space="preserve">The Chairman of the </w:t>
      </w:r>
      <w:r w:rsidR="00D71302">
        <w:t xml:space="preserve">Audit </w:t>
      </w:r>
      <w:r w:rsidR="007613A5">
        <w:t>Committee is entitled to annual remuneration of £</w:t>
      </w:r>
      <w:r w:rsidR="00D71302">
        <w:t>82</w:t>
      </w:r>
      <w:r w:rsidR="007613A5">
        <w:t>,</w:t>
      </w:r>
      <w:r w:rsidR="00D71302">
        <w:t xml:space="preserve">500 </w:t>
      </w:r>
      <w:r w:rsidR="007613A5">
        <w:t>(</w:t>
      </w:r>
      <w:r w:rsidR="00610498">
        <w:t>31 December 201</w:t>
      </w:r>
      <w:r w:rsidR="006F4A06">
        <w:t>8</w:t>
      </w:r>
      <w:r w:rsidR="007613A5">
        <w:t>: £</w:t>
      </w:r>
      <w:r w:rsidR="00E0068A">
        <w:t>82,5</w:t>
      </w:r>
      <w:r w:rsidR="007613A5">
        <w:t xml:space="preserve">00) and the Chairman of the </w:t>
      </w:r>
      <w:r w:rsidR="00D71302">
        <w:t>Management Engagement</w:t>
      </w:r>
      <w:r w:rsidR="007613A5">
        <w:t xml:space="preserve"> Committee is entitled to annual remuneration of £</w:t>
      </w:r>
      <w:r w:rsidR="00D71302">
        <w:t>71</w:t>
      </w:r>
      <w:r w:rsidR="007613A5">
        <w:t>,</w:t>
      </w:r>
      <w:r w:rsidR="00D71302">
        <w:t xml:space="preserve">500 </w:t>
      </w:r>
      <w:r w:rsidR="007613A5">
        <w:t>(</w:t>
      </w:r>
      <w:r w:rsidR="00610498">
        <w:t>31 December 201</w:t>
      </w:r>
      <w:r w:rsidR="006F4A06">
        <w:t>8</w:t>
      </w:r>
      <w:r w:rsidR="007613A5">
        <w:t>: £</w:t>
      </w:r>
      <w:r w:rsidR="00E0068A">
        <w:t>71,5</w:t>
      </w:r>
      <w:r w:rsidR="007613A5">
        <w:t>00).</w:t>
      </w:r>
      <w:r w:rsidRPr="00811BA1">
        <w:t xml:space="preserve"> The other independent Directors are entitled to annual remuneration of £</w:t>
      </w:r>
      <w:r w:rsidR="00D71302" w:rsidRPr="00811BA1">
        <w:t>6</w:t>
      </w:r>
      <w:r w:rsidR="00D71302">
        <w:t>6</w:t>
      </w:r>
      <w:r w:rsidR="004A1B58" w:rsidRPr="00811BA1">
        <w:t>,000</w:t>
      </w:r>
      <w:r w:rsidR="00D15581" w:rsidRPr="00811BA1">
        <w:t xml:space="preserve"> (</w:t>
      </w:r>
      <w:r w:rsidR="00610498">
        <w:t>31 December 201</w:t>
      </w:r>
      <w:r w:rsidR="006F4A06">
        <w:t>8</w:t>
      </w:r>
      <w:r w:rsidR="00D15581" w:rsidRPr="00811BA1">
        <w:t xml:space="preserve">: </w:t>
      </w:r>
      <w:r w:rsidR="00E0068A">
        <w:t>£66</w:t>
      </w:r>
      <w:r w:rsidR="001D0017" w:rsidRPr="00811BA1">
        <w:t>,000)</w:t>
      </w:r>
      <w:r w:rsidRPr="00811BA1">
        <w:t xml:space="preserve">. The </w:t>
      </w:r>
      <w:r w:rsidR="003F7D93" w:rsidRPr="00AA0D1D">
        <w:t>three</w:t>
      </w:r>
      <w:r w:rsidRPr="00811BA1">
        <w:t xml:space="preserve"> non-independent Directors </w:t>
      </w:r>
      <w:r w:rsidR="00B10C8A" w:rsidRPr="00811BA1">
        <w:t>(</w:t>
      </w:r>
      <w:r w:rsidR="00610498">
        <w:t>31 December 201</w:t>
      </w:r>
      <w:r w:rsidR="006F4A06">
        <w:t>8</w:t>
      </w:r>
      <w:r w:rsidR="00B10C8A" w:rsidRPr="00811BA1">
        <w:t xml:space="preserve">: </w:t>
      </w:r>
      <w:r w:rsidR="001D0017">
        <w:t>three</w:t>
      </w:r>
      <w:r w:rsidR="00B10C8A" w:rsidRPr="00811BA1">
        <w:t xml:space="preserve">) </w:t>
      </w:r>
      <w:r w:rsidRPr="00811BA1">
        <w:t>have chosen not to be remunerated by the Company for their services.</w:t>
      </w:r>
    </w:p>
    <w:p w14:paraId="74650382" w14:textId="77777777" w:rsidR="00066FCC" w:rsidRPr="00811BA1" w:rsidRDefault="00066FCC" w:rsidP="00C32021">
      <w:pPr>
        <w:pStyle w:val="Bodytext"/>
        <w:ind w:left="567"/>
        <w:jc w:val="both"/>
      </w:pPr>
    </w:p>
    <w:p w14:paraId="6244870A" w14:textId="3074BDE0" w:rsidR="00234DF1" w:rsidRPr="00811BA1" w:rsidRDefault="00234DF1" w:rsidP="00C32021">
      <w:pPr>
        <w:pStyle w:val="Bodytext"/>
        <w:ind w:left="567"/>
        <w:jc w:val="both"/>
      </w:pPr>
      <w:r w:rsidRPr="00811BA1">
        <w:t xml:space="preserve">Directors’ fees and expenses for the year ended </w:t>
      </w:r>
      <w:r w:rsidR="00610498">
        <w:t>31 December 201</w:t>
      </w:r>
      <w:r w:rsidR="004213ED">
        <w:t>9</w:t>
      </w:r>
      <w:r w:rsidRPr="00811BA1">
        <w:t xml:space="preserve"> </w:t>
      </w:r>
      <w:r w:rsidR="00773A54" w:rsidRPr="00811BA1">
        <w:t xml:space="preserve">amounted to </w:t>
      </w:r>
      <w:r w:rsidR="00BC5A90" w:rsidRPr="00811BA1">
        <w:t>$</w:t>
      </w:r>
      <w:r w:rsidR="003A4D6D">
        <w:t>1,144,166</w:t>
      </w:r>
      <w:r w:rsidR="00BC5A90" w:rsidRPr="00811BA1">
        <w:t xml:space="preserve"> </w:t>
      </w:r>
      <w:r w:rsidR="00B10C8A" w:rsidRPr="00811BA1">
        <w:t>(</w:t>
      </w:r>
      <w:r w:rsidR="00610498">
        <w:t>31 December 201</w:t>
      </w:r>
      <w:r w:rsidR="006F4A06">
        <w:t>8</w:t>
      </w:r>
      <w:r w:rsidR="00B10C8A" w:rsidRPr="00811BA1">
        <w:t xml:space="preserve">: </w:t>
      </w:r>
      <w:r w:rsidRPr="00811BA1">
        <w:t>$</w:t>
      </w:r>
      <w:r w:rsidR="006F4A06">
        <w:t>1,077,392</w:t>
      </w:r>
      <w:r w:rsidR="00B10C8A" w:rsidRPr="00811BA1">
        <w:t>)</w:t>
      </w:r>
      <w:r w:rsidR="00773A54" w:rsidRPr="00811BA1">
        <w:t>,</w:t>
      </w:r>
      <w:r w:rsidRPr="00811BA1">
        <w:t xml:space="preserve"> </w:t>
      </w:r>
      <w:r w:rsidR="00BC5A90" w:rsidRPr="00811BA1">
        <w:t>$</w:t>
      </w:r>
      <w:r w:rsidR="003A4D6D">
        <w:t>Nil</w:t>
      </w:r>
      <w:r w:rsidR="00BC5A90">
        <w:t xml:space="preserve"> </w:t>
      </w:r>
      <w:r w:rsidR="00C9151D" w:rsidRPr="004213ED">
        <w:t>of Directors’ expenses were</w:t>
      </w:r>
      <w:r w:rsidRPr="004213ED">
        <w:t xml:space="preserve"> outstanding</w:t>
      </w:r>
      <w:r w:rsidRPr="00811BA1">
        <w:t xml:space="preserve"> at year</w:t>
      </w:r>
      <w:r w:rsidR="002F75DD">
        <w:t>-</w:t>
      </w:r>
      <w:r w:rsidRPr="00811BA1">
        <w:t>end</w:t>
      </w:r>
      <w:r w:rsidR="00B10C8A" w:rsidRPr="00811BA1">
        <w:t xml:space="preserve"> (</w:t>
      </w:r>
      <w:r w:rsidR="00610498">
        <w:t>31 December 201</w:t>
      </w:r>
      <w:r w:rsidR="006F4A06">
        <w:t>8</w:t>
      </w:r>
      <w:r w:rsidR="00B10C8A" w:rsidRPr="00811BA1">
        <w:t xml:space="preserve">: </w:t>
      </w:r>
      <w:r w:rsidR="00E0068A" w:rsidRPr="00811BA1">
        <w:t>$</w:t>
      </w:r>
      <w:r w:rsidR="006F4A06">
        <w:t>Nil</w:t>
      </w:r>
      <w:r w:rsidR="00B10C8A" w:rsidRPr="00811BA1">
        <w:t>).</w:t>
      </w:r>
    </w:p>
    <w:p w14:paraId="79FD6B5D" w14:textId="77777777" w:rsidR="00066FCC" w:rsidRPr="00811BA1" w:rsidRDefault="00066FCC" w:rsidP="00C32021">
      <w:pPr>
        <w:pStyle w:val="Bodytext"/>
        <w:ind w:left="567"/>
        <w:jc w:val="both"/>
      </w:pPr>
    </w:p>
    <w:p w14:paraId="0A0CBBBC" w14:textId="7BB95D8F" w:rsidR="00234DF1" w:rsidRPr="00811BA1" w:rsidRDefault="00234DF1" w:rsidP="00C32021">
      <w:pPr>
        <w:pStyle w:val="Bodytext"/>
        <w:ind w:left="567"/>
        <w:jc w:val="both"/>
      </w:pPr>
      <w:r w:rsidRPr="00811BA1">
        <w:t xml:space="preserve">Messrs Lapeyre and Leuschen are senior executives of Riverstone and have direct or indirect economic interests in affiliates and/or related parties of the Investment Manager, which holds the founder Ordinary Share of the Company, the General Partner, the general partner of Fund V, Riverstone Equity Partners, </w:t>
      </w:r>
      <w:r w:rsidRPr="00811BA1">
        <w:lastRenderedPageBreak/>
        <w:t>Riverston</w:t>
      </w:r>
      <w:r w:rsidRPr="004F2DD5">
        <w:t xml:space="preserve">e Investment Group LLC, REL Coinvestment, LP and Other Riverstone Funds. REL Coinvestment, LP </w:t>
      </w:r>
      <w:r w:rsidR="00F3022B" w:rsidRPr="004F2DD5">
        <w:t xml:space="preserve">was </w:t>
      </w:r>
      <w:r w:rsidRPr="004F2DD5">
        <w:t>subject to lock-up restrictions for two years from admission.</w:t>
      </w:r>
    </w:p>
    <w:p w14:paraId="258AD2F8" w14:textId="77777777" w:rsidR="00066FCC" w:rsidRPr="00811BA1" w:rsidRDefault="00066FCC" w:rsidP="00C32021">
      <w:pPr>
        <w:pStyle w:val="Bodytext"/>
        <w:ind w:left="567"/>
        <w:jc w:val="both"/>
      </w:pPr>
    </w:p>
    <w:p w14:paraId="35A96D25" w14:textId="77777777" w:rsidR="00234DF1" w:rsidRPr="00811BA1" w:rsidRDefault="00234DF1" w:rsidP="00C32021">
      <w:pPr>
        <w:pStyle w:val="Bodytext"/>
        <w:ind w:left="567"/>
        <w:jc w:val="both"/>
      </w:pPr>
      <w:r w:rsidRPr="00811BA1">
        <w:t>Messrs Barker and Hayden have direct or indirect economic interests in Other Riverstone Funds as investors.</w:t>
      </w:r>
    </w:p>
    <w:p w14:paraId="3FCD021A" w14:textId="77777777" w:rsidR="00234DF1" w:rsidRPr="00811BA1" w:rsidRDefault="00234DF1" w:rsidP="00EB7E49">
      <w:pPr>
        <w:pStyle w:val="Bodytext"/>
        <w:ind w:left="567"/>
      </w:pPr>
    </w:p>
    <w:p w14:paraId="36D67B3C" w14:textId="77777777" w:rsidR="00234DF1" w:rsidRPr="00811BA1" w:rsidRDefault="00234DF1" w:rsidP="00EB7E49">
      <w:pPr>
        <w:pStyle w:val="Heading3"/>
        <w:ind w:left="567"/>
      </w:pPr>
      <w:r w:rsidRPr="00811BA1">
        <w:t>Investment Manager</w:t>
      </w:r>
    </w:p>
    <w:p w14:paraId="5D4273D4" w14:textId="3C1FD8BB" w:rsidR="00234DF1" w:rsidRPr="00811BA1" w:rsidRDefault="00234DF1" w:rsidP="00C32021">
      <w:pPr>
        <w:pStyle w:val="Bodytext"/>
        <w:ind w:left="567"/>
        <w:jc w:val="both"/>
      </w:pPr>
      <w:r w:rsidRPr="004E4F51">
        <w:t xml:space="preserve">The Investment Manager, an affiliate of Riverstone, provides advice to the Company </w:t>
      </w:r>
      <w:r w:rsidR="00077933" w:rsidRPr="004E4F51">
        <w:t xml:space="preserve">and the Partnership </w:t>
      </w:r>
      <w:r w:rsidRPr="004E4F51">
        <w:t>on the origination and completion of new investments, on the management of the portfolio and on realisations, as well as on funding requirements</w:t>
      </w:r>
      <w:r w:rsidR="001121AF" w:rsidRPr="004E4F51">
        <w:t>, subject to Board approval</w:t>
      </w:r>
      <w:r w:rsidRPr="004E4F51">
        <w:t>. For</w:t>
      </w:r>
      <w:r w:rsidRPr="00811BA1">
        <w:t xml:space="preserve"> the provision of services under the Investment Management Agreement, the Investment Manager is paid in cash out of the assets of the Partnership an annual Management Fee equal to 1.5 per cent. </w:t>
      </w:r>
      <w:bookmarkStart w:id="37" w:name="_Hlk36213182"/>
      <w:r w:rsidRPr="00811BA1">
        <w:t>per annum of the Company’s Net Asset Value</w:t>
      </w:r>
      <w:r w:rsidR="00036EF7">
        <w:t xml:space="preserve"> (including cash)</w:t>
      </w:r>
      <w:bookmarkEnd w:id="37"/>
      <w:r w:rsidRPr="00811BA1">
        <w:t xml:space="preserve">. The fee is payable quarterly in arrears and each payment is calculated using the quarterly Net Asset Value as at the relevant quarter end. </w:t>
      </w:r>
    </w:p>
    <w:p w14:paraId="59626D59" w14:textId="77777777" w:rsidR="00E43422" w:rsidRPr="00811BA1" w:rsidRDefault="00E43422" w:rsidP="00C32021">
      <w:pPr>
        <w:pStyle w:val="Bodytext"/>
        <w:ind w:left="567"/>
        <w:jc w:val="both"/>
      </w:pPr>
    </w:p>
    <w:p w14:paraId="3009C74D" w14:textId="77777777" w:rsidR="00234DF1" w:rsidRPr="00811BA1" w:rsidRDefault="00234DF1" w:rsidP="00C32021">
      <w:pPr>
        <w:pStyle w:val="Bodytext"/>
        <w:ind w:left="567"/>
        <w:jc w:val="both"/>
      </w:pPr>
      <w:r w:rsidRPr="00811BA1">
        <w:t>The Investment Manager has agreed to deduct from its annual Management Fee all fees, travel costs and related expenses of the Directors exceeding the following annual limits:</w:t>
      </w:r>
    </w:p>
    <w:p w14:paraId="022F91E5" w14:textId="77777777" w:rsidR="00E43422" w:rsidRPr="00811BA1" w:rsidRDefault="00E43422" w:rsidP="00EB7E49">
      <w:pPr>
        <w:pStyle w:val="Bodytext"/>
        <w:ind w:left="567"/>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497"/>
        <w:gridCol w:w="4561"/>
      </w:tblGrid>
      <w:tr w:rsidR="002904AB" w:rsidRPr="00811BA1" w14:paraId="7E0D4E65" w14:textId="77777777" w:rsidTr="00BC5A90">
        <w:tc>
          <w:tcPr>
            <w:tcW w:w="4497" w:type="dxa"/>
            <w:tcBorders>
              <w:bottom w:val="single" w:sz="4" w:space="0" w:color="auto"/>
            </w:tcBorders>
            <w:vAlign w:val="bottom"/>
          </w:tcPr>
          <w:p w14:paraId="75FCA527" w14:textId="77777777" w:rsidR="002904AB" w:rsidRPr="00811BA1" w:rsidRDefault="002904AB" w:rsidP="00EB7E49">
            <w:pPr>
              <w:pStyle w:val="Bodytext"/>
              <w:rPr>
                <w:b/>
              </w:rPr>
            </w:pPr>
            <w:r w:rsidRPr="00811BA1">
              <w:rPr>
                <w:b/>
              </w:rPr>
              <w:t>Portion of NAV</w:t>
            </w:r>
          </w:p>
        </w:tc>
        <w:tc>
          <w:tcPr>
            <w:tcW w:w="4561" w:type="dxa"/>
            <w:tcBorders>
              <w:bottom w:val="single" w:sz="4" w:space="0" w:color="auto"/>
            </w:tcBorders>
            <w:vAlign w:val="bottom"/>
          </w:tcPr>
          <w:p w14:paraId="7858B464" w14:textId="77777777" w:rsidR="002904AB" w:rsidRPr="00811BA1" w:rsidRDefault="002904AB" w:rsidP="00EB7E49">
            <w:pPr>
              <w:pStyle w:val="Bodytext"/>
              <w:rPr>
                <w:b/>
              </w:rPr>
            </w:pPr>
            <w:r w:rsidRPr="00811BA1">
              <w:rPr>
                <w:b/>
              </w:rPr>
              <w:t>Limit (as a percentage of the then last published NAV)</w:t>
            </w:r>
          </w:p>
        </w:tc>
      </w:tr>
      <w:tr w:rsidR="002904AB" w:rsidRPr="00811BA1" w14:paraId="0017D6F4" w14:textId="77777777" w:rsidTr="00BC5A90">
        <w:tc>
          <w:tcPr>
            <w:tcW w:w="4497" w:type="dxa"/>
            <w:tcBorders>
              <w:top w:val="single" w:sz="4" w:space="0" w:color="auto"/>
              <w:bottom w:val="single" w:sz="4" w:space="0" w:color="auto"/>
            </w:tcBorders>
          </w:tcPr>
          <w:p w14:paraId="5F857273" w14:textId="77777777" w:rsidR="002904AB" w:rsidRPr="00811BA1" w:rsidRDefault="002904AB" w:rsidP="00EB7E49">
            <w:pPr>
              <w:pStyle w:val="Bodytext"/>
            </w:pPr>
            <w:r w:rsidRPr="00811BA1">
              <w:t>Up to and including £500 million</w:t>
            </w:r>
          </w:p>
        </w:tc>
        <w:tc>
          <w:tcPr>
            <w:tcW w:w="4561" w:type="dxa"/>
            <w:tcBorders>
              <w:top w:val="single" w:sz="4" w:space="0" w:color="auto"/>
              <w:bottom w:val="single" w:sz="4" w:space="0" w:color="auto"/>
            </w:tcBorders>
          </w:tcPr>
          <w:p w14:paraId="1D848610" w14:textId="77777777" w:rsidR="002904AB" w:rsidRPr="00811BA1" w:rsidRDefault="002904AB" w:rsidP="00EB7E49">
            <w:pPr>
              <w:pStyle w:val="Bodytext"/>
            </w:pPr>
            <w:r w:rsidRPr="00811BA1">
              <w:t>0.084 per cent.</w:t>
            </w:r>
          </w:p>
        </w:tc>
      </w:tr>
      <w:tr w:rsidR="002904AB" w:rsidRPr="00811BA1" w14:paraId="55A1780F" w14:textId="77777777" w:rsidTr="00BC5A90">
        <w:tc>
          <w:tcPr>
            <w:tcW w:w="4497" w:type="dxa"/>
            <w:tcBorders>
              <w:top w:val="single" w:sz="4" w:space="0" w:color="auto"/>
              <w:bottom w:val="single" w:sz="4" w:space="0" w:color="auto"/>
            </w:tcBorders>
          </w:tcPr>
          <w:p w14:paraId="2D9DF887" w14:textId="77777777" w:rsidR="002904AB" w:rsidRPr="00811BA1" w:rsidRDefault="002904AB" w:rsidP="00EB7E49">
            <w:pPr>
              <w:pStyle w:val="Bodytext"/>
            </w:pPr>
            <w:r w:rsidRPr="00811BA1">
              <w:t>From £500 million to and including £600 million</w:t>
            </w:r>
          </w:p>
        </w:tc>
        <w:tc>
          <w:tcPr>
            <w:tcW w:w="4561" w:type="dxa"/>
            <w:tcBorders>
              <w:top w:val="single" w:sz="4" w:space="0" w:color="auto"/>
              <w:bottom w:val="single" w:sz="4" w:space="0" w:color="auto"/>
            </w:tcBorders>
          </w:tcPr>
          <w:p w14:paraId="20541B21" w14:textId="77777777" w:rsidR="002904AB" w:rsidRPr="00811BA1" w:rsidRDefault="002904AB" w:rsidP="00EB7E49">
            <w:pPr>
              <w:pStyle w:val="Bodytext"/>
            </w:pPr>
            <w:r w:rsidRPr="00811BA1">
              <w:t>0.084 per cent. at £500 million and thereafter adjusted downwards proportionately to NAV to 0.07 per cent. at £600 million</w:t>
            </w:r>
          </w:p>
        </w:tc>
      </w:tr>
      <w:tr w:rsidR="002904AB" w:rsidRPr="00811BA1" w14:paraId="55B583A8" w14:textId="77777777" w:rsidTr="00BC5A90">
        <w:tc>
          <w:tcPr>
            <w:tcW w:w="4497" w:type="dxa"/>
            <w:tcBorders>
              <w:top w:val="single" w:sz="4" w:space="0" w:color="auto"/>
              <w:bottom w:val="single" w:sz="4" w:space="0" w:color="auto"/>
            </w:tcBorders>
          </w:tcPr>
          <w:p w14:paraId="2E87C4B2" w14:textId="77777777" w:rsidR="002904AB" w:rsidRPr="00811BA1" w:rsidRDefault="002904AB" w:rsidP="00EB7E49">
            <w:pPr>
              <w:pStyle w:val="Bodytext"/>
            </w:pPr>
            <w:r w:rsidRPr="00811BA1">
              <w:t>From £600 million to and including £700 million</w:t>
            </w:r>
          </w:p>
        </w:tc>
        <w:tc>
          <w:tcPr>
            <w:tcW w:w="4561" w:type="dxa"/>
            <w:tcBorders>
              <w:top w:val="single" w:sz="4" w:space="0" w:color="auto"/>
              <w:bottom w:val="single" w:sz="4" w:space="0" w:color="auto"/>
            </w:tcBorders>
          </w:tcPr>
          <w:p w14:paraId="2991B410" w14:textId="77777777" w:rsidR="002904AB" w:rsidRPr="00811BA1" w:rsidRDefault="002904AB" w:rsidP="00EB7E49">
            <w:pPr>
              <w:pStyle w:val="Bodytext"/>
            </w:pPr>
            <w:r w:rsidRPr="00811BA1">
              <w:t>0.07 per cent. at £600 million and thereafter adjusted downwards proportionately to NAV to 0.06 per cent. at £700 million</w:t>
            </w:r>
          </w:p>
        </w:tc>
      </w:tr>
      <w:tr w:rsidR="002904AB" w:rsidRPr="00811BA1" w14:paraId="20EF1F48" w14:textId="77777777" w:rsidTr="00BC5A90">
        <w:tc>
          <w:tcPr>
            <w:tcW w:w="4497" w:type="dxa"/>
            <w:tcBorders>
              <w:top w:val="single" w:sz="4" w:space="0" w:color="auto"/>
              <w:bottom w:val="single" w:sz="18" w:space="0" w:color="auto"/>
            </w:tcBorders>
          </w:tcPr>
          <w:p w14:paraId="2F88A690" w14:textId="77777777" w:rsidR="002904AB" w:rsidRPr="00811BA1" w:rsidRDefault="002904AB" w:rsidP="00EB7E49">
            <w:pPr>
              <w:pStyle w:val="Bodytext"/>
            </w:pPr>
            <w:r w:rsidRPr="00811BA1">
              <w:t>Above £700 million</w:t>
            </w:r>
          </w:p>
        </w:tc>
        <w:tc>
          <w:tcPr>
            <w:tcW w:w="4561" w:type="dxa"/>
            <w:tcBorders>
              <w:top w:val="single" w:sz="4" w:space="0" w:color="auto"/>
              <w:bottom w:val="single" w:sz="18" w:space="0" w:color="auto"/>
            </w:tcBorders>
          </w:tcPr>
          <w:p w14:paraId="286AB6AF" w14:textId="77777777" w:rsidR="002904AB" w:rsidRPr="00811BA1" w:rsidRDefault="002904AB" w:rsidP="00EB7E49">
            <w:pPr>
              <w:pStyle w:val="Bodytext"/>
            </w:pPr>
            <w:r w:rsidRPr="00811BA1">
              <w:t>0.06 per cent.</w:t>
            </w:r>
          </w:p>
        </w:tc>
      </w:tr>
    </w:tbl>
    <w:p w14:paraId="108FE07B" w14:textId="77777777" w:rsidR="00234DF1" w:rsidRPr="00811BA1" w:rsidRDefault="00234DF1" w:rsidP="00EB7E49">
      <w:pPr>
        <w:pStyle w:val="Bodytext"/>
        <w:ind w:left="567"/>
      </w:pPr>
    </w:p>
    <w:p w14:paraId="7AA3818F" w14:textId="384B0692" w:rsidR="00234DF1" w:rsidRPr="00811BA1" w:rsidRDefault="00234DF1" w:rsidP="00C32021">
      <w:pPr>
        <w:pStyle w:val="Bodytext"/>
        <w:ind w:left="567"/>
        <w:jc w:val="both"/>
      </w:pPr>
      <w:r w:rsidRPr="00811BA1">
        <w:t xml:space="preserve">The above limits are subject to adjustment by agreement between the Investment Manager and the Company acting by its independent Directors. Based on the last published NAV as of </w:t>
      </w:r>
      <w:r w:rsidR="00610498">
        <w:t>31 December 201</w:t>
      </w:r>
      <w:r w:rsidR="00414DCB">
        <w:t>9</w:t>
      </w:r>
      <w:r w:rsidRPr="00811BA1">
        <w:t xml:space="preserve">, the maximum amount of annual fees, travel and related expenses of the Directors is </w:t>
      </w:r>
      <w:r w:rsidR="00805BA6" w:rsidRPr="00811BA1">
        <w:t>$</w:t>
      </w:r>
      <w:r w:rsidR="00C51149">
        <w:t>639,982</w:t>
      </w:r>
      <w:r w:rsidR="00805BA6" w:rsidRPr="00811BA1">
        <w:t xml:space="preserve"> </w:t>
      </w:r>
      <w:r w:rsidR="004A1B58" w:rsidRPr="00811BA1">
        <w:t>(</w:t>
      </w:r>
      <w:r w:rsidR="00610498">
        <w:t>31 December 201</w:t>
      </w:r>
      <w:r w:rsidR="00414DCB">
        <w:t>8</w:t>
      </w:r>
      <w:r w:rsidR="004A1B58" w:rsidRPr="00811BA1">
        <w:t>: $</w:t>
      </w:r>
      <w:r w:rsidR="00414DCB">
        <w:t>1,231,550</w:t>
      </w:r>
      <w:r w:rsidR="004A1B58" w:rsidRPr="00811BA1">
        <w:t>)</w:t>
      </w:r>
      <w:r w:rsidRPr="00811BA1">
        <w:t xml:space="preserve">. During the year ended </w:t>
      </w:r>
      <w:r w:rsidR="00610498">
        <w:t>31 December 201</w:t>
      </w:r>
      <w:r w:rsidR="00414DCB">
        <w:t>9</w:t>
      </w:r>
      <w:r w:rsidRPr="00811BA1">
        <w:t xml:space="preserve">, fees and expenses of the Directors amounted to </w:t>
      </w:r>
      <w:r w:rsidR="00805BA6" w:rsidRPr="00811BA1">
        <w:t>$</w:t>
      </w:r>
      <w:r w:rsidR="00C51149">
        <w:t>1,090,830</w:t>
      </w:r>
      <w:r w:rsidR="00805BA6" w:rsidRPr="00811BA1">
        <w:t xml:space="preserve"> </w:t>
      </w:r>
      <w:r w:rsidR="004A1B58" w:rsidRPr="00811BA1">
        <w:t>(</w:t>
      </w:r>
      <w:r w:rsidR="00610498">
        <w:t xml:space="preserve">31 </w:t>
      </w:r>
      <w:r w:rsidR="00610498" w:rsidRPr="00C51149">
        <w:t>December 201</w:t>
      </w:r>
      <w:r w:rsidR="00414DCB" w:rsidRPr="00C51149">
        <w:t>8</w:t>
      </w:r>
      <w:r w:rsidR="004A1B58" w:rsidRPr="00C51149">
        <w:t>: $</w:t>
      </w:r>
      <w:r w:rsidR="00414DCB" w:rsidRPr="00C51149">
        <w:t>1,077,392</w:t>
      </w:r>
      <w:r w:rsidR="004A1B58" w:rsidRPr="00C51149">
        <w:t>)</w:t>
      </w:r>
      <w:r w:rsidR="00BD1F7B" w:rsidRPr="00C51149">
        <w:t xml:space="preserve">, </w:t>
      </w:r>
      <w:r w:rsidR="00C51149">
        <w:t>resulting in a</w:t>
      </w:r>
      <w:r w:rsidR="00BD1F7B" w:rsidRPr="00C51149">
        <w:t xml:space="preserve"> </w:t>
      </w:r>
      <w:r w:rsidR="00F238B9" w:rsidRPr="00C51149">
        <w:t>reduction</w:t>
      </w:r>
      <w:r w:rsidR="00C51149" w:rsidRPr="00C51149">
        <w:t xml:space="preserve"> of $450,848</w:t>
      </w:r>
      <w:r w:rsidR="00F238B9" w:rsidRPr="00C51149">
        <w:t xml:space="preserve"> </w:t>
      </w:r>
      <w:r w:rsidR="00C51149">
        <w:t>to</w:t>
      </w:r>
      <w:r w:rsidRPr="00C51149">
        <w:t xml:space="preserve"> the </w:t>
      </w:r>
      <w:r w:rsidR="00610498" w:rsidRPr="00C51149">
        <w:t>31 December 201</w:t>
      </w:r>
      <w:r w:rsidR="00414DCB" w:rsidRPr="00C51149">
        <w:t>9</w:t>
      </w:r>
      <w:r w:rsidRPr="00C51149">
        <w:t xml:space="preserve"> quarter-end </w:t>
      </w:r>
      <w:r w:rsidR="00407D9F">
        <w:t>M</w:t>
      </w:r>
      <w:r w:rsidRPr="00C51149">
        <w:t xml:space="preserve">anagement </w:t>
      </w:r>
      <w:r w:rsidR="00407D9F">
        <w:t>F</w:t>
      </w:r>
      <w:r w:rsidRPr="00C51149">
        <w:t>ee</w:t>
      </w:r>
      <w:r w:rsidR="00F238B9" w:rsidRPr="00C51149">
        <w:t xml:space="preserve"> (</w:t>
      </w:r>
      <w:r w:rsidR="00610498" w:rsidRPr="00C51149">
        <w:t>31 December 201</w:t>
      </w:r>
      <w:r w:rsidR="00414DCB" w:rsidRPr="00C51149">
        <w:t>8</w:t>
      </w:r>
      <w:r w:rsidR="00F238B9" w:rsidRPr="00C51149">
        <w:t xml:space="preserve">: </w:t>
      </w:r>
      <w:r w:rsidR="006E22EC" w:rsidRPr="00C51149">
        <w:t>no reduction of the quar</w:t>
      </w:r>
      <w:r w:rsidR="00F238B9" w:rsidRPr="00C51149">
        <w:t xml:space="preserve">ter-end </w:t>
      </w:r>
      <w:r w:rsidR="00407D9F">
        <w:t>M</w:t>
      </w:r>
      <w:r w:rsidR="00F238B9" w:rsidRPr="00C51149">
        <w:t xml:space="preserve">anagement </w:t>
      </w:r>
      <w:r w:rsidR="00407D9F">
        <w:t>F</w:t>
      </w:r>
      <w:r w:rsidR="00F238B9" w:rsidRPr="00C51149">
        <w:t>ee)</w:t>
      </w:r>
      <w:r w:rsidRPr="00C51149">
        <w:t>.</w:t>
      </w:r>
    </w:p>
    <w:p w14:paraId="6DAE3199" w14:textId="77777777" w:rsidR="00A94A8D" w:rsidRPr="00811BA1" w:rsidRDefault="00A94A8D" w:rsidP="00C32021">
      <w:pPr>
        <w:pStyle w:val="Bodytext"/>
        <w:ind w:left="567"/>
        <w:jc w:val="both"/>
      </w:pPr>
    </w:p>
    <w:p w14:paraId="1E033CC0" w14:textId="5F5D3456" w:rsidR="007C2368" w:rsidRDefault="00234DF1" w:rsidP="00C32021">
      <w:pPr>
        <w:pStyle w:val="Bodytext"/>
        <w:ind w:left="567" w:hanging="27"/>
        <w:jc w:val="both"/>
      </w:pPr>
      <w:r w:rsidRPr="00811BA1">
        <w:t xml:space="preserve">During the year ended </w:t>
      </w:r>
      <w:r w:rsidR="00610498">
        <w:t>31 December 201</w:t>
      </w:r>
      <w:r w:rsidR="00414DCB">
        <w:t>9</w:t>
      </w:r>
      <w:r w:rsidRPr="00AA652C">
        <w:t xml:space="preserve">, the Partnership incurred Management Fees of </w:t>
      </w:r>
      <w:r w:rsidR="00805BA6" w:rsidRPr="00AA652C">
        <w:t>$</w:t>
      </w:r>
      <w:r w:rsidR="00141BF4">
        <w:t>13,9</w:t>
      </w:r>
      <w:r w:rsidR="000745B3">
        <w:t>23</w:t>
      </w:r>
      <w:r w:rsidR="00141BF4">
        <w:t>,</w:t>
      </w:r>
      <w:r w:rsidR="00410BA4">
        <w:t>187</w:t>
      </w:r>
      <w:r w:rsidR="00805BA6" w:rsidRPr="00AA652C">
        <w:t xml:space="preserve"> </w:t>
      </w:r>
      <w:r w:rsidR="001F56C5" w:rsidRPr="00AA652C">
        <w:t>(</w:t>
      </w:r>
      <w:r w:rsidR="00610498">
        <w:t>31 December 201</w:t>
      </w:r>
      <w:r w:rsidR="00414DCB">
        <w:t>8</w:t>
      </w:r>
      <w:r w:rsidR="00C46EC3" w:rsidRPr="00AA652C">
        <w:t>:</w:t>
      </w:r>
      <w:r w:rsidR="00AA652C" w:rsidRPr="00AA652C">
        <w:t xml:space="preserve"> </w:t>
      </w:r>
      <w:r w:rsidR="00790E82" w:rsidRPr="00AA652C">
        <w:t>$</w:t>
      </w:r>
      <w:r w:rsidR="00E0068A">
        <w:t>25,</w:t>
      </w:r>
      <w:r w:rsidR="00414DCB">
        <w:t>008,427</w:t>
      </w:r>
      <w:r w:rsidR="001F56C5" w:rsidRPr="00811BA1">
        <w:t>)</w:t>
      </w:r>
      <w:r w:rsidR="008305D4" w:rsidRPr="00811BA1">
        <w:t xml:space="preserve"> of</w:t>
      </w:r>
      <w:r w:rsidRPr="00811BA1">
        <w:t xml:space="preserve"> which </w:t>
      </w:r>
      <w:r w:rsidR="00805BA6" w:rsidRPr="00811BA1">
        <w:t>$</w:t>
      </w:r>
      <w:r w:rsidR="00141BF4">
        <w:t>2,4</w:t>
      </w:r>
      <w:r w:rsidR="000745B3">
        <w:t>4</w:t>
      </w:r>
      <w:r w:rsidR="00410BA4">
        <w:t>2</w:t>
      </w:r>
      <w:r w:rsidR="00141BF4">
        <w:t>,</w:t>
      </w:r>
      <w:r w:rsidR="00410BA4">
        <w:t>998</w:t>
      </w:r>
      <w:r w:rsidR="00805BA6">
        <w:t xml:space="preserve"> </w:t>
      </w:r>
      <w:r w:rsidRPr="00811BA1">
        <w:t xml:space="preserve">remained outstanding as at the </w:t>
      </w:r>
      <w:r w:rsidR="00E463F1" w:rsidRPr="00811BA1">
        <w:t>year-end</w:t>
      </w:r>
      <w:r w:rsidR="001F56C5" w:rsidRPr="00811BA1">
        <w:t xml:space="preserve"> (</w:t>
      </w:r>
      <w:r w:rsidR="00610498">
        <w:t>31 Dec</w:t>
      </w:r>
      <w:r w:rsidR="00610498" w:rsidRPr="000F45D8">
        <w:t>ember 201</w:t>
      </w:r>
      <w:r w:rsidR="00414DCB">
        <w:t>8</w:t>
      </w:r>
      <w:r w:rsidR="001F56C5" w:rsidRPr="000F45D8">
        <w:t>:</w:t>
      </w:r>
      <w:r w:rsidR="00AA652C" w:rsidRPr="000F45D8">
        <w:t xml:space="preserve"> </w:t>
      </w:r>
      <w:r w:rsidR="00D671FB" w:rsidRPr="000F45D8">
        <w:t>$</w:t>
      </w:r>
      <w:r w:rsidR="00414DCB">
        <w:t>5,367,224</w:t>
      </w:r>
      <w:r w:rsidR="001F56C5" w:rsidRPr="000F45D8">
        <w:t>)</w:t>
      </w:r>
      <w:r w:rsidR="007C18FD" w:rsidRPr="000F45D8">
        <w:t>.</w:t>
      </w:r>
      <w:r w:rsidR="001F56C5" w:rsidRPr="000F45D8">
        <w:t xml:space="preserve"> </w:t>
      </w:r>
      <w:r w:rsidR="00742595" w:rsidRPr="000F45D8">
        <w:t xml:space="preserve">In addition, the Company and Partnership, in aggregate, reimbursed the Investment Manager </w:t>
      </w:r>
      <w:r w:rsidR="00742595" w:rsidRPr="00312C1A">
        <w:t>$</w:t>
      </w:r>
      <w:r w:rsidR="00CE597A">
        <w:t>2,3</w:t>
      </w:r>
      <w:r w:rsidR="006E4469">
        <w:t>1</w:t>
      </w:r>
      <w:r w:rsidR="00CE597A">
        <w:t>4,306</w:t>
      </w:r>
      <w:r w:rsidR="00742595" w:rsidRPr="00312C1A">
        <w:t xml:space="preserve"> in respect of</w:t>
      </w:r>
      <w:r w:rsidR="00414DCB" w:rsidRPr="00312C1A">
        <w:t xml:space="preserve"> amounts paid on their behalf</w:t>
      </w:r>
      <w:r w:rsidR="00742595" w:rsidRPr="00312C1A">
        <w:t xml:space="preserve"> for the year</w:t>
      </w:r>
      <w:r w:rsidR="000346C2" w:rsidRPr="000346C2">
        <w:t xml:space="preserve"> </w:t>
      </w:r>
      <w:r w:rsidR="00742595" w:rsidRPr="00312C1A">
        <w:t>(31 December 201</w:t>
      </w:r>
      <w:r w:rsidR="00414DCB" w:rsidRPr="00312C1A">
        <w:t>8</w:t>
      </w:r>
      <w:r w:rsidR="00742595" w:rsidRPr="00312C1A">
        <w:t>: $</w:t>
      </w:r>
      <w:r w:rsidR="00E7104F" w:rsidRPr="00312C1A">
        <w:t>1,</w:t>
      </w:r>
      <w:r w:rsidR="00414DCB" w:rsidRPr="00312C1A">
        <w:t>201</w:t>
      </w:r>
      <w:r w:rsidR="00E7104F" w:rsidRPr="00312C1A">
        <w:t>,</w:t>
      </w:r>
      <w:r w:rsidR="00414DCB" w:rsidRPr="00312C1A">
        <w:t>087</w:t>
      </w:r>
      <w:r w:rsidR="00742595" w:rsidRPr="00312C1A">
        <w:t>)</w:t>
      </w:r>
      <w:bookmarkStart w:id="38" w:name="_Hlk15656917"/>
      <w:r w:rsidR="00414DCB" w:rsidRPr="00312C1A">
        <w:t>, of which</w:t>
      </w:r>
      <w:r w:rsidR="000346C2" w:rsidRPr="000346C2">
        <w:t xml:space="preserve"> </w:t>
      </w:r>
      <w:r w:rsidR="000346C2">
        <w:t>$710,853</w:t>
      </w:r>
      <w:r w:rsidR="00B54FEF">
        <w:t xml:space="preserve"> related to</w:t>
      </w:r>
      <w:r w:rsidR="000346C2">
        <w:t xml:space="preserve"> expenses </w:t>
      </w:r>
      <w:r w:rsidR="00B54FEF">
        <w:t>reimbursable by</w:t>
      </w:r>
      <w:r w:rsidR="000346C2">
        <w:t xml:space="preserve"> portfolio companies, $637,634 related to legal and professional fees</w:t>
      </w:r>
      <w:r w:rsidR="00B54FEF">
        <w:t xml:space="preserve"> of the Company and Partnership,</w:t>
      </w:r>
      <w:r w:rsidR="000346C2">
        <w:t xml:space="preserve"> and</w:t>
      </w:r>
      <w:r w:rsidR="00414DCB" w:rsidRPr="00312C1A">
        <w:t xml:space="preserve"> $</w:t>
      </w:r>
      <w:r w:rsidR="00CE597A">
        <w:t>131,065</w:t>
      </w:r>
      <w:r w:rsidR="00414DCB" w:rsidRPr="00414DCB">
        <w:t xml:space="preserve"> related to travel and other operating expenses of the Investment Manager (31 December 2018: $114,928).</w:t>
      </w:r>
      <w:bookmarkEnd w:id="38"/>
    </w:p>
    <w:p w14:paraId="7E0B0B8D" w14:textId="77777777" w:rsidR="002B35C5" w:rsidRDefault="002B35C5" w:rsidP="00C32021">
      <w:pPr>
        <w:pStyle w:val="Bodytext"/>
        <w:ind w:left="567"/>
        <w:jc w:val="both"/>
      </w:pPr>
    </w:p>
    <w:p w14:paraId="5528C700" w14:textId="701FF88B" w:rsidR="002B35C5" w:rsidRDefault="002B35C5" w:rsidP="00C32021">
      <w:pPr>
        <w:pStyle w:val="Bodytext"/>
        <w:ind w:left="567" w:hanging="27"/>
        <w:jc w:val="both"/>
      </w:pPr>
      <w:r>
        <w:t>The circumstances in which the Company and the Investment Manager may terminate the Investment Management Agreement are as follows:</w:t>
      </w:r>
    </w:p>
    <w:p w14:paraId="158ED9D2" w14:textId="77777777" w:rsidR="00DD24E6" w:rsidRDefault="00DD24E6" w:rsidP="00AD7CED">
      <w:pPr>
        <w:pStyle w:val="Bodytext"/>
        <w:ind w:left="567" w:hanging="27"/>
      </w:pPr>
    </w:p>
    <w:tbl>
      <w:tblPr>
        <w:tblStyle w:val="TableGrid"/>
        <w:tblW w:w="9287" w:type="dxa"/>
        <w:tblInd w:w="648" w:type="dxa"/>
        <w:tblLook w:val="04A0" w:firstRow="1" w:lastRow="0" w:firstColumn="1" w:lastColumn="0" w:noHBand="0" w:noVBand="1"/>
      </w:tblPr>
      <w:tblGrid>
        <w:gridCol w:w="3510"/>
        <w:gridCol w:w="1985"/>
        <w:gridCol w:w="3792"/>
      </w:tblGrid>
      <w:tr w:rsidR="002B35C5" w14:paraId="25F5A893" w14:textId="77777777" w:rsidTr="002B35C5">
        <w:tc>
          <w:tcPr>
            <w:tcW w:w="3510" w:type="dxa"/>
          </w:tcPr>
          <w:p w14:paraId="18672990" w14:textId="77777777" w:rsidR="002B35C5" w:rsidRPr="00AD7CED" w:rsidRDefault="002B35C5" w:rsidP="00AB45BF">
            <w:pPr>
              <w:pStyle w:val="Body1"/>
              <w:jc w:val="left"/>
              <w:rPr>
                <w:b/>
                <w:sz w:val="20"/>
              </w:rPr>
            </w:pPr>
            <w:r w:rsidRPr="00AD7CED">
              <w:rPr>
                <w:b/>
                <w:sz w:val="20"/>
              </w:rPr>
              <w:t>Event</w:t>
            </w:r>
          </w:p>
        </w:tc>
        <w:tc>
          <w:tcPr>
            <w:tcW w:w="1985" w:type="dxa"/>
          </w:tcPr>
          <w:p w14:paraId="48B235A1" w14:textId="77777777" w:rsidR="002B35C5" w:rsidRPr="00AD7CED" w:rsidRDefault="002B35C5" w:rsidP="00AB45BF">
            <w:pPr>
              <w:pStyle w:val="Body1"/>
              <w:jc w:val="left"/>
              <w:rPr>
                <w:b/>
                <w:sz w:val="20"/>
              </w:rPr>
            </w:pPr>
            <w:r w:rsidRPr="00AD7CED">
              <w:rPr>
                <w:b/>
                <w:sz w:val="20"/>
              </w:rPr>
              <w:t>Notice period</w:t>
            </w:r>
          </w:p>
        </w:tc>
        <w:tc>
          <w:tcPr>
            <w:tcW w:w="3792" w:type="dxa"/>
          </w:tcPr>
          <w:p w14:paraId="77C043CB" w14:textId="03FADA86" w:rsidR="002B35C5" w:rsidRPr="00AD7CED" w:rsidRDefault="002B35C5" w:rsidP="00AB45BF">
            <w:pPr>
              <w:pStyle w:val="Body1"/>
              <w:jc w:val="left"/>
              <w:rPr>
                <w:b/>
                <w:sz w:val="20"/>
              </w:rPr>
            </w:pPr>
            <w:r w:rsidRPr="00AD7CED">
              <w:rPr>
                <w:b/>
                <w:sz w:val="20"/>
              </w:rPr>
              <w:t>Consequences of termination</w:t>
            </w:r>
            <w:r w:rsidRPr="00AD7CED">
              <w:rPr>
                <w:b/>
                <w:sz w:val="20"/>
                <w:vertAlign w:val="superscript"/>
              </w:rPr>
              <w:t>(2)</w:t>
            </w:r>
          </w:p>
        </w:tc>
      </w:tr>
      <w:tr w:rsidR="002B35C5" w14:paraId="056C6A68" w14:textId="77777777" w:rsidTr="002B35C5">
        <w:tc>
          <w:tcPr>
            <w:tcW w:w="3510" w:type="dxa"/>
          </w:tcPr>
          <w:p w14:paraId="5C50E38C" w14:textId="77777777" w:rsidR="002B35C5" w:rsidRPr="00AD7CED" w:rsidRDefault="002B35C5" w:rsidP="00AB45BF">
            <w:pPr>
              <w:pStyle w:val="Body1"/>
              <w:jc w:val="left"/>
              <w:rPr>
                <w:sz w:val="20"/>
              </w:rPr>
            </w:pPr>
            <w:r w:rsidRPr="00AD7CED">
              <w:rPr>
                <w:sz w:val="20"/>
              </w:rPr>
              <w:t>By the Company if the Investment Manager is in material breach which has not been rectified</w:t>
            </w:r>
          </w:p>
        </w:tc>
        <w:tc>
          <w:tcPr>
            <w:tcW w:w="1985" w:type="dxa"/>
          </w:tcPr>
          <w:p w14:paraId="26364B07" w14:textId="77777777" w:rsidR="002B35C5" w:rsidRPr="00AD7CED" w:rsidRDefault="002B35C5" w:rsidP="00AB45BF">
            <w:pPr>
              <w:pStyle w:val="Body1"/>
              <w:jc w:val="left"/>
              <w:rPr>
                <w:sz w:val="20"/>
              </w:rPr>
            </w:pPr>
            <w:r w:rsidRPr="00AD7CED">
              <w:rPr>
                <w:sz w:val="20"/>
              </w:rPr>
              <w:t>12 months</w:t>
            </w:r>
          </w:p>
        </w:tc>
        <w:tc>
          <w:tcPr>
            <w:tcW w:w="3792" w:type="dxa"/>
          </w:tcPr>
          <w:p w14:paraId="0BE904DE" w14:textId="5E8345A7" w:rsidR="002B35C5" w:rsidRPr="00AD7CED" w:rsidRDefault="002B35C5" w:rsidP="00DD3616">
            <w:pPr>
              <w:pStyle w:val="Body1"/>
              <w:jc w:val="left"/>
              <w:rPr>
                <w:sz w:val="20"/>
              </w:rPr>
            </w:pPr>
            <w:r w:rsidRPr="00AD7CED">
              <w:rPr>
                <w:sz w:val="20"/>
              </w:rPr>
              <w:t xml:space="preserve">The General Partner is entitled to receive a payment equal to four times the quarterly </w:t>
            </w:r>
            <w:r w:rsidR="00DD3616" w:rsidRPr="00AD7CED">
              <w:rPr>
                <w:sz w:val="20"/>
              </w:rPr>
              <w:t>M</w:t>
            </w:r>
            <w:r w:rsidRPr="00AD7CED">
              <w:rPr>
                <w:sz w:val="20"/>
              </w:rPr>
              <w:t xml:space="preserve">anagement </w:t>
            </w:r>
            <w:r w:rsidR="00DD3616" w:rsidRPr="00AD7CED">
              <w:rPr>
                <w:sz w:val="20"/>
              </w:rPr>
              <w:t>F</w:t>
            </w:r>
            <w:r w:rsidRPr="00AD7CED">
              <w:rPr>
                <w:sz w:val="20"/>
              </w:rPr>
              <w:t xml:space="preserve">ee payable to the Investment Manager on the basis of the Company's most recent </w:t>
            </w:r>
            <w:r w:rsidR="00DD3616" w:rsidRPr="00AD7CED">
              <w:rPr>
                <w:sz w:val="20"/>
              </w:rPr>
              <w:t>N</w:t>
            </w:r>
            <w:r w:rsidRPr="00AD7CED">
              <w:rPr>
                <w:sz w:val="20"/>
              </w:rPr>
              <w:t xml:space="preserve">et </w:t>
            </w:r>
            <w:r w:rsidR="00DD3616" w:rsidRPr="00AD7CED">
              <w:rPr>
                <w:sz w:val="20"/>
              </w:rPr>
              <w:t>A</w:t>
            </w:r>
            <w:r w:rsidRPr="00AD7CED">
              <w:rPr>
                <w:sz w:val="20"/>
              </w:rPr>
              <w:t xml:space="preserve">sset </w:t>
            </w:r>
            <w:r w:rsidR="00DD3616" w:rsidRPr="00AD7CED">
              <w:rPr>
                <w:sz w:val="20"/>
              </w:rPr>
              <w:t>V</w:t>
            </w:r>
            <w:r w:rsidRPr="00AD7CED">
              <w:rPr>
                <w:sz w:val="20"/>
              </w:rPr>
              <w:t>alue and an amount equal to the Performance Allocation due on the Company's investments on the basis, at the Company's option, of the latest quarterly valuation or the actual realisation value for each investment</w:t>
            </w:r>
            <w:r w:rsidR="00DD3616" w:rsidRPr="00AD7CED">
              <w:rPr>
                <w:sz w:val="20"/>
              </w:rPr>
              <w:t>.</w:t>
            </w:r>
          </w:p>
        </w:tc>
      </w:tr>
      <w:tr w:rsidR="002B35C5" w14:paraId="28E61B56" w14:textId="77777777" w:rsidTr="002B35C5">
        <w:tc>
          <w:tcPr>
            <w:tcW w:w="3510" w:type="dxa"/>
          </w:tcPr>
          <w:p w14:paraId="2B3ABC46" w14:textId="77777777" w:rsidR="002B35C5" w:rsidRPr="00AD7CED" w:rsidRDefault="002B35C5" w:rsidP="00AB45BF">
            <w:pPr>
              <w:pStyle w:val="Body1"/>
              <w:jc w:val="left"/>
              <w:rPr>
                <w:sz w:val="20"/>
              </w:rPr>
            </w:pPr>
            <w:r w:rsidRPr="00AD7CED">
              <w:rPr>
                <w:sz w:val="20"/>
              </w:rPr>
              <w:lastRenderedPageBreak/>
              <w:t>By the Investment Manager if the Company is in material breach which has not been rectified</w:t>
            </w:r>
          </w:p>
        </w:tc>
        <w:tc>
          <w:tcPr>
            <w:tcW w:w="1985" w:type="dxa"/>
          </w:tcPr>
          <w:p w14:paraId="07558E84" w14:textId="77777777" w:rsidR="002B35C5" w:rsidRPr="00AD7CED" w:rsidRDefault="002B35C5" w:rsidP="00AB45BF">
            <w:pPr>
              <w:pStyle w:val="Body1"/>
              <w:jc w:val="left"/>
              <w:rPr>
                <w:sz w:val="20"/>
              </w:rPr>
            </w:pPr>
            <w:r w:rsidRPr="00AD7CED">
              <w:rPr>
                <w:sz w:val="20"/>
              </w:rPr>
              <w:t>12 months</w:t>
            </w:r>
          </w:p>
        </w:tc>
        <w:tc>
          <w:tcPr>
            <w:tcW w:w="3792" w:type="dxa"/>
          </w:tcPr>
          <w:p w14:paraId="7849238F" w14:textId="0FF1B885" w:rsidR="002B35C5" w:rsidRPr="00AD7CED" w:rsidRDefault="002B35C5" w:rsidP="00AB45BF">
            <w:pPr>
              <w:pStyle w:val="Body1"/>
              <w:jc w:val="left"/>
              <w:rPr>
                <w:sz w:val="20"/>
              </w:rPr>
            </w:pPr>
            <w:r w:rsidRPr="00AD7CED">
              <w:rPr>
                <w:sz w:val="20"/>
              </w:rPr>
              <w:t xml:space="preserve">The General Partner is entitled to receive a payment equal to twenty times the quarterly </w:t>
            </w:r>
            <w:r w:rsidR="00DD3616" w:rsidRPr="00AD7CED">
              <w:rPr>
                <w:sz w:val="20"/>
              </w:rPr>
              <w:t>M</w:t>
            </w:r>
            <w:r w:rsidRPr="00AD7CED">
              <w:rPr>
                <w:sz w:val="20"/>
              </w:rPr>
              <w:t xml:space="preserve">anagement </w:t>
            </w:r>
            <w:r w:rsidR="00DD3616" w:rsidRPr="00AD7CED">
              <w:rPr>
                <w:sz w:val="20"/>
              </w:rPr>
              <w:t>F</w:t>
            </w:r>
            <w:r w:rsidRPr="00AD7CED">
              <w:rPr>
                <w:sz w:val="20"/>
              </w:rPr>
              <w:t xml:space="preserve">ee payable to the Investment Manager on the basis of the Company's most recent </w:t>
            </w:r>
            <w:r w:rsidR="00DD3616" w:rsidRPr="00AD7CED">
              <w:rPr>
                <w:sz w:val="20"/>
              </w:rPr>
              <w:t>N</w:t>
            </w:r>
            <w:r w:rsidRPr="00AD7CED">
              <w:rPr>
                <w:sz w:val="20"/>
              </w:rPr>
              <w:t xml:space="preserve">et </w:t>
            </w:r>
            <w:r w:rsidR="00DD3616" w:rsidRPr="00AD7CED">
              <w:rPr>
                <w:sz w:val="20"/>
              </w:rPr>
              <w:t>A</w:t>
            </w:r>
            <w:r w:rsidRPr="00AD7CED">
              <w:rPr>
                <w:sz w:val="20"/>
              </w:rPr>
              <w:t xml:space="preserve">sset </w:t>
            </w:r>
            <w:r w:rsidR="00DD3616" w:rsidRPr="00AD7CED">
              <w:rPr>
                <w:sz w:val="20"/>
              </w:rPr>
              <w:t>V</w:t>
            </w:r>
            <w:r w:rsidRPr="00AD7CED">
              <w:rPr>
                <w:sz w:val="20"/>
              </w:rPr>
              <w:t xml:space="preserve">alue and an amount equal to the Performance Allocation due on the Company's investments on the basis, at the General Partner's option, of the latest quarterly valuation or the actual realisation value for each investment.  </w:t>
            </w:r>
          </w:p>
        </w:tc>
      </w:tr>
      <w:tr w:rsidR="002B35C5" w14:paraId="193D1F34" w14:textId="77777777" w:rsidTr="002B35C5">
        <w:tc>
          <w:tcPr>
            <w:tcW w:w="3510" w:type="dxa"/>
          </w:tcPr>
          <w:p w14:paraId="1EB38BC9" w14:textId="77777777" w:rsidR="002B35C5" w:rsidRPr="00AD7CED" w:rsidRDefault="002B35C5" w:rsidP="00AB45BF">
            <w:pPr>
              <w:pStyle w:val="Body1"/>
              <w:jc w:val="left"/>
              <w:rPr>
                <w:sz w:val="20"/>
              </w:rPr>
            </w:pPr>
            <w:r w:rsidRPr="00AD7CED">
              <w:rPr>
                <w:sz w:val="20"/>
              </w:rPr>
              <w:t xml:space="preserve">By the Company if the Investment Manager becomes insolvent or resolves to wind up or if the Investment Manager commits an act of fraud or wilful default in relation to the Company which results in material harm to the Company </w:t>
            </w:r>
          </w:p>
        </w:tc>
        <w:tc>
          <w:tcPr>
            <w:tcW w:w="1985" w:type="dxa"/>
          </w:tcPr>
          <w:p w14:paraId="690653D1" w14:textId="77777777" w:rsidR="002B35C5" w:rsidRPr="00AD7CED" w:rsidRDefault="002B35C5" w:rsidP="00AB45BF">
            <w:pPr>
              <w:pStyle w:val="Body1"/>
              <w:jc w:val="left"/>
              <w:rPr>
                <w:sz w:val="20"/>
              </w:rPr>
            </w:pPr>
            <w:r w:rsidRPr="00AD7CED">
              <w:rPr>
                <w:sz w:val="20"/>
              </w:rPr>
              <w:t>Immediate</w:t>
            </w:r>
          </w:p>
        </w:tc>
        <w:tc>
          <w:tcPr>
            <w:tcW w:w="3792" w:type="dxa"/>
          </w:tcPr>
          <w:p w14:paraId="32CA62CD" w14:textId="77777777" w:rsidR="002B35C5" w:rsidRPr="00AD7CED" w:rsidRDefault="002B35C5" w:rsidP="00AB45BF">
            <w:pPr>
              <w:pStyle w:val="Body1"/>
              <w:jc w:val="left"/>
              <w:rPr>
                <w:sz w:val="20"/>
              </w:rPr>
            </w:pPr>
            <w:r w:rsidRPr="00AD7CED">
              <w:rPr>
                <w:sz w:val="20"/>
              </w:rPr>
              <w:t>No payment to be made to the Investment Manager or the General Partner.</w:t>
            </w:r>
          </w:p>
        </w:tc>
      </w:tr>
      <w:tr w:rsidR="002B35C5" w14:paraId="02267271" w14:textId="77777777" w:rsidTr="002B35C5">
        <w:tc>
          <w:tcPr>
            <w:tcW w:w="3510" w:type="dxa"/>
          </w:tcPr>
          <w:p w14:paraId="58E2C15D" w14:textId="77777777" w:rsidR="002B35C5" w:rsidRPr="00AD7CED" w:rsidRDefault="002B35C5" w:rsidP="00AB45BF">
            <w:pPr>
              <w:pStyle w:val="Body1"/>
              <w:jc w:val="left"/>
              <w:rPr>
                <w:sz w:val="20"/>
              </w:rPr>
            </w:pPr>
            <w:r w:rsidRPr="00AD7CED">
              <w:rPr>
                <w:sz w:val="20"/>
              </w:rPr>
              <w:t>By the Investment Manager if the Company becomes insolvent or resolves to wind up, undergoes a change of control and delists, ceases to maintain its Guernsey regulatory approval or, if in each case if the consent of the Investment Manager is not obtained, the Company materially changes its investment policy, raises new equity, makes a distribution or acquires or disposes of an investment</w:t>
            </w:r>
          </w:p>
        </w:tc>
        <w:tc>
          <w:tcPr>
            <w:tcW w:w="1985" w:type="dxa"/>
          </w:tcPr>
          <w:p w14:paraId="0E2104D3" w14:textId="77777777" w:rsidR="002B35C5" w:rsidRPr="00AD7CED" w:rsidRDefault="002B35C5" w:rsidP="00AB45BF">
            <w:pPr>
              <w:pStyle w:val="Body1"/>
              <w:jc w:val="left"/>
              <w:rPr>
                <w:sz w:val="20"/>
              </w:rPr>
            </w:pPr>
            <w:r w:rsidRPr="00AD7CED">
              <w:rPr>
                <w:sz w:val="20"/>
              </w:rPr>
              <w:t>Immediate</w:t>
            </w:r>
          </w:p>
        </w:tc>
        <w:tc>
          <w:tcPr>
            <w:tcW w:w="3792" w:type="dxa"/>
          </w:tcPr>
          <w:p w14:paraId="23C2C5AE" w14:textId="18924F00" w:rsidR="002B35C5" w:rsidRPr="00AD7CED" w:rsidRDefault="002B35C5" w:rsidP="00AB45BF">
            <w:pPr>
              <w:pStyle w:val="Body1"/>
              <w:jc w:val="left"/>
              <w:rPr>
                <w:sz w:val="20"/>
              </w:rPr>
            </w:pPr>
            <w:r w:rsidRPr="00AD7CED">
              <w:rPr>
                <w:sz w:val="20"/>
              </w:rPr>
              <w:t xml:space="preserve">The General Partner is entitled to receive a payment equal to twenty times the quarterly </w:t>
            </w:r>
            <w:r w:rsidR="00DD3616" w:rsidRPr="00AD7CED">
              <w:rPr>
                <w:sz w:val="20"/>
              </w:rPr>
              <w:t>M</w:t>
            </w:r>
            <w:r w:rsidRPr="00AD7CED">
              <w:rPr>
                <w:sz w:val="20"/>
              </w:rPr>
              <w:t xml:space="preserve">anagement </w:t>
            </w:r>
            <w:r w:rsidR="00DD3616" w:rsidRPr="00AD7CED">
              <w:rPr>
                <w:sz w:val="20"/>
              </w:rPr>
              <w:t>F</w:t>
            </w:r>
            <w:r w:rsidRPr="00AD7CED">
              <w:rPr>
                <w:sz w:val="20"/>
              </w:rPr>
              <w:t xml:space="preserve">ee payable to the Investment Manager on the basis of the Company's most recent </w:t>
            </w:r>
            <w:r w:rsidR="00DD3616" w:rsidRPr="00AD7CED">
              <w:rPr>
                <w:sz w:val="20"/>
              </w:rPr>
              <w:t>N</w:t>
            </w:r>
            <w:r w:rsidRPr="00AD7CED">
              <w:rPr>
                <w:sz w:val="20"/>
              </w:rPr>
              <w:t xml:space="preserve">et </w:t>
            </w:r>
            <w:r w:rsidR="00DD3616" w:rsidRPr="00AD7CED">
              <w:rPr>
                <w:sz w:val="20"/>
              </w:rPr>
              <w:t>A</w:t>
            </w:r>
            <w:r w:rsidRPr="00AD7CED">
              <w:rPr>
                <w:sz w:val="20"/>
              </w:rPr>
              <w:t xml:space="preserve">sset </w:t>
            </w:r>
            <w:r w:rsidR="00DD3616" w:rsidRPr="00AD7CED">
              <w:rPr>
                <w:sz w:val="20"/>
              </w:rPr>
              <w:t>V</w:t>
            </w:r>
            <w:r w:rsidRPr="00AD7CED">
              <w:rPr>
                <w:sz w:val="20"/>
              </w:rPr>
              <w:t xml:space="preserve">alue and an amount equal to the Performance Allocation due on the Company's investments on the basis, at the General Partner's option, of the latest quarterly valuation or the actual realisation value for each investment.  </w:t>
            </w:r>
          </w:p>
        </w:tc>
      </w:tr>
      <w:tr w:rsidR="002B35C5" w14:paraId="5EA8846A" w14:textId="77777777" w:rsidTr="002B35C5">
        <w:tc>
          <w:tcPr>
            <w:tcW w:w="3510" w:type="dxa"/>
          </w:tcPr>
          <w:p w14:paraId="1800FE71" w14:textId="26265A5D" w:rsidR="002B35C5" w:rsidRPr="00AD7CED" w:rsidRDefault="002B35C5" w:rsidP="002B35C5">
            <w:pPr>
              <w:pStyle w:val="Body1"/>
              <w:jc w:val="left"/>
              <w:rPr>
                <w:sz w:val="20"/>
              </w:rPr>
            </w:pPr>
            <w:r w:rsidRPr="00AD7CED">
              <w:rPr>
                <w:sz w:val="20"/>
              </w:rPr>
              <w:t>If a Discontinuation Resolution</w:t>
            </w:r>
            <w:r w:rsidRPr="00AD7CED">
              <w:rPr>
                <w:sz w:val="20"/>
                <w:vertAlign w:val="superscript"/>
              </w:rPr>
              <w:t>(1)</w:t>
            </w:r>
            <w:r w:rsidRPr="00AD7CED">
              <w:rPr>
                <w:sz w:val="20"/>
              </w:rPr>
              <w:t xml:space="preserve"> is passed</w:t>
            </w:r>
          </w:p>
        </w:tc>
        <w:tc>
          <w:tcPr>
            <w:tcW w:w="1985" w:type="dxa"/>
          </w:tcPr>
          <w:p w14:paraId="792E0107" w14:textId="77777777" w:rsidR="002B35C5" w:rsidRPr="00AD7CED" w:rsidRDefault="002B35C5" w:rsidP="00AB45BF">
            <w:pPr>
              <w:pStyle w:val="Body1"/>
              <w:jc w:val="left"/>
              <w:rPr>
                <w:sz w:val="20"/>
              </w:rPr>
            </w:pPr>
            <w:r w:rsidRPr="00AD7CED">
              <w:rPr>
                <w:sz w:val="20"/>
              </w:rPr>
              <w:t>Immediate</w:t>
            </w:r>
          </w:p>
        </w:tc>
        <w:tc>
          <w:tcPr>
            <w:tcW w:w="3792" w:type="dxa"/>
          </w:tcPr>
          <w:p w14:paraId="74EA616D" w14:textId="4F433414" w:rsidR="002B35C5" w:rsidRPr="00AD7CED" w:rsidRDefault="002B35C5" w:rsidP="00DD3616">
            <w:pPr>
              <w:pStyle w:val="Body1"/>
              <w:jc w:val="left"/>
              <w:rPr>
                <w:sz w:val="20"/>
              </w:rPr>
            </w:pPr>
            <w:r w:rsidRPr="00AD7CED">
              <w:rPr>
                <w:sz w:val="20"/>
              </w:rPr>
              <w:t xml:space="preserve">The General Partner will be entitled to receive a payment equal to twenty times the quarterly </w:t>
            </w:r>
            <w:r w:rsidR="00DD3616" w:rsidRPr="00AD7CED">
              <w:rPr>
                <w:sz w:val="20"/>
              </w:rPr>
              <w:t>M</w:t>
            </w:r>
            <w:r w:rsidRPr="00AD7CED">
              <w:rPr>
                <w:sz w:val="20"/>
              </w:rPr>
              <w:t xml:space="preserve">anagement </w:t>
            </w:r>
            <w:r w:rsidR="00DD3616" w:rsidRPr="00AD7CED">
              <w:rPr>
                <w:sz w:val="20"/>
              </w:rPr>
              <w:t>F</w:t>
            </w:r>
            <w:r w:rsidRPr="00AD7CED">
              <w:rPr>
                <w:sz w:val="20"/>
              </w:rPr>
              <w:t xml:space="preserve">ee payable to the Investment Manager on the basis of the Company's most recent </w:t>
            </w:r>
            <w:r w:rsidR="00DD3616" w:rsidRPr="00AD7CED">
              <w:rPr>
                <w:sz w:val="20"/>
              </w:rPr>
              <w:t>N</w:t>
            </w:r>
            <w:r w:rsidRPr="00AD7CED">
              <w:rPr>
                <w:sz w:val="20"/>
              </w:rPr>
              <w:t xml:space="preserve">et </w:t>
            </w:r>
            <w:r w:rsidR="00DD3616" w:rsidRPr="00AD7CED">
              <w:rPr>
                <w:sz w:val="20"/>
              </w:rPr>
              <w:t>A</w:t>
            </w:r>
            <w:r w:rsidRPr="00AD7CED">
              <w:rPr>
                <w:sz w:val="20"/>
              </w:rPr>
              <w:t xml:space="preserve">sset </w:t>
            </w:r>
            <w:r w:rsidR="00DD3616" w:rsidRPr="00AD7CED">
              <w:rPr>
                <w:sz w:val="20"/>
              </w:rPr>
              <w:t>V</w:t>
            </w:r>
            <w:r w:rsidRPr="00AD7CED">
              <w:rPr>
                <w:sz w:val="20"/>
              </w:rPr>
              <w:t>alue and an amount equal to the Performance Allocation due on the Company's investments on the basis, at the General Partner's option, of the latest quarterly valuation or the actual realisation value for each investment.</w:t>
            </w:r>
          </w:p>
        </w:tc>
      </w:tr>
    </w:tbl>
    <w:p w14:paraId="01ECAD0E" w14:textId="6F16A7A4" w:rsidR="002B35C5" w:rsidRPr="002B35C5" w:rsidRDefault="002B35C5" w:rsidP="00C32021">
      <w:pPr>
        <w:pStyle w:val="Body1"/>
        <w:numPr>
          <w:ilvl w:val="0"/>
          <w:numId w:val="23"/>
        </w:numPr>
        <w:rPr>
          <w:sz w:val="16"/>
        </w:rPr>
      </w:pPr>
      <w:r w:rsidRPr="00C86C24">
        <w:rPr>
          <w:sz w:val="16"/>
          <w:szCs w:val="16"/>
        </w:rPr>
        <w:t>If, on 29 October 2020 (</w:t>
      </w:r>
      <w:r w:rsidRPr="002B35C5">
        <w:rPr>
          <w:sz w:val="16"/>
        </w:rPr>
        <w:t xml:space="preserve">the seventh anniversary of the </w:t>
      </w:r>
      <w:r w:rsidRPr="00C86C24">
        <w:rPr>
          <w:sz w:val="16"/>
          <w:szCs w:val="16"/>
        </w:rPr>
        <w:t>Company's London listing</w:t>
      </w:r>
      <w:r w:rsidRPr="002B35C5">
        <w:rPr>
          <w:sz w:val="16"/>
        </w:rPr>
        <w:t>), both</w:t>
      </w:r>
      <w:r w:rsidRPr="00C86C24">
        <w:rPr>
          <w:sz w:val="16"/>
          <w:szCs w:val="16"/>
        </w:rPr>
        <w:t xml:space="preserve"> of the following are true</w:t>
      </w:r>
      <w:r w:rsidRPr="002B35C5">
        <w:rPr>
          <w:sz w:val="16"/>
        </w:rPr>
        <w:t>:</w:t>
      </w:r>
    </w:p>
    <w:p w14:paraId="72298490" w14:textId="274BB6F5" w:rsidR="002B35C5" w:rsidRPr="002B35C5" w:rsidRDefault="002B35C5" w:rsidP="00C32021">
      <w:pPr>
        <w:pStyle w:val="Body1"/>
        <w:numPr>
          <w:ilvl w:val="0"/>
          <w:numId w:val="22"/>
        </w:numPr>
        <w:ind w:left="1260"/>
        <w:rPr>
          <w:sz w:val="16"/>
        </w:rPr>
      </w:pPr>
      <w:r w:rsidRPr="002B35C5">
        <w:rPr>
          <w:sz w:val="16"/>
        </w:rPr>
        <w:t xml:space="preserve">the trading price for the </w:t>
      </w:r>
      <w:r w:rsidRPr="00C86C24">
        <w:rPr>
          <w:sz w:val="16"/>
          <w:szCs w:val="16"/>
        </w:rPr>
        <w:t>Company's ordinary shares</w:t>
      </w:r>
      <w:r w:rsidRPr="002B35C5">
        <w:rPr>
          <w:sz w:val="16"/>
        </w:rPr>
        <w:t xml:space="preserve"> has not </w:t>
      </w:r>
      <w:r w:rsidRPr="00C86C24">
        <w:rPr>
          <w:sz w:val="16"/>
          <w:szCs w:val="16"/>
        </w:rPr>
        <w:t>at any time</w:t>
      </w:r>
      <w:r w:rsidRPr="002B35C5">
        <w:rPr>
          <w:sz w:val="16"/>
        </w:rPr>
        <w:t xml:space="preserve"> exceeded </w:t>
      </w:r>
      <w:r w:rsidRPr="00C86C24">
        <w:rPr>
          <w:sz w:val="16"/>
          <w:szCs w:val="16"/>
        </w:rPr>
        <w:t>£</w:t>
      </w:r>
      <w:r w:rsidRPr="002B35C5">
        <w:rPr>
          <w:sz w:val="16"/>
        </w:rPr>
        <w:t xml:space="preserve">14.70 </w:t>
      </w:r>
      <w:r w:rsidRPr="00C86C24">
        <w:rPr>
          <w:sz w:val="16"/>
          <w:szCs w:val="16"/>
        </w:rPr>
        <w:t>(initially £15.00, subject to adjustments for dividends, stock splits or consolidations and below NAV equity issuances</w:t>
      </w:r>
      <w:r w:rsidRPr="002B35C5">
        <w:rPr>
          <w:sz w:val="16"/>
        </w:rPr>
        <w:t>); and</w:t>
      </w:r>
    </w:p>
    <w:p w14:paraId="395AEFD2" w14:textId="77777777" w:rsidR="002B35C5" w:rsidRPr="00C86C24" w:rsidRDefault="002B35C5" w:rsidP="00C32021">
      <w:pPr>
        <w:pStyle w:val="Body1"/>
        <w:numPr>
          <w:ilvl w:val="0"/>
          <w:numId w:val="22"/>
        </w:numPr>
        <w:ind w:left="1260"/>
        <w:rPr>
          <w:sz w:val="16"/>
          <w:szCs w:val="16"/>
        </w:rPr>
      </w:pPr>
      <w:r w:rsidRPr="00C86C24">
        <w:rPr>
          <w:sz w:val="16"/>
          <w:szCs w:val="16"/>
        </w:rPr>
        <w:t xml:space="preserve">a gross IRR of 8 per cent. has not been achieved on the Company's capital, calculated by reference to the prevailing valuation or sale proceeds achieved on each of the Company's investments from the date of the initial investment or commitment of capital to that investment and prior to the deduction of fees or taxes, </w:t>
      </w:r>
    </w:p>
    <w:p w14:paraId="70AF2247" w14:textId="532A3D0E" w:rsidR="002B35C5" w:rsidRPr="00C86C24" w:rsidRDefault="002B35C5" w:rsidP="00C32021">
      <w:pPr>
        <w:pStyle w:val="Body1"/>
        <w:ind w:left="1260" w:hanging="720"/>
        <w:rPr>
          <w:sz w:val="16"/>
          <w:szCs w:val="16"/>
        </w:rPr>
      </w:pPr>
      <w:r>
        <w:rPr>
          <w:sz w:val="16"/>
          <w:szCs w:val="16"/>
        </w:rPr>
        <w:tab/>
      </w:r>
      <w:r w:rsidRPr="002B35C5">
        <w:rPr>
          <w:sz w:val="16"/>
        </w:rPr>
        <w:t xml:space="preserve">then a special resolution must be proposed to the </w:t>
      </w:r>
      <w:r w:rsidRPr="00C86C24">
        <w:rPr>
          <w:sz w:val="16"/>
          <w:szCs w:val="16"/>
        </w:rPr>
        <w:t xml:space="preserve">Company's </w:t>
      </w:r>
      <w:r w:rsidR="00DD3616">
        <w:rPr>
          <w:sz w:val="16"/>
          <w:szCs w:val="16"/>
        </w:rPr>
        <w:t>S</w:t>
      </w:r>
      <w:r w:rsidRPr="00C86C24">
        <w:rPr>
          <w:sz w:val="16"/>
          <w:szCs w:val="16"/>
        </w:rPr>
        <w:t>hareholders</w:t>
      </w:r>
      <w:r w:rsidRPr="002B35C5">
        <w:rPr>
          <w:sz w:val="16"/>
        </w:rPr>
        <w:t xml:space="preserve"> to discontinue the Company </w:t>
      </w:r>
      <w:r w:rsidRPr="00A53241">
        <w:rPr>
          <w:sz w:val="16"/>
          <w:szCs w:val="16"/>
        </w:rPr>
        <w:t>("</w:t>
      </w:r>
      <w:r w:rsidRPr="00A53241">
        <w:rPr>
          <w:sz w:val="16"/>
        </w:rPr>
        <w:t>Discontinuation Resolution</w:t>
      </w:r>
      <w:r w:rsidRPr="00A53241">
        <w:rPr>
          <w:sz w:val="16"/>
          <w:szCs w:val="16"/>
        </w:rPr>
        <w:t>").</w:t>
      </w:r>
      <w:r w:rsidRPr="00C86C24">
        <w:rPr>
          <w:sz w:val="16"/>
          <w:szCs w:val="16"/>
        </w:rPr>
        <w:t xml:space="preserve">  Both tests must be triggered for the requirement to propose a Discontinuation Resolution to apply.  </w:t>
      </w:r>
    </w:p>
    <w:p w14:paraId="09C2F994" w14:textId="15ADA32F" w:rsidR="002B35C5" w:rsidRPr="00D478FE" w:rsidRDefault="002B35C5" w:rsidP="00C32021">
      <w:pPr>
        <w:pStyle w:val="Body1"/>
        <w:numPr>
          <w:ilvl w:val="0"/>
          <w:numId w:val="23"/>
        </w:numPr>
        <w:rPr>
          <w:sz w:val="16"/>
          <w:szCs w:val="16"/>
        </w:rPr>
      </w:pPr>
      <w:r w:rsidRPr="00D478FE">
        <w:rPr>
          <w:sz w:val="16"/>
          <w:szCs w:val="16"/>
        </w:rPr>
        <w:t>In addition, if the Investment Management Agreement is terminated on or before 29 October 2020 other than for a material breach by the Investment Manager attributable to its fraud, the Company is required to reimburse the Investment Manager (or its associates) in full in respect of all expenses relating to the formation and initial listing of the Company incurred by the Investment Manager and its associates.</w:t>
      </w:r>
    </w:p>
    <w:p w14:paraId="17ED58F1" w14:textId="77777777" w:rsidR="002B35C5" w:rsidRPr="00742595" w:rsidRDefault="002B35C5" w:rsidP="00C32021">
      <w:pPr>
        <w:pStyle w:val="Body1"/>
        <w:ind w:left="540"/>
        <w:rPr>
          <w:sz w:val="20"/>
          <w:szCs w:val="20"/>
        </w:rPr>
      </w:pPr>
      <w:r w:rsidRPr="00742595">
        <w:rPr>
          <w:sz w:val="20"/>
          <w:szCs w:val="20"/>
        </w:rPr>
        <w:lastRenderedPageBreak/>
        <w:t xml:space="preserve">The Investment Management Agreement cannot be terminated by either the Company or the Investment Manager without cause. </w:t>
      </w:r>
    </w:p>
    <w:p w14:paraId="127D0C99" w14:textId="5FAAEC62" w:rsidR="00A94A8D" w:rsidRPr="00811BA1" w:rsidRDefault="00187517" w:rsidP="00C32021">
      <w:pPr>
        <w:pStyle w:val="Bodytext"/>
        <w:ind w:left="567"/>
        <w:jc w:val="both"/>
      </w:pPr>
      <w:r>
        <w:t xml:space="preserve">If </w:t>
      </w:r>
      <w:r w:rsidR="002B35C5">
        <w:t>a</w:t>
      </w:r>
      <w:r w:rsidR="00D16933" w:rsidRPr="00FF095C">
        <w:t xml:space="preserve"> Discontinuation Resolution is proposed and not passed</w:t>
      </w:r>
      <w:r w:rsidR="00BD3016">
        <w:t>,</w:t>
      </w:r>
      <w:r w:rsidR="00D16933" w:rsidRPr="00FF095C">
        <w:t xml:space="preserve"> or if, on 29 O</w:t>
      </w:r>
      <w:r w:rsidR="00B84138">
        <w:t xml:space="preserve">ctober 2020, the </w:t>
      </w:r>
      <w:r w:rsidR="00BD3016">
        <w:t>tests requiring</w:t>
      </w:r>
      <w:r w:rsidR="00D16933" w:rsidRPr="00FF095C">
        <w:t xml:space="preserve"> a Discontinuation Resolution are not triggered, the Investment Management Agreement will thereafter continue in perpetuity subject to the termination for cause provisions described above.</w:t>
      </w:r>
      <w:r w:rsidR="00BD3016">
        <w:t xml:space="preserve"> </w:t>
      </w:r>
    </w:p>
    <w:p w14:paraId="0CDC8403" w14:textId="77777777" w:rsidR="00234DF1" w:rsidRPr="00811BA1" w:rsidRDefault="00234DF1" w:rsidP="00EB7E49">
      <w:pPr>
        <w:pStyle w:val="Bodytext"/>
        <w:ind w:left="567"/>
      </w:pPr>
    </w:p>
    <w:p w14:paraId="02C10BF5" w14:textId="77777777" w:rsidR="00234DF1" w:rsidRPr="00811BA1" w:rsidRDefault="00234DF1" w:rsidP="00EB7E49">
      <w:pPr>
        <w:pStyle w:val="Heading3"/>
        <w:ind w:left="567"/>
      </w:pPr>
      <w:r w:rsidRPr="00811BA1">
        <w:t>General Partner</w:t>
      </w:r>
    </w:p>
    <w:p w14:paraId="42F47791" w14:textId="08DD96F4" w:rsidR="00234DF1" w:rsidRPr="00811BA1" w:rsidRDefault="00234DF1" w:rsidP="00C32021">
      <w:pPr>
        <w:pStyle w:val="Bodytext"/>
        <w:ind w:left="567"/>
        <w:jc w:val="both"/>
      </w:pPr>
      <w:r w:rsidRPr="00811BA1">
        <w:t xml:space="preserve">The General Partner makes all management decisions, other than investment management decisions, in relation to the Partnership and controls all other actions by the Partnership and is entitled to receive a Performance Allocation, calculated and payable at the underlying investment holding subsidiary level, equal </w:t>
      </w:r>
      <w:r w:rsidRPr="00992C62">
        <w:t xml:space="preserve">to 20 per cent. of the </w:t>
      </w:r>
      <w:r w:rsidR="003A46A7">
        <w:t xml:space="preserve">gross </w:t>
      </w:r>
      <w:r w:rsidRPr="00992C62">
        <w:t xml:space="preserve">realised profits (if any) </w:t>
      </w:r>
      <w:r w:rsidR="00992C62" w:rsidRPr="00992C62">
        <w:t xml:space="preserve">in respect of a disposal, in whole or in part, </w:t>
      </w:r>
      <w:r w:rsidRPr="00992C62">
        <w:t xml:space="preserve">of any underlying asset of the </w:t>
      </w:r>
      <w:r w:rsidRPr="00A53241">
        <w:t>Company</w:t>
      </w:r>
      <w:r w:rsidR="00D82DDD">
        <w:t>.</w:t>
      </w:r>
    </w:p>
    <w:p w14:paraId="379BCD0C" w14:textId="77777777" w:rsidR="00A94A8D" w:rsidRPr="00811BA1" w:rsidRDefault="00A94A8D" w:rsidP="00C32021">
      <w:pPr>
        <w:pStyle w:val="Bodytext"/>
        <w:ind w:left="567"/>
        <w:jc w:val="both"/>
      </w:pPr>
    </w:p>
    <w:p w14:paraId="6F1607E5" w14:textId="32E89562" w:rsidR="00234DF1" w:rsidRDefault="00234DF1" w:rsidP="00C32021">
      <w:pPr>
        <w:pStyle w:val="Bodytext"/>
        <w:ind w:left="567"/>
        <w:jc w:val="both"/>
      </w:pPr>
      <w:r w:rsidRPr="00811BA1">
        <w:t xml:space="preserve">The General Partner is entitled to receive its Performance Allocation in cash, </w:t>
      </w:r>
      <w:r w:rsidR="00726958">
        <w:t xml:space="preserve">all of which, after tax, </w:t>
      </w:r>
      <w:r w:rsidRPr="00811BA1">
        <w:t>Riverstone, through its affiliate RELCP, reinvest</w:t>
      </w:r>
      <w:r w:rsidR="004102B3">
        <w:t>s</w:t>
      </w:r>
      <w:r w:rsidRPr="00811BA1">
        <w:t xml:space="preserve"> in Ordinary Shares of the Company on the terms summarised in Part I a</w:t>
      </w:r>
      <w:r w:rsidR="00A94A8D" w:rsidRPr="00811BA1">
        <w:t xml:space="preserve">nd Part VIII of the </w:t>
      </w:r>
      <w:r w:rsidR="003314D5">
        <w:t xml:space="preserve">IPO </w:t>
      </w:r>
      <w:r w:rsidR="00A94A8D" w:rsidRPr="00811BA1">
        <w:t>Prospectus.</w:t>
      </w:r>
    </w:p>
    <w:p w14:paraId="1FB7A0A1" w14:textId="77777777" w:rsidR="000743E2" w:rsidRDefault="000743E2" w:rsidP="00C32021">
      <w:pPr>
        <w:pStyle w:val="Bodytext"/>
        <w:ind w:left="567"/>
        <w:jc w:val="both"/>
      </w:pPr>
    </w:p>
    <w:p w14:paraId="06B6480E" w14:textId="77777777" w:rsidR="000743E2" w:rsidRPr="00811BA1" w:rsidRDefault="000743E2" w:rsidP="00C32021">
      <w:pPr>
        <w:pStyle w:val="Bodytext"/>
        <w:ind w:left="567"/>
        <w:jc w:val="both"/>
      </w:pPr>
      <w:r w:rsidRPr="004C3145">
        <w:t>During the year ended 31 December 201</w:t>
      </w:r>
      <w:r>
        <w:t>9</w:t>
      </w:r>
      <w:r w:rsidRPr="004C3145">
        <w:t>, the Partnership paid Performance Allocation of $</w:t>
      </w:r>
      <w:r>
        <w:t>13,561,741</w:t>
      </w:r>
      <w:r w:rsidRPr="004C3145">
        <w:t xml:space="preserve"> (31 December 201</w:t>
      </w:r>
      <w:r>
        <w:t>8</w:t>
      </w:r>
      <w:r w:rsidRPr="004C3145">
        <w:t>: $</w:t>
      </w:r>
      <w:r>
        <w:t>28,677,639</w:t>
      </w:r>
      <w:r w:rsidRPr="00A53241">
        <w:t>) of which $</w:t>
      </w:r>
      <w:r>
        <w:t>nil</w:t>
      </w:r>
      <w:r w:rsidRPr="00A53241">
        <w:t xml:space="preserve"> remained outstanding as at the year end (31 December 201</w:t>
      </w:r>
      <w:r>
        <w:t>8</w:t>
      </w:r>
      <w:r w:rsidRPr="00A53241">
        <w:t>: $</w:t>
      </w:r>
      <w:r>
        <w:t>55</w:t>
      </w:r>
      <w:r w:rsidRPr="00A53241">
        <w:t>,</w:t>
      </w:r>
      <w:r>
        <w:t>862</w:t>
      </w:r>
      <w:r w:rsidRPr="00A53241">
        <w:t>,</w:t>
      </w:r>
      <w:r>
        <w:t>746</w:t>
      </w:r>
      <w:r w:rsidRPr="00A53241">
        <w:t>).</w:t>
      </w:r>
    </w:p>
    <w:p w14:paraId="7F6DD871" w14:textId="77777777" w:rsidR="00E235A1" w:rsidRDefault="00E235A1" w:rsidP="00C32021">
      <w:pPr>
        <w:pStyle w:val="Bodytext"/>
        <w:ind w:left="567"/>
        <w:jc w:val="both"/>
      </w:pPr>
    </w:p>
    <w:p w14:paraId="31056B80" w14:textId="77777777" w:rsidR="00E235A1" w:rsidRDefault="00E235A1" w:rsidP="00C32021">
      <w:pPr>
        <w:pStyle w:val="Bodytext"/>
        <w:ind w:left="567"/>
        <w:jc w:val="both"/>
      </w:pPr>
      <w:r>
        <w:t>On 3 January 2020, the Company announced amendments to Performance Allocation arrangements under the Investment Management Agreement that are effective from 30 June 2019. The amended terms on which the Company is required to pay a Performance Allocation in respect of its investment are as follows:</w:t>
      </w:r>
    </w:p>
    <w:p w14:paraId="661F5DFB" w14:textId="77777777" w:rsidR="00E235A1" w:rsidRDefault="00E235A1" w:rsidP="00C32021">
      <w:pPr>
        <w:pStyle w:val="Bodytext"/>
        <w:jc w:val="both"/>
      </w:pPr>
    </w:p>
    <w:p w14:paraId="37F9CADE" w14:textId="5BDED912" w:rsidR="00E235A1" w:rsidRDefault="00E235A1" w:rsidP="00C32021">
      <w:pPr>
        <w:pStyle w:val="Bodytext"/>
        <w:numPr>
          <w:ilvl w:val="0"/>
          <w:numId w:val="25"/>
        </w:numPr>
        <w:jc w:val="both"/>
      </w:pPr>
      <w:r>
        <w:t>Portfolio level cost b</w:t>
      </w:r>
      <w:r w:rsidRPr="00A404D4">
        <w:t>enchmark</w:t>
      </w:r>
      <w:r>
        <w:t>:</w:t>
      </w:r>
      <w:r w:rsidRPr="00A404D4">
        <w:t> A Performance Allocation will only be distributed in respect of a realised investment if, at the time of the realisation of the relevant investment, the aggregate of the fair market value of all of the Company's then unrealised investments and the proceeds of all of its realised investments since inception exceeds the aggregate acquisition price of all of the Company's unrea</w:t>
      </w:r>
      <w:r>
        <w:t>lised and realised investments.</w:t>
      </w:r>
      <w:r w:rsidRPr="00A404D4">
        <w:t xml:space="preserve"> If this portfolio level cost benchmark is not met at the time of realisation of the relevant investment, distribution of the Performance Allocation is subject to deferment as described further below. </w:t>
      </w:r>
      <w:r w:rsidR="000743E2">
        <w:rPr>
          <w:rFonts w:eastAsia="Calibri"/>
        </w:rPr>
        <w:t>As of 31 December 2019, the portfolio level cost benchmark was in deficit of $254.5 million.</w:t>
      </w:r>
    </w:p>
    <w:p w14:paraId="04E8776D" w14:textId="77777777" w:rsidR="00E235A1" w:rsidRPr="00A404D4" w:rsidRDefault="00E235A1" w:rsidP="00C32021">
      <w:pPr>
        <w:pStyle w:val="Bodytext"/>
        <w:ind w:left="720"/>
        <w:jc w:val="both"/>
      </w:pPr>
    </w:p>
    <w:p w14:paraId="653A3CBA" w14:textId="0C1DE714" w:rsidR="00E235A1" w:rsidRDefault="00E235A1" w:rsidP="00C32021">
      <w:pPr>
        <w:pStyle w:val="Bodytext"/>
        <w:numPr>
          <w:ilvl w:val="0"/>
          <w:numId w:val="25"/>
        </w:numPr>
        <w:jc w:val="both"/>
      </w:pPr>
      <w:r>
        <w:t>8</w:t>
      </w:r>
      <w:r w:rsidR="00621A24">
        <w:t xml:space="preserve"> per cent.</w:t>
      </w:r>
      <w:r>
        <w:t xml:space="preserve"> hurdle r</w:t>
      </w:r>
      <w:r w:rsidRPr="00A404D4">
        <w:t>ate: A Performance Allocation will only be accrued for payment upon the realisation of an investment if the proceeds from that investment exceed an amount equal to its acquisition cost plus an 8</w:t>
      </w:r>
      <w:r w:rsidR="00621A24">
        <w:t xml:space="preserve"> per cent.</w:t>
      </w:r>
      <w:r w:rsidRPr="00A404D4">
        <w:t xml:space="preserve"> annual cumulative hurdle rate calculated from the date of investme</w:t>
      </w:r>
      <w:r>
        <w:t xml:space="preserve">nt to the date of realisation. </w:t>
      </w:r>
      <w:r w:rsidRPr="00A404D4">
        <w:t>If the hurdle is met, the Performance Allocation will be 20</w:t>
      </w:r>
      <w:r w:rsidR="00621A24">
        <w:t xml:space="preserve"> per cent.</w:t>
      </w:r>
      <w:r w:rsidRPr="00A404D4">
        <w:t xml:space="preserve"> of all Net Profits in respect of each such investment. </w:t>
      </w:r>
      <w:r w:rsidR="000743E2">
        <w:rPr>
          <w:rFonts w:eastAsia="Calibri"/>
        </w:rPr>
        <w:t>As of 31 December 2019, only the Ridgebury investment exceeded the hurdle rate.</w:t>
      </w:r>
    </w:p>
    <w:p w14:paraId="0638AB41" w14:textId="77777777" w:rsidR="00E235A1" w:rsidRPr="00A404D4" w:rsidRDefault="00E235A1" w:rsidP="00E235A1">
      <w:pPr>
        <w:pStyle w:val="Bodytext"/>
      </w:pPr>
    </w:p>
    <w:p w14:paraId="470E7D82" w14:textId="77777777" w:rsidR="00E235A1" w:rsidRDefault="00E235A1" w:rsidP="00C32021">
      <w:pPr>
        <w:pStyle w:val="Bodytext"/>
        <w:numPr>
          <w:ilvl w:val="0"/>
          <w:numId w:val="25"/>
        </w:numPr>
        <w:jc w:val="both"/>
      </w:pPr>
      <w:r w:rsidRPr="00A404D4">
        <w:t xml:space="preserve">Full </w:t>
      </w:r>
      <w:r>
        <w:t xml:space="preserve">realisation: </w:t>
      </w:r>
      <w:r w:rsidRPr="00A404D4">
        <w:t>A Performance Allocation will only be calculated and accrued on the full realisation of the entire interest in an investment, unless a partial realisation results in the full return of all capita</w:t>
      </w:r>
      <w:r>
        <w:t>l invested in such investment. </w:t>
      </w:r>
      <w:r w:rsidRPr="00A404D4">
        <w:t>Otherwise, no Performance Allocation will be payable on partial disposals and the ability for the Investment Manager to elect to receive a Performance Allocation on an investment that has been held by the Company for at least seven years (but not sold) has been removed.</w:t>
      </w:r>
    </w:p>
    <w:p w14:paraId="11F1B41A" w14:textId="77777777" w:rsidR="00E235A1" w:rsidRPr="00A404D4" w:rsidRDefault="00E235A1" w:rsidP="00C32021">
      <w:pPr>
        <w:pStyle w:val="Bodytext"/>
        <w:jc w:val="both"/>
      </w:pPr>
    </w:p>
    <w:p w14:paraId="0097150D" w14:textId="77777777" w:rsidR="00E235A1" w:rsidRDefault="00E235A1" w:rsidP="00C32021">
      <w:pPr>
        <w:pStyle w:val="Bodytext"/>
        <w:numPr>
          <w:ilvl w:val="0"/>
          <w:numId w:val="25"/>
        </w:numPr>
        <w:jc w:val="both"/>
      </w:pPr>
      <w:r>
        <w:t xml:space="preserve">Deferral: </w:t>
      </w:r>
      <w:r w:rsidRPr="00A404D4">
        <w:t xml:space="preserve">If the portfolio level cost benchmark is not met at the time of full realisation of the relevant investment, it will be retested on a quarterly basis </w:t>
      </w:r>
      <w:r>
        <w:t>for the following three years. </w:t>
      </w:r>
      <w:r w:rsidRPr="00A404D4">
        <w:t>If, at any time during those three years, the benchmark is satisfied for four continuous quarters, the relevant Performance Allocation will then become d</w:t>
      </w:r>
      <w:r>
        <w:t>istributable without interest. </w:t>
      </w:r>
      <w:r w:rsidRPr="00A404D4">
        <w:t>Any accrued but undistributed Performance Allocation that has been deferred due to the portfolio level cost benchmark test will expire after 36 months.</w:t>
      </w:r>
    </w:p>
    <w:p w14:paraId="3F0F51C3" w14:textId="77777777" w:rsidR="00E235A1" w:rsidRDefault="00E235A1" w:rsidP="00E235A1">
      <w:pPr>
        <w:pStyle w:val="ListParagraph"/>
      </w:pPr>
    </w:p>
    <w:p w14:paraId="49C08EF7" w14:textId="77777777" w:rsidR="00E235A1" w:rsidRDefault="00E235A1" w:rsidP="00C32021">
      <w:pPr>
        <w:ind w:left="720"/>
        <w:jc w:val="both"/>
      </w:pPr>
      <w:r w:rsidRPr="00DF68E3">
        <w:t>The Investment Manager will continue to be required to apply each Performance Allocation (net of taxes) to acquire ordinary shares of the Company. </w:t>
      </w:r>
    </w:p>
    <w:p w14:paraId="7B3978F6" w14:textId="77777777" w:rsidR="00E235A1" w:rsidRPr="00DF68E3" w:rsidRDefault="00E235A1" w:rsidP="00C32021">
      <w:pPr>
        <w:jc w:val="both"/>
      </w:pPr>
    </w:p>
    <w:p w14:paraId="66E27066" w14:textId="77777777" w:rsidR="00E235A1" w:rsidRPr="00DF68E3" w:rsidRDefault="00E235A1" w:rsidP="00C32021">
      <w:pPr>
        <w:pStyle w:val="Bodytext"/>
        <w:ind w:firstLine="567"/>
        <w:jc w:val="both"/>
        <w:rPr>
          <w:i/>
        </w:rPr>
      </w:pPr>
      <w:r w:rsidRPr="00DF68E3">
        <w:rPr>
          <w:i/>
        </w:rPr>
        <w:t>Distribution of Investment Proceeds</w:t>
      </w:r>
    </w:p>
    <w:p w14:paraId="17FEDCC9" w14:textId="4FBA083A" w:rsidR="00E235A1" w:rsidRPr="00DF68E3" w:rsidRDefault="00E235A1" w:rsidP="00C32021">
      <w:pPr>
        <w:pStyle w:val="Bodytext"/>
        <w:ind w:left="567"/>
        <w:jc w:val="both"/>
      </w:pPr>
      <w:r w:rsidRPr="00DF68E3">
        <w:t>In addition, the Company and the Investment Manager have agreed that, going forward, 20</w:t>
      </w:r>
      <w:r w:rsidR="00621A24">
        <w:t xml:space="preserve"> per cent.</w:t>
      </w:r>
      <w:r w:rsidRPr="00DF68E3">
        <w:t xml:space="preserve"> of the Net Profits attributable to each fully realised investment, net of taxes, withholdings or reserves for taxes will, at the discretion of the Company, be available for</w:t>
      </w:r>
      <w:r>
        <w:t xml:space="preserve"> distribution to the Company's S</w:t>
      </w:r>
      <w:r w:rsidRPr="00DF68E3">
        <w:t>hareholders, whether by dividend or share repurchases.</w:t>
      </w:r>
    </w:p>
    <w:p w14:paraId="583FEB8F" w14:textId="77777777" w:rsidR="00A94A8D" w:rsidRPr="00811BA1" w:rsidRDefault="00A94A8D" w:rsidP="00C32021">
      <w:pPr>
        <w:pStyle w:val="Bodytext"/>
        <w:ind w:left="567"/>
        <w:jc w:val="both"/>
      </w:pPr>
    </w:p>
    <w:p w14:paraId="273CA96A" w14:textId="77777777" w:rsidR="00234DF1" w:rsidRPr="00811BA1" w:rsidRDefault="00234DF1" w:rsidP="00C32021">
      <w:pPr>
        <w:pStyle w:val="Heading3"/>
        <w:ind w:left="567"/>
        <w:jc w:val="both"/>
      </w:pPr>
      <w:r w:rsidRPr="00811BA1">
        <w:t>Cornerstone Investors</w:t>
      </w:r>
    </w:p>
    <w:p w14:paraId="5997012C" w14:textId="791A1702" w:rsidR="007613A5" w:rsidRDefault="00234DF1" w:rsidP="00C32021">
      <w:pPr>
        <w:pStyle w:val="Bodytext"/>
        <w:ind w:left="567"/>
        <w:jc w:val="both"/>
      </w:pPr>
      <w:r w:rsidRPr="00811BA1">
        <w:t>Each of the Cornerstone Investors has acquired an indirect economic interest in each of the General Partner and the Investment Manager depending on the size of their commitment and the total issue size, up to an aggregate maximum indirect economic interest of 20 per cent. in each, for nominal consideration. These interests entitle the Cornerstone Investors to participate in the economic returns generated by the General Partner, including from the Performance Allocation, and the Investment Manager, which receives the Management Fee.</w:t>
      </w:r>
    </w:p>
    <w:p w14:paraId="26313187" w14:textId="77777777" w:rsidR="00234DF1" w:rsidRPr="00811BA1" w:rsidRDefault="00234DF1" w:rsidP="00EB7E49">
      <w:pPr>
        <w:pStyle w:val="Bodytext"/>
        <w:ind w:left="567"/>
      </w:pPr>
    </w:p>
    <w:p w14:paraId="4845DBBD" w14:textId="35B2C590" w:rsidR="00234DF1" w:rsidRPr="00811BA1" w:rsidRDefault="000B696A" w:rsidP="00EB7E49">
      <w:pPr>
        <w:pStyle w:val="Heading2"/>
      </w:pPr>
      <w:r w:rsidRPr="00811BA1">
        <w:t>1</w:t>
      </w:r>
      <w:r w:rsidR="00527E4F">
        <w:t>1</w:t>
      </w:r>
      <w:r w:rsidR="00234DF1" w:rsidRPr="00811BA1">
        <w:t>.</w:t>
      </w:r>
      <w:r w:rsidR="00234DF1" w:rsidRPr="00811BA1">
        <w:tab/>
        <w:t>Financial risk management</w:t>
      </w:r>
    </w:p>
    <w:p w14:paraId="3B0BB761" w14:textId="77777777" w:rsidR="00234DF1" w:rsidRPr="00811BA1" w:rsidRDefault="00234DF1" w:rsidP="00EB7E49">
      <w:pPr>
        <w:pStyle w:val="Heading3"/>
        <w:ind w:left="567"/>
      </w:pPr>
      <w:r w:rsidRPr="00811BA1">
        <w:t>Financial risk management objectives</w:t>
      </w:r>
    </w:p>
    <w:p w14:paraId="4B86D649" w14:textId="434AC6E5" w:rsidR="00234DF1" w:rsidRPr="00811BA1" w:rsidRDefault="00234DF1" w:rsidP="00C32021">
      <w:pPr>
        <w:pStyle w:val="Bodytext"/>
        <w:ind w:left="567"/>
        <w:jc w:val="both"/>
      </w:pPr>
      <w:r w:rsidRPr="00811BA1">
        <w:t>The Company’s investing activities, through its investment in the Partnership, intentionally expose it to various types of risks that are associated with the underlying investee companies of the Partnership</w:t>
      </w:r>
      <w:r w:rsidR="00E10813">
        <w:t xml:space="preserve">, including the recent </w:t>
      </w:r>
      <w:r w:rsidR="00E10813" w:rsidRPr="0028468D">
        <w:t xml:space="preserve">oil </w:t>
      </w:r>
      <w:r w:rsidR="00E10813">
        <w:t>and</w:t>
      </w:r>
      <w:r w:rsidR="00E10813" w:rsidRPr="0028468D">
        <w:t xml:space="preserve"> gas market decline and C</w:t>
      </w:r>
      <w:r w:rsidR="00E10813">
        <w:t>OVID</w:t>
      </w:r>
      <w:r w:rsidR="00E10813" w:rsidRPr="0028468D">
        <w:t>-19</w:t>
      </w:r>
      <w:r w:rsidRPr="00811BA1">
        <w:t>. The Company makes the investment in order to generate returns in accordance with its in</w:t>
      </w:r>
      <w:r w:rsidR="00A94A8D" w:rsidRPr="00811BA1">
        <w:t>vestment policy and objectives.</w:t>
      </w:r>
    </w:p>
    <w:p w14:paraId="0ED78464" w14:textId="77777777" w:rsidR="00A94A8D" w:rsidRPr="00811BA1" w:rsidRDefault="00A94A8D" w:rsidP="00C32021">
      <w:pPr>
        <w:pStyle w:val="Bodytext"/>
        <w:ind w:left="567"/>
        <w:jc w:val="both"/>
      </w:pPr>
    </w:p>
    <w:p w14:paraId="7CFEA9F2" w14:textId="77777777" w:rsidR="00A94A8D" w:rsidRPr="00811BA1" w:rsidRDefault="00234DF1" w:rsidP="00C32021">
      <w:pPr>
        <w:pStyle w:val="Bodytext"/>
        <w:ind w:left="567"/>
        <w:jc w:val="both"/>
      </w:pPr>
      <w:r w:rsidRPr="00811BA1">
        <w:t>The most important types of financial risks to which the Company is exposed are market risk (including price, interest rate and foreign currency risk), liquidity risk and credit risk. The Board of Directors has overall responsibility for the determination of the Company’s risk management and sets policy to manage that risk at an acceptable level to achieve those objectives. The policy and process for measuring and mitigating each of the main risks are described below.</w:t>
      </w:r>
    </w:p>
    <w:p w14:paraId="50CA9CE7" w14:textId="77777777" w:rsidR="00234DF1" w:rsidRPr="00811BA1" w:rsidRDefault="00234DF1" w:rsidP="00C32021">
      <w:pPr>
        <w:pStyle w:val="Bodytext"/>
        <w:ind w:left="567"/>
        <w:jc w:val="both"/>
      </w:pPr>
    </w:p>
    <w:p w14:paraId="07F22AA7" w14:textId="77777777" w:rsidR="00234DF1" w:rsidRPr="00811BA1" w:rsidRDefault="00234DF1" w:rsidP="00C32021">
      <w:pPr>
        <w:pStyle w:val="Bodytext"/>
        <w:ind w:left="567"/>
        <w:jc w:val="both"/>
      </w:pPr>
      <w:r w:rsidRPr="00811BA1">
        <w:t>The Investment Manager and the Administrator provide advice to the Company which allows it to monitor and manage financial risks relating to its operations through internal risk reports which analyse exposures by degree and magnitude of risks. The Investment Manager and the Administrator report to the Board on a quarterly basis.</w:t>
      </w:r>
    </w:p>
    <w:p w14:paraId="705B0F3F" w14:textId="77777777" w:rsidR="00A94A8D" w:rsidRPr="00811BA1" w:rsidRDefault="00A94A8D" w:rsidP="00C32021">
      <w:pPr>
        <w:pStyle w:val="Bodytext"/>
        <w:ind w:left="567"/>
        <w:jc w:val="both"/>
      </w:pPr>
    </w:p>
    <w:p w14:paraId="7064E822" w14:textId="77777777" w:rsidR="00234DF1" w:rsidRPr="00811BA1" w:rsidRDefault="00234DF1" w:rsidP="00EB7E49">
      <w:pPr>
        <w:pStyle w:val="Heading3"/>
        <w:ind w:left="567"/>
      </w:pPr>
      <w:r w:rsidRPr="00811BA1">
        <w:t>Categories of financial instruments</w:t>
      </w:r>
    </w:p>
    <w:p w14:paraId="6A2A511E" w14:textId="77777777" w:rsidR="00266E26" w:rsidRPr="00811BA1" w:rsidRDefault="00266E26" w:rsidP="00EB7E49">
      <w:pPr>
        <w:pStyle w:val="Bodytext"/>
        <w:ind w:left="567"/>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83"/>
        <w:gridCol w:w="1701"/>
        <w:gridCol w:w="1701"/>
      </w:tblGrid>
      <w:tr w:rsidR="00C46EC3" w:rsidRPr="00811BA1" w14:paraId="67D6104C" w14:textId="77777777" w:rsidTr="00C46EC3">
        <w:trPr>
          <w:trHeight w:val="700"/>
        </w:trPr>
        <w:tc>
          <w:tcPr>
            <w:tcW w:w="5783" w:type="dxa"/>
            <w:tcBorders>
              <w:bottom w:val="single" w:sz="4" w:space="0" w:color="auto"/>
            </w:tcBorders>
          </w:tcPr>
          <w:p w14:paraId="7476D3F9" w14:textId="77777777" w:rsidR="00C46EC3" w:rsidRPr="00811BA1" w:rsidRDefault="00C46EC3" w:rsidP="00EB7E49">
            <w:pPr>
              <w:pStyle w:val="Bodytext"/>
            </w:pPr>
          </w:p>
        </w:tc>
        <w:tc>
          <w:tcPr>
            <w:tcW w:w="1701" w:type="dxa"/>
            <w:tcBorders>
              <w:bottom w:val="single" w:sz="4" w:space="0" w:color="auto"/>
            </w:tcBorders>
            <w:vAlign w:val="bottom"/>
          </w:tcPr>
          <w:p w14:paraId="0DAEDCC3" w14:textId="77777777" w:rsidR="00C46EC3" w:rsidRPr="00811BA1" w:rsidRDefault="00C46EC3" w:rsidP="00EB7E49">
            <w:pPr>
              <w:pStyle w:val="Bodytext"/>
              <w:jc w:val="right"/>
              <w:rPr>
                <w:b/>
              </w:rPr>
            </w:pPr>
            <w:r w:rsidRPr="00811BA1">
              <w:rPr>
                <w:b/>
              </w:rPr>
              <w:t>31 December</w:t>
            </w:r>
          </w:p>
          <w:p w14:paraId="0857EE80" w14:textId="78F18DA0" w:rsidR="00C46EC3" w:rsidRPr="00811BA1" w:rsidRDefault="00C46EC3" w:rsidP="00EB7E49">
            <w:pPr>
              <w:pStyle w:val="Bodytext"/>
              <w:jc w:val="right"/>
              <w:rPr>
                <w:b/>
              </w:rPr>
            </w:pPr>
            <w:r w:rsidRPr="00811BA1">
              <w:rPr>
                <w:b/>
              </w:rPr>
              <w:t>201</w:t>
            </w:r>
            <w:r w:rsidR="00D6375E">
              <w:rPr>
                <w:b/>
              </w:rPr>
              <w:t>9</w:t>
            </w:r>
          </w:p>
          <w:p w14:paraId="306546D2" w14:textId="77777777" w:rsidR="00C46EC3" w:rsidRPr="00811BA1" w:rsidRDefault="00C46EC3" w:rsidP="00EB7E49">
            <w:pPr>
              <w:pStyle w:val="Bodytext"/>
              <w:jc w:val="right"/>
              <w:rPr>
                <w:b/>
              </w:rPr>
            </w:pPr>
            <w:r w:rsidRPr="00811BA1">
              <w:rPr>
                <w:b/>
              </w:rPr>
              <w:t>$’000</w:t>
            </w:r>
          </w:p>
        </w:tc>
        <w:tc>
          <w:tcPr>
            <w:tcW w:w="1701" w:type="dxa"/>
            <w:tcBorders>
              <w:bottom w:val="single" w:sz="4" w:space="0" w:color="auto"/>
            </w:tcBorders>
            <w:vAlign w:val="bottom"/>
          </w:tcPr>
          <w:p w14:paraId="6C9DF58A" w14:textId="77777777" w:rsidR="00C46EC3" w:rsidRPr="00C46EC3" w:rsidRDefault="00C46EC3" w:rsidP="00184565">
            <w:pPr>
              <w:pStyle w:val="Bodytext"/>
              <w:jc w:val="right"/>
            </w:pPr>
            <w:r w:rsidRPr="00C46EC3">
              <w:t>31 December</w:t>
            </w:r>
          </w:p>
          <w:p w14:paraId="02E1AE5D" w14:textId="65D33486" w:rsidR="00C46EC3" w:rsidRPr="00C46EC3" w:rsidRDefault="00C46EC3" w:rsidP="00184565">
            <w:pPr>
              <w:pStyle w:val="Bodytext"/>
              <w:jc w:val="right"/>
            </w:pPr>
            <w:r w:rsidRPr="00C46EC3">
              <w:t>201</w:t>
            </w:r>
            <w:r w:rsidR="00D6375E">
              <w:t>8</w:t>
            </w:r>
          </w:p>
          <w:p w14:paraId="35A43E14" w14:textId="26EAE999" w:rsidR="00C46EC3" w:rsidRPr="00C46EC3" w:rsidRDefault="00C46EC3" w:rsidP="00EB7E49">
            <w:pPr>
              <w:pStyle w:val="Bodytext"/>
              <w:jc w:val="right"/>
            </w:pPr>
            <w:r w:rsidRPr="00C46EC3">
              <w:t>$’000</w:t>
            </w:r>
          </w:p>
        </w:tc>
      </w:tr>
      <w:tr w:rsidR="00C46EC3" w:rsidRPr="00811BA1" w14:paraId="70D278F2" w14:textId="77777777" w:rsidTr="00C46EC3">
        <w:tc>
          <w:tcPr>
            <w:tcW w:w="5783" w:type="dxa"/>
            <w:tcBorders>
              <w:top w:val="single" w:sz="4" w:space="0" w:color="auto"/>
            </w:tcBorders>
          </w:tcPr>
          <w:p w14:paraId="1A3C25E1" w14:textId="77777777" w:rsidR="00C46EC3" w:rsidRPr="00811BA1" w:rsidRDefault="00C46EC3" w:rsidP="00EB7E49">
            <w:pPr>
              <w:pStyle w:val="Bodytext"/>
              <w:rPr>
                <w:b/>
              </w:rPr>
            </w:pPr>
            <w:r w:rsidRPr="00811BA1">
              <w:rPr>
                <w:b/>
              </w:rPr>
              <w:t>Financial assets</w:t>
            </w:r>
          </w:p>
        </w:tc>
        <w:tc>
          <w:tcPr>
            <w:tcW w:w="1701" w:type="dxa"/>
            <w:tcBorders>
              <w:top w:val="single" w:sz="4" w:space="0" w:color="auto"/>
            </w:tcBorders>
            <w:vAlign w:val="center"/>
          </w:tcPr>
          <w:p w14:paraId="1085DC4B" w14:textId="77777777" w:rsidR="00C46EC3" w:rsidRPr="00811BA1" w:rsidRDefault="00C46EC3" w:rsidP="00EB7E49">
            <w:pPr>
              <w:pStyle w:val="Bodytext"/>
              <w:jc w:val="right"/>
              <w:rPr>
                <w:b/>
              </w:rPr>
            </w:pPr>
          </w:p>
        </w:tc>
        <w:tc>
          <w:tcPr>
            <w:tcW w:w="1701" w:type="dxa"/>
            <w:tcBorders>
              <w:top w:val="single" w:sz="4" w:space="0" w:color="auto"/>
            </w:tcBorders>
            <w:vAlign w:val="center"/>
          </w:tcPr>
          <w:p w14:paraId="688A6598" w14:textId="77777777" w:rsidR="00C46EC3" w:rsidRPr="00C46EC3" w:rsidRDefault="00C46EC3" w:rsidP="00EB7E49">
            <w:pPr>
              <w:pStyle w:val="Bodytext"/>
              <w:jc w:val="right"/>
            </w:pPr>
          </w:p>
        </w:tc>
      </w:tr>
      <w:tr w:rsidR="00C46EC3" w:rsidRPr="00811BA1" w14:paraId="38590411" w14:textId="77777777" w:rsidTr="00C46EC3">
        <w:trPr>
          <w:trHeight w:val="97"/>
        </w:trPr>
        <w:tc>
          <w:tcPr>
            <w:tcW w:w="5783" w:type="dxa"/>
          </w:tcPr>
          <w:p w14:paraId="5576D107" w14:textId="77777777" w:rsidR="00C46EC3" w:rsidRPr="00811BA1" w:rsidRDefault="00C46EC3" w:rsidP="00EB7E49">
            <w:pPr>
              <w:pStyle w:val="Bodytext"/>
              <w:rPr>
                <w:i/>
              </w:rPr>
            </w:pPr>
            <w:r w:rsidRPr="00811BA1">
              <w:rPr>
                <w:i/>
              </w:rPr>
              <w:t>Investment at fair value through profit or loss:</w:t>
            </w:r>
          </w:p>
        </w:tc>
        <w:tc>
          <w:tcPr>
            <w:tcW w:w="1701" w:type="dxa"/>
            <w:vAlign w:val="center"/>
          </w:tcPr>
          <w:p w14:paraId="4A3DCFC9" w14:textId="77777777" w:rsidR="00C46EC3" w:rsidRPr="00811BA1" w:rsidRDefault="00C46EC3" w:rsidP="00EB7E49">
            <w:pPr>
              <w:pStyle w:val="Bodytext"/>
              <w:jc w:val="right"/>
              <w:rPr>
                <w:b/>
                <w:i/>
              </w:rPr>
            </w:pPr>
          </w:p>
        </w:tc>
        <w:tc>
          <w:tcPr>
            <w:tcW w:w="1701" w:type="dxa"/>
            <w:vAlign w:val="center"/>
          </w:tcPr>
          <w:p w14:paraId="61D824CD" w14:textId="77777777" w:rsidR="00C46EC3" w:rsidRPr="00C46EC3" w:rsidRDefault="00C46EC3" w:rsidP="00EB7E49">
            <w:pPr>
              <w:pStyle w:val="Bodytext"/>
              <w:jc w:val="right"/>
              <w:rPr>
                <w:i/>
              </w:rPr>
            </w:pPr>
          </w:p>
        </w:tc>
      </w:tr>
      <w:tr w:rsidR="00D6375E" w:rsidRPr="00811BA1" w14:paraId="7DA24566" w14:textId="77777777" w:rsidTr="002D2CEC">
        <w:tc>
          <w:tcPr>
            <w:tcW w:w="5783" w:type="dxa"/>
          </w:tcPr>
          <w:p w14:paraId="49FDE2C8" w14:textId="77777777" w:rsidR="00D6375E" w:rsidRPr="00811BA1" w:rsidRDefault="00D6375E" w:rsidP="00D6375E">
            <w:pPr>
              <w:pStyle w:val="Bodytext"/>
            </w:pPr>
            <w:r w:rsidRPr="00811BA1">
              <w:t>  Investment in the Partnership</w:t>
            </w:r>
          </w:p>
        </w:tc>
        <w:tc>
          <w:tcPr>
            <w:tcW w:w="1701" w:type="dxa"/>
            <w:vAlign w:val="bottom"/>
          </w:tcPr>
          <w:p w14:paraId="2BF1EDFF" w14:textId="38B0DF4F" w:rsidR="00D6375E" w:rsidRPr="00835D77" w:rsidRDefault="00B229FD" w:rsidP="0017236F">
            <w:pPr>
              <w:pStyle w:val="Bodytext"/>
              <w:jc w:val="right"/>
              <w:rPr>
                <w:b/>
              </w:rPr>
            </w:pPr>
            <w:r w:rsidRPr="00B229FD">
              <w:rPr>
                <w:b/>
              </w:rPr>
              <w:t>772,7</w:t>
            </w:r>
            <w:r w:rsidR="0017236F">
              <w:rPr>
                <w:b/>
              </w:rPr>
              <w:t>22</w:t>
            </w:r>
          </w:p>
        </w:tc>
        <w:tc>
          <w:tcPr>
            <w:tcW w:w="1701" w:type="dxa"/>
          </w:tcPr>
          <w:p w14:paraId="37E3230E" w14:textId="09A25BF4" w:rsidR="00D6375E" w:rsidRPr="00C46EC3" w:rsidRDefault="00D6375E" w:rsidP="00D6375E">
            <w:pPr>
              <w:pStyle w:val="Bodytext"/>
              <w:jc w:val="right"/>
            </w:pPr>
            <w:r w:rsidRPr="00812542">
              <w:t>1,428,985</w:t>
            </w:r>
          </w:p>
        </w:tc>
      </w:tr>
      <w:tr w:rsidR="00D6375E" w:rsidRPr="00811BA1" w14:paraId="27C70DD5" w14:textId="77777777" w:rsidTr="002D2CEC">
        <w:tc>
          <w:tcPr>
            <w:tcW w:w="5783" w:type="dxa"/>
          </w:tcPr>
          <w:p w14:paraId="554D5636" w14:textId="63FF085C" w:rsidR="00D6375E" w:rsidRPr="00811BA1" w:rsidRDefault="00D6375E" w:rsidP="00D6375E">
            <w:pPr>
              <w:pStyle w:val="Bodytext"/>
              <w:rPr>
                <w:i/>
              </w:rPr>
            </w:pPr>
            <w:r>
              <w:rPr>
                <w:i/>
              </w:rPr>
              <w:t>Other financial assets</w:t>
            </w:r>
            <w:r w:rsidRPr="00811BA1">
              <w:rPr>
                <w:i/>
              </w:rPr>
              <w:t>:</w:t>
            </w:r>
          </w:p>
        </w:tc>
        <w:tc>
          <w:tcPr>
            <w:tcW w:w="1701" w:type="dxa"/>
            <w:vAlign w:val="center"/>
          </w:tcPr>
          <w:p w14:paraId="12F12EB6" w14:textId="4122EA7B" w:rsidR="00D6375E" w:rsidRPr="00835D77" w:rsidRDefault="00D6375E" w:rsidP="00D6375E">
            <w:pPr>
              <w:pStyle w:val="Bodytext"/>
              <w:jc w:val="right"/>
              <w:rPr>
                <w:b/>
              </w:rPr>
            </w:pPr>
          </w:p>
        </w:tc>
        <w:tc>
          <w:tcPr>
            <w:tcW w:w="1701" w:type="dxa"/>
          </w:tcPr>
          <w:p w14:paraId="572AB598" w14:textId="34AE4987" w:rsidR="00D6375E" w:rsidRPr="00C46EC3" w:rsidRDefault="00D6375E" w:rsidP="00D6375E">
            <w:pPr>
              <w:pStyle w:val="Bodytext"/>
              <w:jc w:val="right"/>
            </w:pPr>
          </w:p>
        </w:tc>
      </w:tr>
      <w:tr w:rsidR="00D6375E" w:rsidRPr="00811BA1" w14:paraId="10E93922" w14:textId="77777777" w:rsidTr="002D2CEC">
        <w:tc>
          <w:tcPr>
            <w:tcW w:w="5783" w:type="dxa"/>
          </w:tcPr>
          <w:p w14:paraId="1A6A6EDC" w14:textId="77777777" w:rsidR="00D6375E" w:rsidRPr="00811BA1" w:rsidRDefault="00D6375E" w:rsidP="00D6375E">
            <w:pPr>
              <w:pStyle w:val="Bodytext"/>
            </w:pPr>
            <w:r w:rsidRPr="00811BA1">
              <w:t>  Cash and cash equivalents</w:t>
            </w:r>
          </w:p>
        </w:tc>
        <w:tc>
          <w:tcPr>
            <w:tcW w:w="1701" w:type="dxa"/>
            <w:vAlign w:val="bottom"/>
          </w:tcPr>
          <w:p w14:paraId="002BB688" w14:textId="44B49019" w:rsidR="00D6375E" w:rsidRPr="00835D77" w:rsidRDefault="0015393C" w:rsidP="00D6375E">
            <w:pPr>
              <w:pStyle w:val="Bodytext"/>
              <w:jc w:val="right"/>
              <w:rPr>
                <w:b/>
              </w:rPr>
            </w:pPr>
            <w:r w:rsidRPr="0015393C">
              <w:rPr>
                <w:b/>
              </w:rPr>
              <w:t>211</w:t>
            </w:r>
          </w:p>
        </w:tc>
        <w:tc>
          <w:tcPr>
            <w:tcW w:w="1701" w:type="dxa"/>
          </w:tcPr>
          <w:p w14:paraId="48093D57" w14:textId="5C3E036C" w:rsidR="00D6375E" w:rsidRPr="00C46EC3" w:rsidRDefault="00D6375E" w:rsidP="00D6375E">
            <w:pPr>
              <w:pStyle w:val="Bodytext"/>
              <w:jc w:val="right"/>
            </w:pPr>
            <w:r w:rsidRPr="00812542">
              <w:t>2,132</w:t>
            </w:r>
          </w:p>
        </w:tc>
      </w:tr>
      <w:tr w:rsidR="00D6375E" w:rsidRPr="00811BA1" w14:paraId="534E7DB2" w14:textId="77777777" w:rsidTr="002D2CEC">
        <w:tc>
          <w:tcPr>
            <w:tcW w:w="5783" w:type="dxa"/>
          </w:tcPr>
          <w:p w14:paraId="5E417A28" w14:textId="77777777" w:rsidR="00D6375E" w:rsidRPr="00811BA1" w:rsidRDefault="00D6375E" w:rsidP="00D6375E">
            <w:pPr>
              <w:pStyle w:val="Bodytext"/>
            </w:pPr>
            <w:r w:rsidRPr="00811BA1">
              <w:t>  Trade and other receivables</w:t>
            </w:r>
          </w:p>
        </w:tc>
        <w:tc>
          <w:tcPr>
            <w:tcW w:w="1701" w:type="dxa"/>
            <w:vAlign w:val="bottom"/>
          </w:tcPr>
          <w:p w14:paraId="10F84233" w14:textId="7473999C" w:rsidR="00D6375E" w:rsidRPr="00835D77" w:rsidRDefault="0015393C" w:rsidP="00D6375E">
            <w:pPr>
              <w:pStyle w:val="Bodytext"/>
              <w:jc w:val="right"/>
              <w:rPr>
                <w:b/>
              </w:rPr>
            </w:pPr>
            <w:r w:rsidRPr="0015393C">
              <w:rPr>
                <w:b/>
              </w:rPr>
              <w:t>59</w:t>
            </w:r>
            <w:r w:rsidR="0017236F">
              <w:rPr>
                <w:b/>
              </w:rPr>
              <w:t>3</w:t>
            </w:r>
          </w:p>
        </w:tc>
        <w:tc>
          <w:tcPr>
            <w:tcW w:w="1701" w:type="dxa"/>
          </w:tcPr>
          <w:p w14:paraId="2F47C5AC" w14:textId="386B8CF6" w:rsidR="00D6375E" w:rsidRPr="00C46EC3" w:rsidRDefault="00D6375E" w:rsidP="00D6375E">
            <w:pPr>
              <w:pStyle w:val="Bodytext"/>
              <w:jc w:val="right"/>
            </w:pPr>
            <w:r w:rsidRPr="00812542">
              <w:t>579</w:t>
            </w:r>
          </w:p>
        </w:tc>
      </w:tr>
      <w:tr w:rsidR="00D6375E" w:rsidRPr="00811BA1" w14:paraId="119E0CA5" w14:textId="77777777" w:rsidTr="002D2CEC">
        <w:tc>
          <w:tcPr>
            <w:tcW w:w="5783" w:type="dxa"/>
          </w:tcPr>
          <w:p w14:paraId="0538E7F0" w14:textId="77777777" w:rsidR="00D6375E" w:rsidRPr="00811BA1" w:rsidRDefault="00D6375E" w:rsidP="00D6375E">
            <w:pPr>
              <w:pStyle w:val="Bodytext"/>
            </w:pPr>
          </w:p>
        </w:tc>
        <w:tc>
          <w:tcPr>
            <w:tcW w:w="1701" w:type="dxa"/>
            <w:vAlign w:val="center"/>
          </w:tcPr>
          <w:p w14:paraId="7326A698" w14:textId="7A5EB73A" w:rsidR="00D6375E" w:rsidRPr="00835D77" w:rsidRDefault="00D6375E" w:rsidP="00D6375E">
            <w:pPr>
              <w:pStyle w:val="Bodytext"/>
              <w:jc w:val="right"/>
              <w:rPr>
                <w:b/>
              </w:rPr>
            </w:pPr>
          </w:p>
        </w:tc>
        <w:tc>
          <w:tcPr>
            <w:tcW w:w="1701" w:type="dxa"/>
          </w:tcPr>
          <w:p w14:paraId="4B7545C5" w14:textId="110B7BC2" w:rsidR="00D6375E" w:rsidRPr="00C46EC3" w:rsidRDefault="00D6375E" w:rsidP="00D6375E">
            <w:pPr>
              <w:pStyle w:val="Bodytext"/>
              <w:jc w:val="right"/>
            </w:pPr>
          </w:p>
        </w:tc>
      </w:tr>
      <w:tr w:rsidR="00D6375E" w:rsidRPr="00811BA1" w14:paraId="25D848B4" w14:textId="77777777" w:rsidTr="002D2CEC">
        <w:tc>
          <w:tcPr>
            <w:tcW w:w="5783" w:type="dxa"/>
          </w:tcPr>
          <w:p w14:paraId="7757C5BE" w14:textId="77777777" w:rsidR="00D6375E" w:rsidRPr="00811BA1" w:rsidRDefault="00D6375E" w:rsidP="00D6375E">
            <w:pPr>
              <w:pStyle w:val="Bodytext"/>
              <w:rPr>
                <w:b/>
              </w:rPr>
            </w:pPr>
            <w:r w:rsidRPr="00811BA1">
              <w:rPr>
                <w:b/>
              </w:rPr>
              <w:t>Financial liabilities</w:t>
            </w:r>
          </w:p>
        </w:tc>
        <w:tc>
          <w:tcPr>
            <w:tcW w:w="1701" w:type="dxa"/>
            <w:vAlign w:val="center"/>
          </w:tcPr>
          <w:p w14:paraId="7D4A05E0" w14:textId="1EA8254F" w:rsidR="00D6375E" w:rsidRPr="00835D77" w:rsidRDefault="00D6375E" w:rsidP="00D6375E">
            <w:pPr>
              <w:pStyle w:val="Bodytext"/>
              <w:jc w:val="right"/>
              <w:rPr>
                <w:b/>
              </w:rPr>
            </w:pPr>
          </w:p>
        </w:tc>
        <w:tc>
          <w:tcPr>
            <w:tcW w:w="1701" w:type="dxa"/>
          </w:tcPr>
          <w:p w14:paraId="1450F86B" w14:textId="00977269" w:rsidR="00D6375E" w:rsidRPr="00C46EC3" w:rsidRDefault="00D6375E" w:rsidP="00D6375E">
            <w:pPr>
              <w:pStyle w:val="Bodytext"/>
              <w:jc w:val="right"/>
            </w:pPr>
          </w:p>
        </w:tc>
      </w:tr>
      <w:tr w:rsidR="00D6375E" w:rsidRPr="00811BA1" w14:paraId="04D5992D" w14:textId="77777777" w:rsidTr="002D2CEC">
        <w:tc>
          <w:tcPr>
            <w:tcW w:w="5783" w:type="dxa"/>
          </w:tcPr>
          <w:p w14:paraId="7569DCBB" w14:textId="77777777" w:rsidR="00D6375E" w:rsidRPr="00811BA1" w:rsidRDefault="00D6375E" w:rsidP="00D6375E">
            <w:pPr>
              <w:pStyle w:val="Bodytext"/>
              <w:rPr>
                <w:i/>
              </w:rPr>
            </w:pPr>
            <w:r w:rsidRPr="00811BA1">
              <w:rPr>
                <w:i/>
              </w:rPr>
              <w:t>Financial liabilities:</w:t>
            </w:r>
          </w:p>
        </w:tc>
        <w:tc>
          <w:tcPr>
            <w:tcW w:w="1701" w:type="dxa"/>
            <w:vAlign w:val="center"/>
          </w:tcPr>
          <w:p w14:paraId="7945ECBD" w14:textId="33ABF748" w:rsidR="00D6375E" w:rsidRPr="00835D77" w:rsidRDefault="00D6375E" w:rsidP="00D6375E">
            <w:pPr>
              <w:pStyle w:val="Bodytext"/>
              <w:jc w:val="right"/>
              <w:rPr>
                <w:b/>
              </w:rPr>
            </w:pPr>
          </w:p>
        </w:tc>
        <w:tc>
          <w:tcPr>
            <w:tcW w:w="1701" w:type="dxa"/>
          </w:tcPr>
          <w:p w14:paraId="7C4DDE4B" w14:textId="4D0CCAB6" w:rsidR="00D6375E" w:rsidRPr="00C46EC3" w:rsidRDefault="00D6375E" w:rsidP="00D6375E">
            <w:pPr>
              <w:pStyle w:val="Bodytext"/>
              <w:jc w:val="right"/>
            </w:pPr>
          </w:p>
        </w:tc>
      </w:tr>
      <w:tr w:rsidR="00D6375E" w:rsidRPr="00811BA1" w14:paraId="39C42CD2" w14:textId="77777777" w:rsidTr="002D2CEC">
        <w:tc>
          <w:tcPr>
            <w:tcW w:w="5783" w:type="dxa"/>
          </w:tcPr>
          <w:p w14:paraId="11620973" w14:textId="77777777" w:rsidR="00D6375E" w:rsidRPr="00811BA1" w:rsidRDefault="00D6375E" w:rsidP="00D6375E">
            <w:pPr>
              <w:pStyle w:val="Bodytext"/>
            </w:pPr>
            <w:r w:rsidRPr="00811BA1">
              <w:t>Trade and other payables</w:t>
            </w:r>
          </w:p>
        </w:tc>
        <w:tc>
          <w:tcPr>
            <w:tcW w:w="1701" w:type="dxa"/>
            <w:vAlign w:val="bottom"/>
          </w:tcPr>
          <w:p w14:paraId="791139CB" w14:textId="4159F0AE" w:rsidR="00D6375E" w:rsidRPr="00835D77" w:rsidRDefault="00B229FD" w:rsidP="00D6375E">
            <w:pPr>
              <w:pStyle w:val="Bodytext"/>
              <w:jc w:val="right"/>
              <w:rPr>
                <w:b/>
              </w:rPr>
            </w:pPr>
            <w:r w:rsidRPr="00B229FD">
              <w:rPr>
                <w:b/>
              </w:rPr>
              <w:t>(</w:t>
            </w:r>
            <w:r w:rsidR="0017236F">
              <w:rPr>
                <w:b/>
              </w:rPr>
              <w:t>1,</w:t>
            </w:r>
            <w:r w:rsidR="00410BA4">
              <w:rPr>
                <w:b/>
              </w:rPr>
              <w:t>834</w:t>
            </w:r>
            <w:r w:rsidRPr="00B229FD">
              <w:rPr>
                <w:b/>
              </w:rPr>
              <w:t>)</w:t>
            </w:r>
          </w:p>
        </w:tc>
        <w:tc>
          <w:tcPr>
            <w:tcW w:w="1701" w:type="dxa"/>
          </w:tcPr>
          <w:p w14:paraId="41B92A4C" w14:textId="117A88F0" w:rsidR="00D6375E" w:rsidRPr="00C46EC3" w:rsidRDefault="00D6375E" w:rsidP="00D6375E">
            <w:pPr>
              <w:pStyle w:val="Bodytext"/>
              <w:jc w:val="right"/>
            </w:pPr>
            <w:r w:rsidRPr="00812542">
              <w:t>(435)</w:t>
            </w:r>
          </w:p>
        </w:tc>
      </w:tr>
    </w:tbl>
    <w:p w14:paraId="0E846013" w14:textId="77777777" w:rsidR="00234DF1" w:rsidRPr="00811BA1" w:rsidRDefault="00234DF1" w:rsidP="00C32021">
      <w:pPr>
        <w:pStyle w:val="Heading3"/>
        <w:ind w:left="567"/>
        <w:jc w:val="both"/>
      </w:pPr>
      <w:r w:rsidRPr="00811BA1">
        <w:t>Capital risk management</w:t>
      </w:r>
    </w:p>
    <w:p w14:paraId="07666843" w14:textId="0F2544E1" w:rsidR="00391CCF" w:rsidRPr="00811BA1" w:rsidRDefault="00391CCF" w:rsidP="00C32021">
      <w:pPr>
        <w:ind w:left="567"/>
        <w:jc w:val="both"/>
      </w:pPr>
      <w:r w:rsidRPr="00811BA1">
        <w:t xml:space="preserve">The Company manages its capital to ensure that the Company will be able to continue as a going concern while maximising the capital return to Shareholders. The capital structure of the Company consists of issued </w:t>
      </w:r>
      <w:r w:rsidR="000127FE">
        <w:t>s</w:t>
      </w:r>
      <w:r w:rsidR="000127FE" w:rsidRPr="00811BA1">
        <w:t xml:space="preserve">hare </w:t>
      </w:r>
      <w:r w:rsidRPr="00811BA1">
        <w:t>capital and retained earnings, as stated in the Statement of Financial Position</w:t>
      </w:r>
      <w:r w:rsidR="00B93A82" w:rsidRPr="00811BA1">
        <w:t>.</w:t>
      </w:r>
    </w:p>
    <w:p w14:paraId="7EBA7E05" w14:textId="77777777" w:rsidR="00266E26" w:rsidRPr="00811BA1" w:rsidRDefault="00266E26" w:rsidP="00C32021">
      <w:pPr>
        <w:pStyle w:val="Bodytext"/>
        <w:ind w:left="567"/>
        <w:jc w:val="both"/>
      </w:pPr>
    </w:p>
    <w:p w14:paraId="2A66E67E" w14:textId="24E427A5" w:rsidR="00266E26" w:rsidRPr="00081323" w:rsidRDefault="00234DF1" w:rsidP="00C32021">
      <w:pPr>
        <w:pStyle w:val="Bodytext"/>
        <w:ind w:left="567"/>
        <w:jc w:val="both"/>
      </w:pPr>
      <w:r w:rsidRPr="00811BA1">
        <w:t xml:space="preserve">In </w:t>
      </w:r>
      <w:r w:rsidRPr="00081323">
        <w:t>order to maintain or adjust the capital structure, the Company may buy back shares or issue new shares. There are no external capital requirements imposed on the Company.</w:t>
      </w:r>
    </w:p>
    <w:p w14:paraId="7BD06DFB" w14:textId="77777777" w:rsidR="000206FA" w:rsidRDefault="000206FA" w:rsidP="00C32021">
      <w:pPr>
        <w:pStyle w:val="Bodytext"/>
        <w:ind w:left="567"/>
        <w:jc w:val="both"/>
      </w:pPr>
    </w:p>
    <w:p w14:paraId="4C6AC5A1" w14:textId="4A175039" w:rsidR="00234DF1" w:rsidRPr="00811BA1" w:rsidRDefault="00234DF1" w:rsidP="00C32021">
      <w:pPr>
        <w:pStyle w:val="Bodytext"/>
        <w:ind w:left="567"/>
        <w:jc w:val="both"/>
      </w:pPr>
      <w:r w:rsidRPr="00811BA1">
        <w:t>The Company’s</w:t>
      </w:r>
      <w:r w:rsidR="00560B69">
        <w:t xml:space="preserve"> investment policy is set out in the Investment Policy section of the Annual Report</w:t>
      </w:r>
      <w:r w:rsidR="00B93A82" w:rsidRPr="00811BA1">
        <w:t>.</w:t>
      </w:r>
    </w:p>
    <w:p w14:paraId="372C8855" w14:textId="77777777" w:rsidR="00234DF1" w:rsidRPr="00811BA1" w:rsidRDefault="00234DF1" w:rsidP="00C32021">
      <w:pPr>
        <w:pStyle w:val="Bodytext"/>
        <w:ind w:left="567"/>
        <w:jc w:val="both"/>
      </w:pPr>
    </w:p>
    <w:p w14:paraId="4276EC5C" w14:textId="77777777" w:rsidR="00234DF1" w:rsidRPr="00811BA1" w:rsidRDefault="00234DF1" w:rsidP="00C32021">
      <w:pPr>
        <w:pStyle w:val="Heading3"/>
        <w:ind w:left="567"/>
        <w:jc w:val="both"/>
      </w:pPr>
      <w:r w:rsidRPr="00811BA1">
        <w:t>Market risk</w:t>
      </w:r>
    </w:p>
    <w:p w14:paraId="67566A33" w14:textId="77777777" w:rsidR="00095694" w:rsidRPr="00811BA1" w:rsidRDefault="00234DF1" w:rsidP="00C32021">
      <w:pPr>
        <w:pStyle w:val="Bodytext"/>
        <w:ind w:left="567"/>
        <w:jc w:val="both"/>
      </w:pPr>
      <w:r w:rsidRPr="00811BA1">
        <w:t>Market risk includes price risk, foreign currency risk and interest rate risk.</w:t>
      </w:r>
    </w:p>
    <w:p w14:paraId="79350C20" w14:textId="77777777" w:rsidR="00234DF1" w:rsidRPr="00811BA1" w:rsidRDefault="00234DF1" w:rsidP="00C32021">
      <w:pPr>
        <w:pStyle w:val="Bodytext"/>
        <w:ind w:left="567"/>
        <w:jc w:val="both"/>
      </w:pPr>
    </w:p>
    <w:p w14:paraId="031F3385" w14:textId="77777777" w:rsidR="00234DF1" w:rsidRPr="00811BA1" w:rsidRDefault="00234DF1" w:rsidP="00C32021">
      <w:pPr>
        <w:pStyle w:val="Bodytext"/>
        <w:ind w:left="907" w:hanging="340"/>
        <w:jc w:val="both"/>
        <w:rPr>
          <w:b/>
          <w:i/>
        </w:rPr>
      </w:pPr>
      <w:r w:rsidRPr="00811BA1">
        <w:rPr>
          <w:b/>
          <w:i/>
        </w:rPr>
        <w:t>(a)</w:t>
      </w:r>
      <w:r w:rsidRPr="00811BA1">
        <w:rPr>
          <w:b/>
          <w:i/>
        </w:rPr>
        <w:tab/>
        <w:t>Price risk</w:t>
      </w:r>
    </w:p>
    <w:p w14:paraId="5F082D96" w14:textId="2FF9784C" w:rsidR="00234DF1" w:rsidRPr="00811BA1" w:rsidRDefault="00234DF1" w:rsidP="00C32021">
      <w:pPr>
        <w:pStyle w:val="Bodytext"/>
        <w:ind w:left="907"/>
        <w:jc w:val="both"/>
      </w:pPr>
      <w:r w:rsidRPr="00811BA1">
        <w:t>The underlying investments held by the Partnership present a potential risk of loss of capital to the Partnership and hence to the Company. The Company invests through the Partnership. Price risk arises from uncertainty about future prices of underlying financial investments held by the Partnership</w:t>
      </w:r>
      <w:r w:rsidR="00A16580">
        <w:t>, which at year</w:t>
      </w:r>
      <w:r w:rsidR="002F75DD">
        <w:t>-</w:t>
      </w:r>
      <w:r w:rsidR="00A16580">
        <w:t xml:space="preserve">end </w:t>
      </w:r>
      <w:r w:rsidR="00A16580" w:rsidRPr="008934A9">
        <w:t xml:space="preserve">was </w:t>
      </w:r>
      <w:r w:rsidR="00805BA6" w:rsidRPr="008934A9">
        <w:t>$</w:t>
      </w:r>
      <w:r w:rsidR="00141BF4">
        <w:t>593,288</w:t>
      </w:r>
      <w:r w:rsidR="00565C51">
        <w:t>,398</w:t>
      </w:r>
      <w:r w:rsidR="00805BA6" w:rsidRPr="00F97C21">
        <w:t xml:space="preserve"> </w:t>
      </w:r>
      <w:r w:rsidR="008934A9">
        <w:t>(</w:t>
      </w:r>
      <w:r w:rsidR="00610498">
        <w:t>31 December 201</w:t>
      </w:r>
      <w:r w:rsidR="00D6375E">
        <w:t>8</w:t>
      </w:r>
      <w:r w:rsidR="008934A9">
        <w:t>: $</w:t>
      </w:r>
      <w:r w:rsidR="00E0068A">
        <w:t>1,</w:t>
      </w:r>
      <w:r w:rsidR="00D6375E">
        <w:t>360</w:t>
      </w:r>
      <w:r w:rsidR="00E0068A">
        <w:t>,</w:t>
      </w:r>
      <w:r w:rsidR="00D6375E">
        <w:t>392</w:t>
      </w:r>
      <w:r w:rsidR="00565C51">
        <w:t>,572</w:t>
      </w:r>
      <w:r w:rsidR="008934A9">
        <w:t>).</w:t>
      </w:r>
      <w:r w:rsidR="001C0DF3">
        <w:t xml:space="preserve"> Please refer to Note 5 for quantitative information about the</w:t>
      </w:r>
      <w:r w:rsidR="004C0FF3">
        <w:t xml:space="preserve"> fair value measurements of the</w:t>
      </w:r>
      <w:r w:rsidR="001C0DF3">
        <w:t xml:space="preserve"> Partnership’s Level 3</w:t>
      </w:r>
      <w:r w:rsidR="004C0FF3">
        <w:t xml:space="preserve"> </w:t>
      </w:r>
      <w:r w:rsidR="001C0DF3">
        <w:t>investments.</w:t>
      </w:r>
    </w:p>
    <w:p w14:paraId="57C9BD24" w14:textId="77777777" w:rsidR="00FE4BD4" w:rsidRPr="00811BA1" w:rsidRDefault="00FE4BD4" w:rsidP="00C32021">
      <w:pPr>
        <w:pStyle w:val="Bodytext"/>
        <w:ind w:left="907"/>
        <w:jc w:val="both"/>
      </w:pPr>
    </w:p>
    <w:p w14:paraId="716A0343" w14:textId="77777777" w:rsidR="00FE4BD4" w:rsidRPr="00811BA1" w:rsidRDefault="00234DF1" w:rsidP="00C32021">
      <w:pPr>
        <w:pStyle w:val="Bodytext"/>
        <w:ind w:left="907"/>
        <w:jc w:val="both"/>
      </w:pPr>
      <w:r w:rsidRPr="00811BA1">
        <w:lastRenderedPageBreak/>
        <w:t>The Partnership is exposed to a variety of risks which may have an impact on the carrying value of the Company’s investment in the Partnership. The Partnership’s risk factors are set out in (a)(i) to (a)(iii) below.</w:t>
      </w:r>
    </w:p>
    <w:p w14:paraId="0B0C24D8" w14:textId="77777777" w:rsidR="00234DF1" w:rsidRPr="00811BA1" w:rsidRDefault="00234DF1" w:rsidP="00C32021">
      <w:pPr>
        <w:pStyle w:val="Bodytext"/>
        <w:ind w:left="907"/>
        <w:jc w:val="both"/>
      </w:pPr>
    </w:p>
    <w:p w14:paraId="6BEE1D8D" w14:textId="77777777" w:rsidR="00234DF1" w:rsidRPr="00811BA1" w:rsidRDefault="00234DF1" w:rsidP="00C32021">
      <w:pPr>
        <w:pStyle w:val="Bodytext"/>
        <w:ind w:left="1247" w:hanging="340"/>
        <w:jc w:val="both"/>
        <w:rPr>
          <w:i/>
        </w:rPr>
      </w:pPr>
      <w:r w:rsidRPr="00811BA1">
        <w:rPr>
          <w:i/>
        </w:rPr>
        <w:t>(i)</w:t>
      </w:r>
      <w:r w:rsidRPr="00811BA1">
        <w:rPr>
          <w:i/>
        </w:rPr>
        <w:tab/>
        <w:t>Not actively traded</w:t>
      </w:r>
    </w:p>
    <w:p w14:paraId="28F09512" w14:textId="4D6A9236" w:rsidR="00234DF1" w:rsidRPr="00811BA1" w:rsidRDefault="00234DF1" w:rsidP="00C32021">
      <w:pPr>
        <w:pStyle w:val="Bodytext"/>
        <w:ind w:left="1247"/>
        <w:jc w:val="both"/>
      </w:pPr>
      <w:r w:rsidRPr="00811BA1">
        <w:t xml:space="preserve">The Partnership’s investments are not </w:t>
      </w:r>
      <w:r w:rsidR="006B13F2">
        <w:t xml:space="preserve">generally </w:t>
      </w:r>
      <w:r w:rsidRPr="00811BA1">
        <w:t>traded in an active market but are indirectly exposed to market price risk arising from uncertainties about future values of the investments held. The underlying investments of the Partnership vary as to industry sub-sector, geographic distribution of operations and size, all of which may impact the susceptibility of their valuation to uncertainty.</w:t>
      </w:r>
    </w:p>
    <w:p w14:paraId="3093AE47" w14:textId="77777777" w:rsidR="00FE4BD4" w:rsidRPr="00811BA1" w:rsidRDefault="00FE4BD4" w:rsidP="00C32021">
      <w:pPr>
        <w:pStyle w:val="Bodytext"/>
        <w:ind w:left="1247"/>
        <w:jc w:val="both"/>
      </w:pPr>
    </w:p>
    <w:p w14:paraId="2C91B25C" w14:textId="5ACDB1A9" w:rsidR="00FE4BD4" w:rsidRPr="00811BA1" w:rsidRDefault="000521FE" w:rsidP="00C32021">
      <w:pPr>
        <w:pStyle w:val="Bodytext"/>
        <w:ind w:left="1247"/>
        <w:jc w:val="both"/>
      </w:pPr>
      <w:r>
        <w:t>Although the investments are in the same industry, t</w:t>
      </w:r>
      <w:r w:rsidR="00234DF1" w:rsidRPr="00811BA1">
        <w:t>his risk is managed through careful selection of investments within the specified limits of the investment policy. The investments are monitored on a regular b</w:t>
      </w:r>
      <w:r w:rsidR="00FE4BD4" w:rsidRPr="00811BA1">
        <w:t>asis by the Investment Manager.</w:t>
      </w:r>
    </w:p>
    <w:p w14:paraId="6C7441B8" w14:textId="77777777" w:rsidR="00234DF1" w:rsidRPr="00811BA1" w:rsidRDefault="00234DF1" w:rsidP="00C32021">
      <w:pPr>
        <w:pStyle w:val="Bodytext"/>
        <w:ind w:left="1247"/>
        <w:jc w:val="both"/>
      </w:pPr>
    </w:p>
    <w:p w14:paraId="430A28EE" w14:textId="77777777" w:rsidR="00234DF1" w:rsidRPr="00811BA1" w:rsidRDefault="00234DF1" w:rsidP="00C32021">
      <w:pPr>
        <w:pStyle w:val="Bodytext"/>
        <w:ind w:left="1247" w:hanging="340"/>
        <w:jc w:val="both"/>
        <w:rPr>
          <w:i/>
        </w:rPr>
      </w:pPr>
      <w:r w:rsidRPr="00811BA1">
        <w:rPr>
          <w:i/>
        </w:rPr>
        <w:t>(ii)</w:t>
      </w:r>
      <w:r w:rsidRPr="00811BA1">
        <w:rPr>
          <w:i/>
        </w:rPr>
        <w:tab/>
        <w:t>Concentration</w:t>
      </w:r>
    </w:p>
    <w:p w14:paraId="230A556F" w14:textId="7D11665F" w:rsidR="00234DF1" w:rsidRPr="00081323" w:rsidRDefault="00234DF1" w:rsidP="00C32021">
      <w:pPr>
        <w:pStyle w:val="Bodytext"/>
        <w:ind w:left="1247"/>
        <w:jc w:val="both"/>
      </w:pPr>
      <w:r w:rsidRPr="00811BA1">
        <w:t>The Company, through the Partnership, invest</w:t>
      </w:r>
      <w:r w:rsidR="006B13F2">
        <w:t>s</w:t>
      </w:r>
      <w:r w:rsidRPr="00811BA1">
        <w:t xml:space="preserve"> in </w:t>
      </w:r>
      <w:r w:rsidRPr="00081323">
        <w:t xml:space="preserve">the global energy sector, with a particular focus on businesses that engage in oil and gas exploration and production and midstream investments in that sector. This means that the Company </w:t>
      </w:r>
      <w:r w:rsidR="000206FA" w:rsidRPr="00081323">
        <w:t>is</w:t>
      </w:r>
      <w:r w:rsidRPr="00081323">
        <w:t xml:space="preserve"> exposed to the concentration risk of only making investments in the global energy sector, which concentration risk may further relate to sub-sector, geography, and the relative size of an investment or other factors. Whilst the Company is subject to the investment and diversification restrictions in its investment policy, within those limits, material concentrations of investments </w:t>
      </w:r>
      <w:r w:rsidR="000206FA" w:rsidRPr="00081323">
        <w:t>have arisen</w:t>
      </w:r>
      <w:r w:rsidR="00EF3966" w:rsidRPr="00081323">
        <w:t>.</w:t>
      </w:r>
    </w:p>
    <w:p w14:paraId="5E7C5AFD" w14:textId="77777777" w:rsidR="00095694" w:rsidRPr="00081323" w:rsidRDefault="00095694" w:rsidP="00C32021">
      <w:pPr>
        <w:pStyle w:val="Bodytext"/>
        <w:ind w:left="1247"/>
        <w:jc w:val="both"/>
      </w:pPr>
    </w:p>
    <w:p w14:paraId="63BB89AE" w14:textId="2FFAD8E3" w:rsidR="00095694" w:rsidRPr="00811BA1" w:rsidRDefault="00234DF1" w:rsidP="00C32021">
      <w:pPr>
        <w:pStyle w:val="Bodytext"/>
        <w:ind w:left="1247"/>
        <w:jc w:val="both"/>
      </w:pPr>
      <w:r w:rsidRPr="00081323">
        <w:t>The Board and the Investment Manager monitor the concentration of the investment</w:t>
      </w:r>
      <w:r w:rsidRPr="00811BA1">
        <w:t xml:space="preserve"> in the Partnership on a quarterly basis to ensure compliance wi</w:t>
      </w:r>
      <w:r w:rsidR="00560B69">
        <w:t>th the investment policy.</w:t>
      </w:r>
    </w:p>
    <w:p w14:paraId="2C9DB606" w14:textId="77777777" w:rsidR="00234DF1" w:rsidRPr="00811BA1" w:rsidRDefault="00234DF1" w:rsidP="00C32021">
      <w:pPr>
        <w:pStyle w:val="Bodytext"/>
        <w:ind w:left="1247"/>
        <w:jc w:val="both"/>
      </w:pPr>
    </w:p>
    <w:p w14:paraId="395CC78A" w14:textId="77777777" w:rsidR="00234DF1" w:rsidRPr="00811BA1" w:rsidRDefault="00234DF1" w:rsidP="00C32021">
      <w:pPr>
        <w:pStyle w:val="Bodytext"/>
        <w:ind w:left="1247" w:hanging="340"/>
        <w:jc w:val="both"/>
        <w:rPr>
          <w:i/>
        </w:rPr>
      </w:pPr>
      <w:r w:rsidRPr="00811BA1">
        <w:rPr>
          <w:i/>
        </w:rPr>
        <w:t>(iii)</w:t>
      </w:r>
      <w:r w:rsidRPr="00811BA1">
        <w:rPr>
          <w:i/>
        </w:rPr>
        <w:tab/>
        <w:t>Liquidity</w:t>
      </w:r>
    </w:p>
    <w:p w14:paraId="375FDE49" w14:textId="77777777" w:rsidR="00234DF1" w:rsidRPr="00811BA1" w:rsidRDefault="00234DF1" w:rsidP="00C32021">
      <w:pPr>
        <w:pStyle w:val="Bodytext"/>
        <w:ind w:left="1247"/>
        <w:jc w:val="both"/>
      </w:pPr>
      <w:r w:rsidRPr="00811BA1">
        <w:t>The Company’s underlying investments through the Partnership are dynamic in nature. The Partnership will maintain flexibility in funding by keeping sufficient liquidity in cash and cash equivalents which may be invested on a temporary basis in line with the cash management policy as agreed by the Board from time to time.</w:t>
      </w:r>
    </w:p>
    <w:p w14:paraId="73DF7899" w14:textId="77777777" w:rsidR="00095694" w:rsidRPr="00811BA1" w:rsidRDefault="00095694" w:rsidP="00C32021">
      <w:pPr>
        <w:pStyle w:val="Bodytext"/>
        <w:ind w:left="1247"/>
        <w:jc w:val="both"/>
      </w:pPr>
    </w:p>
    <w:p w14:paraId="5F227CDE" w14:textId="680B46CD" w:rsidR="00234DF1" w:rsidRDefault="00234DF1" w:rsidP="00C32021">
      <w:pPr>
        <w:pStyle w:val="Bodytext"/>
        <w:ind w:left="1247"/>
        <w:jc w:val="both"/>
      </w:pPr>
      <w:r w:rsidRPr="00811BA1">
        <w:t xml:space="preserve">As at </w:t>
      </w:r>
      <w:r w:rsidR="00610498">
        <w:t>31 December 201</w:t>
      </w:r>
      <w:r w:rsidR="00D6375E">
        <w:t>9</w:t>
      </w:r>
      <w:r w:rsidR="0017437B">
        <w:t>,</w:t>
      </w:r>
      <w:r w:rsidRPr="00811BA1">
        <w:t xml:space="preserve"> </w:t>
      </w:r>
      <w:r w:rsidR="00805BA6" w:rsidRPr="00811BA1">
        <w:t>$</w:t>
      </w:r>
      <w:r w:rsidR="00141BF4">
        <w:t>183</w:t>
      </w:r>
      <w:r w:rsidR="003D1B71" w:rsidRPr="003D1B71">
        <w:rPr>
          <w:vertAlign w:val="superscript"/>
        </w:rPr>
        <w:t>(1)</w:t>
      </w:r>
      <w:r w:rsidR="00805BA6">
        <w:t xml:space="preserve"> </w:t>
      </w:r>
      <w:r w:rsidRPr="00811BA1">
        <w:t xml:space="preserve">million or </w:t>
      </w:r>
      <w:r w:rsidR="00141BF4">
        <w:t>23.6</w:t>
      </w:r>
      <w:r w:rsidR="00792E2F">
        <w:t xml:space="preserve"> </w:t>
      </w:r>
      <w:r w:rsidR="009E7248" w:rsidRPr="00811BA1">
        <w:t>per</w:t>
      </w:r>
      <w:r w:rsidRPr="00811BA1">
        <w:t xml:space="preserve"> cent. </w:t>
      </w:r>
      <w:r w:rsidR="001F56C5" w:rsidRPr="00811BA1">
        <w:t>(</w:t>
      </w:r>
      <w:r w:rsidR="00610498">
        <w:t>31 December 201</w:t>
      </w:r>
      <w:r w:rsidR="00D6375E">
        <w:t>8</w:t>
      </w:r>
      <w:r w:rsidR="001F56C5" w:rsidRPr="00811BA1">
        <w:t>:</w:t>
      </w:r>
      <w:r w:rsidRPr="00811BA1">
        <w:t xml:space="preserve"> </w:t>
      </w:r>
      <w:r w:rsidR="00E0068A" w:rsidRPr="00811BA1">
        <w:t>$</w:t>
      </w:r>
      <w:r w:rsidR="00E0068A">
        <w:t>1</w:t>
      </w:r>
      <w:r w:rsidR="00D6375E">
        <w:t>35</w:t>
      </w:r>
      <w:r w:rsidR="00E0068A">
        <w:t xml:space="preserve"> </w:t>
      </w:r>
      <w:r w:rsidR="00E0068A" w:rsidRPr="00811BA1">
        <w:t xml:space="preserve">million or </w:t>
      </w:r>
      <w:r w:rsidR="00D6375E">
        <w:t>9</w:t>
      </w:r>
      <w:r w:rsidR="00E0068A">
        <w:t xml:space="preserve">.4 </w:t>
      </w:r>
      <w:r w:rsidR="00E0068A" w:rsidRPr="00811BA1">
        <w:t>per cent</w:t>
      </w:r>
      <w:r w:rsidR="00E0068A">
        <w:t>.</w:t>
      </w:r>
      <w:r w:rsidR="00F97C21">
        <w:t>)</w:t>
      </w:r>
      <w:r w:rsidR="00C46EC3" w:rsidDel="00C46EC3">
        <w:t xml:space="preserve"> </w:t>
      </w:r>
      <w:r w:rsidR="00790E82" w:rsidRPr="00811BA1">
        <w:t xml:space="preserve">of </w:t>
      </w:r>
      <w:r w:rsidRPr="00811BA1">
        <w:t>the Partnership’s financial assets</w:t>
      </w:r>
      <w:r w:rsidR="00AD5E09">
        <w:t>, inc</w:t>
      </w:r>
      <w:r w:rsidR="0057715C">
        <w:t>luding those held by its wholly-</w:t>
      </w:r>
      <w:r w:rsidR="00AD5E09">
        <w:t>owned subsidiaries, REL US Corp and REL US Centennial Holdings, LLC,</w:t>
      </w:r>
      <w:r w:rsidRPr="00811BA1">
        <w:t xml:space="preserve"> were money market fixed deposits</w:t>
      </w:r>
      <w:r w:rsidR="001F56C5" w:rsidRPr="00811BA1">
        <w:t xml:space="preserve"> </w:t>
      </w:r>
      <w:r w:rsidRPr="00811BA1">
        <w:t xml:space="preserve">and cash balances held on deposit </w:t>
      </w:r>
      <w:r w:rsidRPr="00B85F07">
        <w:t>with several, A or higher rated, banks</w:t>
      </w:r>
      <w:r w:rsidR="001D0017" w:rsidRPr="00B85F07">
        <w:t>.</w:t>
      </w:r>
      <w:r w:rsidR="00E4098E" w:rsidRPr="00B85F07">
        <w:t xml:space="preserve"> </w:t>
      </w:r>
      <w:r w:rsidRPr="00B85F07">
        <w:t>All of these</w:t>
      </w:r>
      <w:r w:rsidRPr="00811BA1">
        <w:t xml:space="preserve"> assets have maturities of less than one year.</w:t>
      </w:r>
    </w:p>
    <w:p w14:paraId="4A519901" w14:textId="09B8B5E5" w:rsidR="003D1B71" w:rsidRPr="008972EB" w:rsidRDefault="003D1B71" w:rsidP="00C32021">
      <w:pPr>
        <w:pStyle w:val="Bodytext"/>
        <w:ind w:left="1247"/>
        <w:jc w:val="both"/>
      </w:pPr>
      <w:r w:rsidRPr="008972EB">
        <w:rPr>
          <w:rFonts w:eastAsia="Times New Roman"/>
          <w:vertAlign w:val="superscript"/>
        </w:rPr>
        <w:t>(1)</w:t>
      </w:r>
      <w:r w:rsidRPr="008972EB">
        <w:rPr>
          <w:rFonts w:eastAsia="Times New Roman"/>
        </w:rPr>
        <w:t xml:space="preserve"> </w:t>
      </w:r>
      <w:r w:rsidRPr="008972EB">
        <w:rPr>
          <w:rFonts w:eastAsia="Times New Roman"/>
          <w:sz w:val="16"/>
          <w:szCs w:val="16"/>
        </w:rPr>
        <w:t>This figure is comprised of $</w:t>
      </w:r>
      <w:r w:rsidR="00F705B7">
        <w:rPr>
          <w:rFonts w:eastAsia="Times New Roman"/>
          <w:sz w:val="16"/>
          <w:szCs w:val="16"/>
        </w:rPr>
        <w:t>163.4</w:t>
      </w:r>
      <w:r w:rsidRPr="008972EB">
        <w:rPr>
          <w:rFonts w:eastAsia="Times New Roman"/>
          <w:sz w:val="16"/>
          <w:szCs w:val="16"/>
        </w:rPr>
        <w:t xml:space="preserve"> million held at the Partnership and $</w:t>
      </w:r>
      <w:r w:rsidR="00F705B7">
        <w:rPr>
          <w:rFonts w:eastAsia="Times New Roman"/>
          <w:sz w:val="16"/>
          <w:szCs w:val="16"/>
        </w:rPr>
        <w:t>19.0</w:t>
      </w:r>
      <w:r w:rsidR="00D6375E">
        <w:rPr>
          <w:rFonts w:eastAsia="Times New Roman"/>
          <w:sz w:val="16"/>
          <w:szCs w:val="16"/>
        </w:rPr>
        <w:t xml:space="preserve"> </w:t>
      </w:r>
      <w:r w:rsidRPr="008972EB">
        <w:rPr>
          <w:rFonts w:eastAsia="Times New Roman"/>
          <w:sz w:val="16"/>
          <w:szCs w:val="16"/>
        </w:rPr>
        <w:t>million held at REL US Corp.</w:t>
      </w:r>
      <w:r w:rsidRPr="008972EB">
        <w:rPr>
          <w:rFonts w:eastAsia="Times New Roman"/>
        </w:rPr>
        <w:t xml:space="preserve"> </w:t>
      </w:r>
      <w:r w:rsidRPr="008972EB">
        <w:rPr>
          <w:rFonts w:eastAsia="Times New Roman"/>
          <w:sz w:val="16"/>
          <w:szCs w:val="16"/>
        </w:rPr>
        <w:t xml:space="preserve">Based on current and cumulative earnings and profit, the distribution of </w:t>
      </w:r>
      <w:r w:rsidR="00F573BD">
        <w:rPr>
          <w:rFonts w:eastAsia="Times New Roman"/>
          <w:sz w:val="16"/>
          <w:szCs w:val="16"/>
        </w:rPr>
        <w:t xml:space="preserve">the $19 million of </w:t>
      </w:r>
      <w:r w:rsidRPr="008972EB">
        <w:rPr>
          <w:rFonts w:eastAsia="Times New Roman"/>
          <w:sz w:val="16"/>
          <w:szCs w:val="16"/>
        </w:rPr>
        <w:t>cash from REL US Corp to the Partnership for the year ended 31 December 201</w:t>
      </w:r>
      <w:r w:rsidR="00D6375E">
        <w:rPr>
          <w:rFonts w:eastAsia="Times New Roman"/>
          <w:sz w:val="16"/>
          <w:szCs w:val="16"/>
        </w:rPr>
        <w:t>9</w:t>
      </w:r>
      <w:r w:rsidRPr="008972EB">
        <w:rPr>
          <w:rFonts w:eastAsia="Times New Roman"/>
          <w:sz w:val="16"/>
          <w:szCs w:val="16"/>
        </w:rPr>
        <w:t xml:space="preserve"> is subject to the U.S. federal tax rate of </w:t>
      </w:r>
      <w:r w:rsidR="00AC5AA5">
        <w:rPr>
          <w:rFonts w:eastAsia="Times New Roman"/>
          <w:sz w:val="16"/>
          <w:szCs w:val="16"/>
        </w:rPr>
        <w:t>30</w:t>
      </w:r>
      <w:r w:rsidR="00621A24">
        <w:rPr>
          <w:rFonts w:eastAsia="Times New Roman"/>
          <w:sz w:val="16"/>
          <w:szCs w:val="16"/>
        </w:rPr>
        <w:t xml:space="preserve"> per cent.</w:t>
      </w:r>
      <w:r w:rsidRPr="008972EB">
        <w:rPr>
          <w:rFonts w:eastAsia="Times New Roman"/>
          <w:sz w:val="16"/>
          <w:szCs w:val="16"/>
        </w:rPr>
        <w:t>, or $</w:t>
      </w:r>
      <w:r w:rsidR="00AC5AA5">
        <w:rPr>
          <w:rFonts w:eastAsia="Times New Roman"/>
          <w:sz w:val="16"/>
          <w:szCs w:val="16"/>
        </w:rPr>
        <w:t>5.7</w:t>
      </w:r>
      <w:r w:rsidR="00D6375E">
        <w:rPr>
          <w:rFonts w:eastAsia="Times New Roman"/>
          <w:sz w:val="16"/>
          <w:szCs w:val="16"/>
        </w:rPr>
        <w:t xml:space="preserve"> </w:t>
      </w:r>
      <w:r w:rsidRPr="008972EB">
        <w:rPr>
          <w:rFonts w:eastAsia="Times New Roman"/>
          <w:sz w:val="16"/>
          <w:szCs w:val="16"/>
        </w:rPr>
        <w:t>million as of 31 December 201</w:t>
      </w:r>
      <w:r w:rsidR="00D6375E">
        <w:rPr>
          <w:rFonts w:eastAsia="Times New Roman"/>
          <w:sz w:val="16"/>
          <w:szCs w:val="16"/>
        </w:rPr>
        <w:t>9</w:t>
      </w:r>
    </w:p>
    <w:p w14:paraId="491D3115" w14:textId="77777777" w:rsidR="00234DF1" w:rsidRPr="00811BA1" w:rsidRDefault="00234DF1" w:rsidP="00C32021">
      <w:pPr>
        <w:pStyle w:val="Bodytext"/>
        <w:ind w:left="1247"/>
        <w:jc w:val="both"/>
      </w:pPr>
    </w:p>
    <w:p w14:paraId="7FF0C3B3" w14:textId="77777777" w:rsidR="00234DF1" w:rsidRPr="00811BA1" w:rsidRDefault="00234DF1" w:rsidP="00EB7E49">
      <w:pPr>
        <w:pStyle w:val="Bodytext"/>
        <w:ind w:left="907" w:hanging="340"/>
        <w:rPr>
          <w:b/>
          <w:i/>
        </w:rPr>
      </w:pPr>
      <w:r w:rsidRPr="00811BA1">
        <w:rPr>
          <w:b/>
          <w:i/>
        </w:rPr>
        <w:t>(b)</w:t>
      </w:r>
      <w:r w:rsidRPr="00811BA1">
        <w:rPr>
          <w:b/>
          <w:i/>
        </w:rPr>
        <w:tab/>
        <w:t>Foreign currency risk</w:t>
      </w:r>
    </w:p>
    <w:p w14:paraId="52909865" w14:textId="22854B50" w:rsidR="00234DF1" w:rsidRPr="00811BA1" w:rsidRDefault="00234DF1" w:rsidP="00C32021">
      <w:pPr>
        <w:pStyle w:val="Bodytext"/>
        <w:ind w:left="907"/>
        <w:jc w:val="both"/>
      </w:pPr>
      <w:r w:rsidRPr="00811BA1">
        <w:t>The Company has exposure to foreign currency risk due to the payment of some expenses in Pounds Sterling. Consequently, the Company is exposed to risks that the exchange rate of its currency relative to other foreign currencies may change in a manner that has an adverse effect on the value of that portion of the Company’s assets or liabilities denominated in currencies other than the U.S. Dollar.</w:t>
      </w:r>
      <w:r w:rsidR="003D1B71" w:rsidRPr="003D1B71">
        <w:t xml:space="preserve"> </w:t>
      </w:r>
      <w:r w:rsidR="003D1B71">
        <w:t>Any exposure to foreign currency risk at the underlying investment level is captured within price risk.</w:t>
      </w:r>
    </w:p>
    <w:p w14:paraId="103349F7" w14:textId="77777777" w:rsidR="00095694" w:rsidRPr="00811BA1" w:rsidRDefault="00095694" w:rsidP="00C32021">
      <w:pPr>
        <w:pStyle w:val="Bodytext"/>
        <w:ind w:left="907"/>
        <w:jc w:val="both"/>
      </w:pPr>
    </w:p>
    <w:p w14:paraId="1AA93218" w14:textId="05118EB1" w:rsidR="00095694" w:rsidRPr="00811BA1" w:rsidRDefault="00234DF1" w:rsidP="00C32021">
      <w:pPr>
        <w:pStyle w:val="Bodytext"/>
        <w:ind w:left="907"/>
        <w:jc w:val="both"/>
      </w:pPr>
      <w:r w:rsidRPr="00811BA1">
        <w:t>The following tables set out, in U.S. Dollars, the Company’s total exposure to foreign currency risk and the net exposure to foreign currencies of the monetary assets and liabilities:</w:t>
      </w:r>
    </w:p>
    <w:p w14:paraId="67F38062" w14:textId="77777777" w:rsidR="00234DF1" w:rsidRPr="00811BA1" w:rsidRDefault="00234DF1" w:rsidP="00EB7E49">
      <w:pPr>
        <w:pStyle w:val="Bodytext"/>
        <w:ind w:left="907"/>
      </w:pPr>
    </w:p>
    <w:tbl>
      <w:tblPr>
        <w:tblStyle w:val="TableGrid"/>
        <w:tblW w:w="4462" w:type="pct"/>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052"/>
        <w:gridCol w:w="1386"/>
        <w:gridCol w:w="1387"/>
        <w:gridCol w:w="1387"/>
        <w:gridCol w:w="1384"/>
      </w:tblGrid>
      <w:tr w:rsidR="00EF262B" w:rsidRPr="00811BA1" w14:paraId="509E5E60" w14:textId="77777777" w:rsidTr="00964765">
        <w:tc>
          <w:tcPr>
            <w:tcW w:w="1775" w:type="pct"/>
          </w:tcPr>
          <w:p w14:paraId="03911C40" w14:textId="145CFB38" w:rsidR="00EF262B" w:rsidRPr="00811BA1" w:rsidRDefault="00EF262B" w:rsidP="00EB7E49">
            <w:pPr>
              <w:pStyle w:val="Bodytext"/>
              <w:rPr>
                <w:b/>
              </w:rPr>
            </w:pPr>
            <w:r w:rsidRPr="00811BA1">
              <w:rPr>
                <w:b/>
              </w:rPr>
              <w:t xml:space="preserve">As at </w:t>
            </w:r>
            <w:r w:rsidR="00610498">
              <w:rPr>
                <w:b/>
              </w:rPr>
              <w:t>31 December 201</w:t>
            </w:r>
            <w:r w:rsidR="00D6375E">
              <w:rPr>
                <w:b/>
              </w:rPr>
              <w:t>9</w:t>
            </w:r>
          </w:p>
        </w:tc>
        <w:tc>
          <w:tcPr>
            <w:tcW w:w="806" w:type="pct"/>
            <w:vMerge w:val="restart"/>
            <w:vAlign w:val="bottom"/>
          </w:tcPr>
          <w:p w14:paraId="70F58542" w14:textId="0A8296CF" w:rsidR="00EF262B" w:rsidRPr="00811BA1" w:rsidRDefault="00EF262B" w:rsidP="00EB7E49">
            <w:pPr>
              <w:pStyle w:val="Bodytext"/>
              <w:jc w:val="right"/>
              <w:rPr>
                <w:b/>
              </w:rPr>
            </w:pPr>
            <w:r w:rsidRPr="00811BA1">
              <w:rPr>
                <w:b/>
              </w:rPr>
              <w:t>$</w:t>
            </w:r>
          </w:p>
          <w:p w14:paraId="16063628" w14:textId="77777777" w:rsidR="00EF262B" w:rsidRPr="00811BA1" w:rsidRDefault="00EF262B" w:rsidP="00EB7E49">
            <w:pPr>
              <w:pStyle w:val="Bodytext"/>
              <w:jc w:val="right"/>
              <w:rPr>
                <w:b/>
              </w:rPr>
            </w:pPr>
            <w:r w:rsidRPr="00811BA1">
              <w:rPr>
                <w:b/>
              </w:rPr>
              <w:t>$’000</w:t>
            </w:r>
          </w:p>
        </w:tc>
        <w:tc>
          <w:tcPr>
            <w:tcW w:w="807" w:type="pct"/>
            <w:vMerge w:val="restart"/>
            <w:vAlign w:val="bottom"/>
          </w:tcPr>
          <w:p w14:paraId="409A5B67" w14:textId="77777777" w:rsidR="00EF262B" w:rsidRPr="00811BA1" w:rsidRDefault="00EF262B" w:rsidP="00EF262B">
            <w:pPr>
              <w:pStyle w:val="Bodytext"/>
              <w:jc w:val="right"/>
              <w:rPr>
                <w:b/>
              </w:rPr>
            </w:pPr>
            <w:r w:rsidRPr="00811BA1">
              <w:rPr>
                <w:b/>
              </w:rPr>
              <w:t>£</w:t>
            </w:r>
          </w:p>
          <w:p w14:paraId="62DCA491" w14:textId="7CB14E70" w:rsidR="00EF262B" w:rsidRPr="00811BA1" w:rsidRDefault="00EF262B" w:rsidP="00EF262B">
            <w:pPr>
              <w:pStyle w:val="Bodytext"/>
              <w:jc w:val="right"/>
              <w:rPr>
                <w:b/>
              </w:rPr>
            </w:pPr>
            <w:r w:rsidRPr="00811BA1">
              <w:rPr>
                <w:b/>
              </w:rPr>
              <w:t>$’000</w:t>
            </w:r>
          </w:p>
        </w:tc>
        <w:tc>
          <w:tcPr>
            <w:tcW w:w="807" w:type="pct"/>
            <w:vMerge w:val="restart"/>
          </w:tcPr>
          <w:p w14:paraId="78F35A32" w14:textId="77777777" w:rsidR="00EF262B" w:rsidRDefault="00EF262B" w:rsidP="00EF262B">
            <w:pPr>
              <w:pStyle w:val="Bodytext"/>
              <w:jc w:val="right"/>
              <w:rPr>
                <w:b/>
              </w:rPr>
            </w:pPr>
          </w:p>
          <w:p w14:paraId="391B1E97" w14:textId="402F35A4" w:rsidR="00EF262B" w:rsidRPr="00811BA1" w:rsidRDefault="00EF262B" w:rsidP="00EF262B">
            <w:pPr>
              <w:pStyle w:val="Bodytext"/>
              <w:jc w:val="right"/>
              <w:rPr>
                <w:b/>
              </w:rPr>
            </w:pPr>
            <w:r>
              <w:rPr>
                <w:b/>
              </w:rPr>
              <w:t>€</w:t>
            </w:r>
          </w:p>
          <w:p w14:paraId="6F28CCC2" w14:textId="60716317" w:rsidR="00EF262B" w:rsidRPr="00811BA1" w:rsidRDefault="00EF262B" w:rsidP="00EF262B">
            <w:pPr>
              <w:pStyle w:val="Bodytext"/>
              <w:jc w:val="right"/>
              <w:rPr>
                <w:b/>
              </w:rPr>
            </w:pPr>
            <w:r w:rsidRPr="00811BA1">
              <w:rPr>
                <w:b/>
              </w:rPr>
              <w:t>$’000</w:t>
            </w:r>
          </w:p>
        </w:tc>
        <w:tc>
          <w:tcPr>
            <w:tcW w:w="805" w:type="pct"/>
            <w:vMerge w:val="restart"/>
            <w:vAlign w:val="bottom"/>
          </w:tcPr>
          <w:p w14:paraId="45A24822" w14:textId="27AE9221" w:rsidR="00EF262B" w:rsidRPr="00811BA1" w:rsidRDefault="00EF262B" w:rsidP="00EB7E49">
            <w:pPr>
              <w:pStyle w:val="Bodytext"/>
              <w:jc w:val="right"/>
              <w:rPr>
                <w:b/>
              </w:rPr>
            </w:pPr>
            <w:r w:rsidRPr="00811BA1">
              <w:rPr>
                <w:b/>
              </w:rPr>
              <w:t>Total</w:t>
            </w:r>
          </w:p>
          <w:p w14:paraId="7DB62B0C" w14:textId="77777777" w:rsidR="00EF262B" w:rsidRPr="00811BA1" w:rsidRDefault="00EF262B" w:rsidP="00EB7E49">
            <w:pPr>
              <w:pStyle w:val="Bodytext"/>
              <w:jc w:val="right"/>
              <w:rPr>
                <w:b/>
              </w:rPr>
            </w:pPr>
            <w:r w:rsidRPr="00811BA1">
              <w:rPr>
                <w:b/>
              </w:rPr>
              <w:t>$’000</w:t>
            </w:r>
          </w:p>
        </w:tc>
      </w:tr>
      <w:tr w:rsidR="00EF262B" w:rsidRPr="00811BA1" w14:paraId="43362127" w14:textId="77777777" w:rsidTr="00964765">
        <w:trPr>
          <w:trHeight w:val="463"/>
        </w:trPr>
        <w:tc>
          <w:tcPr>
            <w:tcW w:w="1775" w:type="pct"/>
            <w:tcBorders>
              <w:bottom w:val="single" w:sz="4" w:space="0" w:color="auto"/>
            </w:tcBorders>
            <w:vAlign w:val="bottom"/>
          </w:tcPr>
          <w:p w14:paraId="66975BD2" w14:textId="21B7BCAF" w:rsidR="00EF262B" w:rsidRPr="00811BA1" w:rsidRDefault="00EF262B" w:rsidP="00EB7E49">
            <w:pPr>
              <w:pStyle w:val="Bodytext"/>
              <w:rPr>
                <w:b/>
              </w:rPr>
            </w:pPr>
            <w:r w:rsidRPr="00811BA1">
              <w:rPr>
                <w:b/>
              </w:rPr>
              <w:t>A</w:t>
            </w:r>
            <w:r>
              <w:rPr>
                <w:b/>
              </w:rPr>
              <w:t>ssets</w:t>
            </w:r>
          </w:p>
        </w:tc>
        <w:tc>
          <w:tcPr>
            <w:tcW w:w="806" w:type="pct"/>
            <w:vMerge/>
            <w:tcBorders>
              <w:bottom w:val="single" w:sz="4" w:space="0" w:color="auto"/>
            </w:tcBorders>
            <w:vAlign w:val="bottom"/>
          </w:tcPr>
          <w:p w14:paraId="57AA640D" w14:textId="0A819DD1" w:rsidR="00EF262B" w:rsidRPr="00811BA1" w:rsidRDefault="00EF262B" w:rsidP="00EB7E49">
            <w:pPr>
              <w:pStyle w:val="Bodytext"/>
              <w:jc w:val="right"/>
              <w:rPr>
                <w:b/>
              </w:rPr>
            </w:pPr>
          </w:p>
        </w:tc>
        <w:tc>
          <w:tcPr>
            <w:tcW w:w="807" w:type="pct"/>
            <w:vMerge/>
            <w:tcBorders>
              <w:bottom w:val="single" w:sz="4" w:space="0" w:color="auto"/>
            </w:tcBorders>
            <w:vAlign w:val="bottom"/>
          </w:tcPr>
          <w:p w14:paraId="3ECD1B9E" w14:textId="77777777" w:rsidR="00EF262B" w:rsidRPr="00811BA1" w:rsidRDefault="00EF262B" w:rsidP="00EB7E49">
            <w:pPr>
              <w:pStyle w:val="Bodytext"/>
              <w:jc w:val="right"/>
              <w:rPr>
                <w:b/>
              </w:rPr>
            </w:pPr>
          </w:p>
        </w:tc>
        <w:tc>
          <w:tcPr>
            <w:tcW w:w="807" w:type="pct"/>
            <w:vMerge/>
            <w:tcBorders>
              <w:bottom w:val="single" w:sz="4" w:space="0" w:color="auto"/>
            </w:tcBorders>
          </w:tcPr>
          <w:p w14:paraId="50A5E7A2" w14:textId="77777777" w:rsidR="00EF262B" w:rsidRPr="00811BA1" w:rsidRDefault="00EF262B" w:rsidP="00EB7E49">
            <w:pPr>
              <w:pStyle w:val="Bodytext"/>
              <w:jc w:val="right"/>
              <w:rPr>
                <w:b/>
              </w:rPr>
            </w:pPr>
          </w:p>
        </w:tc>
        <w:tc>
          <w:tcPr>
            <w:tcW w:w="805" w:type="pct"/>
            <w:vMerge/>
            <w:tcBorders>
              <w:bottom w:val="single" w:sz="4" w:space="0" w:color="auto"/>
            </w:tcBorders>
            <w:vAlign w:val="bottom"/>
          </w:tcPr>
          <w:p w14:paraId="5DA94E85" w14:textId="0B442757" w:rsidR="00EF262B" w:rsidRPr="00811BA1" w:rsidRDefault="00EF262B" w:rsidP="00EB7E49">
            <w:pPr>
              <w:pStyle w:val="Bodytext"/>
              <w:jc w:val="right"/>
              <w:rPr>
                <w:b/>
              </w:rPr>
            </w:pPr>
          </w:p>
        </w:tc>
      </w:tr>
      <w:tr w:rsidR="00EF262B" w:rsidRPr="00811BA1" w14:paraId="4BC5B44B" w14:textId="77777777" w:rsidTr="00AD7CED">
        <w:trPr>
          <w:trHeight w:val="303"/>
        </w:trPr>
        <w:tc>
          <w:tcPr>
            <w:tcW w:w="1775" w:type="pct"/>
            <w:tcBorders>
              <w:top w:val="single" w:sz="4" w:space="0" w:color="auto"/>
            </w:tcBorders>
          </w:tcPr>
          <w:p w14:paraId="0EA2B109" w14:textId="77777777" w:rsidR="00EF262B" w:rsidRPr="00811BA1" w:rsidRDefault="00EF262B" w:rsidP="00EB7E49">
            <w:pPr>
              <w:pStyle w:val="Bodytext"/>
              <w:rPr>
                <w:b/>
              </w:rPr>
            </w:pPr>
            <w:r w:rsidRPr="00811BA1">
              <w:rPr>
                <w:b/>
              </w:rPr>
              <w:t>Non-current assets</w:t>
            </w:r>
          </w:p>
        </w:tc>
        <w:tc>
          <w:tcPr>
            <w:tcW w:w="806" w:type="pct"/>
            <w:tcBorders>
              <w:top w:val="single" w:sz="4" w:space="0" w:color="auto"/>
            </w:tcBorders>
            <w:vAlign w:val="center"/>
          </w:tcPr>
          <w:p w14:paraId="126E4DE9" w14:textId="7DA6E853" w:rsidR="00EF262B" w:rsidRPr="00AC5678" w:rsidRDefault="00EF262B" w:rsidP="00EB7E49">
            <w:pPr>
              <w:pStyle w:val="Bodytext"/>
              <w:jc w:val="right"/>
              <w:rPr>
                <w:b/>
              </w:rPr>
            </w:pPr>
          </w:p>
        </w:tc>
        <w:tc>
          <w:tcPr>
            <w:tcW w:w="807" w:type="pct"/>
            <w:tcBorders>
              <w:top w:val="single" w:sz="4" w:space="0" w:color="auto"/>
            </w:tcBorders>
            <w:vAlign w:val="center"/>
          </w:tcPr>
          <w:p w14:paraId="2CAF9A7E" w14:textId="77777777" w:rsidR="00EF262B" w:rsidRPr="00AC5678" w:rsidRDefault="00EF262B" w:rsidP="00EB7E49">
            <w:pPr>
              <w:pStyle w:val="Bodytext"/>
              <w:jc w:val="right"/>
              <w:rPr>
                <w:b/>
              </w:rPr>
            </w:pPr>
          </w:p>
        </w:tc>
        <w:tc>
          <w:tcPr>
            <w:tcW w:w="807" w:type="pct"/>
            <w:tcBorders>
              <w:top w:val="single" w:sz="4" w:space="0" w:color="auto"/>
            </w:tcBorders>
          </w:tcPr>
          <w:p w14:paraId="1F73CB05" w14:textId="77777777" w:rsidR="00EF262B" w:rsidRPr="00AD7CED" w:rsidRDefault="00EF262B" w:rsidP="00EB7E49">
            <w:pPr>
              <w:pStyle w:val="Bodytext"/>
              <w:jc w:val="right"/>
            </w:pPr>
          </w:p>
        </w:tc>
        <w:tc>
          <w:tcPr>
            <w:tcW w:w="805" w:type="pct"/>
            <w:tcBorders>
              <w:top w:val="single" w:sz="4" w:space="0" w:color="auto"/>
            </w:tcBorders>
            <w:vAlign w:val="center"/>
          </w:tcPr>
          <w:p w14:paraId="67C6AC1D" w14:textId="07B40015" w:rsidR="00EF262B" w:rsidRPr="00567E6F" w:rsidRDefault="00EF262B" w:rsidP="00EB7E49">
            <w:pPr>
              <w:pStyle w:val="Bodytext"/>
              <w:jc w:val="right"/>
              <w:rPr>
                <w:b/>
              </w:rPr>
            </w:pPr>
          </w:p>
        </w:tc>
      </w:tr>
      <w:tr w:rsidR="00302E31" w:rsidRPr="00811BA1" w14:paraId="6C3B89A3" w14:textId="77777777" w:rsidTr="00BC5A90">
        <w:tc>
          <w:tcPr>
            <w:tcW w:w="1775" w:type="pct"/>
            <w:tcBorders>
              <w:bottom w:val="single" w:sz="4" w:space="0" w:color="auto"/>
            </w:tcBorders>
          </w:tcPr>
          <w:p w14:paraId="7AA28054" w14:textId="5D2869C5" w:rsidR="00302E31" w:rsidRPr="00811BA1" w:rsidRDefault="00302E31" w:rsidP="00302E31">
            <w:pPr>
              <w:pStyle w:val="Bodytext"/>
            </w:pPr>
            <w:r w:rsidRPr="00811BA1">
              <w:t>Investment in the Partnership</w:t>
            </w:r>
            <w:r w:rsidRPr="00A302AA">
              <w:rPr>
                <w:vertAlign w:val="superscript"/>
              </w:rPr>
              <w:t>(1)</w:t>
            </w:r>
          </w:p>
        </w:tc>
        <w:tc>
          <w:tcPr>
            <w:tcW w:w="806" w:type="pct"/>
            <w:tcBorders>
              <w:bottom w:val="single" w:sz="4" w:space="0" w:color="auto"/>
            </w:tcBorders>
            <w:vAlign w:val="center"/>
          </w:tcPr>
          <w:p w14:paraId="4722039C" w14:textId="4B04480E" w:rsidR="00302E31" w:rsidRPr="005805C3" w:rsidRDefault="00B229FD" w:rsidP="00302E31">
            <w:pPr>
              <w:pStyle w:val="Bodytext"/>
              <w:jc w:val="right"/>
              <w:rPr>
                <w:b/>
                <w:bCs/>
              </w:rPr>
            </w:pPr>
            <w:r w:rsidRPr="00B229FD">
              <w:rPr>
                <w:b/>
                <w:bCs/>
              </w:rPr>
              <w:t>772,7</w:t>
            </w:r>
            <w:r w:rsidR="0095106D">
              <w:rPr>
                <w:b/>
                <w:bCs/>
              </w:rPr>
              <w:t>22</w:t>
            </w:r>
          </w:p>
        </w:tc>
        <w:tc>
          <w:tcPr>
            <w:tcW w:w="807" w:type="pct"/>
            <w:tcBorders>
              <w:bottom w:val="single" w:sz="4" w:space="0" w:color="auto"/>
            </w:tcBorders>
          </w:tcPr>
          <w:p w14:paraId="7EF1637D" w14:textId="78CAC06A" w:rsidR="00302E31" w:rsidRPr="00964765" w:rsidRDefault="00302E31" w:rsidP="00302E31">
            <w:pPr>
              <w:pStyle w:val="Bodytext"/>
              <w:jc w:val="right"/>
              <w:rPr>
                <w:b/>
                <w:bCs/>
              </w:rPr>
            </w:pPr>
            <w:r w:rsidRPr="00D6375E">
              <w:t>–</w:t>
            </w:r>
          </w:p>
        </w:tc>
        <w:tc>
          <w:tcPr>
            <w:tcW w:w="807" w:type="pct"/>
            <w:tcBorders>
              <w:bottom w:val="single" w:sz="4" w:space="0" w:color="auto"/>
            </w:tcBorders>
          </w:tcPr>
          <w:p w14:paraId="15822EA2" w14:textId="1544985F" w:rsidR="00302E31" w:rsidRPr="00AD7CED" w:rsidRDefault="00302E31" w:rsidP="00302E31">
            <w:pPr>
              <w:pStyle w:val="Bodytext"/>
              <w:jc w:val="right"/>
            </w:pPr>
            <w:r w:rsidRPr="00302E31">
              <w:t>–</w:t>
            </w:r>
          </w:p>
        </w:tc>
        <w:tc>
          <w:tcPr>
            <w:tcW w:w="805" w:type="pct"/>
            <w:tcBorders>
              <w:bottom w:val="single" w:sz="4" w:space="0" w:color="auto"/>
            </w:tcBorders>
            <w:vAlign w:val="center"/>
          </w:tcPr>
          <w:p w14:paraId="0D82C13A" w14:textId="7E4D2723" w:rsidR="00302E31" w:rsidRPr="005805C3" w:rsidRDefault="00B229FD" w:rsidP="00302E31">
            <w:pPr>
              <w:pStyle w:val="Bodytext"/>
              <w:jc w:val="right"/>
              <w:rPr>
                <w:b/>
                <w:bCs/>
              </w:rPr>
            </w:pPr>
            <w:r w:rsidRPr="00B229FD">
              <w:rPr>
                <w:b/>
                <w:bCs/>
              </w:rPr>
              <w:t>772,7</w:t>
            </w:r>
            <w:r w:rsidR="0095106D">
              <w:rPr>
                <w:b/>
                <w:bCs/>
              </w:rPr>
              <w:t>22</w:t>
            </w:r>
          </w:p>
        </w:tc>
      </w:tr>
      <w:tr w:rsidR="00302E31" w:rsidRPr="00811BA1" w14:paraId="6E7A8DEA" w14:textId="77777777" w:rsidTr="00BC5A90">
        <w:tc>
          <w:tcPr>
            <w:tcW w:w="1775" w:type="pct"/>
            <w:tcBorders>
              <w:top w:val="single" w:sz="4" w:space="0" w:color="auto"/>
              <w:bottom w:val="single" w:sz="4" w:space="0" w:color="auto"/>
            </w:tcBorders>
          </w:tcPr>
          <w:p w14:paraId="431C1B90" w14:textId="77777777" w:rsidR="00302E31" w:rsidRPr="00811BA1" w:rsidRDefault="00302E31" w:rsidP="00302E31">
            <w:pPr>
              <w:pStyle w:val="Bodytext"/>
              <w:rPr>
                <w:b/>
              </w:rPr>
            </w:pPr>
            <w:r w:rsidRPr="00811BA1">
              <w:rPr>
                <w:b/>
              </w:rPr>
              <w:t>Total non-current assets</w:t>
            </w:r>
          </w:p>
        </w:tc>
        <w:tc>
          <w:tcPr>
            <w:tcW w:w="806" w:type="pct"/>
            <w:tcBorders>
              <w:top w:val="single" w:sz="4" w:space="0" w:color="auto"/>
              <w:bottom w:val="single" w:sz="4" w:space="0" w:color="auto"/>
            </w:tcBorders>
            <w:vAlign w:val="center"/>
          </w:tcPr>
          <w:p w14:paraId="285A4C24" w14:textId="70E352B0" w:rsidR="00302E31" w:rsidRPr="005805C3" w:rsidRDefault="00B229FD" w:rsidP="00302E31">
            <w:pPr>
              <w:pStyle w:val="Bodytext"/>
              <w:jc w:val="right"/>
              <w:rPr>
                <w:b/>
                <w:bCs/>
              </w:rPr>
            </w:pPr>
            <w:r w:rsidRPr="00B229FD">
              <w:rPr>
                <w:b/>
                <w:bCs/>
              </w:rPr>
              <w:t>772,7</w:t>
            </w:r>
            <w:r w:rsidR="0095106D">
              <w:rPr>
                <w:b/>
                <w:bCs/>
              </w:rPr>
              <w:t>22</w:t>
            </w:r>
          </w:p>
        </w:tc>
        <w:tc>
          <w:tcPr>
            <w:tcW w:w="807" w:type="pct"/>
            <w:tcBorders>
              <w:top w:val="single" w:sz="4" w:space="0" w:color="auto"/>
              <w:bottom w:val="single" w:sz="4" w:space="0" w:color="auto"/>
            </w:tcBorders>
          </w:tcPr>
          <w:p w14:paraId="2B27B8FA" w14:textId="039643B7" w:rsidR="00302E31" w:rsidRPr="00964765" w:rsidRDefault="00302E31" w:rsidP="00302E31">
            <w:pPr>
              <w:pStyle w:val="Bodytext"/>
              <w:jc w:val="right"/>
              <w:rPr>
                <w:b/>
                <w:bCs/>
              </w:rPr>
            </w:pPr>
            <w:r w:rsidRPr="00D6375E">
              <w:t>–</w:t>
            </w:r>
          </w:p>
        </w:tc>
        <w:tc>
          <w:tcPr>
            <w:tcW w:w="807" w:type="pct"/>
            <w:tcBorders>
              <w:top w:val="single" w:sz="4" w:space="0" w:color="auto"/>
              <w:bottom w:val="single" w:sz="4" w:space="0" w:color="auto"/>
            </w:tcBorders>
          </w:tcPr>
          <w:p w14:paraId="4504415F" w14:textId="36B076BB" w:rsidR="00302E31" w:rsidRPr="00AD7CED" w:rsidRDefault="00302E31" w:rsidP="00302E31">
            <w:pPr>
              <w:pStyle w:val="Bodytext"/>
              <w:jc w:val="right"/>
            </w:pPr>
            <w:r w:rsidRPr="00302E31">
              <w:t>–</w:t>
            </w:r>
          </w:p>
        </w:tc>
        <w:tc>
          <w:tcPr>
            <w:tcW w:w="805" w:type="pct"/>
            <w:tcBorders>
              <w:top w:val="single" w:sz="4" w:space="0" w:color="auto"/>
              <w:bottom w:val="single" w:sz="4" w:space="0" w:color="auto"/>
            </w:tcBorders>
            <w:vAlign w:val="center"/>
          </w:tcPr>
          <w:p w14:paraId="2DF015A1" w14:textId="5BE81635" w:rsidR="00302E31" w:rsidRPr="005805C3" w:rsidRDefault="00B229FD" w:rsidP="00302E31">
            <w:pPr>
              <w:pStyle w:val="Bodytext"/>
              <w:jc w:val="right"/>
              <w:rPr>
                <w:b/>
                <w:bCs/>
              </w:rPr>
            </w:pPr>
            <w:r w:rsidRPr="00B229FD">
              <w:rPr>
                <w:b/>
                <w:bCs/>
              </w:rPr>
              <w:t>772,7</w:t>
            </w:r>
            <w:r w:rsidR="0095106D">
              <w:rPr>
                <w:b/>
                <w:bCs/>
              </w:rPr>
              <w:t>22</w:t>
            </w:r>
          </w:p>
        </w:tc>
      </w:tr>
      <w:tr w:rsidR="00302E31" w:rsidRPr="00811BA1" w14:paraId="681963C2" w14:textId="77777777" w:rsidTr="00964765">
        <w:tc>
          <w:tcPr>
            <w:tcW w:w="1775" w:type="pct"/>
            <w:tcBorders>
              <w:top w:val="single" w:sz="4" w:space="0" w:color="auto"/>
            </w:tcBorders>
          </w:tcPr>
          <w:p w14:paraId="6EA32E56" w14:textId="77777777" w:rsidR="00302E31" w:rsidRPr="00811BA1" w:rsidRDefault="00302E31" w:rsidP="00302E31">
            <w:pPr>
              <w:pStyle w:val="Bodytext"/>
              <w:rPr>
                <w:b/>
              </w:rPr>
            </w:pPr>
          </w:p>
        </w:tc>
        <w:tc>
          <w:tcPr>
            <w:tcW w:w="806" w:type="pct"/>
            <w:tcBorders>
              <w:top w:val="single" w:sz="4" w:space="0" w:color="auto"/>
            </w:tcBorders>
            <w:vAlign w:val="center"/>
          </w:tcPr>
          <w:p w14:paraId="05357B7A" w14:textId="188A481E" w:rsidR="00302E31" w:rsidRPr="005805C3" w:rsidRDefault="00302E31" w:rsidP="00302E31">
            <w:pPr>
              <w:pStyle w:val="Bodytext"/>
              <w:jc w:val="right"/>
              <w:rPr>
                <w:b/>
                <w:bCs/>
              </w:rPr>
            </w:pPr>
          </w:p>
        </w:tc>
        <w:tc>
          <w:tcPr>
            <w:tcW w:w="807" w:type="pct"/>
            <w:tcBorders>
              <w:top w:val="single" w:sz="4" w:space="0" w:color="auto"/>
            </w:tcBorders>
            <w:vAlign w:val="center"/>
          </w:tcPr>
          <w:p w14:paraId="6FCEAFE3" w14:textId="74A27C5F" w:rsidR="00302E31" w:rsidRPr="005805C3" w:rsidRDefault="00302E31" w:rsidP="00302E31">
            <w:pPr>
              <w:pStyle w:val="Bodytext"/>
              <w:jc w:val="right"/>
              <w:rPr>
                <w:b/>
                <w:bCs/>
              </w:rPr>
            </w:pPr>
          </w:p>
        </w:tc>
        <w:tc>
          <w:tcPr>
            <w:tcW w:w="807" w:type="pct"/>
            <w:tcBorders>
              <w:top w:val="single" w:sz="4" w:space="0" w:color="auto"/>
            </w:tcBorders>
          </w:tcPr>
          <w:p w14:paraId="4A530ED8" w14:textId="4B3B615D" w:rsidR="00302E31" w:rsidRPr="00AD7CED" w:rsidRDefault="00302E31" w:rsidP="00302E31">
            <w:pPr>
              <w:pStyle w:val="Bodytext"/>
              <w:jc w:val="right"/>
            </w:pPr>
          </w:p>
        </w:tc>
        <w:tc>
          <w:tcPr>
            <w:tcW w:w="805" w:type="pct"/>
            <w:tcBorders>
              <w:top w:val="single" w:sz="4" w:space="0" w:color="auto"/>
            </w:tcBorders>
            <w:vAlign w:val="center"/>
          </w:tcPr>
          <w:p w14:paraId="673E9CFC" w14:textId="6B4FEF76" w:rsidR="00302E31" w:rsidRPr="005805C3" w:rsidRDefault="00302E31" w:rsidP="00302E31">
            <w:pPr>
              <w:pStyle w:val="Bodytext"/>
              <w:jc w:val="right"/>
              <w:rPr>
                <w:b/>
                <w:bCs/>
              </w:rPr>
            </w:pPr>
          </w:p>
        </w:tc>
      </w:tr>
      <w:tr w:rsidR="00302E31" w:rsidRPr="00811BA1" w14:paraId="5F8F98B9" w14:textId="77777777" w:rsidTr="00964765">
        <w:tc>
          <w:tcPr>
            <w:tcW w:w="1775" w:type="pct"/>
          </w:tcPr>
          <w:p w14:paraId="3114FF1D" w14:textId="77777777" w:rsidR="00302E31" w:rsidRPr="00811BA1" w:rsidRDefault="00302E31" w:rsidP="00302E31">
            <w:pPr>
              <w:pStyle w:val="Bodytext"/>
              <w:rPr>
                <w:b/>
              </w:rPr>
            </w:pPr>
            <w:r w:rsidRPr="00811BA1">
              <w:rPr>
                <w:b/>
              </w:rPr>
              <w:t>Current assets</w:t>
            </w:r>
          </w:p>
        </w:tc>
        <w:tc>
          <w:tcPr>
            <w:tcW w:w="806" w:type="pct"/>
            <w:vAlign w:val="center"/>
          </w:tcPr>
          <w:p w14:paraId="0D8BDC1F" w14:textId="30688772" w:rsidR="00302E31" w:rsidRPr="005805C3" w:rsidRDefault="00302E31" w:rsidP="00302E31">
            <w:pPr>
              <w:pStyle w:val="Bodytext"/>
              <w:jc w:val="right"/>
              <w:rPr>
                <w:b/>
                <w:bCs/>
              </w:rPr>
            </w:pPr>
          </w:p>
        </w:tc>
        <w:tc>
          <w:tcPr>
            <w:tcW w:w="807" w:type="pct"/>
            <w:vAlign w:val="center"/>
          </w:tcPr>
          <w:p w14:paraId="498849E8" w14:textId="136F504E" w:rsidR="00302E31" w:rsidRPr="005805C3" w:rsidRDefault="00302E31" w:rsidP="00302E31">
            <w:pPr>
              <w:pStyle w:val="Bodytext"/>
              <w:jc w:val="right"/>
              <w:rPr>
                <w:b/>
                <w:bCs/>
              </w:rPr>
            </w:pPr>
          </w:p>
        </w:tc>
        <w:tc>
          <w:tcPr>
            <w:tcW w:w="807" w:type="pct"/>
          </w:tcPr>
          <w:p w14:paraId="503F546A" w14:textId="4012FCCF" w:rsidR="00302E31" w:rsidRPr="00AD7CED" w:rsidRDefault="00302E31" w:rsidP="00302E31">
            <w:pPr>
              <w:pStyle w:val="Bodytext"/>
              <w:jc w:val="right"/>
            </w:pPr>
          </w:p>
        </w:tc>
        <w:tc>
          <w:tcPr>
            <w:tcW w:w="805" w:type="pct"/>
            <w:vAlign w:val="center"/>
          </w:tcPr>
          <w:p w14:paraId="0C882F69" w14:textId="0BFD6744" w:rsidR="00302E31" w:rsidRPr="005805C3" w:rsidRDefault="00302E31" w:rsidP="00302E31">
            <w:pPr>
              <w:pStyle w:val="Bodytext"/>
              <w:jc w:val="right"/>
              <w:rPr>
                <w:b/>
                <w:bCs/>
              </w:rPr>
            </w:pPr>
          </w:p>
        </w:tc>
      </w:tr>
      <w:tr w:rsidR="00302E31" w:rsidRPr="00811BA1" w14:paraId="4E109F79" w14:textId="77777777" w:rsidTr="00964765">
        <w:tc>
          <w:tcPr>
            <w:tcW w:w="1775" w:type="pct"/>
          </w:tcPr>
          <w:p w14:paraId="22E2D949" w14:textId="77777777" w:rsidR="00302E31" w:rsidRPr="00811BA1" w:rsidRDefault="00302E31" w:rsidP="00302E31">
            <w:pPr>
              <w:pStyle w:val="Bodytext"/>
            </w:pPr>
            <w:r w:rsidRPr="00811BA1">
              <w:t>Trade and other receivables</w:t>
            </w:r>
          </w:p>
        </w:tc>
        <w:tc>
          <w:tcPr>
            <w:tcW w:w="806" w:type="pct"/>
            <w:vAlign w:val="center"/>
          </w:tcPr>
          <w:p w14:paraId="73B68475" w14:textId="206CB1A5" w:rsidR="00302E31" w:rsidRPr="005805C3" w:rsidRDefault="00302E31" w:rsidP="00302E31">
            <w:pPr>
              <w:pStyle w:val="Bodytext"/>
              <w:jc w:val="right"/>
              <w:rPr>
                <w:b/>
                <w:bCs/>
              </w:rPr>
            </w:pPr>
            <w:r w:rsidRPr="00302E31">
              <w:rPr>
                <w:b/>
                <w:bCs/>
              </w:rPr>
              <w:t>592</w:t>
            </w:r>
          </w:p>
        </w:tc>
        <w:tc>
          <w:tcPr>
            <w:tcW w:w="807" w:type="pct"/>
            <w:vAlign w:val="center"/>
          </w:tcPr>
          <w:p w14:paraId="3C046C86" w14:textId="2322B352" w:rsidR="00302E31" w:rsidRPr="00835D77" w:rsidRDefault="00302E31" w:rsidP="00302E31">
            <w:pPr>
              <w:pStyle w:val="Bodytext"/>
              <w:jc w:val="right"/>
              <w:rPr>
                <w:b/>
                <w:bCs/>
              </w:rPr>
            </w:pPr>
            <w:r w:rsidRPr="00302E31">
              <w:rPr>
                <w:b/>
                <w:bCs/>
              </w:rPr>
              <w:t>1</w:t>
            </w:r>
          </w:p>
        </w:tc>
        <w:tc>
          <w:tcPr>
            <w:tcW w:w="807" w:type="pct"/>
          </w:tcPr>
          <w:p w14:paraId="25917AA1" w14:textId="1A4FA3D7" w:rsidR="00302E31" w:rsidRPr="00AD7CED" w:rsidRDefault="00302E31" w:rsidP="00302E31">
            <w:pPr>
              <w:pStyle w:val="Bodytext"/>
              <w:jc w:val="right"/>
            </w:pPr>
            <w:r w:rsidRPr="00302E31">
              <w:t>–</w:t>
            </w:r>
          </w:p>
        </w:tc>
        <w:tc>
          <w:tcPr>
            <w:tcW w:w="805" w:type="pct"/>
            <w:vAlign w:val="center"/>
          </w:tcPr>
          <w:p w14:paraId="10C41970" w14:textId="6002BE93" w:rsidR="00302E31" w:rsidRPr="005805C3" w:rsidRDefault="00302E31" w:rsidP="00302E31">
            <w:pPr>
              <w:pStyle w:val="Bodytext"/>
              <w:jc w:val="right"/>
              <w:rPr>
                <w:b/>
                <w:bCs/>
              </w:rPr>
            </w:pPr>
            <w:r w:rsidRPr="00302E31">
              <w:rPr>
                <w:b/>
                <w:bCs/>
              </w:rPr>
              <w:t>593</w:t>
            </w:r>
          </w:p>
        </w:tc>
      </w:tr>
      <w:tr w:rsidR="00302E31" w:rsidRPr="00811BA1" w14:paraId="26251C05" w14:textId="77777777" w:rsidTr="00964765">
        <w:tc>
          <w:tcPr>
            <w:tcW w:w="1775" w:type="pct"/>
            <w:tcBorders>
              <w:bottom w:val="single" w:sz="4" w:space="0" w:color="auto"/>
            </w:tcBorders>
          </w:tcPr>
          <w:p w14:paraId="6EC2D13A" w14:textId="77777777" w:rsidR="00302E31" w:rsidRPr="00811BA1" w:rsidRDefault="00302E31" w:rsidP="00302E31">
            <w:pPr>
              <w:pStyle w:val="Bodytext"/>
            </w:pPr>
            <w:r w:rsidRPr="00811BA1">
              <w:t>Cash and cash equivalents</w:t>
            </w:r>
          </w:p>
        </w:tc>
        <w:tc>
          <w:tcPr>
            <w:tcW w:w="806" w:type="pct"/>
            <w:tcBorders>
              <w:bottom w:val="single" w:sz="4" w:space="0" w:color="auto"/>
            </w:tcBorders>
            <w:vAlign w:val="center"/>
          </w:tcPr>
          <w:p w14:paraId="42E189F8" w14:textId="76A1FB7B" w:rsidR="00302E31" w:rsidRPr="005805C3" w:rsidRDefault="00302E31" w:rsidP="00302E31">
            <w:pPr>
              <w:pStyle w:val="Bodytext"/>
              <w:jc w:val="right"/>
              <w:rPr>
                <w:b/>
                <w:bCs/>
              </w:rPr>
            </w:pPr>
            <w:r w:rsidRPr="00302E31">
              <w:rPr>
                <w:b/>
                <w:bCs/>
              </w:rPr>
              <w:t>211</w:t>
            </w:r>
          </w:p>
        </w:tc>
        <w:tc>
          <w:tcPr>
            <w:tcW w:w="807" w:type="pct"/>
            <w:tcBorders>
              <w:bottom w:val="single" w:sz="4" w:space="0" w:color="auto"/>
            </w:tcBorders>
            <w:vAlign w:val="center"/>
          </w:tcPr>
          <w:p w14:paraId="6176B826" w14:textId="6E5D057D" w:rsidR="00302E31" w:rsidRPr="005805C3" w:rsidRDefault="00302E31" w:rsidP="00302E31">
            <w:pPr>
              <w:pStyle w:val="Bodytext"/>
              <w:jc w:val="right"/>
              <w:rPr>
                <w:b/>
                <w:bCs/>
              </w:rPr>
            </w:pPr>
            <w:r w:rsidRPr="00D6375E">
              <w:t>–</w:t>
            </w:r>
          </w:p>
        </w:tc>
        <w:tc>
          <w:tcPr>
            <w:tcW w:w="807" w:type="pct"/>
            <w:tcBorders>
              <w:bottom w:val="single" w:sz="4" w:space="0" w:color="auto"/>
            </w:tcBorders>
          </w:tcPr>
          <w:p w14:paraId="5DCFE823" w14:textId="7C4D2CB1" w:rsidR="00302E31" w:rsidRPr="00AD7CED" w:rsidRDefault="00302E31" w:rsidP="00302E31">
            <w:pPr>
              <w:pStyle w:val="Bodytext"/>
              <w:jc w:val="right"/>
            </w:pPr>
            <w:r w:rsidRPr="00302E31">
              <w:t>–</w:t>
            </w:r>
          </w:p>
        </w:tc>
        <w:tc>
          <w:tcPr>
            <w:tcW w:w="805" w:type="pct"/>
            <w:tcBorders>
              <w:bottom w:val="single" w:sz="4" w:space="0" w:color="auto"/>
            </w:tcBorders>
            <w:vAlign w:val="center"/>
          </w:tcPr>
          <w:p w14:paraId="22836778" w14:textId="32EF52E4" w:rsidR="00302E31" w:rsidRPr="005805C3" w:rsidRDefault="00302E31" w:rsidP="00302E31">
            <w:pPr>
              <w:pStyle w:val="Bodytext"/>
              <w:jc w:val="right"/>
              <w:rPr>
                <w:b/>
                <w:bCs/>
              </w:rPr>
            </w:pPr>
            <w:r w:rsidRPr="00302E31">
              <w:rPr>
                <w:b/>
                <w:bCs/>
              </w:rPr>
              <w:t>211</w:t>
            </w:r>
          </w:p>
        </w:tc>
      </w:tr>
      <w:tr w:rsidR="00302E31" w:rsidRPr="00811BA1" w14:paraId="7FBF8520" w14:textId="77777777" w:rsidTr="00964765">
        <w:tc>
          <w:tcPr>
            <w:tcW w:w="1775" w:type="pct"/>
            <w:tcBorders>
              <w:top w:val="single" w:sz="4" w:space="0" w:color="auto"/>
              <w:bottom w:val="single" w:sz="4" w:space="0" w:color="auto"/>
            </w:tcBorders>
          </w:tcPr>
          <w:p w14:paraId="78B0B2D8" w14:textId="77777777" w:rsidR="00302E31" w:rsidRPr="00811BA1" w:rsidRDefault="00302E31" w:rsidP="00302E31">
            <w:pPr>
              <w:pStyle w:val="Bodytext"/>
              <w:rPr>
                <w:b/>
              </w:rPr>
            </w:pPr>
            <w:r w:rsidRPr="00811BA1">
              <w:rPr>
                <w:b/>
              </w:rPr>
              <w:t>Total current assets</w:t>
            </w:r>
          </w:p>
        </w:tc>
        <w:tc>
          <w:tcPr>
            <w:tcW w:w="806" w:type="pct"/>
            <w:tcBorders>
              <w:top w:val="single" w:sz="4" w:space="0" w:color="auto"/>
              <w:bottom w:val="single" w:sz="4" w:space="0" w:color="auto"/>
            </w:tcBorders>
            <w:vAlign w:val="center"/>
          </w:tcPr>
          <w:p w14:paraId="2DCA102A" w14:textId="53D79A10" w:rsidR="00302E31" w:rsidRPr="005805C3" w:rsidRDefault="00302E31" w:rsidP="00302E31">
            <w:pPr>
              <w:pStyle w:val="Bodytext"/>
              <w:jc w:val="right"/>
              <w:rPr>
                <w:b/>
                <w:bCs/>
              </w:rPr>
            </w:pPr>
            <w:r w:rsidRPr="00302E31">
              <w:rPr>
                <w:b/>
                <w:bCs/>
              </w:rPr>
              <w:t>803</w:t>
            </w:r>
          </w:p>
        </w:tc>
        <w:tc>
          <w:tcPr>
            <w:tcW w:w="807" w:type="pct"/>
            <w:tcBorders>
              <w:top w:val="single" w:sz="4" w:space="0" w:color="auto"/>
              <w:bottom w:val="single" w:sz="4" w:space="0" w:color="auto"/>
            </w:tcBorders>
            <w:vAlign w:val="center"/>
          </w:tcPr>
          <w:p w14:paraId="3BDAF34D" w14:textId="7BA71258" w:rsidR="00302E31" w:rsidRPr="005805C3" w:rsidRDefault="00302E31" w:rsidP="00302E31">
            <w:pPr>
              <w:pStyle w:val="Bodytext"/>
              <w:jc w:val="right"/>
              <w:rPr>
                <w:b/>
                <w:bCs/>
              </w:rPr>
            </w:pPr>
            <w:r w:rsidRPr="00302E31">
              <w:rPr>
                <w:b/>
                <w:bCs/>
              </w:rPr>
              <w:t>1</w:t>
            </w:r>
          </w:p>
        </w:tc>
        <w:tc>
          <w:tcPr>
            <w:tcW w:w="807" w:type="pct"/>
            <w:tcBorders>
              <w:top w:val="single" w:sz="4" w:space="0" w:color="auto"/>
              <w:bottom w:val="single" w:sz="4" w:space="0" w:color="auto"/>
            </w:tcBorders>
          </w:tcPr>
          <w:p w14:paraId="63AF40DF" w14:textId="37B88E58" w:rsidR="00302E31" w:rsidRPr="00AD7CED" w:rsidRDefault="00302E31" w:rsidP="00302E31">
            <w:pPr>
              <w:pStyle w:val="Bodytext"/>
              <w:jc w:val="right"/>
            </w:pPr>
            <w:r w:rsidRPr="00302E31">
              <w:t>–</w:t>
            </w:r>
          </w:p>
        </w:tc>
        <w:tc>
          <w:tcPr>
            <w:tcW w:w="805" w:type="pct"/>
            <w:tcBorders>
              <w:top w:val="single" w:sz="4" w:space="0" w:color="auto"/>
              <w:bottom w:val="single" w:sz="4" w:space="0" w:color="auto"/>
            </w:tcBorders>
            <w:vAlign w:val="center"/>
          </w:tcPr>
          <w:p w14:paraId="59B494DB" w14:textId="2836257C" w:rsidR="00302E31" w:rsidRPr="005805C3" w:rsidRDefault="00302E31" w:rsidP="00302E31">
            <w:pPr>
              <w:pStyle w:val="Bodytext"/>
              <w:jc w:val="right"/>
              <w:rPr>
                <w:b/>
                <w:bCs/>
              </w:rPr>
            </w:pPr>
            <w:r w:rsidRPr="00302E31">
              <w:rPr>
                <w:b/>
                <w:bCs/>
              </w:rPr>
              <w:t>804</w:t>
            </w:r>
          </w:p>
        </w:tc>
      </w:tr>
      <w:tr w:rsidR="00302E31" w:rsidRPr="00811BA1" w14:paraId="46DA1310" w14:textId="77777777" w:rsidTr="00964765">
        <w:tc>
          <w:tcPr>
            <w:tcW w:w="1775" w:type="pct"/>
            <w:tcBorders>
              <w:top w:val="single" w:sz="4" w:space="0" w:color="auto"/>
            </w:tcBorders>
          </w:tcPr>
          <w:p w14:paraId="71630838" w14:textId="77777777" w:rsidR="00302E31" w:rsidRPr="00811BA1" w:rsidRDefault="00302E31" w:rsidP="00302E31">
            <w:pPr>
              <w:pStyle w:val="Bodytext"/>
              <w:rPr>
                <w:b/>
              </w:rPr>
            </w:pPr>
          </w:p>
        </w:tc>
        <w:tc>
          <w:tcPr>
            <w:tcW w:w="806" w:type="pct"/>
            <w:tcBorders>
              <w:top w:val="single" w:sz="4" w:space="0" w:color="auto"/>
            </w:tcBorders>
            <w:vAlign w:val="center"/>
          </w:tcPr>
          <w:p w14:paraId="7F3F4640" w14:textId="15A7033E" w:rsidR="00302E31" w:rsidRPr="001B2C50" w:rsidRDefault="00302E31" w:rsidP="00302E31">
            <w:pPr>
              <w:pStyle w:val="Bodytext"/>
              <w:jc w:val="right"/>
              <w:rPr>
                <w:b/>
              </w:rPr>
            </w:pPr>
          </w:p>
        </w:tc>
        <w:tc>
          <w:tcPr>
            <w:tcW w:w="807" w:type="pct"/>
            <w:tcBorders>
              <w:top w:val="single" w:sz="4" w:space="0" w:color="auto"/>
            </w:tcBorders>
            <w:vAlign w:val="center"/>
          </w:tcPr>
          <w:p w14:paraId="3976F378" w14:textId="34149BBA" w:rsidR="00302E31" w:rsidRPr="001B2C50" w:rsidRDefault="00302E31" w:rsidP="00302E31">
            <w:pPr>
              <w:pStyle w:val="Bodytext"/>
              <w:jc w:val="right"/>
              <w:rPr>
                <w:b/>
              </w:rPr>
            </w:pPr>
          </w:p>
        </w:tc>
        <w:tc>
          <w:tcPr>
            <w:tcW w:w="807" w:type="pct"/>
            <w:tcBorders>
              <w:top w:val="single" w:sz="4" w:space="0" w:color="auto"/>
            </w:tcBorders>
          </w:tcPr>
          <w:p w14:paraId="40CDA6C8" w14:textId="33796ABD" w:rsidR="00302E31" w:rsidRPr="00AD7CED" w:rsidRDefault="00302E31" w:rsidP="00302E31">
            <w:pPr>
              <w:pStyle w:val="Bodytext"/>
              <w:jc w:val="right"/>
              <w:rPr>
                <w:sz w:val="22"/>
              </w:rPr>
            </w:pPr>
          </w:p>
        </w:tc>
        <w:tc>
          <w:tcPr>
            <w:tcW w:w="805" w:type="pct"/>
            <w:tcBorders>
              <w:top w:val="single" w:sz="4" w:space="0" w:color="auto"/>
            </w:tcBorders>
            <w:vAlign w:val="center"/>
          </w:tcPr>
          <w:p w14:paraId="236723ED" w14:textId="26DE2A97" w:rsidR="00302E31" w:rsidRPr="001B2C50" w:rsidRDefault="00302E31" w:rsidP="00302E31">
            <w:pPr>
              <w:pStyle w:val="Bodytext"/>
              <w:jc w:val="right"/>
              <w:rPr>
                <w:b/>
              </w:rPr>
            </w:pPr>
          </w:p>
        </w:tc>
      </w:tr>
      <w:tr w:rsidR="00302E31" w:rsidRPr="00811BA1" w14:paraId="35C52589" w14:textId="77777777" w:rsidTr="00964765">
        <w:trPr>
          <w:trHeight w:val="249"/>
        </w:trPr>
        <w:tc>
          <w:tcPr>
            <w:tcW w:w="1775" w:type="pct"/>
          </w:tcPr>
          <w:p w14:paraId="371A3018" w14:textId="77777777" w:rsidR="00302E31" w:rsidRPr="00811BA1" w:rsidRDefault="00302E31" w:rsidP="00302E31">
            <w:pPr>
              <w:pStyle w:val="Bodytext"/>
              <w:rPr>
                <w:b/>
              </w:rPr>
            </w:pPr>
            <w:r w:rsidRPr="00811BA1">
              <w:rPr>
                <w:b/>
              </w:rPr>
              <w:t>Current liabilities</w:t>
            </w:r>
          </w:p>
        </w:tc>
        <w:tc>
          <w:tcPr>
            <w:tcW w:w="806" w:type="pct"/>
            <w:vAlign w:val="center"/>
          </w:tcPr>
          <w:p w14:paraId="02B3D60C" w14:textId="37FBCFA9" w:rsidR="00302E31" w:rsidRPr="001B2C50" w:rsidRDefault="00302E31" w:rsidP="00302E31">
            <w:pPr>
              <w:pStyle w:val="Bodytext"/>
              <w:jc w:val="right"/>
              <w:rPr>
                <w:b/>
              </w:rPr>
            </w:pPr>
          </w:p>
        </w:tc>
        <w:tc>
          <w:tcPr>
            <w:tcW w:w="807" w:type="pct"/>
            <w:vAlign w:val="center"/>
          </w:tcPr>
          <w:p w14:paraId="48274F38" w14:textId="418C21DC" w:rsidR="00302E31" w:rsidRPr="001B2C50" w:rsidRDefault="00302E31" w:rsidP="00302E31">
            <w:pPr>
              <w:pStyle w:val="Bodytext"/>
              <w:jc w:val="right"/>
              <w:rPr>
                <w:b/>
              </w:rPr>
            </w:pPr>
          </w:p>
        </w:tc>
        <w:tc>
          <w:tcPr>
            <w:tcW w:w="807" w:type="pct"/>
          </w:tcPr>
          <w:p w14:paraId="61A093AC" w14:textId="5400B0D2" w:rsidR="00302E31" w:rsidRPr="00AD7CED" w:rsidRDefault="00302E31" w:rsidP="00302E31">
            <w:pPr>
              <w:pStyle w:val="Bodytext"/>
              <w:jc w:val="right"/>
              <w:rPr>
                <w:sz w:val="22"/>
              </w:rPr>
            </w:pPr>
          </w:p>
        </w:tc>
        <w:tc>
          <w:tcPr>
            <w:tcW w:w="805" w:type="pct"/>
            <w:vAlign w:val="center"/>
          </w:tcPr>
          <w:p w14:paraId="2716EE6A" w14:textId="43341EBD" w:rsidR="00302E31" w:rsidRPr="001B2C50" w:rsidRDefault="00302E31" w:rsidP="00302E31">
            <w:pPr>
              <w:pStyle w:val="Bodytext"/>
              <w:jc w:val="right"/>
              <w:rPr>
                <w:b/>
              </w:rPr>
            </w:pPr>
          </w:p>
        </w:tc>
      </w:tr>
      <w:tr w:rsidR="00302E31" w:rsidRPr="00811BA1" w14:paraId="6B143C65" w14:textId="77777777" w:rsidTr="00964765">
        <w:tc>
          <w:tcPr>
            <w:tcW w:w="1775" w:type="pct"/>
            <w:tcBorders>
              <w:bottom w:val="single" w:sz="4" w:space="0" w:color="auto"/>
            </w:tcBorders>
          </w:tcPr>
          <w:p w14:paraId="673DC81E" w14:textId="77777777" w:rsidR="00302E31" w:rsidRPr="00811BA1" w:rsidRDefault="00302E31" w:rsidP="00302E31">
            <w:pPr>
              <w:pStyle w:val="Bodytext"/>
            </w:pPr>
            <w:r w:rsidRPr="00811BA1">
              <w:t>Trade and other payables</w:t>
            </w:r>
          </w:p>
        </w:tc>
        <w:tc>
          <w:tcPr>
            <w:tcW w:w="806" w:type="pct"/>
            <w:tcBorders>
              <w:bottom w:val="single" w:sz="4" w:space="0" w:color="auto"/>
            </w:tcBorders>
            <w:vAlign w:val="center"/>
          </w:tcPr>
          <w:p w14:paraId="48330E73" w14:textId="0D9BD22D" w:rsidR="00302E31" w:rsidRPr="005805C3" w:rsidRDefault="00B229FD" w:rsidP="00302E31">
            <w:pPr>
              <w:pStyle w:val="Bodytext"/>
              <w:jc w:val="right"/>
              <w:rPr>
                <w:b/>
                <w:bCs/>
              </w:rPr>
            </w:pPr>
            <w:r w:rsidRPr="00B229FD">
              <w:rPr>
                <w:b/>
                <w:bCs/>
              </w:rPr>
              <w:t>2</w:t>
            </w:r>
            <w:r w:rsidR="0095106D">
              <w:rPr>
                <w:b/>
                <w:bCs/>
              </w:rPr>
              <w:t>0</w:t>
            </w:r>
            <w:r w:rsidR="00410BA4">
              <w:rPr>
                <w:b/>
                <w:bCs/>
              </w:rPr>
              <w:t>4</w:t>
            </w:r>
          </w:p>
        </w:tc>
        <w:tc>
          <w:tcPr>
            <w:tcW w:w="807" w:type="pct"/>
            <w:tcBorders>
              <w:bottom w:val="single" w:sz="4" w:space="0" w:color="auto"/>
            </w:tcBorders>
            <w:vAlign w:val="center"/>
          </w:tcPr>
          <w:p w14:paraId="69BE2CAA" w14:textId="2DDAD2D4" w:rsidR="00302E31" w:rsidRPr="005805C3" w:rsidRDefault="00B229FD" w:rsidP="00302E31">
            <w:pPr>
              <w:pStyle w:val="Bodytext"/>
              <w:jc w:val="right"/>
              <w:rPr>
                <w:b/>
                <w:bCs/>
              </w:rPr>
            </w:pPr>
            <w:r w:rsidRPr="00B229FD">
              <w:rPr>
                <w:b/>
                <w:bCs/>
              </w:rPr>
              <w:t>1</w:t>
            </w:r>
            <w:r>
              <w:rPr>
                <w:b/>
                <w:bCs/>
              </w:rPr>
              <w:t>,</w:t>
            </w:r>
            <w:r w:rsidR="00410BA4">
              <w:rPr>
                <w:b/>
                <w:bCs/>
              </w:rPr>
              <w:t>630</w:t>
            </w:r>
          </w:p>
        </w:tc>
        <w:tc>
          <w:tcPr>
            <w:tcW w:w="807" w:type="pct"/>
            <w:tcBorders>
              <w:bottom w:val="single" w:sz="4" w:space="0" w:color="auto"/>
            </w:tcBorders>
          </w:tcPr>
          <w:p w14:paraId="17336D88" w14:textId="19F68F1D" w:rsidR="00302E31" w:rsidRPr="00AD7CED" w:rsidRDefault="00302E31" w:rsidP="00302E31">
            <w:pPr>
              <w:pStyle w:val="Bodytext"/>
              <w:jc w:val="right"/>
            </w:pPr>
            <w:r w:rsidRPr="00302E31">
              <w:t>–</w:t>
            </w:r>
          </w:p>
        </w:tc>
        <w:tc>
          <w:tcPr>
            <w:tcW w:w="805" w:type="pct"/>
            <w:tcBorders>
              <w:bottom w:val="single" w:sz="4" w:space="0" w:color="auto"/>
            </w:tcBorders>
            <w:vAlign w:val="center"/>
          </w:tcPr>
          <w:p w14:paraId="3FC45C43" w14:textId="531AC8F9" w:rsidR="00302E31" w:rsidRPr="005805C3" w:rsidRDefault="0095106D" w:rsidP="00410BA4">
            <w:pPr>
              <w:pStyle w:val="Bodytext"/>
              <w:jc w:val="right"/>
              <w:rPr>
                <w:b/>
                <w:bCs/>
              </w:rPr>
            </w:pPr>
            <w:r>
              <w:rPr>
                <w:b/>
                <w:bCs/>
              </w:rPr>
              <w:t>1</w:t>
            </w:r>
            <w:r w:rsidR="00B229FD" w:rsidRPr="00B229FD">
              <w:rPr>
                <w:b/>
                <w:bCs/>
              </w:rPr>
              <w:t>,</w:t>
            </w:r>
            <w:r w:rsidR="00410BA4">
              <w:rPr>
                <w:b/>
                <w:bCs/>
              </w:rPr>
              <w:t>834</w:t>
            </w:r>
          </w:p>
        </w:tc>
      </w:tr>
      <w:tr w:rsidR="00302E31" w:rsidRPr="00811BA1" w14:paraId="77E610FD" w14:textId="77777777" w:rsidTr="00964765">
        <w:tc>
          <w:tcPr>
            <w:tcW w:w="1775" w:type="pct"/>
            <w:tcBorders>
              <w:top w:val="single" w:sz="4" w:space="0" w:color="auto"/>
              <w:bottom w:val="single" w:sz="4" w:space="0" w:color="auto"/>
            </w:tcBorders>
          </w:tcPr>
          <w:p w14:paraId="025DE887" w14:textId="77777777" w:rsidR="00302E31" w:rsidRPr="00811BA1" w:rsidRDefault="00302E31" w:rsidP="00302E31">
            <w:pPr>
              <w:pStyle w:val="Bodytext"/>
              <w:rPr>
                <w:b/>
              </w:rPr>
            </w:pPr>
            <w:r w:rsidRPr="00811BA1">
              <w:rPr>
                <w:b/>
              </w:rPr>
              <w:t>Total current liabilities</w:t>
            </w:r>
          </w:p>
        </w:tc>
        <w:tc>
          <w:tcPr>
            <w:tcW w:w="806" w:type="pct"/>
            <w:tcBorders>
              <w:top w:val="single" w:sz="4" w:space="0" w:color="auto"/>
              <w:bottom w:val="single" w:sz="4" w:space="0" w:color="auto"/>
            </w:tcBorders>
            <w:vAlign w:val="center"/>
          </w:tcPr>
          <w:p w14:paraId="67AE4401" w14:textId="459CECF8" w:rsidR="00302E31" w:rsidRPr="005805C3" w:rsidRDefault="0095106D" w:rsidP="00302E31">
            <w:pPr>
              <w:pStyle w:val="Bodytext"/>
              <w:jc w:val="right"/>
              <w:rPr>
                <w:b/>
                <w:bCs/>
              </w:rPr>
            </w:pPr>
            <w:r>
              <w:rPr>
                <w:b/>
                <w:bCs/>
              </w:rPr>
              <w:t>20</w:t>
            </w:r>
            <w:r w:rsidR="00410BA4">
              <w:rPr>
                <w:b/>
                <w:bCs/>
              </w:rPr>
              <w:t>4</w:t>
            </w:r>
          </w:p>
        </w:tc>
        <w:tc>
          <w:tcPr>
            <w:tcW w:w="807" w:type="pct"/>
            <w:tcBorders>
              <w:top w:val="single" w:sz="4" w:space="0" w:color="auto"/>
              <w:bottom w:val="single" w:sz="4" w:space="0" w:color="auto"/>
            </w:tcBorders>
            <w:vAlign w:val="center"/>
          </w:tcPr>
          <w:p w14:paraId="2373C6B7" w14:textId="303BD13E" w:rsidR="00302E31" w:rsidRPr="005805C3" w:rsidRDefault="00B229FD" w:rsidP="00302E31">
            <w:pPr>
              <w:pStyle w:val="Bodytext"/>
              <w:jc w:val="right"/>
              <w:rPr>
                <w:b/>
                <w:bCs/>
              </w:rPr>
            </w:pPr>
            <w:r w:rsidRPr="00B229FD">
              <w:rPr>
                <w:b/>
                <w:bCs/>
              </w:rPr>
              <w:t>1</w:t>
            </w:r>
            <w:r>
              <w:rPr>
                <w:b/>
                <w:bCs/>
              </w:rPr>
              <w:t>,</w:t>
            </w:r>
            <w:r w:rsidR="00410BA4">
              <w:rPr>
                <w:b/>
                <w:bCs/>
              </w:rPr>
              <w:t>630</w:t>
            </w:r>
          </w:p>
        </w:tc>
        <w:tc>
          <w:tcPr>
            <w:tcW w:w="807" w:type="pct"/>
            <w:tcBorders>
              <w:top w:val="single" w:sz="4" w:space="0" w:color="auto"/>
              <w:bottom w:val="single" w:sz="4" w:space="0" w:color="auto"/>
            </w:tcBorders>
          </w:tcPr>
          <w:p w14:paraId="60F9094A" w14:textId="22DD0DA0" w:rsidR="00302E31" w:rsidRPr="00AD7CED" w:rsidRDefault="00302E31" w:rsidP="00302E31">
            <w:pPr>
              <w:pStyle w:val="Bodytext"/>
              <w:jc w:val="right"/>
            </w:pPr>
            <w:r w:rsidRPr="00302E31">
              <w:t>–</w:t>
            </w:r>
          </w:p>
        </w:tc>
        <w:tc>
          <w:tcPr>
            <w:tcW w:w="805" w:type="pct"/>
            <w:tcBorders>
              <w:top w:val="single" w:sz="4" w:space="0" w:color="auto"/>
              <w:bottom w:val="single" w:sz="4" w:space="0" w:color="auto"/>
            </w:tcBorders>
            <w:vAlign w:val="center"/>
          </w:tcPr>
          <w:p w14:paraId="2B9B17A0" w14:textId="5524121C" w:rsidR="00302E31" w:rsidRPr="005805C3" w:rsidRDefault="00410BA4" w:rsidP="00302E31">
            <w:pPr>
              <w:pStyle w:val="Bodytext"/>
              <w:jc w:val="right"/>
              <w:rPr>
                <w:b/>
                <w:bCs/>
              </w:rPr>
            </w:pPr>
            <w:r>
              <w:rPr>
                <w:b/>
                <w:bCs/>
              </w:rPr>
              <w:t>1</w:t>
            </w:r>
            <w:r w:rsidRPr="00B229FD">
              <w:rPr>
                <w:b/>
                <w:bCs/>
              </w:rPr>
              <w:t>,</w:t>
            </w:r>
            <w:r>
              <w:rPr>
                <w:b/>
                <w:bCs/>
              </w:rPr>
              <w:t>834</w:t>
            </w:r>
          </w:p>
        </w:tc>
      </w:tr>
      <w:tr w:rsidR="00302E31" w:rsidRPr="00811BA1" w14:paraId="71AAA93E" w14:textId="77777777" w:rsidTr="00964765">
        <w:trPr>
          <w:trHeight w:val="58"/>
        </w:trPr>
        <w:tc>
          <w:tcPr>
            <w:tcW w:w="1775" w:type="pct"/>
            <w:tcBorders>
              <w:top w:val="single" w:sz="4" w:space="0" w:color="auto"/>
            </w:tcBorders>
          </w:tcPr>
          <w:p w14:paraId="5026BF22" w14:textId="77777777" w:rsidR="00302E31" w:rsidRPr="00811BA1" w:rsidRDefault="00302E31" w:rsidP="00302E31">
            <w:pPr>
              <w:pStyle w:val="Bodytext"/>
              <w:rPr>
                <w:b/>
              </w:rPr>
            </w:pPr>
          </w:p>
        </w:tc>
        <w:tc>
          <w:tcPr>
            <w:tcW w:w="806" w:type="pct"/>
            <w:tcBorders>
              <w:top w:val="single" w:sz="4" w:space="0" w:color="auto"/>
            </w:tcBorders>
            <w:vAlign w:val="center"/>
          </w:tcPr>
          <w:p w14:paraId="797F53B0" w14:textId="6B115427" w:rsidR="00302E31" w:rsidRPr="00081323" w:rsidRDefault="00302E31" w:rsidP="00302E31">
            <w:pPr>
              <w:pStyle w:val="Bodytext"/>
              <w:jc w:val="right"/>
              <w:rPr>
                <w:b/>
              </w:rPr>
            </w:pPr>
          </w:p>
        </w:tc>
        <w:tc>
          <w:tcPr>
            <w:tcW w:w="807" w:type="pct"/>
            <w:tcBorders>
              <w:top w:val="single" w:sz="4" w:space="0" w:color="auto"/>
            </w:tcBorders>
            <w:vAlign w:val="center"/>
          </w:tcPr>
          <w:p w14:paraId="24BA8D10" w14:textId="64A00CA0" w:rsidR="00302E31" w:rsidRPr="00081323" w:rsidRDefault="00302E31" w:rsidP="00302E31">
            <w:pPr>
              <w:pStyle w:val="Bodytext"/>
              <w:jc w:val="right"/>
              <w:rPr>
                <w:b/>
              </w:rPr>
            </w:pPr>
          </w:p>
        </w:tc>
        <w:tc>
          <w:tcPr>
            <w:tcW w:w="807" w:type="pct"/>
            <w:tcBorders>
              <w:top w:val="single" w:sz="4" w:space="0" w:color="auto"/>
            </w:tcBorders>
          </w:tcPr>
          <w:p w14:paraId="390EF034" w14:textId="01859B9C" w:rsidR="00302E31" w:rsidRPr="00AD7CED" w:rsidRDefault="00302E31" w:rsidP="00302E31">
            <w:pPr>
              <w:pStyle w:val="Bodytext"/>
              <w:jc w:val="right"/>
              <w:rPr>
                <w:sz w:val="22"/>
              </w:rPr>
            </w:pPr>
          </w:p>
        </w:tc>
        <w:tc>
          <w:tcPr>
            <w:tcW w:w="805" w:type="pct"/>
            <w:tcBorders>
              <w:top w:val="single" w:sz="4" w:space="0" w:color="auto"/>
            </w:tcBorders>
            <w:vAlign w:val="center"/>
          </w:tcPr>
          <w:p w14:paraId="23C257AF" w14:textId="1B5D4801" w:rsidR="00302E31" w:rsidRPr="001B2C50" w:rsidRDefault="00302E31" w:rsidP="00302E31">
            <w:pPr>
              <w:pStyle w:val="Bodytext"/>
              <w:jc w:val="right"/>
              <w:rPr>
                <w:b/>
              </w:rPr>
            </w:pPr>
          </w:p>
        </w:tc>
      </w:tr>
      <w:tr w:rsidR="00302E31" w:rsidRPr="00811BA1" w14:paraId="663D8CCB" w14:textId="77777777" w:rsidTr="00964765">
        <w:tc>
          <w:tcPr>
            <w:tcW w:w="1775" w:type="pct"/>
            <w:tcBorders>
              <w:bottom w:val="single" w:sz="18" w:space="0" w:color="auto"/>
            </w:tcBorders>
          </w:tcPr>
          <w:p w14:paraId="3B2B931B" w14:textId="77777777" w:rsidR="00302E31" w:rsidRPr="00811BA1" w:rsidRDefault="00302E31" w:rsidP="00302E31">
            <w:pPr>
              <w:pStyle w:val="Bodytext"/>
              <w:rPr>
                <w:b/>
              </w:rPr>
            </w:pPr>
            <w:r w:rsidRPr="00811BA1">
              <w:rPr>
                <w:b/>
              </w:rPr>
              <w:t>Total net assets</w:t>
            </w:r>
          </w:p>
        </w:tc>
        <w:tc>
          <w:tcPr>
            <w:tcW w:w="806" w:type="pct"/>
            <w:tcBorders>
              <w:bottom w:val="single" w:sz="18" w:space="0" w:color="auto"/>
            </w:tcBorders>
            <w:vAlign w:val="center"/>
          </w:tcPr>
          <w:p w14:paraId="11B735B9" w14:textId="63D7970F" w:rsidR="00302E31" w:rsidRPr="005805C3" w:rsidRDefault="00B229FD" w:rsidP="00302E31">
            <w:pPr>
              <w:pStyle w:val="Bodytext"/>
              <w:jc w:val="right"/>
              <w:rPr>
                <w:b/>
                <w:bCs/>
              </w:rPr>
            </w:pPr>
            <w:r w:rsidRPr="00B229FD">
              <w:rPr>
                <w:b/>
                <w:bCs/>
              </w:rPr>
              <w:t>77</w:t>
            </w:r>
            <w:r w:rsidR="0095106D">
              <w:rPr>
                <w:b/>
                <w:bCs/>
              </w:rPr>
              <w:t>3</w:t>
            </w:r>
            <w:r w:rsidRPr="00B229FD">
              <w:rPr>
                <w:b/>
                <w:bCs/>
              </w:rPr>
              <w:t>,32</w:t>
            </w:r>
            <w:r w:rsidR="00410BA4">
              <w:rPr>
                <w:b/>
                <w:bCs/>
              </w:rPr>
              <w:t>1</w:t>
            </w:r>
          </w:p>
        </w:tc>
        <w:tc>
          <w:tcPr>
            <w:tcW w:w="807" w:type="pct"/>
            <w:tcBorders>
              <w:bottom w:val="single" w:sz="18" w:space="0" w:color="auto"/>
            </w:tcBorders>
            <w:vAlign w:val="bottom"/>
          </w:tcPr>
          <w:p w14:paraId="3C94B58D" w14:textId="60CB00F3" w:rsidR="00302E31" w:rsidRPr="005805C3" w:rsidRDefault="00B229FD" w:rsidP="00302E31">
            <w:pPr>
              <w:pStyle w:val="Bodytext"/>
              <w:jc w:val="right"/>
              <w:rPr>
                <w:b/>
                <w:bCs/>
              </w:rPr>
            </w:pPr>
            <w:r w:rsidRPr="00B229FD">
              <w:rPr>
                <w:b/>
                <w:bCs/>
              </w:rPr>
              <w:t>(1,</w:t>
            </w:r>
            <w:r w:rsidR="00410BA4">
              <w:rPr>
                <w:b/>
                <w:bCs/>
              </w:rPr>
              <w:t>629</w:t>
            </w:r>
            <w:r w:rsidRPr="00B229FD">
              <w:rPr>
                <w:b/>
                <w:bCs/>
              </w:rPr>
              <w:t>)</w:t>
            </w:r>
          </w:p>
        </w:tc>
        <w:tc>
          <w:tcPr>
            <w:tcW w:w="807" w:type="pct"/>
            <w:tcBorders>
              <w:bottom w:val="single" w:sz="18" w:space="0" w:color="auto"/>
            </w:tcBorders>
          </w:tcPr>
          <w:p w14:paraId="65EADB9A" w14:textId="51AF763F" w:rsidR="00302E31" w:rsidRPr="00AD7CED" w:rsidRDefault="00302E31" w:rsidP="00302E31">
            <w:pPr>
              <w:pStyle w:val="Bodytext"/>
              <w:jc w:val="right"/>
            </w:pPr>
            <w:r w:rsidRPr="00302E31">
              <w:t>–</w:t>
            </w:r>
          </w:p>
        </w:tc>
        <w:tc>
          <w:tcPr>
            <w:tcW w:w="805" w:type="pct"/>
            <w:tcBorders>
              <w:bottom w:val="single" w:sz="18" w:space="0" w:color="auto"/>
            </w:tcBorders>
            <w:vAlign w:val="center"/>
          </w:tcPr>
          <w:p w14:paraId="3005B6AB" w14:textId="2D3AE480" w:rsidR="00302E31" w:rsidRPr="005805C3" w:rsidRDefault="0095106D" w:rsidP="00410BA4">
            <w:pPr>
              <w:pStyle w:val="Bodytext"/>
              <w:jc w:val="right"/>
              <w:rPr>
                <w:b/>
                <w:bCs/>
              </w:rPr>
            </w:pPr>
            <w:r w:rsidRPr="00B229FD">
              <w:rPr>
                <w:b/>
                <w:bCs/>
              </w:rPr>
              <w:t>7</w:t>
            </w:r>
            <w:r>
              <w:rPr>
                <w:b/>
                <w:bCs/>
              </w:rPr>
              <w:t>71</w:t>
            </w:r>
            <w:r w:rsidR="00B229FD" w:rsidRPr="00B229FD">
              <w:rPr>
                <w:b/>
                <w:bCs/>
              </w:rPr>
              <w:t>,</w:t>
            </w:r>
            <w:r w:rsidR="00410BA4">
              <w:rPr>
                <w:b/>
                <w:bCs/>
              </w:rPr>
              <w:t>692</w:t>
            </w:r>
          </w:p>
        </w:tc>
      </w:tr>
    </w:tbl>
    <w:p w14:paraId="072E2B72" w14:textId="77777777" w:rsidR="00E51118" w:rsidRDefault="00E51118" w:rsidP="00EB7E49">
      <w:pPr>
        <w:pStyle w:val="Bodytext"/>
        <w:ind w:left="907"/>
      </w:pPr>
    </w:p>
    <w:tbl>
      <w:tblPr>
        <w:tblStyle w:val="TableGrid"/>
        <w:tblW w:w="4462" w:type="pct"/>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052"/>
        <w:gridCol w:w="1386"/>
        <w:gridCol w:w="1387"/>
        <w:gridCol w:w="1387"/>
        <w:gridCol w:w="1384"/>
      </w:tblGrid>
      <w:tr w:rsidR="004D1B6D" w:rsidRPr="00811BA1" w14:paraId="0103AC42" w14:textId="77777777" w:rsidTr="004D1B6D">
        <w:tc>
          <w:tcPr>
            <w:tcW w:w="1775" w:type="pct"/>
          </w:tcPr>
          <w:p w14:paraId="067FF006" w14:textId="43A7FA7C" w:rsidR="004D1B6D" w:rsidRPr="004D1B6D" w:rsidRDefault="004D1B6D" w:rsidP="004D1B6D">
            <w:pPr>
              <w:pStyle w:val="Bodytext"/>
            </w:pPr>
            <w:r w:rsidRPr="004D1B6D">
              <w:t xml:space="preserve">As at </w:t>
            </w:r>
            <w:r w:rsidR="00610498">
              <w:t>31 December 201</w:t>
            </w:r>
            <w:r w:rsidR="00D6375E">
              <w:t>8</w:t>
            </w:r>
          </w:p>
        </w:tc>
        <w:tc>
          <w:tcPr>
            <w:tcW w:w="806" w:type="pct"/>
            <w:vMerge w:val="restart"/>
            <w:vAlign w:val="bottom"/>
          </w:tcPr>
          <w:p w14:paraId="7527D26B" w14:textId="77777777" w:rsidR="004D1B6D" w:rsidRPr="004D1B6D" w:rsidRDefault="004D1B6D" w:rsidP="00CC5480">
            <w:pPr>
              <w:pStyle w:val="Bodytext"/>
              <w:jc w:val="right"/>
            </w:pPr>
            <w:r w:rsidRPr="004D1B6D">
              <w:t>$</w:t>
            </w:r>
          </w:p>
          <w:p w14:paraId="13C05493" w14:textId="77777777" w:rsidR="004D1B6D" w:rsidRPr="004D1B6D" w:rsidRDefault="004D1B6D" w:rsidP="00CC5480">
            <w:pPr>
              <w:pStyle w:val="Bodytext"/>
              <w:jc w:val="right"/>
            </w:pPr>
            <w:r w:rsidRPr="004D1B6D">
              <w:t>$’000</w:t>
            </w:r>
          </w:p>
        </w:tc>
        <w:tc>
          <w:tcPr>
            <w:tcW w:w="807" w:type="pct"/>
            <w:vMerge w:val="restart"/>
            <w:vAlign w:val="bottom"/>
          </w:tcPr>
          <w:p w14:paraId="54794F10" w14:textId="77777777" w:rsidR="004D1B6D" w:rsidRPr="004D1B6D" w:rsidRDefault="004D1B6D" w:rsidP="00CC5480">
            <w:pPr>
              <w:pStyle w:val="Bodytext"/>
              <w:jc w:val="right"/>
            </w:pPr>
            <w:r w:rsidRPr="004D1B6D">
              <w:t>£</w:t>
            </w:r>
          </w:p>
          <w:p w14:paraId="4CDAF37A" w14:textId="77777777" w:rsidR="004D1B6D" w:rsidRPr="004D1B6D" w:rsidRDefault="004D1B6D" w:rsidP="00CC5480">
            <w:pPr>
              <w:pStyle w:val="Bodytext"/>
              <w:jc w:val="right"/>
            </w:pPr>
            <w:r w:rsidRPr="004D1B6D">
              <w:t>$’000</w:t>
            </w:r>
          </w:p>
        </w:tc>
        <w:tc>
          <w:tcPr>
            <w:tcW w:w="807" w:type="pct"/>
            <w:vMerge w:val="restart"/>
          </w:tcPr>
          <w:p w14:paraId="06BB60EC" w14:textId="77777777" w:rsidR="004D1B6D" w:rsidRPr="004D1B6D" w:rsidRDefault="004D1B6D" w:rsidP="00CC5480">
            <w:pPr>
              <w:pStyle w:val="Bodytext"/>
              <w:jc w:val="right"/>
            </w:pPr>
          </w:p>
          <w:p w14:paraId="5D81E9CA" w14:textId="77777777" w:rsidR="004D1B6D" w:rsidRPr="004D1B6D" w:rsidRDefault="004D1B6D" w:rsidP="00CC5480">
            <w:pPr>
              <w:pStyle w:val="Bodytext"/>
              <w:jc w:val="right"/>
            </w:pPr>
            <w:r w:rsidRPr="004D1B6D">
              <w:t>€</w:t>
            </w:r>
          </w:p>
          <w:p w14:paraId="5BF2E317" w14:textId="77777777" w:rsidR="004D1B6D" w:rsidRPr="004D1B6D" w:rsidRDefault="004D1B6D" w:rsidP="00CC5480">
            <w:pPr>
              <w:pStyle w:val="Bodytext"/>
              <w:jc w:val="right"/>
            </w:pPr>
            <w:r w:rsidRPr="004D1B6D">
              <w:t>$’000</w:t>
            </w:r>
          </w:p>
        </w:tc>
        <w:tc>
          <w:tcPr>
            <w:tcW w:w="805" w:type="pct"/>
            <w:vMerge w:val="restart"/>
            <w:vAlign w:val="bottom"/>
          </w:tcPr>
          <w:p w14:paraId="0FFEDB1A" w14:textId="77777777" w:rsidR="004D1B6D" w:rsidRPr="004D1B6D" w:rsidRDefault="004D1B6D" w:rsidP="00CC5480">
            <w:pPr>
              <w:pStyle w:val="Bodytext"/>
              <w:jc w:val="right"/>
            </w:pPr>
            <w:r w:rsidRPr="004D1B6D">
              <w:t>Total</w:t>
            </w:r>
          </w:p>
          <w:p w14:paraId="3F281D95" w14:textId="77777777" w:rsidR="004D1B6D" w:rsidRPr="004D1B6D" w:rsidRDefault="004D1B6D" w:rsidP="00CC5480">
            <w:pPr>
              <w:pStyle w:val="Bodytext"/>
              <w:jc w:val="right"/>
            </w:pPr>
            <w:r w:rsidRPr="004D1B6D">
              <w:t>$’000</w:t>
            </w:r>
          </w:p>
        </w:tc>
      </w:tr>
      <w:tr w:rsidR="004D1B6D" w:rsidRPr="00811BA1" w14:paraId="725D976F" w14:textId="77777777" w:rsidTr="004D1B6D">
        <w:trPr>
          <w:trHeight w:val="463"/>
        </w:trPr>
        <w:tc>
          <w:tcPr>
            <w:tcW w:w="1775" w:type="pct"/>
            <w:tcBorders>
              <w:bottom w:val="single" w:sz="4" w:space="0" w:color="auto"/>
            </w:tcBorders>
            <w:vAlign w:val="bottom"/>
          </w:tcPr>
          <w:p w14:paraId="04F40C43" w14:textId="77777777" w:rsidR="004D1B6D" w:rsidRPr="004D1B6D" w:rsidRDefault="004D1B6D" w:rsidP="00CC5480">
            <w:pPr>
              <w:pStyle w:val="Bodytext"/>
            </w:pPr>
            <w:r w:rsidRPr="004D1B6D">
              <w:t>Assets</w:t>
            </w:r>
          </w:p>
        </w:tc>
        <w:tc>
          <w:tcPr>
            <w:tcW w:w="806" w:type="pct"/>
            <w:vMerge/>
            <w:tcBorders>
              <w:bottom w:val="single" w:sz="4" w:space="0" w:color="auto"/>
            </w:tcBorders>
            <w:vAlign w:val="bottom"/>
          </w:tcPr>
          <w:p w14:paraId="2187273B" w14:textId="77777777" w:rsidR="004D1B6D" w:rsidRPr="004D1B6D" w:rsidRDefault="004D1B6D" w:rsidP="00CC5480">
            <w:pPr>
              <w:pStyle w:val="Bodytext"/>
              <w:jc w:val="right"/>
            </w:pPr>
          </w:p>
        </w:tc>
        <w:tc>
          <w:tcPr>
            <w:tcW w:w="807" w:type="pct"/>
            <w:vMerge/>
            <w:tcBorders>
              <w:bottom w:val="single" w:sz="4" w:space="0" w:color="auto"/>
            </w:tcBorders>
            <w:vAlign w:val="bottom"/>
          </w:tcPr>
          <w:p w14:paraId="58F8CCF3" w14:textId="77777777" w:rsidR="004D1B6D" w:rsidRPr="004D1B6D" w:rsidRDefault="004D1B6D" w:rsidP="00CC5480">
            <w:pPr>
              <w:pStyle w:val="Bodytext"/>
              <w:jc w:val="right"/>
            </w:pPr>
          </w:p>
        </w:tc>
        <w:tc>
          <w:tcPr>
            <w:tcW w:w="807" w:type="pct"/>
            <w:vMerge/>
            <w:tcBorders>
              <w:bottom w:val="single" w:sz="4" w:space="0" w:color="auto"/>
            </w:tcBorders>
          </w:tcPr>
          <w:p w14:paraId="5BDB658C" w14:textId="77777777" w:rsidR="004D1B6D" w:rsidRPr="004D1B6D" w:rsidRDefault="004D1B6D" w:rsidP="00CC5480">
            <w:pPr>
              <w:pStyle w:val="Bodytext"/>
              <w:jc w:val="right"/>
            </w:pPr>
          </w:p>
        </w:tc>
        <w:tc>
          <w:tcPr>
            <w:tcW w:w="805" w:type="pct"/>
            <w:vMerge/>
            <w:tcBorders>
              <w:bottom w:val="single" w:sz="4" w:space="0" w:color="auto"/>
            </w:tcBorders>
            <w:vAlign w:val="bottom"/>
          </w:tcPr>
          <w:p w14:paraId="0AD3973C" w14:textId="77777777" w:rsidR="004D1B6D" w:rsidRPr="004D1B6D" w:rsidRDefault="004D1B6D" w:rsidP="00CC5480">
            <w:pPr>
              <w:pStyle w:val="Bodytext"/>
              <w:jc w:val="right"/>
            </w:pPr>
          </w:p>
        </w:tc>
      </w:tr>
      <w:tr w:rsidR="004D1B6D" w:rsidRPr="00811BA1" w14:paraId="2B042956" w14:textId="77777777" w:rsidTr="004D1B6D">
        <w:tc>
          <w:tcPr>
            <w:tcW w:w="1775" w:type="pct"/>
            <w:tcBorders>
              <w:top w:val="single" w:sz="4" w:space="0" w:color="auto"/>
            </w:tcBorders>
          </w:tcPr>
          <w:p w14:paraId="0B8777D6" w14:textId="77777777" w:rsidR="004D1B6D" w:rsidRPr="004D1B6D" w:rsidRDefault="004D1B6D" w:rsidP="00CC5480">
            <w:pPr>
              <w:pStyle w:val="Bodytext"/>
            </w:pPr>
            <w:r w:rsidRPr="004D1B6D">
              <w:t>Non-current assets</w:t>
            </w:r>
          </w:p>
        </w:tc>
        <w:tc>
          <w:tcPr>
            <w:tcW w:w="806" w:type="pct"/>
            <w:tcBorders>
              <w:top w:val="single" w:sz="4" w:space="0" w:color="auto"/>
            </w:tcBorders>
            <w:vAlign w:val="center"/>
          </w:tcPr>
          <w:p w14:paraId="670CFF9E" w14:textId="77777777" w:rsidR="004D1B6D" w:rsidRPr="00D6375E" w:rsidRDefault="004D1B6D" w:rsidP="00CC5480">
            <w:pPr>
              <w:pStyle w:val="Bodytext"/>
              <w:jc w:val="right"/>
            </w:pPr>
          </w:p>
        </w:tc>
        <w:tc>
          <w:tcPr>
            <w:tcW w:w="807" w:type="pct"/>
            <w:tcBorders>
              <w:top w:val="single" w:sz="4" w:space="0" w:color="auto"/>
            </w:tcBorders>
            <w:vAlign w:val="center"/>
          </w:tcPr>
          <w:p w14:paraId="78B7370C" w14:textId="77777777" w:rsidR="004D1B6D" w:rsidRPr="00D6375E" w:rsidRDefault="004D1B6D" w:rsidP="00CC5480">
            <w:pPr>
              <w:pStyle w:val="Bodytext"/>
              <w:jc w:val="right"/>
            </w:pPr>
          </w:p>
        </w:tc>
        <w:tc>
          <w:tcPr>
            <w:tcW w:w="807" w:type="pct"/>
            <w:tcBorders>
              <w:top w:val="single" w:sz="4" w:space="0" w:color="auto"/>
            </w:tcBorders>
          </w:tcPr>
          <w:p w14:paraId="27C7C1B8" w14:textId="77777777" w:rsidR="004D1B6D" w:rsidRPr="00D6375E" w:rsidRDefault="004D1B6D" w:rsidP="00CC5480">
            <w:pPr>
              <w:pStyle w:val="Bodytext"/>
              <w:jc w:val="right"/>
            </w:pPr>
          </w:p>
        </w:tc>
        <w:tc>
          <w:tcPr>
            <w:tcW w:w="805" w:type="pct"/>
            <w:tcBorders>
              <w:top w:val="single" w:sz="4" w:space="0" w:color="auto"/>
            </w:tcBorders>
            <w:vAlign w:val="center"/>
          </w:tcPr>
          <w:p w14:paraId="355F7B26" w14:textId="77777777" w:rsidR="004D1B6D" w:rsidRPr="00D6375E" w:rsidRDefault="004D1B6D" w:rsidP="00CC5480">
            <w:pPr>
              <w:pStyle w:val="Bodytext"/>
              <w:jc w:val="right"/>
            </w:pPr>
          </w:p>
        </w:tc>
      </w:tr>
      <w:tr w:rsidR="00D6375E" w:rsidRPr="00811BA1" w14:paraId="32E26EAE" w14:textId="77777777" w:rsidTr="007502A7">
        <w:tc>
          <w:tcPr>
            <w:tcW w:w="1775" w:type="pct"/>
            <w:tcBorders>
              <w:bottom w:val="single" w:sz="4" w:space="0" w:color="auto"/>
            </w:tcBorders>
          </w:tcPr>
          <w:p w14:paraId="59B29B7C" w14:textId="77777777" w:rsidR="00D6375E" w:rsidRPr="004D1B6D" w:rsidRDefault="00D6375E" w:rsidP="00D6375E">
            <w:pPr>
              <w:pStyle w:val="Bodytext"/>
            </w:pPr>
            <w:r w:rsidRPr="004D1B6D">
              <w:t>Investment in the Partnership</w:t>
            </w:r>
            <w:r w:rsidRPr="004D1B6D">
              <w:rPr>
                <w:vertAlign w:val="superscript"/>
              </w:rPr>
              <w:t>(1)</w:t>
            </w:r>
          </w:p>
        </w:tc>
        <w:tc>
          <w:tcPr>
            <w:tcW w:w="806" w:type="pct"/>
            <w:tcBorders>
              <w:bottom w:val="single" w:sz="4" w:space="0" w:color="auto"/>
            </w:tcBorders>
            <w:vAlign w:val="center"/>
          </w:tcPr>
          <w:p w14:paraId="3403DCAF" w14:textId="1E41507A" w:rsidR="00D6375E" w:rsidRPr="00D6375E" w:rsidRDefault="00D6375E" w:rsidP="00D6375E">
            <w:pPr>
              <w:pStyle w:val="Bodytext"/>
              <w:jc w:val="right"/>
              <w:rPr>
                <w:bCs/>
              </w:rPr>
            </w:pPr>
            <w:r w:rsidRPr="00D6375E">
              <w:rPr>
                <w:bCs/>
              </w:rPr>
              <w:t>1,428,985</w:t>
            </w:r>
          </w:p>
        </w:tc>
        <w:tc>
          <w:tcPr>
            <w:tcW w:w="807" w:type="pct"/>
            <w:tcBorders>
              <w:bottom w:val="single" w:sz="4" w:space="0" w:color="auto"/>
            </w:tcBorders>
          </w:tcPr>
          <w:p w14:paraId="1335E9FD" w14:textId="4AB9123D" w:rsidR="00D6375E" w:rsidRPr="00D6375E" w:rsidRDefault="00D6375E" w:rsidP="00D6375E">
            <w:pPr>
              <w:pStyle w:val="Bodytext"/>
              <w:jc w:val="right"/>
              <w:rPr>
                <w:bCs/>
              </w:rPr>
            </w:pPr>
            <w:r w:rsidRPr="00D6375E">
              <w:t>–</w:t>
            </w:r>
          </w:p>
        </w:tc>
        <w:tc>
          <w:tcPr>
            <w:tcW w:w="807" w:type="pct"/>
            <w:tcBorders>
              <w:bottom w:val="single" w:sz="4" w:space="0" w:color="auto"/>
            </w:tcBorders>
          </w:tcPr>
          <w:p w14:paraId="165E3C2B" w14:textId="38FD97A9" w:rsidR="00D6375E" w:rsidRPr="00D6375E" w:rsidRDefault="00D6375E" w:rsidP="00D6375E">
            <w:pPr>
              <w:pStyle w:val="Bodytext"/>
              <w:jc w:val="right"/>
              <w:rPr>
                <w:bCs/>
              </w:rPr>
            </w:pPr>
            <w:r w:rsidRPr="00D6375E">
              <w:t>–</w:t>
            </w:r>
          </w:p>
        </w:tc>
        <w:tc>
          <w:tcPr>
            <w:tcW w:w="805" w:type="pct"/>
            <w:tcBorders>
              <w:bottom w:val="single" w:sz="4" w:space="0" w:color="auto"/>
            </w:tcBorders>
            <w:vAlign w:val="center"/>
          </w:tcPr>
          <w:p w14:paraId="38370C5F" w14:textId="73AFFEA4" w:rsidR="00D6375E" w:rsidRPr="00D6375E" w:rsidRDefault="00D6375E" w:rsidP="00D6375E">
            <w:pPr>
              <w:pStyle w:val="Bodytext"/>
              <w:jc w:val="right"/>
              <w:rPr>
                <w:bCs/>
              </w:rPr>
            </w:pPr>
            <w:r w:rsidRPr="00D6375E">
              <w:rPr>
                <w:bCs/>
              </w:rPr>
              <w:t>1,428,985</w:t>
            </w:r>
          </w:p>
        </w:tc>
      </w:tr>
      <w:tr w:rsidR="00D6375E" w:rsidRPr="00811BA1" w14:paraId="20E8F55C" w14:textId="77777777" w:rsidTr="007502A7">
        <w:tc>
          <w:tcPr>
            <w:tcW w:w="1775" w:type="pct"/>
            <w:tcBorders>
              <w:top w:val="single" w:sz="4" w:space="0" w:color="auto"/>
              <w:bottom w:val="single" w:sz="4" w:space="0" w:color="auto"/>
            </w:tcBorders>
          </w:tcPr>
          <w:p w14:paraId="33BCDEB5" w14:textId="77777777" w:rsidR="00D6375E" w:rsidRPr="004D1B6D" w:rsidRDefault="00D6375E" w:rsidP="00D6375E">
            <w:pPr>
              <w:pStyle w:val="Bodytext"/>
            </w:pPr>
            <w:r w:rsidRPr="004D1B6D">
              <w:t>Total non-current assets</w:t>
            </w:r>
          </w:p>
        </w:tc>
        <w:tc>
          <w:tcPr>
            <w:tcW w:w="806" w:type="pct"/>
            <w:tcBorders>
              <w:top w:val="single" w:sz="4" w:space="0" w:color="auto"/>
              <w:bottom w:val="single" w:sz="4" w:space="0" w:color="auto"/>
            </w:tcBorders>
            <w:vAlign w:val="center"/>
          </w:tcPr>
          <w:p w14:paraId="6FB882E5" w14:textId="41C8C806" w:rsidR="00D6375E" w:rsidRPr="00D6375E" w:rsidRDefault="00D6375E" w:rsidP="00D6375E">
            <w:pPr>
              <w:pStyle w:val="Bodytext"/>
              <w:jc w:val="right"/>
              <w:rPr>
                <w:bCs/>
              </w:rPr>
            </w:pPr>
            <w:r w:rsidRPr="00D6375E">
              <w:rPr>
                <w:bCs/>
              </w:rPr>
              <w:t>1,428,985</w:t>
            </w:r>
          </w:p>
        </w:tc>
        <w:tc>
          <w:tcPr>
            <w:tcW w:w="807" w:type="pct"/>
            <w:tcBorders>
              <w:top w:val="single" w:sz="4" w:space="0" w:color="auto"/>
              <w:bottom w:val="single" w:sz="4" w:space="0" w:color="auto"/>
            </w:tcBorders>
          </w:tcPr>
          <w:p w14:paraId="14826D6D" w14:textId="4EAE5E21" w:rsidR="00D6375E" w:rsidRPr="00D6375E" w:rsidRDefault="00D6375E" w:rsidP="00D6375E">
            <w:pPr>
              <w:pStyle w:val="Bodytext"/>
              <w:jc w:val="right"/>
              <w:rPr>
                <w:bCs/>
              </w:rPr>
            </w:pPr>
            <w:r w:rsidRPr="00D6375E">
              <w:t>–</w:t>
            </w:r>
          </w:p>
        </w:tc>
        <w:tc>
          <w:tcPr>
            <w:tcW w:w="807" w:type="pct"/>
            <w:tcBorders>
              <w:top w:val="single" w:sz="4" w:space="0" w:color="auto"/>
              <w:bottom w:val="single" w:sz="4" w:space="0" w:color="auto"/>
            </w:tcBorders>
          </w:tcPr>
          <w:p w14:paraId="6AACA72B" w14:textId="125DEA90" w:rsidR="00D6375E" w:rsidRPr="00D6375E" w:rsidRDefault="00D6375E" w:rsidP="00D6375E">
            <w:pPr>
              <w:pStyle w:val="Bodytext"/>
              <w:jc w:val="right"/>
              <w:rPr>
                <w:bCs/>
              </w:rPr>
            </w:pPr>
            <w:r w:rsidRPr="00D6375E">
              <w:t>–</w:t>
            </w:r>
          </w:p>
        </w:tc>
        <w:tc>
          <w:tcPr>
            <w:tcW w:w="805" w:type="pct"/>
            <w:tcBorders>
              <w:top w:val="single" w:sz="4" w:space="0" w:color="auto"/>
              <w:bottom w:val="single" w:sz="4" w:space="0" w:color="auto"/>
            </w:tcBorders>
            <w:vAlign w:val="center"/>
          </w:tcPr>
          <w:p w14:paraId="7C95FBC7" w14:textId="37FC503C" w:rsidR="00D6375E" w:rsidRPr="00D6375E" w:rsidRDefault="00D6375E" w:rsidP="00D6375E">
            <w:pPr>
              <w:pStyle w:val="Bodytext"/>
              <w:jc w:val="right"/>
              <w:rPr>
                <w:bCs/>
              </w:rPr>
            </w:pPr>
            <w:r w:rsidRPr="00D6375E">
              <w:rPr>
                <w:bCs/>
              </w:rPr>
              <w:t>1,428,985</w:t>
            </w:r>
          </w:p>
        </w:tc>
      </w:tr>
      <w:tr w:rsidR="002D2CEC" w:rsidRPr="00811BA1" w14:paraId="177D23D2" w14:textId="77777777" w:rsidTr="002D2CEC">
        <w:tc>
          <w:tcPr>
            <w:tcW w:w="1775" w:type="pct"/>
            <w:tcBorders>
              <w:top w:val="single" w:sz="4" w:space="0" w:color="auto"/>
            </w:tcBorders>
          </w:tcPr>
          <w:p w14:paraId="24198BD6" w14:textId="77777777" w:rsidR="002D2CEC" w:rsidRPr="004D1B6D" w:rsidRDefault="002D2CEC" w:rsidP="002D2CEC">
            <w:pPr>
              <w:pStyle w:val="Bodytext"/>
            </w:pPr>
          </w:p>
        </w:tc>
        <w:tc>
          <w:tcPr>
            <w:tcW w:w="806" w:type="pct"/>
            <w:tcBorders>
              <w:top w:val="single" w:sz="4" w:space="0" w:color="auto"/>
            </w:tcBorders>
          </w:tcPr>
          <w:p w14:paraId="03165A2D" w14:textId="43F8D752" w:rsidR="002D2CEC" w:rsidRPr="00D6375E" w:rsidRDefault="002D2CEC" w:rsidP="002D2CEC">
            <w:pPr>
              <w:pStyle w:val="Bodytext"/>
              <w:jc w:val="right"/>
              <w:rPr>
                <w:bCs/>
              </w:rPr>
            </w:pPr>
            <w:r w:rsidRPr="00D6375E">
              <w:t xml:space="preserve"> </w:t>
            </w:r>
          </w:p>
        </w:tc>
        <w:tc>
          <w:tcPr>
            <w:tcW w:w="807" w:type="pct"/>
            <w:tcBorders>
              <w:top w:val="single" w:sz="4" w:space="0" w:color="auto"/>
            </w:tcBorders>
          </w:tcPr>
          <w:p w14:paraId="0B8E2420" w14:textId="2A0DB543" w:rsidR="002D2CEC" w:rsidRPr="00D6375E" w:rsidRDefault="002D2CEC" w:rsidP="002D2CEC">
            <w:pPr>
              <w:pStyle w:val="Bodytext"/>
              <w:jc w:val="right"/>
              <w:rPr>
                <w:bCs/>
              </w:rPr>
            </w:pPr>
            <w:r w:rsidRPr="00D6375E">
              <w:t xml:space="preserve"> </w:t>
            </w:r>
          </w:p>
        </w:tc>
        <w:tc>
          <w:tcPr>
            <w:tcW w:w="807" w:type="pct"/>
            <w:tcBorders>
              <w:top w:val="single" w:sz="4" w:space="0" w:color="auto"/>
            </w:tcBorders>
          </w:tcPr>
          <w:p w14:paraId="670CA6CF" w14:textId="77777777" w:rsidR="002D2CEC" w:rsidRPr="00D6375E" w:rsidRDefault="002D2CEC" w:rsidP="002D2CEC">
            <w:pPr>
              <w:pStyle w:val="Bodytext"/>
              <w:jc w:val="right"/>
              <w:rPr>
                <w:bCs/>
              </w:rPr>
            </w:pPr>
          </w:p>
        </w:tc>
        <w:tc>
          <w:tcPr>
            <w:tcW w:w="805" w:type="pct"/>
            <w:tcBorders>
              <w:top w:val="single" w:sz="4" w:space="0" w:color="auto"/>
            </w:tcBorders>
          </w:tcPr>
          <w:p w14:paraId="6B683319" w14:textId="01C9BF20" w:rsidR="002D2CEC" w:rsidRPr="00D6375E" w:rsidRDefault="002D2CEC" w:rsidP="002D2CEC">
            <w:pPr>
              <w:pStyle w:val="Bodytext"/>
              <w:jc w:val="right"/>
              <w:rPr>
                <w:bCs/>
              </w:rPr>
            </w:pPr>
            <w:r w:rsidRPr="00D6375E">
              <w:t xml:space="preserve"> </w:t>
            </w:r>
          </w:p>
        </w:tc>
      </w:tr>
      <w:tr w:rsidR="002D2CEC" w:rsidRPr="00811BA1" w14:paraId="7D7A9B1E" w14:textId="77777777" w:rsidTr="002D2CEC">
        <w:tc>
          <w:tcPr>
            <w:tcW w:w="1775" w:type="pct"/>
          </w:tcPr>
          <w:p w14:paraId="36D3EBC2" w14:textId="77777777" w:rsidR="002D2CEC" w:rsidRPr="004D1B6D" w:rsidRDefault="002D2CEC" w:rsidP="002D2CEC">
            <w:pPr>
              <w:pStyle w:val="Bodytext"/>
            </w:pPr>
            <w:r w:rsidRPr="004D1B6D">
              <w:t>Current assets</w:t>
            </w:r>
          </w:p>
        </w:tc>
        <w:tc>
          <w:tcPr>
            <w:tcW w:w="806" w:type="pct"/>
          </w:tcPr>
          <w:p w14:paraId="7B083B5A" w14:textId="65593DFA" w:rsidR="002D2CEC" w:rsidRPr="00D6375E" w:rsidRDefault="002D2CEC" w:rsidP="002D2CEC">
            <w:pPr>
              <w:pStyle w:val="Bodytext"/>
              <w:jc w:val="right"/>
              <w:rPr>
                <w:bCs/>
              </w:rPr>
            </w:pPr>
            <w:r w:rsidRPr="00D6375E">
              <w:t xml:space="preserve"> </w:t>
            </w:r>
          </w:p>
        </w:tc>
        <w:tc>
          <w:tcPr>
            <w:tcW w:w="807" w:type="pct"/>
          </w:tcPr>
          <w:p w14:paraId="05D9EFA6" w14:textId="705DCC69" w:rsidR="002D2CEC" w:rsidRPr="00D6375E" w:rsidRDefault="002D2CEC" w:rsidP="002D2CEC">
            <w:pPr>
              <w:pStyle w:val="Bodytext"/>
              <w:jc w:val="right"/>
              <w:rPr>
                <w:bCs/>
              </w:rPr>
            </w:pPr>
            <w:r w:rsidRPr="00D6375E">
              <w:t xml:space="preserve"> </w:t>
            </w:r>
          </w:p>
        </w:tc>
        <w:tc>
          <w:tcPr>
            <w:tcW w:w="807" w:type="pct"/>
          </w:tcPr>
          <w:p w14:paraId="14CB61D7" w14:textId="77777777" w:rsidR="002D2CEC" w:rsidRPr="00D6375E" w:rsidRDefault="002D2CEC" w:rsidP="002D2CEC">
            <w:pPr>
              <w:pStyle w:val="Bodytext"/>
              <w:jc w:val="right"/>
              <w:rPr>
                <w:bCs/>
              </w:rPr>
            </w:pPr>
          </w:p>
        </w:tc>
        <w:tc>
          <w:tcPr>
            <w:tcW w:w="805" w:type="pct"/>
          </w:tcPr>
          <w:p w14:paraId="597520DD" w14:textId="66183BA0" w:rsidR="002D2CEC" w:rsidRPr="00D6375E" w:rsidRDefault="002D2CEC" w:rsidP="002D2CEC">
            <w:pPr>
              <w:pStyle w:val="Bodytext"/>
              <w:jc w:val="right"/>
              <w:rPr>
                <w:bCs/>
              </w:rPr>
            </w:pPr>
            <w:r w:rsidRPr="00D6375E">
              <w:t xml:space="preserve"> </w:t>
            </w:r>
          </w:p>
        </w:tc>
      </w:tr>
      <w:tr w:rsidR="00D6375E" w:rsidRPr="00811BA1" w14:paraId="4C46C96C" w14:textId="77777777" w:rsidTr="007502A7">
        <w:tc>
          <w:tcPr>
            <w:tcW w:w="1775" w:type="pct"/>
          </w:tcPr>
          <w:p w14:paraId="639DD01F" w14:textId="77777777" w:rsidR="00D6375E" w:rsidRPr="004D1B6D" w:rsidRDefault="00D6375E" w:rsidP="00D6375E">
            <w:pPr>
              <w:pStyle w:val="Bodytext"/>
            </w:pPr>
            <w:r w:rsidRPr="004D1B6D">
              <w:t>Trade and other receivables</w:t>
            </w:r>
          </w:p>
        </w:tc>
        <w:tc>
          <w:tcPr>
            <w:tcW w:w="806" w:type="pct"/>
            <w:vAlign w:val="center"/>
          </w:tcPr>
          <w:p w14:paraId="384629A0" w14:textId="659ED0EE" w:rsidR="00D6375E" w:rsidRPr="00D6375E" w:rsidRDefault="00D6375E" w:rsidP="00D6375E">
            <w:pPr>
              <w:pStyle w:val="Bodytext"/>
              <w:jc w:val="right"/>
              <w:rPr>
                <w:bCs/>
              </w:rPr>
            </w:pPr>
            <w:r w:rsidRPr="00D6375E">
              <w:rPr>
                <w:bCs/>
              </w:rPr>
              <w:t>579</w:t>
            </w:r>
          </w:p>
        </w:tc>
        <w:tc>
          <w:tcPr>
            <w:tcW w:w="807" w:type="pct"/>
            <w:vAlign w:val="center"/>
          </w:tcPr>
          <w:p w14:paraId="76B7BC55" w14:textId="18C23113" w:rsidR="00D6375E" w:rsidRPr="00D6375E" w:rsidRDefault="00D6375E" w:rsidP="00D6375E">
            <w:pPr>
              <w:pStyle w:val="Bodytext"/>
              <w:jc w:val="right"/>
              <w:rPr>
                <w:bCs/>
              </w:rPr>
            </w:pPr>
            <w:r w:rsidRPr="00D6375E">
              <w:t>–</w:t>
            </w:r>
          </w:p>
        </w:tc>
        <w:tc>
          <w:tcPr>
            <w:tcW w:w="807" w:type="pct"/>
          </w:tcPr>
          <w:p w14:paraId="01C10796" w14:textId="6CE16DFB" w:rsidR="00D6375E" w:rsidRPr="00D6375E" w:rsidRDefault="00D6375E" w:rsidP="00D6375E">
            <w:pPr>
              <w:pStyle w:val="Bodytext"/>
              <w:jc w:val="right"/>
              <w:rPr>
                <w:bCs/>
              </w:rPr>
            </w:pPr>
            <w:r w:rsidRPr="00D6375E">
              <w:t>–</w:t>
            </w:r>
          </w:p>
        </w:tc>
        <w:tc>
          <w:tcPr>
            <w:tcW w:w="805" w:type="pct"/>
            <w:vAlign w:val="center"/>
          </w:tcPr>
          <w:p w14:paraId="654CBEF6" w14:textId="1F452C59" w:rsidR="00D6375E" w:rsidRPr="00D6375E" w:rsidRDefault="00D6375E" w:rsidP="00D6375E">
            <w:pPr>
              <w:pStyle w:val="Bodytext"/>
              <w:jc w:val="right"/>
              <w:rPr>
                <w:bCs/>
              </w:rPr>
            </w:pPr>
            <w:r w:rsidRPr="00D6375E">
              <w:rPr>
                <w:bCs/>
              </w:rPr>
              <w:t>579</w:t>
            </w:r>
          </w:p>
        </w:tc>
      </w:tr>
      <w:tr w:rsidR="00D6375E" w:rsidRPr="00811BA1" w14:paraId="51D827E0" w14:textId="77777777" w:rsidTr="007502A7">
        <w:tc>
          <w:tcPr>
            <w:tcW w:w="1775" w:type="pct"/>
            <w:tcBorders>
              <w:bottom w:val="single" w:sz="4" w:space="0" w:color="auto"/>
            </w:tcBorders>
          </w:tcPr>
          <w:p w14:paraId="52AA0DD9" w14:textId="77777777" w:rsidR="00D6375E" w:rsidRPr="004D1B6D" w:rsidRDefault="00D6375E" w:rsidP="00D6375E">
            <w:pPr>
              <w:pStyle w:val="Bodytext"/>
            </w:pPr>
            <w:r w:rsidRPr="004D1B6D">
              <w:t>Cash and cash equivalents</w:t>
            </w:r>
          </w:p>
        </w:tc>
        <w:tc>
          <w:tcPr>
            <w:tcW w:w="806" w:type="pct"/>
            <w:tcBorders>
              <w:bottom w:val="single" w:sz="4" w:space="0" w:color="auto"/>
            </w:tcBorders>
            <w:vAlign w:val="center"/>
          </w:tcPr>
          <w:p w14:paraId="60E220F6" w14:textId="3BC3170B" w:rsidR="00D6375E" w:rsidRPr="00D6375E" w:rsidRDefault="00D6375E" w:rsidP="00D6375E">
            <w:pPr>
              <w:pStyle w:val="Bodytext"/>
              <w:jc w:val="right"/>
              <w:rPr>
                <w:bCs/>
              </w:rPr>
            </w:pPr>
            <w:r w:rsidRPr="00D6375E">
              <w:rPr>
                <w:bCs/>
              </w:rPr>
              <w:t>1,306</w:t>
            </w:r>
          </w:p>
        </w:tc>
        <w:tc>
          <w:tcPr>
            <w:tcW w:w="807" w:type="pct"/>
            <w:tcBorders>
              <w:bottom w:val="single" w:sz="4" w:space="0" w:color="auto"/>
            </w:tcBorders>
            <w:vAlign w:val="center"/>
          </w:tcPr>
          <w:p w14:paraId="5E17631E" w14:textId="4657CA20" w:rsidR="00D6375E" w:rsidRPr="00D6375E" w:rsidRDefault="00D6375E" w:rsidP="00D6375E">
            <w:pPr>
              <w:pStyle w:val="Bodytext"/>
              <w:jc w:val="right"/>
              <w:rPr>
                <w:bCs/>
              </w:rPr>
            </w:pPr>
            <w:r w:rsidRPr="00D6375E">
              <w:rPr>
                <w:bCs/>
              </w:rPr>
              <w:t>826</w:t>
            </w:r>
          </w:p>
        </w:tc>
        <w:tc>
          <w:tcPr>
            <w:tcW w:w="807" w:type="pct"/>
            <w:tcBorders>
              <w:bottom w:val="single" w:sz="4" w:space="0" w:color="auto"/>
            </w:tcBorders>
          </w:tcPr>
          <w:p w14:paraId="4242695D" w14:textId="30F21241" w:rsidR="00D6375E" w:rsidRPr="00D6375E" w:rsidRDefault="00D6375E" w:rsidP="00D6375E">
            <w:pPr>
              <w:pStyle w:val="Bodytext"/>
              <w:jc w:val="right"/>
              <w:rPr>
                <w:bCs/>
              </w:rPr>
            </w:pPr>
            <w:r w:rsidRPr="00D6375E">
              <w:t>–</w:t>
            </w:r>
          </w:p>
        </w:tc>
        <w:tc>
          <w:tcPr>
            <w:tcW w:w="805" w:type="pct"/>
            <w:tcBorders>
              <w:bottom w:val="single" w:sz="4" w:space="0" w:color="auto"/>
            </w:tcBorders>
            <w:vAlign w:val="center"/>
          </w:tcPr>
          <w:p w14:paraId="08D0EB1B" w14:textId="51B31F47" w:rsidR="00D6375E" w:rsidRPr="00D6375E" w:rsidRDefault="00D6375E" w:rsidP="00D6375E">
            <w:pPr>
              <w:pStyle w:val="Bodytext"/>
              <w:jc w:val="right"/>
              <w:rPr>
                <w:bCs/>
              </w:rPr>
            </w:pPr>
            <w:r w:rsidRPr="00D6375E">
              <w:rPr>
                <w:bCs/>
              </w:rPr>
              <w:t>2,132</w:t>
            </w:r>
          </w:p>
        </w:tc>
      </w:tr>
      <w:tr w:rsidR="00D6375E" w:rsidRPr="00811BA1" w14:paraId="3822B16C" w14:textId="77777777" w:rsidTr="007502A7">
        <w:tc>
          <w:tcPr>
            <w:tcW w:w="1775" w:type="pct"/>
            <w:tcBorders>
              <w:top w:val="single" w:sz="4" w:space="0" w:color="auto"/>
              <w:bottom w:val="single" w:sz="4" w:space="0" w:color="auto"/>
            </w:tcBorders>
          </w:tcPr>
          <w:p w14:paraId="6C7E97A3" w14:textId="77777777" w:rsidR="00D6375E" w:rsidRPr="004D1B6D" w:rsidRDefault="00D6375E" w:rsidP="00D6375E">
            <w:pPr>
              <w:pStyle w:val="Bodytext"/>
            </w:pPr>
            <w:r w:rsidRPr="004D1B6D">
              <w:t>Total current assets</w:t>
            </w:r>
          </w:p>
        </w:tc>
        <w:tc>
          <w:tcPr>
            <w:tcW w:w="806" w:type="pct"/>
            <w:tcBorders>
              <w:top w:val="single" w:sz="4" w:space="0" w:color="auto"/>
              <w:bottom w:val="single" w:sz="4" w:space="0" w:color="auto"/>
            </w:tcBorders>
            <w:vAlign w:val="center"/>
          </w:tcPr>
          <w:p w14:paraId="4F8C2B32" w14:textId="5FC3D490" w:rsidR="00D6375E" w:rsidRPr="00D6375E" w:rsidRDefault="00D6375E" w:rsidP="00D6375E">
            <w:pPr>
              <w:pStyle w:val="Bodytext"/>
              <w:jc w:val="right"/>
              <w:rPr>
                <w:bCs/>
              </w:rPr>
            </w:pPr>
            <w:r w:rsidRPr="00D6375E">
              <w:rPr>
                <w:bCs/>
              </w:rPr>
              <w:t>1,885</w:t>
            </w:r>
          </w:p>
        </w:tc>
        <w:tc>
          <w:tcPr>
            <w:tcW w:w="807" w:type="pct"/>
            <w:tcBorders>
              <w:top w:val="single" w:sz="4" w:space="0" w:color="auto"/>
              <w:bottom w:val="single" w:sz="4" w:space="0" w:color="auto"/>
            </w:tcBorders>
            <w:vAlign w:val="center"/>
          </w:tcPr>
          <w:p w14:paraId="4F61F50E" w14:textId="76BE761F" w:rsidR="00D6375E" w:rsidRPr="00D6375E" w:rsidRDefault="00D6375E" w:rsidP="00D6375E">
            <w:pPr>
              <w:pStyle w:val="Bodytext"/>
              <w:jc w:val="right"/>
              <w:rPr>
                <w:bCs/>
              </w:rPr>
            </w:pPr>
            <w:r w:rsidRPr="00D6375E">
              <w:rPr>
                <w:bCs/>
              </w:rPr>
              <w:t>826</w:t>
            </w:r>
          </w:p>
        </w:tc>
        <w:tc>
          <w:tcPr>
            <w:tcW w:w="807" w:type="pct"/>
            <w:tcBorders>
              <w:top w:val="single" w:sz="4" w:space="0" w:color="auto"/>
              <w:bottom w:val="single" w:sz="4" w:space="0" w:color="auto"/>
            </w:tcBorders>
          </w:tcPr>
          <w:p w14:paraId="7C02F665" w14:textId="03C66CFD" w:rsidR="00D6375E" w:rsidRPr="00D6375E" w:rsidRDefault="00D6375E" w:rsidP="00D6375E">
            <w:pPr>
              <w:pStyle w:val="Bodytext"/>
              <w:jc w:val="right"/>
              <w:rPr>
                <w:bCs/>
              </w:rPr>
            </w:pPr>
            <w:r w:rsidRPr="00D6375E">
              <w:t>–</w:t>
            </w:r>
          </w:p>
        </w:tc>
        <w:tc>
          <w:tcPr>
            <w:tcW w:w="805" w:type="pct"/>
            <w:tcBorders>
              <w:top w:val="single" w:sz="4" w:space="0" w:color="auto"/>
              <w:bottom w:val="single" w:sz="4" w:space="0" w:color="auto"/>
            </w:tcBorders>
            <w:vAlign w:val="center"/>
          </w:tcPr>
          <w:p w14:paraId="18B37881" w14:textId="6E4FE4C6" w:rsidR="00D6375E" w:rsidRPr="00D6375E" w:rsidRDefault="00D6375E" w:rsidP="00D6375E">
            <w:pPr>
              <w:pStyle w:val="Bodytext"/>
              <w:jc w:val="right"/>
              <w:rPr>
                <w:bCs/>
              </w:rPr>
            </w:pPr>
            <w:r w:rsidRPr="00D6375E">
              <w:rPr>
                <w:bCs/>
              </w:rPr>
              <w:t>2,711</w:t>
            </w:r>
          </w:p>
        </w:tc>
      </w:tr>
      <w:tr w:rsidR="00D6375E" w:rsidRPr="00811BA1" w14:paraId="092983F6" w14:textId="77777777" w:rsidTr="007502A7">
        <w:tc>
          <w:tcPr>
            <w:tcW w:w="1775" w:type="pct"/>
            <w:tcBorders>
              <w:top w:val="single" w:sz="4" w:space="0" w:color="auto"/>
            </w:tcBorders>
          </w:tcPr>
          <w:p w14:paraId="25FD5DCB" w14:textId="77777777" w:rsidR="00D6375E" w:rsidRPr="004D1B6D" w:rsidRDefault="00D6375E" w:rsidP="00D6375E">
            <w:pPr>
              <w:pStyle w:val="Bodytext"/>
            </w:pPr>
          </w:p>
        </w:tc>
        <w:tc>
          <w:tcPr>
            <w:tcW w:w="806" w:type="pct"/>
            <w:tcBorders>
              <w:top w:val="single" w:sz="4" w:space="0" w:color="auto"/>
            </w:tcBorders>
            <w:vAlign w:val="center"/>
          </w:tcPr>
          <w:p w14:paraId="0403FB42" w14:textId="0A0868FC" w:rsidR="00D6375E" w:rsidRPr="00D6375E" w:rsidRDefault="00D6375E" w:rsidP="00D6375E">
            <w:pPr>
              <w:pStyle w:val="Bodytext"/>
              <w:jc w:val="right"/>
            </w:pPr>
          </w:p>
        </w:tc>
        <w:tc>
          <w:tcPr>
            <w:tcW w:w="807" w:type="pct"/>
            <w:tcBorders>
              <w:top w:val="single" w:sz="4" w:space="0" w:color="auto"/>
            </w:tcBorders>
            <w:vAlign w:val="center"/>
          </w:tcPr>
          <w:p w14:paraId="27CAC388" w14:textId="7FB03222" w:rsidR="00D6375E" w:rsidRPr="00D6375E" w:rsidRDefault="00D6375E" w:rsidP="00D6375E">
            <w:pPr>
              <w:pStyle w:val="Bodytext"/>
              <w:jc w:val="right"/>
            </w:pPr>
          </w:p>
        </w:tc>
        <w:tc>
          <w:tcPr>
            <w:tcW w:w="807" w:type="pct"/>
            <w:tcBorders>
              <w:top w:val="single" w:sz="4" w:space="0" w:color="auto"/>
            </w:tcBorders>
          </w:tcPr>
          <w:p w14:paraId="28BC06DC" w14:textId="77777777" w:rsidR="00D6375E" w:rsidRPr="00D6375E" w:rsidRDefault="00D6375E" w:rsidP="00D6375E">
            <w:pPr>
              <w:pStyle w:val="Bodytext"/>
              <w:jc w:val="right"/>
              <w:rPr>
                <w:bCs/>
                <w:sz w:val="22"/>
                <w:szCs w:val="22"/>
              </w:rPr>
            </w:pPr>
          </w:p>
        </w:tc>
        <w:tc>
          <w:tcPr>
            <w:tcW w:w="805" w:type="pct"/>
            <w:tcBorders>
              <w:top w:val="single" w:sz="4" w:space="0" w:color="auto"/>
            </w:tcBorders>
            <w:vAlign w:val="center"/>
          </w:tcPr>
          <w:p w14:paraId="505FE037" w14:textId="25803119" w:rsidR="00D6375E" w:rsidRPr="00D6375E" w:rsidRDefault="00D6375E" w:rsidP="00D6375E">
            <w:pPr>
              <w:pStyle w:val="Bodytext"/>
              <w:jc w:val="right"/>
            </w:pPr>
          </w:p>
        </w:tc>
      </w:tr>
      <w:tr w:rsidR="00D6375E" w:rsidRPr="00811BA1" w14:paraId="3D75F4C7" w14:textId="77777777" w:rsidTr="007502A7">
        <w:trPr>
          <w:trHeight w:val="249"/>
        </w:trPr>
        <w:tc>
          <w:tcPr>
            <w:tcW w:w="1775" w:type="pct"/>
          </w:tcPr>
          <w:p w14:paraId="18B83003" w14:textId="77777777" w:rsidR="00D6375E" w:rsidRPr="004D1B6D" w:rsidRDefault="00D6375E" w:rsidP="00D6375E">
            <w:pPr>
              <w:pStyle w:val="Bodytext"/>
            </w:pPr>
            <w:r w:rsidRPr="004D1B6D">
              <w:t>Current liabilities</w:t>
            </w:r>
          </w:p>
        </w:tc>
        <w:tc>
          <w:tcPr>
            <w:tcW w:w="806" w:type="pct"/>
            <w:vAlign w:val="center"/>
          </w:tcPr>
          <w:p w14:paraId="6D16AD0B" w14:textId="41E8518A" w:rsidR="00D6375E" w:rsidRPr="00D6375E" w:rsidRDefault="00D6375E" w:rsidP="00D6375E">
            <w:pPr>
              <w:pStyle w:val="Bodytext"/>
              <w:jc w:val="right"/>
            </w:pPr>
          </w:p>
        </w:tc>
        <w:tc>
          <w:tcPr>
            <w:tcW w:w="807" w:type="pct"/>
            <w:vAlign w:val="center"/>
          </w:tcPr>
          <w:p w14:paraId="19F9638D" w14:textId="088D0396" w:rsidR="00D6375E" w:rsidRPr="00D6375E" w:rsidRDefault="00D6375E" w:rsidP="00D6375E">
            <w:pPr>
              <w:pStyle w:val="Bodytext"/>
              <w:jc w:val="right"/>
            </w:pPr>
          </w:p>
        </w:tc>
        <w:tc>
          <w:tcPr>
            <w:tcW w:w="807" w:type="pct"/>
          </w:tcPr>
          <w:p w14:paraId="0F6CE8EC" w14:textId="77777777" w:rsidR="00D6375E" w:rsidRPr="00D6375E" w:rsidRDefault="00D6375E" w:rsidP="00D6375E">
            <w:pPr>
              <w:pStyle w:val="Bodytext"/>
              <w:jc w:val="right"/>
              <w:rPr>
                <w:bCs/>
                <w:sz w:val="22"/>
                <w:szCs w:val="22"/>
              </w:rPr>
            </w:pPr>
          </w:p>
        </w:tc>
        <w:tc>
          <w:tcPr>
            <w:tcW w:w="805" w:type="pct"/>
            <w:vAlign w:val="center"/>
          </w:tcPr>
          <w:p w14:paraId="60307143" w14:textId="24CF4CEA" w:rsidR="00D6375E" w:rsidRPr="00D6375E" w:rsidRDefault="00D6375E" w:rsidP="00D6375E">
            <w:pPr>
              <w:pStyle w:val="Bodytext"/>
              <w:jc w:val="right"/>
            </w:pPr>
          </w:p>
        </w:tc>
      </w:tr>
      <w:tr w:rsidR="00D6375E" w:rsidRPr="00811BA1" w14:paraId="0C634D5C" w14:textId="77777777" w:rsidTr="007502A7">
        <w:tc>
          <w:tcPr>
            <w:tcW w:w="1775" w:type="pct"/>
            <w:tcBorders>
              <w:bottom w:val="single" w:sz="4" w:space="0" w:color="auto"/>
            </w:tcBorders>
          </w:tcPr>
          <w:p w14:paraId="713C3D2C" w14:textId="77777777" w:rsidR="00D6375E" w:rsidRPr="004D1B6D" w:rsidRDefault="00D6375E" w:rsidP="00D6375E">
            <w:pPr>
              <w:pStyle w:val="Bodytext"/>
            </w:pPr>
            <w:r w:rsidRPr="004D1B6D">
              <w:t>Trade and other payables</w:t>
            </w:r>
          </w:p>
        </w:tc>
        <w:tc>
          <w:tcPr>
            <w:tcW w:w="806" w:type="pct"/>
            <w:tcBorders>
              <w:bottom w:val="single" w:sz="4" w:space="0" w:color="auto"/>
            </w:tcBorders>
            <w:vAlign w:val="center"/>
          </w:tcPr>
          <w:p w14:paraId="2F03BABF" w14:textId="3FC6620F" w:rsidR="00D6375E" w:rsidRPr="00D6375E" w:rsidRDefault="00D6375E" w:rsidP="00D6375E">
            <w:pPr>
              <w:pStyle w:val="Bodytext"/>
              <w:jc w:val="right"/>
              <w:rPr>
                <w:bCs/>
              </w:rPr>
            </w:pPr>
            <w:r w:rsidRPr="00D6375E">
              <w:rPr>
                <w:bCs/>
              </w:rPr>
              <w:t>205</w:t>
            </w:r>
          </w:p>
        </w:tc>
        <w:tc>
          <w:tcPr>
            <w:tcW w:w="807" w:type="pct"/>
            <w:tcBorders>
              <w:bottom w:val="single" w:sz="4" w:space="0" w:color="auto"/>
            </w:tcBorders>
            <w:vAlign w:val="center"/>
          </w:tcPr>
          <w:p w14:paraId="3D1FEB4F" w14:textId="38ACA401" w:rsidR="00D6375E" w:rsidRPr="00D6375E" w:rsidRDefault="00D6375E" w:rsidP="00D6375E">
            <w:pPr>
              <w:pStyle w:val="Bodytext"/>
              <w:jc w:val="right"/>
              <w:rPr>
                <w:bCs/>
              </w:rPr>
            </w:pPr>
            <w:r w:rsidRPr="00D6375E">
              <w:rPr>
                <w:bCs/>
              </w:rPr>
              <w:t>230</w:t>
            </w:r>
          </w:p>
        </w:tc>
        <w:tc>
          <w:tcPr>
            <w:tcW w:w="807" w:type="pct"/>
            <w:tcBorders>
              <w:bottom w:val="single" w:sz="4" w:space="0" w:color="auto"/>
            </w:tcBorders>
          </w:tcPr>
          <w:p w14:paraId="0C92F8D7" w14:textId="521C89F0" w:rsidR="00D6375E" w:rsidRPr="00D6375E" w:rsidRDefault="00D6375E" w:rsidP="00D6375E">
            <w:pPr>
              <w:pStyle w:val="Bodytext"/>
              <w:jc w:val="right"/>
              <w:rPr>
                <w:bCs/>
              </w:rPr>
            </w:pPr>
            <w:r w:rsidRPr="00D6375E">
              <w:t>–</w:t>
            </w:r>
          </w:p>
        </w:tc>
        <w:tc>
          <w:tcPr>
            <w:tcW w:w="805" w:type="pct"/>
            <w:tcBorders>
              <w:bottom w:val="single" w:sz="4" w:space="0" w:color="auto"/>
            </w:tcBorders>
            <w:vAlign w:val="center"/>
          </w:tcPr>
          <w:p w14:paraId="7D60F9FD" w14:textId="2BE49248" w:rsidR="00D6375E" w:rsidRPr="00D6375E" w:rsidRDefault="00D6375E" w:rsidP="00D6375E">
            <w:pPr>
              <w:pStyle w:val="Bodytext"/>
              <w:jc w:val="right"/>
              <w:rPr>
                <w:bCs/>
              </w:rPr>
            </w:pPr>
            <w:r w:rsidRPr="00D6375E">
              <w:rPr>
                <w:bCs/>
              </w:rPr>
              <w:t>435</w:t>
            </w:r>
          </w:p>
        </w:tc>
      </w:tr>
      <w:tr w:rsidR="00D6375E" w:rsidRPr="00811BA1" w14:paraId="32A9FD79" w14:textId="77777777" w:rsidTr="007502A7">
        <w:tc>
          <w:tcPr>
            <w:tcW w:w="1775" w:type="pct"/>
            <w:tcBorders>
              <w:top w:val="single" w:sz="4" w:space="0" w:color="auto"/>
              <w:bottom w:val="single" w:sz="4" w:space="0" w:color="auto"/>
            </w:tcBorders>
          </w:tcPr>
          <w:p w14:paraId="589B6BDB" w14:textId="77777777" w:rsidR="00D6375E" w:rsidRPr="004D1B6D" w:rsidRDefault="00D6375E" w:rsidP="00D6375E">
            <w:pPr>
              <w:pStyle w:val="Bodytext"/>
            </w:pPr>
            <w:r w:rsidRPr="004D1B6D">
              <w:t>Total current liabilities</w:t>
            </w:r>
          </w:p>
        </w:tc>
        <w:tc>
          <w:tcPr>
            <w:tcW w:w="806" w:type="pct"/>
            <w:tcBorders>
              <w:top w:val="single" w:sz="4" w:space="0" w:color="auto"/>
              <w:bottom w:val="single" w:sz="4" w:space="0" w:color="auto"/>
            </w:tcBorders>
            <w:vAlign w:val="center"/>
          </w:tcPr>
          <w:p w14:paraId="5D859B8E" w14:textId="7ACCA2AE" w:rsidR="00D6375E" w:rsidRPr="00D6375E" w:rsidRDefault="00D6375E" w:rsidP="00D6375E">
            <w:pPr>
              <w:pStyle w:val="Bodytext"/>
              <w:jc w:val="right"/>
              <w:rPr>
                <w:bCs/>
              </w:rPr>
            </w:pPr>
            <w:r w:rsidRPr="00D6375E">
              <w:rPr>
                <w:bCs/>
              </w:rPr>
              <w:t>205</w:t>
            </w:r>
          </w:p>
        </w:tc>
        <w:tc>
          <w:tcPr>
            <w:tcW w:w="807" w:type="pct"/>
            <w:tcBorders>
              <w:top w:val="single" w:sz="4" w:space="0" w:color="auto"/>
              <w:bottom w:val="single" w:sz="4" w:space="0" w:color="auto"/>
            </w:tcBorders>
            <w:vAlign w:val="center"/>
          </w:tcPr>
          <w:p w14:paraId="69AD7F1C" w14:textId="1789D4D7" w:rsidR="00D6375E" w:rsidRPr="00D6375E" w:rsidRDefault="00D6375E" w:rsidP="00D6375E">
            <w:pPr>
              <w:pStyle w:val="Bodytext"/>
              <w:jc w:val="right"/>
              <w:rPr>
                <w:bCs/>
              </w:rPr>
            </w:pPr>
            <w:r w:rsidRPr="00D6375E">
              <w:rPr>
                <w:bCs/>
              </w:rPr>
              <w:t>230</w:t>
            </w:r>
          </w:p>
        </w:tc>
        <w:tc>
          <w:tcPr>
            <w:tcW w:w="807" w:type="pct"/>
            <w:tcBorders>
              <w:top w:val="single" w:sz="4" w:space="0" w:color="auto"/>
              <w:bottom w:val="single" w:sz="4" w:space="0" w:color="auto"/>
            </w:tcBorders>
          </w:tcPr>
          <w:p w14:paraId="3FF23DEC" w14:textId="1DB6F7AD" w:rsidR="00D6375E" w:rsidRPr="00D6375E" w:rsidRDefault="00D6375E" w:rsidP="00D6375E">
            <w:pPr>
              <w:pStyle w:val="Bodytext"/>
              <w:jc w:val="right"/>
              <w:rPr>
                <w:bCs/>
              </w:rPr>
            </w:pPr>
            <w:r w:rsidRPr="00D6375E">
              <w:t>–</w:t>
            </w:r>
          </w:p>
        </w:tc>
        <w:tc>
          <w:tcPr>
            <w:tcW w:w="805" w:type="pct"/>
            <w:tcBorders>
              <w:top w:val="single" w:sz="4" w:space="0" w:color="auto"/>
              <w:bottom w:val="single" w:sz="4" w:space="0" w:color="auto"/>
            </w:tcBorders>
            <w:vAlign w:val="center"/>
          </w:tcPr>
          <w:p w14:paraId="4B3E5E07" w14:textId="0F486AD6" w:rsidR="00D6375E" w:rsidRPr="00D6375E" w:rsidRDefault="00D6375E" w:rsidP="00D6375E">
            <w:pPr>
              <w:pStyle w:val="Bodytext"/>
              <w:jc w:val="right"/>
              <w:rPr>
                <w:bCs/>
              </w:rPr>
            </w:pPr>
            <w:r w:rsidRPr="00D6375E">
              <w:rPr>
                <w:bCs/>
              </w:rPr>
              <w:t>435</w:t>
            </w:r>
          </w:p>
        </w:tc>
      </w:tr>
      <w:tr w:rsidR="00D6375E" w:rsidRPr="00811BA1" w14:paraId="22467F15" w14:textId="77777777" w:rsidTr="007502A7">
        <w:trPr>
          <w:trHeight w:val="58"/>
        </w:trPr>
        <w:tc>
          <w:tcPr>
            <w:tcW w:w="1775" w:type="pct"/>
            <w:tcBorders>
              <w:top w:val="single" w:sz="4" w:space="0" w:color="auto"/>
            </w:tcBorders>
          </w:tcPr>
          <w:p w14:paraId="3E6DD702" w14:textId="77777777" w:rsidR="00D6375E" w:rsidRPr="004D1B6D" w:rsidRDefault="00D6375E" w:rsidP="00D6375E">
            <w:pPr>
              <w:pStyle w:val="Bodytext"/>
            </w:pPr>
          </w:p>
        </w:tc>
        <w:tc>
          <w:tcPr>
            <w:tcW w:w="806" w:type="pct"/>
            <w:tcBorders>
              <w:top w:val="single" w:sz="4" w:space="0" w:color="auto"/>
            </w:tcBorders>
            <w:vAlign w:val="center"/>
          </w:tcPr>
          <w:p w14:paraId="16DE4F94" w14:textId="6837560D" w:rsidR="00D6375E" w:rsidRPr="00D6375E" w:rsidRDefault="00D6375E" w:rsidP="00D6375E">
            <w:pPr>
              <w:pStyle w:val="Bodytext"/>
              <w:jc w:val="right"/>
            </w:pPr>
          </w:p>
        </w:tc>
        <w:tc>
          <w:tcPr>
            <w:tcW w:w="807" w:type="pct"/>
            <w:tcBorders>
              <w:top w:val="single" w:sz="4" w:space="0" w:color="auto"/>
            </w:tcBorders>
            <w:vAlign w:val="center"/>
          </w:tcPr>
          <w:p w14:paraId="699FB129" w14:textId="2DED2769" w:rsidR="00D6375E" w:rsidRPr="00D6375E" w:rsidRDefault="00D6375E" w:rsidP="00D6375E">
            <w:pPr>
              <w:pStyle w:val="Bodytext"/>
              <w:jc w:val="right"/>
            </w:pPr>
          </w:p>
        </w:tc>
        <w:tc>
          <w:tcPr>
            <w:tcW w:w="807" w:type="pct"/>
            <w:tcBorders>
              <w:top w:val="single" w:sz="4" w:space="0" w:color="auto"/>
            </w:tcBorders>
          </w:tcPr>
          <w:p w14:paraId="2E5C6E47" w14:textId="77777777" w:rsidR="00D6375E" w:rsidRPr="00D6375E" w:rsidRDefault="00D6375E" w:rsidP="00D6375E">
            <w:pPr>
              <w:pStyle w:val="Bodytext"/>
              <w:jc w:val="right"/>
              <w:rPr>
                <w:bCs/>
                <w:sz w:val="22"/>
                <w:szCs w:val="22"/>
              </w:rPr>
            </w:pPr>
          </w:p>
        </w:tc>
        <w:tc>
          <w:tcPr>
            <w:tcW w:w="805" w:type="pct"/>
            <w:tcBorders>
              <w:top w:val="single" w:sz="4" w:space="0" w:color="auto"/>
            </w:tcBorders>
            <w:vAlign w:val="center"/>
          </w:tcPr>
          <w:p w14:paraId="2AFF615A" w14:textId="7E0DB631" w:rsidR="00D6375E" w:rsidRPr="00D6375E" w:rsidRDefault="00D6375E" w:rsidP="00D6375E">
            <w:pPr>
              <w:pStyle w:val="Bodytext"/>
              <w:jc w:val="right"/>
            </w:pPr>
          </w:p>
        </w:tc>
      </w:tr>
      <w:tr w:rsidR="00D6375E" w:rsidRPr="00811BA1" w14:paraId="6F5C1291" w14:textId="77777777" w:rsidTr="007502A7">
        <w:tc>
          <w:tcPr>
            <w:tcW w:w="1775" w:type="pct"/>
            <w:tcBorders>
              <w:bottom w:val="single" w:sz="18" w:space="0" w:color="auto"/>
            </w:tcBorders>
          </w:tcPr>
          <w:p w14:paraId="058603C0" w14:textId="77777777" w:rsidR="00D6375E" w:rsidRPr="004D1B6D" w:rsidRDefault="00D6375E" w:rsidP="00D6375E">
            <w:pPr>
              <w:pStyle w:val="Bodytext"/>
            </w:pPr>
            <w:r w:rsidRPr="004D1B6D">
              <w:t>Total net assets</w:t>
            </w:r>
          </w:p>
        </w:tc>
        <w:tc>
          <w:tcPr>
            <w:tcW w:w="806" w:type="pct"/>
            <w:tcBorders>
              <w:bottom w:val="single" w:sz="18" w:space="0" w:color="auto"/>
            </w:tcBorders>
            <w:vAlign w:val="center"/>
          </w:tcPr>
          <w:p w14:paraId="014A9C4B" w14:textId="14AE1E66" w:rsidR="00D6375E" w:rsidRPr="00D6375E" w:rsidRDefault="00D6375E" w:rsidP="00D6375E">
            <w:pPr>
              <w:pStyle w:val="Bodytext"/>
              <w:jc w:val="right"/>
              <w:rPr>
                <w:bCs/>
              </w:rPr>
            </w:pPr>
            <w:r w:rsidRPr="00D6375E">
              <w:rPr>
                <w:bCs/>
              </w:rPr>
              <w:t>1,430,66</w:t>
            </w:r>
            <w:r w:rsidR="0095106D">
              <w:rPr>
                <w:bCs/>
              </w:rPr>
              <w:t>5</w:t>
            </w:r>
          </w:p>
        </w:tc>
        <w:tc>
          <w:tcPr>
            <w:tcW w:w="807" w:type="pct"/>
            <w:tcBorders>
              <w:bottom w:val="single" w:sz="18" w:space="0" w:color="auto"/>
            </w:tcBorders>
            <w:vAlign w:val="bottom"/>
          </w:tcPr>
          <w:p w14:paraId="265A9DEC" w14:textId="76D0DD0F" w:rsidR="00D6375E" w:rsidRPr="00D6375E" w:rsidRDefault="00D6375E" w:rsidP="00D6375E">
            <w:pPr>
              <w:pStyle w:val="Bodytext"/>
              <w:jc w:val="right"/>
              <w:rPr>
                <w:bCs/>
              </w:rPr>
            </w:pPr>
            <w:r w:rsidRPr="00D6375E">
              <w:rPr>
                <w:bCs/>
              </w:rPr>
              <w:t>59</w:t>
            </w:r>
            <w:r w:rsidR="0095106D">
              <w:rPr>
                <w:bCs/>
              </w:rPr>
              <w:t>6</w:t>
            </w:r>
          </w:p>
        </w:tc>
        <w:tc>
          <w:tcPr>
            <w:tcW w:w="807" w:type="pct"/>
            <w:tcBorders>
              <w:bottom w:val="single" w:sz="18" w:space="0" w:color="auto"/>
            </w:tcBorders>
          </w:tcPr>
          <w:p w14:paraId="7D6934CF" w14:textId="10038325" w:rsidR="00D6375E" w:rsidRPr="00D6375E" w:rsidRDefault="00D6375E" w:rsidP="00D6375E">
            <w:pPr>
              <w:pStyle w:val="Bodytext"/>
              <w:jc w:val="right"/>
              <w:rPr>
                <w:bCs/>
              </w:rPr>
            </w:pPr>
            <w:r w:rsidRPr="00D6375E">
              <w:t>–</w:t>
            </w:r>
          </w:p>
        </w:tc>
        <w:tc>
          <w:tcPr>
            <w:tcW w:w="805" w:type="pct"/>
            <w:tcBorders>
              <w:bottom w:val="single" w:sz="18" w:space="0" w:color="auto"/>
            </w:tcBorders>
            <w:vAlign w:val="center"/>
          </w:tcPr>
          <w:p w14:paraId="481BD8E1" w14:textId="71CACEF2" w:rsidR="00D6375E" w:rsidRPr="00D6375E" w:rsidRDefault="00D6375E" w:rsidP="00D6375E">
            <w:pPr>
              <w:pStyle w:val="Bodytext"/>
              <w:jc w:val="right"/>
              <w:rPr>
                <w:bCs/>
              </w:rPr>
            </w:pPr>
            <w:r w:rsidRPr="00D6375E">
              <w:rPr>
                <w:bCs/>
              </w:rPr>
              <w:t>1,431,261</w:t>
            </w:r>
          </w:p>
        </w:tc>
      </w:tr>
    </w:tbl>
    <w:p w14:paraId="239D0386" w14:textId="49C21AE8" w:rsidR="00234DF1" w:rsidRPr="00811BA1" w:rsidRDefault="00234DF1" w:rsidP="00EB7E49">
      <w:pPr>
        <w:pStyle w:val="Bodytext"/>
        <w:ind w:left="907"/>
      </w:pPr>
    </w:p>
    <w:p w14:paraId="599CFA47" w14:textId="49F0A8EF" w:rsidR="00FA0F64" w:rsidRDefault="00234DF1" w:rsidP="00C32021">
      <w:pPr>
        <w:pStyle w:val="Bodytext"/>
        <w:ind w:left="907"/>
        <w:jc w:val="both"/>
      </w:pPr>
      <w:r w:rsidRPr="00811BA1">
        <w:t>The Directors do not consider that the foreign currency exchange risk at the balance sheet date is material and therefore sensitivity analysis for the foreign currency risk has not been provided.</w:t>
      </w:r>
    </w:p>
    <w:p w14:paraId="16D73B91" w14:textId="77777777" w:rsidR="00A302AA" w:rsidRDefault="00A302AA" w:rsidP="00C32021">
      <w:pPr>
        <w:pStyle w:val="Bodytext"/>
        <w:ind w:left="907"/>
        <w:jc w:val="both"/>
      </w:pPr>
    </w:p>
    <w:p w14:paraId="5A14F979" w14:textId="2D783DF6" w:rsidR="00A302AA" w:rsidRPr="00A302AA" w:rsidRDefault="00A302AA" w:rsidP="00C32021">
      <w:pPr>
        <w:pStyle w:val="Bodytext"/>
        <w:ind w:left="907"/>
        <w:jc w:val="both"/>
        <w:rPr>
          <w:sz w:val="16"/>
          <w:szCs w:val="16"/>
        </w:rPr>
      </w:pPr>
      <w:r w:rsidRPr="00A302AA">
        <w:rPr>
          <w:sz w:val="16"/>
          <w:szCs w:val="16"/>
          <w:vertAlign w:val="superscript"/>
        </w:rPr>
        <w:t>(1)</w:t>
      </w:r>
      <w:r w:rsidRPr="00A302AA">
        <w:rPr>
          <w:sz w:val="16"/>
          <w:szCs w:val="16"/>
        </w:rPr>
        <w:t xml:space="preserve"> </w:t>
      </w:r>
      <w:r>
        <w:rPr>
          <w:sz w:val="16"/>
          <w:szCs w:val="16"/>
        </w:rPr>
        <w:t>I</w:t>
      </w:r>
      <w:r w:rsidRPr="00A302AA">
        <w:rPr>
          <w:sz w:val="16"/>
          <w:szCs w:val="16"/>
        </w:rPr>
        <w:t>ncludes</w:t>
      </w:r>
      <w:r w:rsidR="006A2FB6">
        <w:rPr>
          <w:sz w:val="16"/>
          <w:szCs w:val="16"/>
        </w:rPr>
        <w:t xml:space="preserve"> the fair value of</w:t>
      </w:r>
      <w:r>
        <w:rPr>
          <w:sz w:val="16"/>
          <w:szCs w:val="16"/>
        </w:rPr>
        <w:t xml:space="preserve"> </w:t>
      </w:r>
      <w:r w:rsidR="006A2FB6">
        <w:rPr>
          <w:sz w:val="16"/>
          <w:szCs w:val="16"/>
        </w:rPr>
        <w:t xml:space="preserve">two </w:t>
      </w:r>
      <w:r>
        <w:rPr>
          <w:sz w:val="16"/>
          <w:szCs w:val="16"/>
        </w:rPr>
        <w:t>investments</w:t>
      </w:r>
      <w:r w:rsidR="004C0FF3">
        <w:rPr>
          <w:sz w:val="16"/>
          <w:szCs w:val="16"/>
        </w:rPr>
        <w:t xml:space="preserve"> held through the Partnership</w:t>
      </w:r>
      <w:r w:rsidR="006A2FB6">
        <w:rPr>
          <w:sz w:val="16"/>
          <w:szCs w:val="16"/>
        </w:rPr>
        <w:t xml:space="preserve">, Hammerhead and CNOR, denominated in CAD and therefore subject to foreign currency risk. These two investments had an aggregate fair value of </w:t>
      </w:r>
      <w:r w:rsidR="00805BA6">
        <w:rPr>
          <w:sz w:val="16"/>
          <w:szCs w:val="16"/>
        </w:rPr>
        <w:t>$</w:t>
      </w:r>
      <w:r w:rsidR="00141BF4">
        <w:rPr>
          <w:sz w:val="16"/>
          <w:szCs w:val="16"/>
        </w:rPr>
        <w:t>95.8</w:t>
      </w:r>
      <w:r w:rsidR="00805BA6">
        <w:rPr>
          <w:sz w:val="16"/>
          <w:szCs w:val="16"/>
        </w:rPr>
        <w:t xml:space="preserve"> </w:t>
      </w:r>
      <w:r w:rsidR="006A2FB6">
        <w:rPr>
          <w:sz w:val="16"/>
          <w:szCs w:val="16"/>
        </w:rPr>
        <w:t xml:space="preserve">million as at </w:t>
      </w:r>
      <w:r w:rsidR="00610498">
        <w:rPr>
          <w:sz w:val="16"/>
          <w:szCs w:val="16"/>
        </w:rPr>
        <w:t>31 December 201</w:t>
      </w:r>
      <w:r w:rsidR="00D6375E">
        <w:rPr>
          <w:sz w:val="16"/>
          <w:szCs w:val="16"/>
        </w:rPr>
        <w:t>9</w:t>
      </w:r>
      <w:r w:rsidR="006A2FB6">
        <w:rPr>
          <w:sz w:val="16"/>
          <w:szCs w:val="16"/>
        </w:rPr>
        <w:t xml:space="preserve"> (</w:t>
      </w:r>
      <w:r w:rsidR="00610498">
        <w:rPr>
          <w:sz w:val="16"/>
          <w:szCs w:val="16"/>
        </w:rPr>
        <w:t>31 December 201</w:t>
      </w:r>
      <w:r w:rsidR="00D6375E">
        <w:rPr>
          <w:sz w:val="16"/>
          <w:szCs w:val="16"/>
        </w:rPr>
        <w:t>8</w:t>
      </w:r>
      <w:r w:rsidR="006A2FB6">
        <w:rPr>
          <w:sz w:val="16"/>
          <w:szCs w:val="16"/>
        </w:rPr>
        <w:t>: $</w:t>
      </w:r>
      <w:r w:rsidR="00D6375E">
        <w:rPr>
          <w:sz w:val="16"/>
          <w:szCs w:val="16"/>
        </w:rPr>
        <w:t>487.8</w:t>
      </w:r>
      <w:r w:rsidR="00E0068A">
        <w:rPr>
          <w:sz w:val="16"/>
          <w:szCs w:val="16"/>
        </w:rPr>
        <w:t xml:space="preserve"> </w:t>
      </w:r>
      <w:r w:rsidR="006A2FB6">
        <w:rPr>
          <w:sz w:val="16"/>
          <w:szCs w:val="16"/>
        </w:rPr>
        <w:t>million).</w:t>
      </w:r>
    </w:p>
    <w:p w14:paraId="763A6462" w14:textId="77777777" w:rsidR="00234DF1" w:rsidRPr="00811BA1" w:rsidRDefault="00234DF1" w:rsidP="00C32021">
      <w:pPr>
        <w:pStyle w:val="Bodytext"/>
        <w:ind w:left="907"/>
        <w:jc w:val="both"/>
      </w:pPr>
    </w:p>
    <w:p w14:paraId="392A07B3" w14:textId="77777777" w:rsidR="00234DF1" w:rsidRPr="00811BA1" w:rsidRDefault="00234DF1" w:rsidP="00C32021">
      <w:pPr>
        <w:pStyle w:val="Bodytext"/>
        <w:ind w:left="907" w:hanging="340"/>
        <w:jc w:val="both"/>
        <w:rPr>
          <w:b/>
          <w:i/>
        </w:rPr>
      </w:pPr>
      <w:r w:rsidRPr="00811BA1">
        <w:rPr>
          <w:b/>
          <w:i/>
        </w:rPr>
        <w:t>(c)</w:t>
      </w:r>
      <w:r w:rsidRPr="00811BA1">
        <w:rPr>
          <w:b/>
          <w:i/>
        </w:rPr>
        <w:tab/>
        <w:t>Interest Rate Risk</w:t>
      </w:r>
    </w:p>
    <w:p w14:paraId="1C7640DC" w14:textId="670A8FA2" w:rsidR="00234DF1" w:rsidRPr="00811BA1" w:rsidRDefault="00234DF1" w:rsidP="00C32021">
      <w:pPr>
        <w:pStyle w:val="Bodytext"/>
        <w:ind w:left="907"/>
        <w:jc w:val="both"/>
      </w:pPr>
      <w:r w:rsidRPr="00811BA1">
        <w:t xml:space="preserve">The Company’s exposure to interest rate risk relates to the Company’s cash and </w:t>
      </w:r>
      <w:r w:rsidR="00FA0F64" w:rsidRPr="00811BA1">
        <w:t>cash equivalents</w:t>
      </w:r>
      <w:r w:rsidR="00A16580">
        <w:t xml:space="preserve"> held through the Partnership</w:t>
      </w:r>
      <w:r w:rsidR="00FA0F64" w:rsidRPr="00811BA1">
        <w:t xml:space="preserve">. </w:t>
      </w:r>
      <w:r w:rsidRPr="00811BA1">
        <w:t>The Company is subject to risk due to fluctuations in the prevailing l</w:t>
      </w:r>
      <w:r w:rsidR="00FA0F64" w:rsidRPr="00811BA1">
        <w:t xml:space="preserve">evels of market interest rates. </w:t>
      </w:r>
      <w:r w:rsidRPr="00811BA1">
        <w:t xml:space="preserve">Any excess cash and cash equivalents are invested at short-term market interest rates. As at the date of the </w:t>
      </w:r>
      <w:r w:rsidR="005920FA" w:rsidRPr="00811BA1">
        <w:t>S</w:t>
      </w:r>
      <w:r w:rsidRPr="00811BA1">
        <w:t xml:space="preserve">tatement of </w:t>
      </w:r>
      <w:r w:rsidR="005920FA" w:rsidRPr="00811BA1">
        <w:t>F</w:t>
      </w:r>
      <w:r w:rsidRPr="00811BA1">
        <w:t xml:space="preserve">inancial </w:t>
      </w:r>
      <w:r w:rsidR="005920FA" w:rsidRPr="00811BA1">
        <w:t>P</w:t>
      </w:r>
      <w:r w:rsidRPr="00811BA1">
        <w:t>osition</w:t>
      </w:r>
      <w:r w:rsidR="005920FA" w:rsidRPr="00811BA1">
        <w:t>,</w:t>
      </w:r>
      <w:r w:rsidRPr="00811BA1">
        <w:t xml:space="preserve"> the majority of the Company’s cash and cash equivalents were held on interest bearing fixed deposit accounts</w:t>
      </w:r>
      <w:r w:rsidR="00646F1E">
        <w:t xml:space="preserve"> at the Partnership</w:t>
      </w:r>
      <w:r w:rsidRPr="00811BA1">
        <w:t>.</w:t>
      </w:r>
      <w:r w:rsidR="00BF6A7E">
        <w:t xml:space="preserve"> Any exposure to interest rate risk at the underlying investment level is captured within price risk.</w:t>
      </w:r>
    </w:p>
    <w:p w14:paraId="7FA301CC" w14:textId="77777777" w:rsidR="00FA0F64" w:rsidRPr="00811BA1" w:rsidRDefault="00FA0F64" w:rsidP="00C32021">
      <w:pPr>
        <w:pStyle w:val="Bodytext"/>
        <w:ind w:left="907"/>
        <w:jc w:val="both"/>
      </w:pPr>
    </w:p>
    <w:p w14:paraId="2B88F30F" w14:textId="4AE7BC0D" w:rsidR="00234DF1" w:rsidRPr="00811BA1" w:rsidRDefault="00234DF1" w:rsidP="00C32021">
      <w:pPr>
        <w:pStyle w:val="Bodytext"/>
        <w:ind w:left="907"/>
        <w:jc w:val="both"/>
      </w:pPr>
      <w:r w:rsidRPr="00811BA1">
        <w:t xml:space="preserve">The Company has no other interest-bearing assets or liabilities as at the reporting date. As a consequence, the Company is only exposed to </w:t>
      </w:r>
      <w:r w:rsidR="00E01E90">
        <w:t xml:space="preserve">minimal </w:t>
      </w:r>
      <w:r w:rsidRPr="00811BA1">
        <w:t xml:space="preserve">variable market interest rate risk. Management does not expect any </w:t>
      </w:r>
      <w:r w:rsidR="003C5543">
        <w:t xml:space="preserve">residual </w:t>
      </w:r>
      <w:r w:rsidRPr="00811BA1">
        <w:t>interest rate</w:t>
      </w:r>
      <w:r w:rsidR="003C5543">
        <w:t xml:space="preserve"> risk</w:t>
      </w:r>
      <w:r w:rsidRPr="00811BA1">
        <w:t xml:space="preserve"> </w:t>
      </w:r>
      <w:r w:rsidR="003C5543">
        <w:t>to be</w:t>
      </w:r>
      <w:r w:rsidRPr="00811BA1">
        <w:t xml:space="preserve"> material</w:t>
      </w:r>
      <w:r w:rsidR="001F46F0">
        <w:t>,</w:t>
      </w:r>
      <w:r w:rsidR="00E01E90">
        <w:t xml:space="preserve"> and</w:t>
      </w:r>
      <w:r w:rsidRPr="00811BA1">
        <w:t xml:space="preserve"> therefore sensitivity analysis has not been provided.</w:t>
      </w:r>
    </w:p>
    <w:p w14:paraId="3FE15B58" w14:textId="77777777" w:rsidR="00FA0F64" w:rsidRPr="00811BA1" w:rsidRDefault="00FA0F64" w:rsidP="00EB7E49">
      <w:pPr>
        <w:pStyle w:val="Bodytext"/>
        <w:ind w:left="907"/>
      </w:pPr>
    </w:p>
    <w:tbl>
      <w:tblPr>
        <w:tblStyle w:val="TableGrid"/>
        <w:tblW w:w="8845"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443"/>
        <w:gridCol w:w="1701"/>
        <w:gridCol w:w="1701"/>
      </w:tblGrid>
      <w:tr w:rsidR="00C46EC3" w:rsidRPr="00811BA1" w14:paraId="6BCD844E" w14:textId="77777777" w:rsidTr="00C46EC3">
        <w:trPr>
          <w:trHeight w:val="693"/>
        </w:trPr>
        <w:tc>
          <w:tcPr>
            <w:tcW w:w="5443" w:type="dxa"/>
            <w:tcBorders>
              <w:bottom w:val="single" w:sz="4" w:space="0" w:color="000000" w:themeColor="text1"/>
            </w:tcBorders>
            <w:vAlign w:val="bottom"/>
          </w:tcPr>
          <w:p w14:paraId="437A1117" w14:textId="77777777" w:rsidR="00C46EC3" w:rsidRPr="00811BA1" w:rsidRDefault="00C46EC3" w:rsidP="00EB7E49">
            <w:pPr>
              <w:pStyle w:val="Bodytext"/>
              <w:jc w:val="right"/>
            </w:pPr>
          </w:p>
        </w:tc>
        <w:tc>
          <w:tcPr>
            <w:tcW w:w="1701" w:type="dxa"/>
            <w:tcBorders>
              <w:bottom w:val="single" w:sz="4" w:space="0" w:color="000000" w:themeColor="text1"/>
            </w:tcBorders>
            <w:vAlign w:val="bottom"/>
          </w:tcPr>
          <w:p w14:paraId="3CEE7C31" w14:textId="77777777" w:rsidR="00C46EC3" w:rsidRPr="00811BA1" w:rsidRDefault="00C46EC3" w:rsidP="00EB7E49">
            <w:pPr>
              <w:pStyle w:val="Bodytext"/>
              <w:jc w:val="right"/>
              <w:rPr>
                <w:b/>
              </w:rPr>
            </w:pPr>
            <w:r w:rsidRPr="00811BA1">
              <w:rPr>
                <w:b/>
              </w:rPr>
              <w:t>31 December</w:t>
            </w:r>
          </w:p>
          <w:p w14:paraId="241F3FAA" w14:textId="721C9577" w:rsidR="00C46EC3" w:rsidRPr="00811BA1" w:rsidRDefault="00C46EC3" w:rsidP="00EB7E49">
            <w:pPr>
              <w:pStyle w:val="Bodytext"/>
              <w:jc w:val="right"/>
              <w:rPr>
                <w:b/>
              </w:rPr>
            </w:pPr>
            <w:r w:rsidRPr="00811BA1">
              <w:rPr>
                <w:b/>
              </w:rPr>
              <w:t>201</w:t>
            </w:r>
            <w:r w:rsidR="00D6375E">
              <w:rPr>
                <w:b/>
              </w:rPr>
              <w:t>9</w:t>
            </w:r>
          </w:p>
          <w:p w14:paraId="5DDA2AC2" w14:textId="77777777" w:rsidR="00C46EC3" w:rsidRPr="00811BA1" w:rsidRDefault="00C46EC3" w:rsidP="00EB7E49">
            <w:pPr>
              <w:pStyle w:val="Bodytext"/>
              <w:jc w:val="right"/>
              <w:rPr>
                <w:b/>
              </w:rPr>
            </w:pPr>
            <w:r w:rsidRPr="00811BA1">
              <w:rPr>
                <w:b/>
              </w:rPr>
              <w:t>$’000</w:t>
            </w:r>
          </w:p>
        </w:tc>
        <w:tc>
          <w:tcPr>
            <w:tcW w:w="1701" w:type="dxa"/>
            <w:tcBorders>
              <w:bottom w:val="single" w:sz="4" w:space="0" w:color="000000" w:themeColor="text1"/>
            </w:tcBorders>
            <w:vAlign w:val="bottom"/>
          </w:tcPr>
          <w:p w14:paraId="16DE22B3" w14:textId="77777777" w:rsidR="00C46EC3" w:rsidRPr="00C46EC3" w:rsidRDefault="00C46EC3" w:rsidP="00184565">
            <w:pPr>
              <w:pStyle w:val="Bodytext"/>
              <w:jc w:val="right"/>
            </w:pPr>
            <w:r w:rsidRPr="00C46EC3">
              <w:t>31 December</w:t>
            </w:r>
          </w:p>
          <w:p w14:paraId="62E5E24D" w14:textId="4D9EE533" w:rsidR="00C46EC3" w:rsidRPr="00C46EC3" w:rsidRDefault="00C46EC3" w:rsidP="00184565">
            <w:pPr>
              <w:pStyle w:val="Bodytext"/>
              <w:jc w:val="right"/>
            </w:pPr>
            <w:r w:rsidRPr="00C46EC3">
              <w:t>201</w:t>
            </w:r>
            <w:r w:rsidR="00D6375E">
              <w:t>8</w:t>
            </w:r>
          </w:p>
          <w:p w14:paraId="7AF93422" w14:textId="2827836F" w:rsidR="00C46EC3" w:rsidRPr="00C46EC3" w:rsidRDefault="00C46EC3" w:rsidP="00EB7E49">
            <w:pPr>
              <w:pStyle w:val="Bodytext"/>
              <w:jc w:val="right"/>
            </w:pPr>
            <w:r w:rsidRPr="00C46EC3">
              <w:t>$’000</w:t>
            </w:r>
          </w:p>
        </w:tc>
      </w:tr>
      <w:tr w:rsidR="00C46EC3" w:rsidRPr="00277324" w14:paraId="27E418C5" w14:textId="77777777" w:rsidTr="00C46EC3">
        <w:tc>
          <w:tcPr>
            <w:tcW w:w="5443" w:type="dxa"/>
            <w:tcBorders>
              <w:top w:val="single" w:sz="4" w:space="0" w:color="000000" w:themeColor="text1"/>
            </w:tcBorders>
          </w:tcPr>
          <w:p w14:paraId="057D4E95" w14:textId="77777777" w:rsidR="00C46EC3" w:rsidRPr="00811BA1" w:rsidRDefault="00C46EC3" w:rsidP="00EB7E49">
            <w:pPr>
              <w:pStyle w:val="Bodytext"/>
              <w:rPr>
                <w:b/>
              </w:rPr>
            </w:pPr>
            <w:r w:rsidRPr="00811BA1">
              <w:rPr>
                <w:b/>
              </w:rPr>
              <w:t>Non-interest bearing</w:t>
            </w:r>
          </w:p>
        </w:tc>
        <w:tc>
          <w:tcPr>
            <w:tcW w:w="1701" w:type="dxa"/>
            <w:tcBorders>
              <w:top w:val="single" w:sz="4" w:space="0" w:color="000000" w:themeColor="text1"/>
            </w:tcBorders>
            <w:vAlign w:val="center"/>
          </w:tcPr>
          <w:p w14:paraId="333C6F4A" w14:textId="77777777" w:rsidR="00C46EC3" w:rsidRPr="00277324" w:rsidRDefault="00C46EC3" w:rsidP="00EB7E49">
            <w:pPr>
              <w:pStyle w:val="Bodytext"/>
              <w:jc w:val="right"/>
              <w:rPr>
                <w:b/>
              </w:rPr>
            </w:pPr>
          </w:p>
        </w:tc>
        <w:tc>
          <w:tcPr>
            <w:tcW w:w="1701" w:type="dxa"/>
            <w:tcBorders>
              <w:top w:val="single" w:sz="4" w:space="0" w:color="000000" w:themeColor="text1"/>
            </w:tcBorders>
            <w:vAlign w:val="center"/>
          </w:tcPr>
          <w:p w14:paraId="751927EB" w14:textId="77777777" w:rsidR="00C46EC3" w:rsidRPr="00C46EC3" w:rsidRDefault="00C46EC3" w:rsidP="00EB7E49">
            <w:pPr>
              <w:pStyle w:val="Bodytext"/>
              <w:jc w:val="right"/>
            </w:pPr>
          </w:p>
        </w:tc>
      </w:tr>
      <w:tr w:rsidR="00C46EC3" w:rsidRPr="00277324" w14:paraId="557120B4" w14:textId="77777777" w:rsidTr="00AA652C">
        <w:tc>
          <w:tcPr>
            <w:tcW w:w="5443" w:type="dxa"/>
            <w:tcBorders>
              <w:bottom w:val="single" w:sz="12" w:space="0" w:color="auto"/>
            </w:tcBorders>
          </w:tcPr>
          <w:p w14:paraId="7497177A" w14:textId="77777777" w:rsidR="00C46EC3" w:rsidRPr="00811BA1" w:rsidRDefault="00C46EC3" w:rsidP="00EB7E49">
            <w:pPr>
              <w:pStyle w:val="Bodytext"/>
            </w:pPr>
            <w:r w:rsidRPr="00811BA1">
              <w:t>Cash and cash equivalents</w:t>
            </w:r>
          </w:p>
        </w:tc>
        <w:tc>
          <w:tcPr>
            <w:tcW w:w="1701" w:type="dxa"/>
            <w:tcBorders>
              <w:bottom w:val="single" w:sz="12" w:space="0" w:color="auto"/>
            </w:tcBorders>
            <w:vAlign w:val="center"/>
          </w:tcPr>
          <w:p w14:paraId="636CA252" w14:textId="57A06F33" w:rsidR="00C46EC3" w:rsidRPr="00277324" w:rsidRDefault="00923C28" w:rsidP="00EB7E49">
            <w:pPr>
              <w:pStyle w:val="Bodytext"/>
              <w:jc w:val="right"/>
              <w:rPr>
                <w:b/>
              </w:rPr>
            </w:pPr>
            <w:r w:rsidRPr="00923C28">
              <w:rPr>
                <w:b/>
              </w:rPr>
              <w:t>211</w:t>
            </w:r>
          </w:p>
        </w:tc>
        <w:tc>
          <w:tcPr>
            <w:tcW w:w="1701" w:type="dxa"/>
            <w:tcBorders>
              <w:bottom w:val="single" w:sz="12" w:space="0" w:color="auto"/>
            </w:tcBorders>
            <w:vAlign w:val="center"/>
          </w:tcPr>
          <w:p w14:paraId="3B704036" w14:textId="1824BA0C" w:rsidR="00C46EC3" w:rsidRPr="00C46EC3" w:rsidRDefault="00D6375E" w:rsidP="00EB7E49">
            <w:pPr>
              <w:pStyle w:val="Bodytext"/>
              <w:jc w:val="right"/>
            </w:pPr>
            <w:r>
              <w:t>2,132</w:t>
            </w:r>
          </w:p>
        </w:tc>
      </w:tr>
    </w:tbl>
    <w:p w14:paraId="700083DC" w14:textId="77777777" w:rsidR="00234DF1" w:rsidRPr="00811BA1" w:rsidRDefault="00234DF1" w:rsidP="00EB7E49">
      <w:pPr>
        <w:pStyle w:val="Bodytext"/>
        <w:ind w:left="907"/>
      </w:pPr>
    </w:p>
    <w:p w14:paraId="5ECF9365" w14:textId="77777777" w:rsidR="00234DF1" w:rsidRPr="00811BA1" w:rsidRDefault="00234DF1" w:rsidP="00C32021">
      <w:pPr>
        <w:pStyle w:val="Heading3"/>
        <w:ind w:left="567"/>
        <w:jc w:val="both"/>
      </w:pPr>
      <w:r w:rsidRPr="00811BA1">
        <w:t>Liquidity risk</w:t>
      </w:r>
    </w:p>
    <w:p w14:paraId="5C5668ED" w14:textId="77777777" w:rsidR="00234DF1" w:rsidRPr="00811BA1" w:rsidRDefault="00234DF1" w:rsidP="00C32021">
      <w:pPr>
        <w:pStyle w:val="Bodytext"/>
        <w:ind w:left="567"/>
        <w:jc w:val="both"/>
      </w:pPr>
      <w:r w:rsidRPr="00811BA1">
        <w:t>Ultimate responsibility for liquidity risk management rests with the Board of Directors</w:t>
      </w:r>
      <w:r w:rsidR="00181DCA" w:rsidRPr="00811BA1">
        <w:t>.</w:t>
      </w:r>
    </w:p>
    <w:p w14:paraId="7A0420C3" w14:textId="77777777" w:rsidR="0038441B" w:rsidRPr="00811BA1" w:rsidRDefault="0038441B" w:rsidP="00C32021">
      <w:pPr>
        <w:pStyle w:val="Bodytext"/>
        <w:ind w:left="567"/>
        <w:jc w:val="both"/>
      </w:pPr>
    </w:p>
    <w:p w14:paraId="0B69E2C9" w14:textId="77777777" w:rsidR="00234DF1" w:rsidRPr="00811BA1" w:rsidRDefault="00234DF1" w:rsidP="00C32021">
      <w:pPr>
        <w:pStyle w:val="Bodytext"/>
        <w:ind w:left="567"/>
        <w:jc w:val="both"/>
      </w:pPr>
      <w:r w:rsidRPr="00811BA1">
        <w:t>Liquidity risk is defined as the risk that the Company may not be able to settle or meet its obligations on</w:t>
      </w:r>
      <w:r w:rsidR="0038441B" w:rsidRPr="00811BA1">
        <w:t xml:space="preserve"> time or at a reasonable price.</w:t>
      </w:r>
    </w:p>
    <w:p w14:paraId="782DFBED" w14:textId="77777777" w:rsidR="0038441B" w:rsidRPr="00811BA1" w:rsidRDefault="0038441B" w:rsidP="00C32021">
      <w:pPr>
        <w:pStyle w:val="Bodytext"/>
        <w:ind w:left="567"/>
        <w:jc w:val="both"/>
      </w:pPr>
    </w:p>
    <w:p w14:paraId="1726BB2C" w14:textId="05A823B3" w:rsidR="00234DF1" w:rsidRPr="00811BA1" w:rsidRDefault="00234DF1" w:rsidP="00C32021">
      <w:pPr>
        <w:pStyle w:val="Bodytext"/>
        <w:ind w:left="567"/>
        <w:jc w:val="both"/>
      </w:pPr>
      <w:r w:rsidRPr="00110349">
        <w:t>The Company adopts a prudent approach to liquidity management and through the preparation of budgets and cash flow forecasts maintains sufficient cash reserves to meet its obli</w:t>
      </w:r>
      <w:r w:rsidRPr="00AA652C">
        <w:t>gations</w:t>
      </w:r>
      <w:r w:rsidR="0098400E" w:rsidRPr="00AA652C">
        <w:t>.</w:t>
      </w:r>
      <w:r w:rsidR="0048293F" w:rsidRPr="00AA652C">
        <w:t xml:space="preserve"> </w:t>
      </w:r>
      <w:r w:rsidR="00AA652C" w:rsidRPr="00AA652C">
        <w:t>T</w:t>
      </w:r>
      <w:r w:rsidR="0048293F" w:rsidRPr="00AA652C">
        <w:t>he Company received</w:t>
      </w:r>
      <w:r w:rsidR="00DA7BC5">
        <w:t xml:space="preserve"> working capital</w:t>
      </w:r>
      <w:r w:rsidR="00AA652C" w:rsidRPr="00AA652C">
        <w:t xml:space="preserve"> distributions of </w:t>
      </w:r>
      <w:r w:rsidR="0048293F" w:rsidRPr="00AA652C">
        <w:t>$</w:t>
      </w:r>
      <w:r w:rsidR="00106581">
        <w:t>2.1</w:t>
      </w:r>
      <w:r w:rsidR="0048293F" w:rsidRPr="00AA652C">
        <w:t xml:space="preserve"> million</w:t>
      </w:r>
      <w:r w:rsidR="00AA652C" w:rsidRPr="00AA652C">
        <w:t xml:space="preserve"> from </w:t>
      </w:r>
      <w:r w:rsidR="0048293F" w:rsidRPr="00AA652C">
        <w:t>the Partnership</w:t>
      </w:r>
      <w:r w:rsidR="00AA652C" w:rsidRPr="00AA652C">
        <w:t xml:space="preserve"> in 201</w:t>
      </w:r>
      <w:r w:rsidR="00D6375E">
        <w:t>9</w:t>
      </w:r>
      <w:r w:rsidR="00FF095C">
        <w:t xml:space="preserve"> (201</w:t>
      </w:r>
      <w:r w:rsidR="00D6375E">
        <w:t>8</w:t>
      </w:r>
      <w:r w:rsidR="00FF095C">
        <w:t>: $</w:t>
      </w:r>
      <w:r w:rsidR="00D6375E">
        <w:t>5.7</w:t>
      </w:r>
      <w:r w:rsidR="00FF095C">
        <w:t xml:space="preserve"> million)</w:t>
      </w:r>
      <w:r w:rsidR="00AA652C" w:rsidRPr="00AA652C">
        <w:t>,</w:t>
      </w:r>
      <w:r w:rsidR="0048293F" w:rsidRPr="00AA652C">
        <w:t xml:space="preserve"> to meet its forecasted liabilities</w:t>
      </w:r>
      <w:r w:rsidR="0048293F" w:rsidRPr="00E066CF">
        <w:t>.</w:t>
      </w:r>
      <w:r w:rsidR="00DA7BC5" w:rsidRPr="00E066CF">
        <w:t xml:space="preserve"> Additionally, the Company received a $7</w:t>
      </w:r>
      <w:r w:rsidR="004C0FF3" w:rsidRPr="00E066CF">
        <w:t>1.5</w:t>
      </w:r>
      <w:r w:rsidR="00DA7BC5" w:rsidRPr="00E066CF">
        <w:t xml:space="preserve"> million distribution from the Partnership to settle the share buyback in Q4 2018.</w:t>
      </w:r>
      <w:r w:rsidR="0098400E" w:rsidRPr="00E066CF">
        <w:t xml:space="preserve"> </w:t>
      </w:r>
      <w:r w:rsidR="00181293">
        <w:t xml:space="preserve">As in prior years, </w:t>
      </w:r>
      <w:r w:rsidR="00181293">
        <w:rPr>
          <w:rFonts w:eastAsia="Calibri"/>
        </w:rPr>
        <w:t>i</w:t>
      </w:r>
      <w:r w:rsidR="00AA652C" w:rsidRPr="00E066CF">
        <w:rPr>
          <w:rFonts w:eastAsia="Calibri"/>
        </w:rPr>
        <w:t xml:space="preserve">n accordance with the Partnership Agreement, </w:t>
      </w:r>
      <w:r w:rsidR="00327293">
        <w:rPr>
          <w:rFonts w:eastAsia="Calibri"/>
        </w:rPr>
        <w:t xml:space="preserve">if </w:t>
      </w:r>
      <w:r w:rsidR="00AA652C" w:rsidRPr="00E066CF">
        <w:rPr>
          <w:rFonts w:eastAsia="Calibri"/>
        </w:rPr>
        <w:t>the Company requir</w:t>
      </w:r>
      <w:r w:rsidR="00327293">
        <w:rPr>
          <w:rFonts w:eastAsia="Calibri"/>
        </w:rPr>
        <w:t>es</w:t>
      </w:r>
      <w:r w:rsidR="00AA652C" w:rsidRPr="00E066CF">
        <w:rPr>
          <w:rFonts w:eastAsia="Calibri"/>
        </w:rPr>
        <w:t xml:space="preserve"> additional funds for working capital, it is entitled to </w:t>
      </w:r>
      <w:r w:rsidR="00AA652C" w:rsidRPr="00E066CF">
        <w:rPr>
          <w:rFonts w:eastAsia="Calibri"/>
        </w:rPr>
        <w:lastRenderedPageBreak/>
        <w:t>receive another distribution from the Partnership.</w:t>
      </w:r>
      <w:r w:rsidR="00181293" w:rsidRPr="00181293">
        <w:t xml:space="preserve"> </w:t>
      </w:r>
      <w:r w:rsidR="00181293">
        <w:t>In order to do so, the Company would submit a distribution request approved by the Board to the Partnership, which would then be required to arrange for the payment of the requested amount. Since REL’s inception, the Company has requested and received five distributions from the Partnership for working capital needs. As of the date of this report, the Partnership has available liquid resources of $207 million in excess of potential unfunded commitments of $135 million, which would enable the Partnership to satisfy an additional distribution request from the Company.</w:t>
      </w:r>
    </w:p>
    <w:p w14:paraId="43E73511" w14:textId="77777777" w:rsidR="0038441B" w:rsidRPr="00811BA1" w:rsidRDefault="0038441B" w:rsidP="00C32021">
      <w:pPr>
        <w:pStyle w:val="Bodytext"/>
        <w:ind w:left="567"/>
        <w:jc w:val="both"/>
      </w:pPr>
    </w:p>
    <w:p w14:paraId="17EB9BDA" w14:textId="77777777" w:rsidR="00234DF1" w:rsidRPr="00811BA1" w:rsidRDefault="00234DF1" w:rsidP="00C32021">
      <w:pPr>
        <w:pStyle w:val="Heading3"/>
        <w:ind w:left="567"/>
        <w:jc w:val="both"/>
      </w:pPr>
      <w:r w:rsidRPr="00811BA1">
        <w:t>Credit risk</w:t>
      </w:r>
    </w:p>
    <w:p w14:paraId="44C6C965" w14:textId="1AFC048E" w:rsidR="00234DF1" w:rsidRPr="00811BA1" w:rsidRDefault="00234DF1" w:rsidP="00C32021">
      <w:pPr>
        <w:pStyle w:val="Bodytext"/>
        <w:ind w:left="567"/>
        <w:jc w:val="both"/>
      </w:pPr>
      <w:r w:rsidRPr="00081323">
        <w:t xml:space="preserve">Credit risk refers to the risk that </w:t>
      </w:r>
      <w:r w:rsidR="00FF2347" w:rsidRPr="00081323">
        <w:t xml:space="preserve">a </w:t>
      </w:r>
      <w:r w:rsidRPr="00081323">
        <w:t>counterparty will default on its contractual obligations resulting in financial loss to the Company.</w:t>
      </w:r>
      <w:r w:rsidR="003C2192">
        <w:t xml:space="preserve"> </w:t>
      </w:r>
      <w:r w:rsidR="003C2192" w:rsidRPr="003C2192">
        <w:t xml:space="preserve">Any exposure to </w:t>
      </w:r>
      <w:r w:rsidR="003C2192">
        <w:t>credit</w:t>
      </w:r>
      <w:r w:rsidR="003C2192" w:rsidRPr="003C2192">
        <w:t xml:space="preserve"> risk at the underlying investment level is captured within price risk.</w:t>
      </w:r>
    </w:p>
    <w:p w14:paraId="5ECCEAFB" w14:textId="77777777" w:rsidR="0038441B" w:rsidRPr="00811BA1" w:rsidRDefault="0038441B" w:rsidP="00C32021">
      <w:pPr>
        <w:pStyle w:val="Bodytext"/>
        <w:ind w:left="567"/>
        <w:jc w:val="both"/>
      </w:pPr>
    </w:p>
    <w:p w14:paraId="765F92A5" w14:textId="7206F9EF" w:rsidR="00234DF1" w:rsidRPr="00811BA1" w:rsidRDefault="00234DF1" w:rsidP="00C32021">
      <w:pPr>
        <w:pStyle w:val="Bodytext"/>
        <w:ind w:left="567"/>
        <w:jc w:val="both"/>
      </w:pPr>
      <w:r w:rsidRPr="00811BA1">
        <w:t>Financial assets mainly consist of cash and cash equivalents and investments at fair value through profit or loss. The Company’s risk on liquid funds</w:t>
      </w:r>
      <w:r w:rsidR="00B911BD">
        <w:t>, including those held by the Partnership</w:t>
      </w:r>
      <w:r w:rsidR="00692216" w:rsidRPr="00692216">
        <w:rPr>
          <w:vertAlign w:val="superscript"/>
        </w:rPr>
        <w:t>(1)</w:t>
      </w:r>
      <w:r w:rsidR="00B911BD">
        <w:t>,</w:t>
      </w:r>
      <w:r w:rsidRPr="00811BA1">
        <w:t xml:space="preserve"> is reduced because it can only deposit monies with institutions with a minimum credit rating of “single A”. The Company mitigates its credit risk exposure on its investment at fair value through profit or loss by the exercise of due diligence on the counterparties of the Partnership, its General Partner and the Investment Manager. </w:t>
      </w:r>
    </w:p>
    <w:p w14:paraId="2C7C6E11" w14:textId="77777777" w:rsidR="0038441B" w:rsidRPr="00811BA1" w:rsidRDefault="0038441B" w:rsidP="00C32021">
      <w:pPr>
        <w:pStyle w:val="Bodytext"/>
        <w:ind w:left="567"/>
        <w:jc w:val="both"/>
      </w:pPr>
    </w:p>
    <w:p w14:paraId="3C973EF1" w14:textId="4E0D5C60" w:rsidR="00234DF1" w:rsidRPr="00811BA1" w:rsidRDefault="00234DF1" w:rsidP="00C32021">
      <w:pPr>
        <w:pStyle w:val="Bodytext"/>
        <w:ind w:left="567"/>
        <w:jc w:val="both"/>
      </w:pPr>
      <w:r w:rsidRPr="00811BA1">
        <w:t xml:space="preserve">The table below shows the material cash balances and the credit rating for the counterparties used at the </w:t>
      </w:r>
      <w:r w:rsidR="00E463F1" w:rsidRPr="00811BA1">
        <w:t>year-end</w:t>
      </w:r>
      <w:r w:rsidRPr="00811BA1">
        <w:t xml:space="preserve"> date:</w:t>
      </w:r>
    </w:p>
    <w:p w14:paraId="1156894E" w14:textId="77777777" w:rsidR="00184957" w:rsidRPr="00811BA1" w:rsidRDefault="00184957" w:rsidP="00C32021">
      <w:pPr>
        <w:pStyle w:val="Bodytext"/>
        <w:ind w:left="567"/>
        <w:jc w:val="both"/>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227"/>
        <w:gridCol w:w="1559"/>
        <w:gridCol w:w="997"/>
        <w:gridCol w:w="1701"/>
        <w:gridCol w:w="1701"/>
      </w:tblGrid>
      <w:tr w:rsidR="00C46EC3" w:rsidRPr="00811BA1" w14:paraId="69FDDFA4" w14:textId="77777777" w:rsidTr="00C46EC3">
        <w:tc>
          <w:tcPr>
            <w:tcW w:w="3227" w:type="dxa"/>
          </w:tcPr>
          <w:p w14:paraId="3FDE4270" w14:textId="77777777" w:rsidR="00C46EC3" w:rsidRPr="00811BA1" w:rsidRDefault="00C46EC3" w:rsidP="00EB7E49">
            <w:pPr>
              <w:pStyle w:val="Bodytext"/>
            </w:pPr>
          </w:p>
        </w:tc>
        <w:tc>
          <w:tcPr>
            <w:tcW w:w="1559" w:type="dxa"/>
          </w:tcPr>
          <w:p w14:paraId="4CA79901" w14:textId="77777777" w:rsidR="00C46EC3" w:rsidRPr="00811BA1" w:rsidRDefault="00C46EC3" w:rsidP="00EB7E49">
            <w:pPr>
              <w:pStyle w:val="Bodytext"/>
            </w:pPr>
          </w:p>
        </w:tc>
        <w:tc>
          <w:tcPr>
            <w:tcW w:w="997" w:type="dxa"/>
          </w:tcPr>
          <w:p w14:paraId="54A59ECB" w14:textId="77777777" w:rsidR="00C46EC3" w:rsidRPr="00811BA1" w:rsidRDefault="00C46EC3" w:rsidP="00EB7E49">
            <w:pPr>
              <w:pStyle w:val="Bodytext"/>
            </w:pPr>
          </w:p>
        </w:tc>
        <w:tc>
          <w:tcPr>
            <w:tcW w:w="1701" w:type="dxa"/>
            <w:vAlign w:val="bottom"/>
          </w:tcPr>
          <w:p w14:paraId="70C9AD02" w14:textId="77777777" w:rsidR="00C46EC3" w:rsidRPr="00811BA1" w:rsidRDefault="00C46EC3" w:rsidP="00EB7E49">
            <w:pPr>
              <w:pStyle w:val="Bodytext"/>
              <w:jc w:val="right"/>
              <w:rPr>
                <w:b/>
              </w:rPr>
            </w:pPr>
            <w:r w:rsidRPr="00811BA1">
              <w:rPr>
                <w:b/>
              </w:rPr>
              <w:t>31 December</w:t>
            </w:r>
          </w:p>
        </w:tc>
        <w:tc>
          <w:tcPr>
            <w:tcW w:w="1701" w:type="dxa"/>
            <w:vAlign w:val="bottom"/>
          </w:tcPr>
          <w:p w14:paraId="3366796F" w14:textId="5F090EF8" w:rsidR="00C46EC3" w:rsidRPr="00C46EC3" w:rsidRDefault="00C46EC3" w:rsidP="00EB7E49">
            <w:pPr>
              <w:pStyle w:val="Bodytext"/>
              <w:jc w:val="right"/>
            </w:pPr>
            <w:r w:rsidRPr="00C46EC3">
              <w:t>31 December</w:t>
            </w:r>
          </w:p>
        </w:tc>
      </w:tr>
      <w:tr w:rsidR="00C46EC3" w:rsidRPr="00811BA1" w14:paraId="20C8EBF2" w14:textId="77777777" w:rsidTr="00C46EC3">
        <w:tc>
          <w:tcPr>
            <w:tcW w:w="3227" w:type="dxa"/>
          </w:tcPr>
          <w:p w14:paraId="4B799941" w14:textId="77777777" w:rsidR="00C46EC3" w:rsidRPr="00811BA1" w:rsidRDefault="00C46EC3" w:rsidP="00EB7E49">
            <w:pPr>
              <w:pStyle w:val="Bodytext"/>
            </w:pPr>
          </w:p>
        </w:tc>
        <w:tc>
          <w:tcPr>
            <w:tcW w:w="1559" w:type="dxa"/>
          </w:tcPr>
          <w:p w14:paraId="12F92410" w14:textId="77777777" w:rsidR="00C46EC3" w:rsidRPr="00811BA1" w:rsidRDefault="00C46EC3" w:rsidP="00EB7E49">
            <w:pPr>
              <w:pStyle w:val="Bodytext"/>
            </w:pPr>
          </w:p>
        </w:tc>
        <w:tc>
          <w:tcPr>
            <w:tcW w:w="997" w:type="dxa"/>
          </w:tcPr>
          <w:p w14:paraId="7AE93E4B" w14:textId="77777777" w:rsidR="00C46EC3" w:rsidRPr="00811BA1" w:rsidRDefault="00C46EC3" w:rsidP="00EB7E49">
            <w:pPr>
              <w:pStyle w:val="Bodytext"/>
            </w:pPr>
          </w:p>
        </w:tc>
        <w:tc>
          <w:tcPr>
            <w:tcW w:w="1701" w:type="dxa"/>
            <w:vAlign w:val="bottom"/>
          </w:tcPr>
          <w:p w14:paraId="6107C432" w14:textId="280ECB69" w:rsidR="00C46EC3" w:rsidRPr="00811BA1" w:rsidRDefault="00C46EC3" w:rsidP="002D2CEC">
            <w:pPr>
              <w:pStyle w:val="Bodytext"/>
              <w:jc w:val="right"/>
              <w:rPr>
                <w:b/>
              </w:rPr>
            </w:pPr>
            <w:r w:rsidRPr="00811BA1">
              <w:rPr>
                <w:b/>
              </w:rPr>
              <w:t>201</w:t>
            </w:r>
            <w:r w:rsidR="00517D8F">
              <w:rPr>
                <w:b/>
              </w:rPr>
              <w:t>9</w:t>
            </w:r>
          </w:p>
        </w:tc>
        <w:tc>
          <w:tcPr>
            <w:tcW w:w="1701" w:type="dxa"/>
            <w:vAlign w:val="bottom"/>
          </w:tcPr>
          <w:p w14:paraId="1D5A5CAF" w14:textId="5A9E4DDD" w:rsidR="00C46EC3" w:rsidRPr="00C46EC3" w:rsidRDefault="00C46EC3" w:rsidP="002D2CEC">
            <w:pPr>
              <w:pStyle w:val="Bodytext"/>
              <w:jc w:val="right"/>
            </w:pPr>
            <w:r w:rsidRPr="00C46EC3">
              <w:t>201</w:t>
            </w:r>
            <w:r w:rsidR="00517D8F">
              <w:t>8</w:t>
            </w:r>
          </w:p>
        </w:tc>
      </w:tr>
      <w:tr w:rsidR="00C46EC3" w:rsidRPr="00811BA1" w14:paraId="1263A516" w14:textId="77777777" w:rsidTr="00C46EC3">
        <w:tc>
          <w:tcPr>
            <w:tcW w:w="3227" w:type="dxa"/>
            <w:tcBorders>
              <w:bottom w:val="single" w:sz="4" w:space="0" w:color="auto"/>
            </w:tcBorders>
          </w:tcPr>
          <w:p w14:paraId="571070C4" w14:textId="77777777" w:rsidR="00C46EC3" w:rsidRPr="00811BA1" w:rsidRDefault="00C46EC3" w:rsidP="00EB7E49">
            <w:pPr>
              <w:pStyle w:val="Bodytext"/>
              <w:rPr>
                <w:b/>
              </w:rPr>
            </w:pPr>
            <w:r w:rsidRPr="00811BA1">
              <w:rPr>
                <w:b/>
              </w:rPr>
              <w:t>Counterparty</w:t>
            </w:r>
          </w:p>
        </w:tc>
        <w:tc>
          <w:tcPr>
            <w:tcW w:w="1559" w:type="dxa"/>
            <w:tcBorders>
              <w:bottom w:val="single" w:sz="4" w:space="0" w:color="auto"/>
            </w:tcBorders>
          </w:tcPr>
          <w:p w14:paraId="2CC2F57B" w14:textId="77777777" w:rsidR="00C46EC3" w:rsidRPr="00811BA1" w:rsidRDefault="00C46EC3" w:rsidP="00EB7E49">
            <w:pPr>
              <w:pStyle w:val="Bodytext"/>
              <w:rPr>
                <w:b/>
              </w:rPr>
            </w:pPr>
            <w:r w:rsidRPr="00811BA1">
              <w:rPr>
                <w:b/>
              </w:rPr>
              <w:t>Location</w:t>
            </w:r>
          </w:p>
        </w:tc>
        <w:tc>
          <w:tcPr>
            <w:tcW w:w="997" w:type="dxa"/>
            <w:tcBorders>
              <w:bottom w:val="single" w:sz="4" w:space="0" w:color="auto"/>
            </w:tcBorders>
          </w:tcPr>
          <w:p w14:paraId="4E504733" w14:textId="77777777" w:rsidR="00C46EC3" w:rsidRPr="00811BA1" w:rsidRDefault="00C46EC3" w:rsidP="00EB7E49">
            <w:pPr>
              <w:pStyle w:val="Bodytext"/>
              <w:rPr>
                <w:b/>
              </w:rPr>
            </w:pPr>
            <w:r w:rsidRPr="00544144">
              <w:rPr>
                <w:b/>
              </w:rPr>
              <w:t>Rating</w:t>
            </w:r>
          </w:p>
        </w:tc>
        <w:tc>
          <w:tcPr>
            <w:tcW w:w="1701" w:type="dxa"/>
            <w:tcBorders>
              <w:bottom w:val="single" w:sz="4" w:space="0" w:color="auto"/>
            </w:tcBorders>
            <w:vAlign w:val="center"/>
          </w:tcPr>
          <w:p w14:paraId="78C84F5C" w14:textId="77777777" w:rsidR="00C46EC3" w:rsidRPr="00811BA1" w:rsidRDefault="00C46EC3" w:rsidP="00EB7E49">
            <w:pPr>
              <w:pStyle w:val="Bodytext"/>
              <w:jc w:val="right"/>
              <w:rPr>
                <w:b/>
              </w:rPr>
            </w:pPr>
            <w:r w:rsidRPr="00811BA1">
              <w:rPr>
                <w:b/>
              </w:rPr>
              <w:t>$’000</w:t>
            </w:r>
          </w:p>
        </w:tc>
        <w:tc>
          <w:tcPr>
            <w:tcW w:w="1701" w:type="dxa"/>
            <w:tcBorders>
              <w:bottom w:val="single" w:sz="4" w:space="0" w:color="auto"/>
            </w:tcBorders>
            <w:vAlign w:val="center"/>
          </w:tcPr>
          <w:p w14:paraId="2880B3E4" w14:textId="2AA3FBF4" w:rsidR="00C46EC3" w:rsidRPr="00C46EC3" w:rsidRDefault="00C46EC3" w:rsidP="00EB7E49">
            <w:pPr>
              <w:pStyle w:val="Bodytext"/>
              <w:jc w:val="right"/>
            </w:pPr>
            <w:r w:rsidRPr="00C46EC3">
              <w:t>$’000</w:t>
            </w:r>
          </w:p>
        </w:tc>
      </w:tr>
      <w:tr w:rsidR="00923C28" w:rsidRPr="00811BA1" w14:paraId="49212AA5" w14:textId="77777777" w:rsidTr="00C46EC3">
        <w:tc>
          <w:tcPr>
            <w:tcW w:w="3227" w:type="dxa"/>
            <w:tcBorders>
              <w:bottom w:val="single" w:sz="4" w:space="0" w:color="auto"/>
            </w:tcBorders>
          </w:tcPr>
          <w:p w14:paraId="0CDE38BB" w14:textId="180B8DCD" w:rsidR="00923C28" w:rsidRPr="00923C28" w:rsidRDefault="00923C28" w:rsidP="00923C28">
            <w:pPr>
              <w:pStyle w:val="Bodytext"/>
            </w:pPr>
            <w:r w:rsidRPr="00923C28">
              <w:t>Barclays Bank Plc</w:t>
            </w:r>
          </w:p>
        </w:tc>
        <w:tc>
          <w:tcPr>
            <w:tcW w:w="1559" w:type="dxa"/>
            <w:tcBorders>
              <w:bottom w:val="single" w:sz="4" w:space="0" w:color="auto"/>
            </w:tcBorders>
          </w:tcPr>
          <w:p w14:paraId="4433165B" w14:textId="30561A8E" w:rsidR="00923C28" w:rsidRPr="00811BA1" w:rsidRDefault="00923C28" w:rsidP="00923C28">
            <w:pPr>
              <w:pStyle w:val="Bodytext"/>
              <w:rPr>
                <w:b/>
              </w:rPr>
            </w:pPr>
            <w:r w:rsidRPr="00811BA1">
              <w:t>Guernsey</w:t>
            </w:r>
          </w:p>
        </w:tc>
        <w:tc>
          <w:tcPr>
            <w:tcW w:w="997" w:type="dxa"/>
            <w:tcBorders>
              <w:bottom w:val="single" w:sz="4" w:space="0" w:color="auto"/>
            </w:tcBorders>
          </w:tcPr>
          <w:p w14:paraId="76ED7247" w14:textId="02016995" w:rsidR="00923C28" w:rsidRPr="00544144" w:rsidRDefault="00544144" w:rsidP="00923C28">
            <w:pPr>
              <w:pStyle w:val="Bodytext"/>
            </w:pPr>
            <w:r w:rsidRPr="00544144">
              <w:t>A</w:t>
            </w:r>
          </w:p>
        </w:tc>
        <w:tc>
          <w:tcPr>
            <w:tcW w:w="1701" w:type="dxa"/>
            <w:tcBorders>
              <w:bottom w:val="single" w:sz="4" w:space="0" w:color="auto"/>
            </w:tcBorders>
            <w:vAlign w:val="center"/>
          </w:tcPr>
          <w:p w14:paraId="0E460A1A" w14:textId="23387954" w:rsidR="00923C28" w:rsidRPr="00811BA1" w:rsidRDefault="00923C28" w:rsidP="00923C28">
            <w:pPr>
              <w:pStyle w:val="Bodytext"/>
              <w:jc w:val="right"/>
              <w:rPr>
                <w:b/>
              </w:rPr>
            </w:pPr>
            <w:r w:rsidRPr="00923C28">
              <w:rPr>
                <w:b/>
              </w:rPr>
              <w:t>211</w:t>
            </w:r>
          </w:p>
        </w:tc>
        <w:tc>
          <w:tcPr>
            <w:tcW w:w="1701" w:type="dxa"/>
            <w:tcBorders>
              <w:bottom w:val="single" w:sz="4" w:space="0" w:color="auto"/>
            </w:tcBorders>
            <w:vAlign w:val="center"/>
          </w:tcPr>
          <w:p w14:paraId="2FFE481C" w14:textId="55293955" w:rsidR="00923C28" w:rsidRPr="00C46EC3" w:rsidRDefault="00923C28" w:rsidP="00923C28">
            <w:pPr>
              <w:pStyle w:val="Bodytext"/>
              <w:jc w:val="right"/>
            </w:pPr>
            <w:r w:rsidRPr="00D6375E">
              <w:t>–</w:t>
            </w:r>
          </w:p>
        </w:tc>
      </w:tr>
      <w:tr w:rsidR="00923C28" w:rsidRPr="00811BA1" w14:paraId="168FBB92" w14:textId="77777777" w:rsidTr="00C46EC3">
        <w:tc>
          <w:tcPr>
            <w:tcW w:w="3227" w:type="dxa"/>
            <w:tcBorders>
              <w:top w:val="single" w:sz="4" w:space="0" w:color="auto"/>
              <w:bottom w:val="single" w:sz="18" w:space="0" w:color="auto"/>
            </w:tcBorders>
          </w:tcPr>
          <w:p w14:paraId="17FABC80" w14:textId="174054CE" w:rsidR="00923C28" w:rsidRPr="00811BA1" w:rsidRDefault="00923C28" w:rsidP="00923C28">
            <w:pPr>
              <w:pStyle w:val="Bodytext"/>
            </w:pPr>
            <w:r w:rsidRPr="00811BA1">
              <w:t>ABN Amro (Guernsey) Limited</w:t>
            </w:r>
          </w:p>
        </w:tc>
        <w:tc>
          <w:tcPr>
            <w:tcW w:w="1559" w:type="dxa"/>
            <w:tcBorders>
              <w:top w:val="single" w:sz="4" w:space="0" w:color="auto"/>
              <w:bottom w:val="single" w:sz="18" w:space="0" w:color="auto"/>
            </w:tcBorders>
          </w:tcPr>
          <w:p w14:paraId="091E38B2" w14:textId="3658DB69" w:rsidR="00923C28" w:rsidRPr="00811BA1" w:rsidRDefault="00923C28" w:rsidP="00923C28">
            <w:pPr>
              <w:pStyle w:val="Bodytext"/>
            </w:pPr>
            <w:r w:rsidRPr="00811BA1">
              <w:t>Guernsey</w:t>
            </w:r>
          </w:p>
        </w:tc>
        <w:tc>
          <w:tcPr>
            <w:tcW w:w="997" w:type="dxa"/>
            <w:tcBorders>
              <w:top w:val="single" w:sz="4" w:space="0" w:color="auto"/>
              <w:bottom w:val="single" w:sz="18" w:space="0" w:color="auto"/>
            </w:tcBorders>
          </w:tcPr>
          <w:p w14:paraId="6771AEFF" w14:textId="724573A7" w:rsidR="00923C28" w:rsidRPr="00811BA1" w:rsidRDefault="00923C28" w:rsidP="00923C28">
            <w:pPr>
              <w:pStyle w:val="Bodytext"/>
            </w:pPr>
            <w:r>
              <w:t>A</w:t>
            </w:r>
          </w:p>
        </w:tc>
        <w:tc>
          <w:tcPr>
            <w:tcW w:w="1701" w:type="dxa"/>
            <w:tcBorders>
              <w:top w:val="single" w:sz="4" w:space="0" w:color="auto"/>
              <w:bottom w:val="single" w:sz="18" w:space="0" w:color="auto"/>
            </w:tcBorders>
            <w:vAlign w:val="center"/>
          </w:tcPr>
          <w:p w14:paraId="0F535E88" w14:textId="298945F3" w:rsidR="00923C28" w:rsidRPr="00811BA1" w:rsidRDefault="00923C28" w:rsidP="00923C28">
            <w:pPr>
              <w:pStyle w:val="Bodytext"/>
              <w:jc w:val="right"/>
              <w:rPr>
                <w:b/>
              </w:rPr>
            </w:pPr>
            <w:r w:rsidRPr="00D6375E">
              <w:t>–</w:t>
            </w:r>
          </w:p>
        </w:tc>
        <w:tc>
          <w:tcPr>
            <w:tcW w:w="1701" w:type="dxa"/>
            <w:tcBorders>
              <w:top w:val="single" w:sz="4" w:space="0" w:color="auto"/>
              <w:bottom w:val="single" w:sz="18" w:space="0" w:color="auto"/>
            </w:tcBorders>
            <w:vAlign w:val="center"/>
          </w:tcPr>
          <w:p w14:paraId="5314FBA8" w14:textId="700C0142" w:rsidR="00923C28" w:rsidRPr="00C46EC3" w:rsidRDefault="00923C28" w:rsidP="00923C28">
            <w:pPr>
              <w:pStyle w:val="Bodytext"/>
              <w:jc w:val="right"/>
            </w:pPr>
            <w:r>
              <w:t>2,132</w:t>
            </w:r>
          </w:p>
        </w:tc>
      </w:tr>
    </w:tbl>
    <w:p w14:paraId="79D33773" w14:textId="256EBB25" w:rsidR="00234DF1" w:rsidRPr="00B911BD" w:rsidRDefault="00B911BD" w:rsidP="00C32021">
      <w:pPr>
        <w:pStyle w:val="Bodytext"/>
        <w:ind w:left="567"/>
        <w:jc w:val="both"/>
        <w:rPr>
          <w:sz w:val="16"/>
          <w:szCs w:val="16"/>
        </w:rPr>
      </w:pPr>
      <w:r w:rsidRPr="00B911BD">
        <w:rPr>
          <w:sz w:val="16"/>
          <w:szCs w:val="16"/>
          <w:vertAlign w:val="superscript"/>
        </w:rPr>
        <w:t>(1)</w:t>
      </w:r>
      <w:r>
        <w:rPr>
          <w:sz w:val="16"/>
          <w:szCs w:val="16"/>
        </w:rPr>
        <w:t xml:space="preserve"> The Partnership hold its cash and cash equivalents at Barclays Bank Plc</w:t>
      </w:r>
      <w:r w:rsidR="00692216">
        <w:rPr>
          <w:sz w:val="16"/>
          <w:szCs w:val="16"/>
        </w:rPr>
        <w:t xml:space="preserve"> (Rating: A)</w:t>
      </w:r>
      <w:r>
        <w:rPr>
          <w:sz w:val="16"/>
          <w:szCs w:val="16"/>
        </w:rPr>
        <w:t>, Citibank</w:t>
      </w:r>
      <w:r w:rsidR="00692216">
        <w:rPr>
          <w:sz w:val="16"/>
          <w:szCs w:val="16"/>
        </w:rPr>
        <w:t xml:space="preserve"> (Rating: A+)</w:t>
      </w:r>
      <w:r>
        <w:rPr>
          <w:sz w:val="16"/>
          <w:szCs w:val="16"/>
        </w:rPr>
        <w:t xml:space="preserve"> and JPMorgan Bank Luxembourg S.A.</w:t>
      </w:r>
      <w:r w:rsidR="00692216">
        <w:rPr>
          <w:sz w:val="16"/>
          <w:szCs w:val="16"/>
        </w:rPr>
        <w:t xml:space="preserve"> (Rating AA-)</w:t>
      </w:r>
    </w:p>
    <w:p w14:paraId="218DC06F" w14:textId="77777777" w:rsidR="00B911BD" w:rsidRPr="00811BA1" w:rsidRDefault="00B911BD" w:rsidP="00C32021">
      <w:pPr>
        <w:pStyle w:val="Bodytext"/>
        <w:ind w:left="567"/>
        <w:jc w:val="both"/>
      </w:pPr>
    </w:p>
    <w:p w14:paraId="3703387B" w14:textId="1C4E09C0" w:rsidR="002003C4" w:rsidRPr="00811BA1" w:rsidRDefault="00234DF1" w:rsidP="00C32021">
      <w:pPr>
        <w:pStyle w:val="Bodytext"/>
        <w:ind w:left="567"/>
        <w:jc w:val="both"/>
      </w:pPr>
      <w:r w:rsidRPr="00811BA1">
        <w:t>The Company’s maximum exposure to loss of capital</w:t>
      </w:r>
      <w:r w:rsidR="00ED411D">
        <w:t xml:space="preserve"> from credit risk</w:t>
      </w:r>
      <w:r w:rsidRPr="00811BA1">
        <w:t xml:space="preserve"> at the </w:t>
      </w:r>
      <w:r w:rsidR="00E463F1" w:rsidRPr="00811BA1">
        <w:t>year-end</w:t>
      </w:r>
      <w:r w:rsidRPr="00811BA1">
        <w:t xml:space="preserve"> is shown below:</w:t>
      </w:r>
    </w:p>
    <w:p w14:paraId="119A8A59" w14:textId="77777777" w:rsidR="00234DF1" w:rsidRPr="00811BA1" w:rsidRDefault="00234DF1" w:rsidP="00EB7E49">
      <w:pPr>
        <w:pStyle w:val="Bodytext"/>
        <w:ind w:left="567"/>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95"/>
        <w:gridCol w:w="2670"/>
      </w:tblGrid>
      <w:tr w:rsidR="00C504FC" w:rsidRPr="00811BA1" w14:paraId="6FF120BE" w14:textId="77777777" w:rsidTr="00ED411D">
        <w:trPr>
          <w:trHeight w:val="690"/>
        </w:trPr>
        <w:tc>
          <w:tcPr>
            <w:tcW w:w="6395" w:type="dxa"/>
            <w:tcBorders>
              <w:bottom w:val="single" w:sz="4" w:space="0" w:color="auto"/>
            </w:tcBorders>
            <w:vAlign w:val="bottom"/>
          </w:tcPr>
          <w:p w14:paraId="70BA2CA1" w14:textId="17992861" w:rsidR="00C504FC" w:rsidRPr="00811BA1" w:rsidRDefault="00610498" w:rsidP="00EB7E49">
            <w:pPr>
              <w:pStyle w:val="Bodytext"/>
              <w:rPr>
                <w:b/>
              </w:rPr>
            </w:pPr>
            <w:r>
              <w:rPr>
                <w:b/>
              </w:rPr>
              <w:t>31 December 201</w:t>
            </w:r>
            <w:r w:rsidR="00517D8F">
              <w:rPr>
                <w:b/>
              </w:rPr>
              <w:t>9</w:t>
            </w:r>
          </w:p>
        </w:tc>
        <w:tc>
          <w:tcPr>
            <w:tcW w:w="2670" w:type="dxa"/>
            <w:tcBorders>
              <w:bottom w:val="single" w:sz="4" w:space="0" w:color="auto"/>
            </w:tcBorders>
            <w:vAlign w:val="bottom"/>
          </w:tcPr>
          <w:p w14:paraId="314F1473" w14:textId="77777777" w:rsidR="00C504FC" w:rsidRPr="00811BA1" w:rsidRDefault="00C504FC" w:rsidP="00EB7E49">
            <w:pPr>
              <w:pStyle w:val="Bodytext"/>
              <w:jc w:val="right"/>
              <w:rPr>
                <w:b/>
              </w:rPr>
            </w:pPr>
            <w:r w:rsidRPr="00811BA1">
              <w:rPr>
                <w:b/>
              </w:rPr>
              <w:t>Carrying Value and Maximum exposure</w:t>
            </w:r>
          </w:p>
          <w:p w14:paraId="41D05246" w14:textId="77777777" w:rsidR="00C504FC" w:rsidRPr="00811BA1" w:rsidRDefault="00C504FC" w:rsidP="00EB7E49">
            <w:pPr>
              <w:pStyle w:val="Bodytext"/>
              <w:jc w:val="right"/>
              <w:rPr>
                <w:b/>
              </w:rPr>
            </w:pPr>
            <w:r w:rsidRPr="00811BA1">
              <w:rPr>
                <w:b/>
              </w:rPr>
              <w:t>$’000</w:t>
            </w:r>
          </w:p>
        </w:tc>
      </w:tr>
      <w:tr w:rsidR="005805C3" w:rsidRPr="00081323" w14:paraId="18045834" w14:textId="77777777" w:rsidTr="00ED411D">
        <w:tc>
          <w:tcPr>
            <w:tcW w:w="6395" w:type="dxa"/>
            <w:tcBorders>
              <w:bottom w:val="single" w:sz="18" w:space="0" w:color="auto"/>
            </w:tcBorders>
          </w:tcPr>
          <w:p w14:paraId="4ABB2567" w14:textId="7325A754" w:rsidR="005805C3" w:rsidRPr="00081323" w:rsidRDefault="004C0FF3" w:rsidP="00EB7E49">
            <w:pPr>
              <w:pStyle w:val="Bodytext"/>
            </w:pPr>
            <w:r>
              <w:t>Other financial assets</w:t>
            </w:r>
            <w:r w:rsidR="005805C3" w:rsidRPr="00081323">
              <w:t xml:space="preserve"> (including cash and cash equivalents but excluding prepayments)</w:t>
            </w:r>
          </w:p>
        </w:tc>
        <w:tc>
          <w:tcPr>
            <w:tcW w:w="2670" w:type="dxa"/>
            <w:tcBorders>
              <w:bottom w:val="single" w:sz="18" w:space="0" w:color="auto"/>
            </w:tcBorders>
            <w:vAlign w:val="bottom"/>
          </w:tcPr>
          <w:p w14:paraId="0896B0AB" w14:textId="70872A03" w:rsidR="005805C3" w:rsidRPr="005805C3" w:rsidRDefault="00923C28" w:rsidP="00EB7E49">
            <w:pPr>
              <w:pStyle w:val="Bodytext"/>
              <w:jc w:val="right"/>
              <w:rPr>
                <w:b/>
                <w:bCs/>
              </w:rPr>
            </w:pPr>
            <w:r w:rsidRPr="00923C28">
              <w:rPr>
                <w:b/>
                <w:bCs/>
              </w:rPr>
              <w:t>211</w:t>
            </w:r>
          </w:p>
        </w:tc>
      </w:tr>
    </w:tbl>
    <w:p w14:paraId="38E054F0" w14:textId="77777777" w:rsidR="002003C4" w:rsidRPr="00081323" w:rsidRDefault="002003C4" w:rsidP="00EB7E49">
      <w:pPr>
        <w:pStyle w:val="Bodytext"/>
        <w:ind w:left="567"/>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25"/>
        <w:gridCol w:w="2740"/>
      </w:tblGrid>
      <w:tr w:rsidR="001D3FCE" w:rsidRPr="00081323" w14:paraId="3CF15CAA" w14:textId="77777777" w:rsidTr="00ED411D">
        <w:trPr>
          <w:trHeight w:val="463"/>
        </w:trPr>
        <w:tc>
          <w:tcPr>
            <w:tcW w:w="6325" w:type="dxa"/>
            <w:tcBorders>
              <w:bottom w:val="single" w:sz="4" w:space="0" w:color="auto"/>
            </w:tcBorders>
            <w:vAlign w:val="bottom"/>
          </w:tcPr>
          <w:p w14:paraId="11273D5A" w14:textId="2455BE63" w:rsidR="001D3FCE" w:rsidRPr="00736466" w:rsidRDefault="00610498" w:rsidP="00EB7E49">
            <w:pPr>
              <w:pStyle w:val="Bodytext"/>
            </w:pPr>
            <w:r>
              <w:t>31 December 201</w:t>
            </w:r>
            <w:r w:rsidR="00517D8F">
              <w:t>8</w:t>
            </w:r>
          </w:p>
        </w:tc>
        <w:tc>
          <w:tcPr>
            <w:tcW w:w="2740" w:type="dxa"/>
            <w:tcBorders>
              <w:bottom w:val="single" w:sz="4" w:space="0" w:color="auto"/>
            </w:tcBorders>
            <w:vAlign w:val="bottom"/>
          </w:tcPr>
          <w:p w14:paraId="29696815" w14:textId="77777777" w:rsidR="001D3FCE" w:rsidRPr="00081323" w:rsidRDefault="001D3FCE" w:rsidP="00EB7E49">
            <w:pPr>
              <w:pStyle w:val="Bodytext"/>
              <w:jc w:val="right"/>
            </w:pPr>
            <w:r w:rsidRPr="00081323">
              <w:t>Carrying Value and Maximum exposure</w:t>
            </w:r>
          </w:p>
          <w:p w14:paraId="4BCAC4EC" w14:textId="77777777" w:rsidR="001D3FCE" w:rsidRPr="00081323" w:rsidRDefault="001D3FCE" w:rsidP="00EB7E49">
            <w:pPr>
              <w:pStyle w:val="Bodytext"/>
              <w:jc w:val="right"/>
            </w:pPr>
            <w:r w:rsidRPr="00081323">
              <w:t>$’000</w:t>
            </w:r>
          </w:p>
        </w:tc>
      </w:tr>
      <w:tr w:rsidR="002D2CEC" w:rsidRPr="00811BA1" w14:paraId="709430D8" w14:textId="77777777" w:rsidTr="00ED411D">
        <w:tc>
          <w:tcPr>
            <w:tcW w:w="6325" w:type="dxa"/>
            <w:tcBorders>
              <w:bottom w:val="single" w:sz="18" w:space="0" w:color="auto"/>
            </w:tcBorders>
          </w:tcPr>
          <w:p w14:paraId="5540F1C4" w14:textId="06912639" w:rsidR="002D2CEC" w:rsidRPr="00811BA1" w:rsidRDefault="004C0FF3" w:rsidP="002D2CEC">
            <w:pPr>
              <w:pStyle w:val="Bodytext"/>
            </w:pPr>
            <w:r>
              <w:t>Other financial assets</w:t>
            </w:r>
            <w:r w:rsidR="002D2CEC" w:rsidRPr="00811BA1">
              <w:t xml:space="preserve"> (including cash and cash equivalents but excluding prepayments)</w:t>
            </w:r>
          </w:p>
        </w:tc>
        <w:tc>
          <w:tcPr>
            <w:tcW w:w="2740" w:type="dxa"/>
            <w:tcBorders>
              <w:bottom w:val="single" w:sz="18" w:space="0" w:color="auto"/>
            </w:tcBorders>
            <w:vAlign w:val="center"/>
          </w:tcPr>
          <w:p w14:paraId="3787D21B" w14:textId="4E17BC81" w:rsidR="002D2CEC" w:rsidRPr="00C46EC3" w:rsidRDefault="00517D8F" w:rsidP="002D2CEC">
            <w:pPr>
              <w:pStyle w:val="Bodytext"/>
              <w:jc w:val="right"/>
            </w:pPr>
            <w:r>
              <w:t>2,132</w:t>
            </w:r>
          </w:p>
        </w:tc>
      </w:tr>
    </w:tbl>
    <w:p w14:paraId="0022C2E9" w14:textId="77777777" w:rsidR="002003C4" w:rsidRPr="00811BA1" w:rsidRDefault="002003C4" w:rsidP="00EB7E49">
      <w:pPr>
        <w:pStyle w:val="Bodytext"/>
        <w:ind w:left="567"/>
      </w:pPr>
    </w:p>
    <w:p w14:paraId="509C229C" w14:textId="77777777" w:rsidR="00234DF1" w:rsidRPr="00811BA1" w:rsidRDefault="00234DF1" w:rsidP="00C32021">
      <w:pPr>
        <w:pStyle w:val="Heading3"/>
        <w:ind w:left="567"/>
        <w:jc w:val="both"/>
      </w:pPr>
      <w:r w:rsidRPr="00811BA1">
        <w:t>Gearing</w:t>
      </w:r>
    </w:p>
    <w:p w14:paraId="10E89CD5" w14:textId="3D491365" w:rsidR="00234DF1" w:rsidRPr="00811BA1" w:rsidRDefault="00234DF1" w:rsidP="00C32021">
      <w:pPr>
        <w:pStyle w:val="Bodytext"/>
        <w:ind w:left="567"/>
        <w:jc w:val="both"/>
      </w:pPr>
      <w:r w:rsidRPr="00811BA1">
        <w:t>As at the date of these Financial Statements the Company itself has no gearing</w:t>
      </w:r>
      <w:r w:rsidR="00FF2347">
        <w:t xml:space="preserve">. The Company </w:t>
      </w:r>
      <w:r w:rsidRPr="00811BA1">
        <w:t>may have</w:t>
      </w:r>
      <w:r w:rsidR="00FF2347">
        <w:t xml:space="preserve"> </w:t>
      </w:r>
      <w:r w:rsidRPr="00811BA1">
        <w:t>indirect gearing through the operations of the underlying investee companies.</w:t>
      </w:r>
      <w:r w:rsidR="00BC4179" w:rsidRPr="00811BA1">
        <w:t xml:space="preserve"> </w:t>
      </w:r>
    </w:p>
    <w:p w14:paraId="0F2ED50F" w14:textId="77777777" w:rsidR="00C83EDE" w:rsidRPr="00811BA1" w:rsidRDefault="00C83EDE" w:rsidP="00EB7E49">
      <w:pPr>
        <w:pStyle w:val="Bodytext"/>
        <w:ind w:left="567"/>
      </w:pPr>
    </w:p>
    <w:p w14:paraId="58C519CE" w14:textId="5458CA8D" w:rsidR="00E23070" w:rsidRPr="00811BA1" w:rsidRDefault="000B696A" w:rsidP="00EB7E49">
      <w:pPr>
        <w:pStyle w:val="Heading2"/>
      </w:pPr>
      <w:r w:rsidRPr="00811BA1">
        <w:t>1</w:t>
      </w:r>
      <w:r w:rsidR="00527E4F">
        <w:t>2</w:t>
      </w:r>
      <w:r w:rsidR="00E23070" w:rsidRPr="00811BA1">
        <w:t>.</w:t>
      </w:r>
      <w:r w:rsidR="00E23070" w:rsidRPr="00811BA1">
        <w:tab/>
        <w:t>Segmental reporting</w:t>
      </w:r>
    </w:p>
    <w:p w14:paraId="1C7BD52C" w14:textId="0CF16809" w:rsidR="00E23070" w:rsidRPr="00811BA1" w:rsidRDefault="00E23070" w:rsidP="00C32021">
      <w:pPr>
        <w:pStyle w:val="Bodytext"/>
        <w:ind w:left="567"/>
        <w:jc w:val="both"/>
      </w:pPr>
      <w:r w:rsidRPr="00811BA1">
        <w:t xml:space="preserve">Operating segments are reported in a manner consistent with the internal reporting provided to the chief operating decision-maker. The chief operating decision-maker, who is responsible for allocating resources and assessing performance of the operating segments, has been identified as the Board of Directors, as a whole. The key measure of performance used by the Board to assess the Company’s performance and to allocate resources is the </w:t>
      </w:r>
      <w:r w:rsidR="00E90BA6">
        <w:t>T</w:t>
      </w:r>
      <w:r w:rsidRPr="00811BA1">
        <w:t xml:space="preserve">otal </w:t>
      </w:r>
      <w:r w:rsidR="00E90BA6">
        <w:t>R</w:t>
      </w:r>
      <w:r w:rsidRPr="00811BA1">
        <w:t>eturn on</w:t>
      </w:r>
      <w:r w:rsidR="005304C4">
        <w:t xml:space="preserve"> the Company’s Net Asset Value </w:t>
      </w:r>
      <w:r w:rsidRPr="00811BA1">
        <w:t>and therefore no reconciliation is required between the measure of profit or loss used by the Board and that contained in the Financial Statements.</w:t>
      </w:r>
    </w:p>
    <w:p w14:paraId="55ADAA96" w14:textId="77777777" w:rsidR="00E23070" w:rsidRPr="00811BA1" w:rsidRDefault="00E23070" w:rsidP="00C32021">
      <w:pPr>
        <w:pStyle w:val="Bodytext"/>
        <w:ind w:left="567"/>
        <w:jc w:val="both"/>
      </w:pPr>
    </w:p>
    <w:p w14:paraId="02761FC7" w14:textId="77777777" w:rsidR="00E23070" w:rsidRPr="00811BA1" w:rsidRDefault="00E23070" w:rsidP="00C32021">
      <w:pPr>
        <w:pStyle w:val="Bodytext"/>
        <w:ind w:left="567"/>
        <w:jc w:val="both"/>
      </w:pPr>
      <w:r w:rsidRPr="00811BA1">
        <w:t>For management purposes, the Company is organised into one main operating segment, which invests in one limited partnership.</w:t>
      </w:r>
    </w:p>
    <w:p w14:paraId="08ADBC42" w14:textId="77777777" w:rsidR="00E23070" w:rsidRPr="00811BA1" w:rsidRDefault="00E23070" w:rsidP="00C32021">
      <w:pPr>
        <w:pStyle w:val="Bodytext"/>
        <w:ind w:left="567"/>
        <w:jc w:val="both"/>
      </w:pPr>
    </w:p>
    <w:p w14:paraId="0C1BF4D7" w14:textId="77777777" w:rsidR="00E23070" w:rsidRPr="00811BA1" w:rsidRDefault="00E23070" w:rsidP="00C32021">
      <w:pPr>
        <w:pStyle w:val="Bodytext"/>
        <w:ind w:left="567"/>
        <w:jc w:val="both"/>
      </w:pPr>
      <w:r w:rsidRPr="00811BA1">
        <w:t>All of the Company’s income is derived from within Guernsey and the Cayman Islands.</w:t>
      </w:r>
    </w:p>
    <w:p w14:paraId="278CA3CE" w14:textId="77777777" w:rsidR="00E23070" w:rsidRPr="00811BA1" w:rsidRDefault="00E23070" w:rsidP="00C32021">
      <w:pPr>
        <w:pStyle w:val="Bodytext"/>
        <w:ind w:left="567"/>
        <w:jc w:val="both"/>
      </w:pPr>
    </w:p>
    <w:p w14:paraId="5974D9E6" w14:textId="77777777" w:rsidR="00E23070" w:rsidRPr="00811BA1" w:rsidRDefault="00E23070" w:rsidP="00C32021">
      <w:pPr>
        <w:pStyle w:val="Bodytext"/>
        <w:ind w:left="567"/>
        <w:jc w:val="both"/>
      </w:pPr>
      <w:r w:rsidRPr="00811BA1">
        <w:t>All of the Company’s non-current assets are located in the Cayman Islands.</w:t>
      </w:r>
    </w:p>
    <w:p w14:paraId="72D82B1D" w14:textId="77777777" w:rsidR="00E23070" w:rsidRPr="00811BA1" w:rsidRDefault="00E23070" w:rsidP="00C32021">
      <w:pPr>
        <w:pStyle w:val="Bodytext"/>
        <w:ind w:left="567"/>
        <w:jc w:val="both"/>
      </w:pPr>
    </w:p>
    <w:p w14:paraId="69FADA37" w14:textId="77777777" w:rsidR="00E23070" w:rsidRPr="00811BA1" w:rsidRDefault="00E23070" w:rsidP="00C32021">
      <w:pPr>
        <w:pStyle w:val="Bodytext"/>
        <w:ind w:left="567"/>
        <w:jc w:val="both"/>
      </w:pPr>
      <w:r w:rsidRPr="00811BA1">
        <w:t>Due to the Company’s nature, it has no customers.</w:t>
      </w:r>
    </w:p>
    <w:p w14:paraId="46D5574B" w14:textId="77777777" w:rsidR="00234DF1" w:rsidRDefault="00234DF1" w:rsidP="00EB7E49">
      <w:pPr>
        <w:pStyle w:val="Bodytext"/>
        <w:ind w:left="567"/>
      </w:pPr>
    </w:p>
    <w:p w14:paraId="0182AFC4" w14:textId="6D5F6813" w:rsidR="00234DF1" w:rsidRPr="00811BA1" w:rsidRDefault="000B696A" w:rsidP="00EB7E49">
      <w:pPr>
        <w:pStyle w:val="Heading2"/>
      </w:pPr>
      <w:r w:rsidRPr="00811BA1">
        <w:t>1</w:t>
      </w:r>
      <w:r w:rsidR="00527E4F">
        <w:t>3</w:t>
      </w:r>
      <w:r w:rsidR="00234DF1" w:rsidRPr="00811BA1">
        <w:t>.</w:t>
      </w:r>
      <w:r w:rsidR="00234DF1" w:rsidRPr="00811BA1">
        <w:tab/>
        <w:t xml:space="preserve">Earnings per </w:t>
      </w:r>
      <w:r w:rsidR="00546CC0">
        <w:t>S</w:t>
      </w:r>
      <w:r w:rsidR="00546CC0" w:rsidRPr="00811BA1">
        <w:t xml:space="preserve">hare </w:t>
      </w:r>
      <w:r w:rsidR="00234DF1" w:rsidRPr="00811BA1">
        <w:t xml:space="preserve">and Net Asset Value per </w:t>
      </w:r>
      <w:r w:rsidR="00546CC0">
        <w:t>S</w:t>
      </w:r>
      <w:r w:rsidR="00546CC0" w:rsidRPr="00811BA1">
        <w:t>hare</w:t>
      </w:r>
    </w:p>
    <w:p w14:paraId="7863339D" w14:textId="77777777" w:rsidR="00C83EDE" w:rsidRDefault="00C83EDE" w:rsidP="00EB7E49">
      <w:pPr>
        <w:pStyle w:val="Heading3"/>
        <w:ind w:left="567"/>
      </w:pPr>
    </w:p>
    <w:p w14:paraId="0D9DABAD" w14:textId="6DF4CEFE" w:rsidR="00234DF1" w:rsidRPr="00811BA1" w:rsidRDefault="00234DF1" w:rsidP="00EB7E49">
      <w:pPr>
        <w:pStyle w:val="Heading3"/>
        <w:ind w:left="567"/>
      </w:pPr>
      <w:r w:rsidRPr="00811BA1">
        <w:t xml:space="preserve">Earnings per </w:t>
      </w:r>
      <w:r w:rsidR="00546CC0">
        <w:t>S</w:t>
      </w:r>
      <w:r w:rsidR="00546CC0" w:rsidRPr="00811BA1">
        <w:t>hare</w:t>
      </w:r>
    </w:p>
    <w:tbl>
      <w:tblPr>
        <w:tblStyle w:val="TableGrid"/>
        <w:tblW w:w="94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118"/>
        <w:gridCol w:w="1572"/>
        <w:gridCol w:w="1547"/>
        <w:gridCol w:w="1598"/>
        <w:gridCol w:w="1573"/>
      </w:tblGrid>
      <w:tr w:rsidR="00C83EDE" w:rsidRPr="00811BA1" w14:paraId="07DEBD92" w14:textId="12AC75CA" w:rsidTr="00517D8F">
        <w:trPr>
          <w:trHeight w:val="460"/>
        </w:trPr>
        <w:tc>
          <w:tcPr>
            <w:tcW w:w="3118" w:type="dxa"/>
            <w:vMerge w:val="restart"/>
          </w:tcPr>
          <w:p w14:paraId="62C03B3E" w14:textId="77777777" w:rsidR="00C83EDE" w:rsidRPr="00811BA1" w:rsidRDefault="00C83EDE" w:rsidP="00EB7E49">
            <w:pPr>
              <w:pStyle w:val="Bodytext"/>
            </w:pPr>
          </w:p>
        </w:tc>
        <w:tc>
          <w:tcPr>
            <w:tcW w:w="3119" w:type="dxa"/>
            <w:gridSpan w:val="2"/>
            <w:vAlign w:val="center"/>
          </w:tcPr>
          <w:p w14:paraId="39F1AF4C" w14:textId="7FA772D5" w:rsidR="00C83EDE" w:rsidRPr="00811BA1" w:rsidRDefault="00610498" w:rsidP="00EB7E49">
            <w:pPr>
              <w:pStyle w:val="Bodytext"/>
              <w:jc w:val="right"/>
              <w:rPr>
                <w:b/>
              </w:rPr>
            </w:pPr>
            <w:r>
              <w:rPr>
                <w:b/>
              </w:rPr>
              <w:t>31 December 201</w:t>
            </w:r>
            <w:r w:rsidR="00517D8F">
              <w:rPr>
                <w:b/>
              </w:rPr>
              <w:t>9</w:t>
            </w:r>
          </w:p>
        </w:tc>
        <w:tc>
          <w:tcPr>
            <w:tcW w:w="3171" w:type="dxa"/>
            <w:gridSpan w:val="2"/>
            <w:vAlign w:val="center"/>
          </w:tcPr>
          <w:p w14:paraId="7D2F7B6E" w14:textId="55ED4AA4" w:rsidR="00C83EDE" w:rsidRPr="00811BA1" w:rsidRDefault="00C83EDE" w:rsidP="00610498">
            <w:pPr>
              <w:pStyle w:val="Bodytext"/>
              <w:jc w:val="right"/>
              <w:rPr>
                <w:b/>
              </w:rPr>
            </w:pPr>
            <w:r w:rsidRPr="00811BA1">
              <w:t>31 December 201</w:t>
            </w:r>
            <w:r w:rsidR="00517D8F">
              <w:t>8</w:t>
            </w:r>
          </w:p>
        </w:tc>
      </w:tr>
      <w:tr w:rsidR="00C83EDE" w:rsidRPr="00811BA1" w14:paraId="029C8B39" w14:textId="64E7F106" w:rsidTr="00517D8F">
        <w:tc>
          <w:tcPr>
            <w:tcW w:w="3118" w:type="dxa"/>
            <w:vMerge/>
            <w:tcBorders>
              <w:bottom w:val="single" w:sz="4" w:space="0" w:color="auto"/>
            </w:tcBorders>
          </w:tcPr>
          <w:p w14:paraId="3CA6C099" w14:textId="77777777" w:rsidR="00C83EDE" w:rsidRPr="00811BA1" w:rsidRDefault="00C83EDE" w:rsidP="00EB7E49">
            <w:pPr>
              <w:pStyle w:val="Bodytext"/>
            </w:pPr>
          </w:p>
        </w:tc>
        <w:tc>
          <w:tcPr>
            <w:tcW w:w="1572" w:type="dxa"/>
            <w:tcBorders>
              <w:bottom w:val="single" w:sz="4" w:space="0" w:color="auto"/>
            </w:tcBorders>
            <w:vAlign w:val="center"/>
          </w:tcPr>
          <w:p w14:paraId="6437870B" w14:textId="77777777" w:rsidR="00C83EDE" w:rsidRPr="00811BA1" w:rsidRDefault="00C83EDE" w:rsidP="00EB7E49">
            <w:pPr>
              <w:pStyle w:val="Bodytext"/>
              <w:jc w:val="right"/>
              <w:rPr>
                <w:b/>
              </w:rPr>
            </w:pPr>
            <w:r w:rsidRPr="00811BA1">
              <w:rPr>
                <w:b/>
              </w:rPr>
              <w:t>Basic</w:t>
            </w:r>
          </w:p>
        </w:tc>
        <w:tc>
          <w:tcPr>
            <w:tcW w:w="1547" w:type="dxa"/>
            <w:tcBorders>
              <w:bottom w:val="single" w:sz="4" w:space="0" w:color="auto"/>
            </w:tcBorders>
            <w:vAlign w:val="center"/>
          </w:tcPr>
          <w:p w14:paraId="4144AC8E" w14:textId="77777777" w:rsidR="00C83EDE" w:rsidRPr="00811BA1" w:rsidRDefault="00C83EDE" w:rsidP="00EB7E49">
            <w:pPr>
              <w:pStyle w:val="Bodytext"/>
              <w:jc w:val="right"/>
              <w:rPr>
                <w:b/>
              </w:rPr>
            </w:pPr>
            <w:r w:rsidRPr="00811BA1">
              <w:rPr>
                <w:b/>
              </w:rPr>
              <w:t>Diluted</w:t>
            </w:r>
          </w:p>
        </w:tc>
        <w:tc>
          <w:tcPr>
            <w:tcW w:w="1598" w:type="dxa"/>
            <w:tcBorders>
              <w:bottom w:val="single" w:sz="4" w:space="0" w:color="auto"/>
            </w:tcBorders>
            <w:vAlign w:val="center"/>
          </w:tcPr>
          <w:p w14:paraId="1ABD7DE2" w14:textId="44FEC116" w:rsidR="00C83EDE" w:rsidRPr="00811BA1" w:rsidRDefault="00C83EDE" w:rsidP="00EB7E49">
            <w:pPr>
              <w:pStyle w:val="Bodytext"/>
              <w:jc w:val="right"/>
              <w:rPr>
                <w:b/>
              </w:rPr>
            </w:pPr>
            <w:r w:rsidRPr="00811BA1">
              <w:t>Basic</w:t>
            </w:r>
          </w:p>
        </w:tc>
        <w:tc>
          <w:tcPr>
            <w:tcW w:w="1573" w:type="dxa"/>
            <w:tcBorders>
              <w:bottom w:val="single" w:sz="4" w:space="0" w:color="auto"/>
            </w:tcBorders>
            <w:vAlign w:val="center"/>
          </w:tcPr>
          <w:p w14:paraId="311663F3" w14:textId="7C42551C" w:rsidR="00C83EDE" w:rsidRPr="00811BA1" w:rsidRDefault="00C83EDE" w:rsidP="00EB7E49">
            <w:pPr>
              <w:pStyle w:val="Bodytext"/>
              <w:jc w:val="right"/>
              <w:rPr>
                <w:b/>
              </w:rPr>
            </w:pPr>
            <w:r w:rsidRPr="00811BA1">
              <w:t>Diluted</w:t>
            </w:r>
          </w:p>
        </w:tc>
      </w:tr>
      <w:tr w:rsidR="00517D8F" w:rsidRPr="00811BA1" w14:paraId="1A6DB952" w14:textId="430522EA" w:rsidTr="007502A7">
        <w:tc>
          <w:tcPr>
            <w:tcW w:w="3118" w:type="dxa"/>
            <w:tcBorders>
              <w:top w:val="single" w:sz="4" w:space="0" w:color="auto"/>
            </w:tcBorders>
          </w:tcPr>
          <w:p w14:paraId="4A95AFB2" w14:textId="22BB8400" w:rsidR="00517D8F" w:rsidRPr="00811BA1" w:rsidRDefault="00517D8F" w:rsidP="005007FD">
            <w:pPr>
              <w:pStyle w:val="Bodytext"/>
            </w:pPr>
            <w:r>
              <w:t>Loss</w:t>
            </w:r>
            <w:r w:rsidR="005007FD">
              <w:t xml:space="preserve"> </w:t>
            </w:r>
            <w:r w:rsidRPr="00811BA1">
              <w:t>for the year ($’000)</w:t>
            </w:r>
          </w:p>
        </w:tc>
        <w:tc>
          <w:tcPr>
            <w:tcW w:w="1572" w:type="dxa"/>
            <w:tcBorders>
              <w:top w:val="single" w:sz="4" w:space="0" w:color="auto"/>
            </w:tcBorders>
            <w:vAlign w:val="bottom"/>
          </w:tcPr>
          <w:p w14:paraId="6B821D06" w14:textId="2474A0B4" w:rsidR="00517D8F" w:rsidRPr="00EF262B" w:rsidRDefault="0007020C" w:rsidP="0095106D">
            <w:pPr>
              <w:pStyle w:val="Bodytext"/>
              <w:jc w:val="right"/>
              <w:rPr>
                <w:b/>
              </w:rPr>
            </w:pPr>
            <w:r w:rsidRPr="0007020C">
              <w:rPr>
                <w:b/>
              </w:rPr>
              <w:t>(</w:t>
            </w:r>
            <w:r w:rsidR="0095106D" w:rsidRPr="0007020C">
              <w:rPr>
                <w:b/>
              </w:rPr>
              <w:t>6</w:t>
            </w:r>
            <w:r w:rsidR="0095106D">
              <w:rPr>
                <w:b/>
              </w:rPr>
              <w:t>59</w:t>
            </w:r>
            <w:r w:rsidRPr="0007020C">
              <w:rPr>
                <w:b/>
              </w:rPr>
              <w:t>,</w:t>
            </w:r>
            <w:r w:rsidR="00410BA4">
              <w:rPr>
                <w:b/>
              </w:rPr>
              <w:t>569</w:t>
            </w:r>
            <w:r w:rsidRPr="0007020C">
              <w:rPr>
                <w:b/>
              </w:rPr>
              <w:t>)</w:t>
            </w:r>
          </w:p>
        </w:tc>
        <w:tc>
          <w:tcPr>
            <w:tcW w:w="1547" w:type="dxa"/>
            <w:tcBorders>
              <w:top w:val="single" w:sz="4" w:space="0" w:color="auto"/>
            </w:tcBorders>
            <w:vAlign w:val="bottom"/>
          </w:tcPr>
          <w:p w14:paraId="79A06C75" w14:textId="7852357A" w:rsidR="00517D8F" w:rsidRPr="00EF262B" w:rsidRDefault="0007020C" w:rsidP="00517D8F">
            <w:pPr>
              <w:pStyle w:val="Bodytext"/>
              <w:jc w:val="right"/>
              <w:rPr>
                <w:b/>
              </w:rPr>
            </w:pPr>
            <w:r w:rsidRPr="0007020C">
              <w:rPr>
                <w:b/>
              </w:rPr>
              <w:t>(6</w:t>
            </w:r>
            <w:r w:rsidR="0095106D">
              <w:rPr>
                <w:b/>
              </w:rPr>
              <w:t>59</w:t>
            </w:r>
            <w:r w:rsidRPr="0007020C">
              <w:rPr>
                <w:b/>
              </w:rPr>
              <w:t>,</w:t>
            </w:r>
            <w:r w:rsidR="00410BA4">
              <w:rPr>
                <w:b/>
              </w:rPr>
              <w:t>569</w:t>
            </w:r>
            <w:r w:rsidRPr="0007020C">
              <w:rPr>
                <w:b/>
              </w:rPr>
              <w:t>)</w:t>
            </w:r>
          </w:p>
        </w:tc>
        <w:tc>
          <w:tcPr>
            <w:tcW w:w="1598" w:type="dxa"/>
            <w:tcBorders>
              <w:top w:val="single" w:sz="4" w:space="0" w:color="auto"/>
            </w:tcBorders>
          </w:tcPr>
          <w:p w14:paraId="0C16CC45" w14:textId="013BFBCD" w:rsidR="00517D8F" w:rsidRPr="001B2C50" w:rsidRDefault="00517D8F" w:rsidP="00517D8F">
            <w:pPr>
              <w:pStyle w:val="Bodytext"/>
              <w:jc w:val="right"/>
              <w:rPr>
                <w:b/>
              </w:rPr>
            </w:pPr>
            <w:r w:rsidRPr="00043747">
              <w:t>(240,981)</w:t>
            </w:r>
          </w:p>
        </w:tc>
        <w:tc>
          <w:tcPr>
            <w:tcW w:w="1573" w:type="dxa"/>
            <w:tcBorders>
              <w:top w:val="single" w:sz="4" w:space="0" w:color="auto"/>
            </w:tcBorders>
          </w:tcPr>
          <w:p w14:paraId="37194958" w14:textId="75379CAB" w:rsidR="00517D8F" w:rsidRPr="001B2C50" w:rsidRDefault="00517D8F" w:rsidP="00517D8F">
            <w:pPr>
              <w:pStyle w:val="Bodytext"/>
              <w:jc w:val="right"/>
              <w:rPr>
                <w:b/>
              </w:rPr>
            </w:pPr>
            <w:r w:rsidRPr="00043747">
              <w:t>(240,981)</w:t>
            </w:r>
          </w:p>
        </w:tc>
      </w:tr>
      <w:tr w:rsidR="00517D8F" w:rsidRPr="00811BA1" w14:paraId="5B08E966" w14:textId="601F82BE" w:rsidTr="00AD7CED">
        <w:tc>
          <w:tcPr>
            <w:tcW w:w="3118" w:type="dxa"/>
          </w:tcPr>
          <w:p w14:paraId="7E6B3928" w14:textId="63B5D11F" w:rsidR="00517D8F" w:rsidRPr="00811BA1" w:rsidRDefault="00517D8F" w:rsidP="00517D8F">
            <w:pPr>
              <w:pStyle w:val="Bodytext"/>
            </w:pPr>
            <w:r w:rsidRPr="00811BA1">
              <w:t xml:space="preserve">Weighted average numbers of </w:t>
            </w:r>
            <w:r>
              <w:t>S</w:t>
            </w:r>
            <w:r w:rsidRPr="00811BA1">
              <w:t>hares in issue</w:t>
            </w:r>
          </w:p>
        </w:tc>
        <w:tc>
          <w:tcPr>
            <w:tcW w:w="1572" w:type="dxa"/>
          </w:tcPr>
          <w:p w14:paraId="727CA079" w14:textId="583B6EEE" w:rsidR="00517D8F" w:rsidRPr="004F7D54" w:rsidRDefault="005007FD" w:rsidP="005007FD">
            <w:pPr>
              <w:pStyle w:val="Bodytext"/>
              <w:jc w:val="right"/>
              <w:rPr>
                <w:b/>
              </w:rPr>
            </w:pPr>
            <w:r w:rsidRPr="005007FD">
              <w:rPr>
                <w:b/>
              </w:rPr>
              <w:t>79,896,731</w:t>
            </w:r>
          </w:p>
        </w:tc>
        <w:tc>
          <w:tcPr>
            <w:tcW w:w="1547" w:type="dxa"/>
          </w:tcPr>
          <w:p w14:paraId="3225465B" w14:textId="16B7F5C9" w:rsidR="00517D8F" w:rsidRPr="004F7D54" w:rsidRDefault="005007FD" w:rsidP="005007FD">
            <w:pPr>
              <w:pStyle w:val="Bodytext"/>
              <w:jc w:val="right"/>
              <w:rPr>
                <w:b/>
              </w:rPr>
            </w:pPr>
            <w:r w:rsidRPr="005007FD">
              <w:rPr>
                <w:b/>
              </w:rPr>
              <w:t>79,896,731</w:t>
            </w:r>
          </w:p>
        </w:tc>
        <w:tc>
          <w:tcPr>
            <w:tcW w:w="1598" w:type="dxa"/>
          </w:tcPr>
          <w:p w14:paraId="62B8489A" w14:textId="7932DB09" w:rsidR="00517D8F" w:rsidRPr="001B2C50" w:rsidRDefault="00517D8F" w:rsidP="00517D8F">
            <w:pPr>
              <w:pStyle w:val="Bodytext"/>
              <w:jc w:val="right"/>
              <w:rPr>
                <w:b/>
              </w:rPr>
            </w:pPr>
            <w:r w:rsidRPr="00043747">
              <w:t xml:space="preserve">84,002,895 </w:t>
            </w:r>
          </w:p>
        </w:tc>
        <w:tc>
          <w:tcPr>
            <w:tcW w:w="1573" w:type="dxa"/>
          </w:tcPr>
          <w:p w14:paraId="33E7A1B2" w14:textId="2F09EA7F" w:rsidR="00517D8F" w:rsidRPr="001B2C50" w:rsidRDefault="00517D8F" w:rsidP="00517D8F">
            <w:pPr>
              <w:pStyle w:val="Bodytext"/>
              <w:jc w:val="right"/>
              <w:rPr>
                <w:b/>
              </w:rPr>
            </w:pPr>
            <w:r w:rsidRPr="00043747">
              <w:t xml:space="preserve">84,002,895 </w:t>
            </w:r>
          </w:p>
        </w:tc>
      </w:tr>
      <w:tr w:rsidR="00517D8F" w:rsidRPr="00811BA1" w14:paraId="6450AAF6" w14:textId="5832E801" w:rsidTr="007502A7">
        <w:tc>
          <w:tcPr>
            <w:tcW w:w="3118" w:type="dxa"/>
            <w:tcBorders>
              <w:bottom w:val="single" w:sz="18" w:space="0" w:color="auto"/>
            </w:tcBorders>
          </w:tcPr>
          <w:p w14:paraId="7FEECDCF" w14:textId="77777777" w:rsidR="00517D8F" w:rsidRPr="00811BA1" w:rsidRDefault="00517D8F" w:rsidP="00517D8F">
            <w:pPr>
              <w:pStyle w:val="Bodytext"/>
            </w:pPr>
            <w:r w:rsidRPr="00811BA1">
              <w:t>EPS (cents)</w:t>
            </w:r>
          </w:p>
        </w:tc>
        <w:tc>
          <w:tcPr>
            <w:tcW w:w="1572" w:type="dxa"/>
            <w:tcBorders>
              <w:bottom w:val="single" w:sz="18" w:space="0" w:color="auto"/>
            </w:tcBorders>
            <w:vAlign w:val="bottom"/>
          </w:tcPr>
          <w:p w14:paraId="075A83A6" w14:textId="04DA8ACD" w:rsidR="00517D8F" w:rsidRPr="00EF262B" w:rsidRDefault="0007020C" w:rsidP="00517D8F">
            <w:pPr>
              <w:pStyle w:val="Bodytext"/>
              <w:jc w:val="right"/>
              <w:rPr>
                <w:b/>
              </w:rPr>
            </w:pPr>
            <w:r w:rsidRPr="0007020C">
              <w:rPr>
                <w:b/>
              </w:rPr>
              <w:t>(82</w:t>
            </w:r>
            <w:r w:rsidR="0095106D">
              <w:rPr>
                <w:b/>
              </w:rPr>
              <w:t>5</w:t>
            </w:r>
            <w:r w:rsidRPr="0007020C">
              <w:rPr>
                <w:b/>
              </w:rPr>
              <w:t>.</w:t>
            </w:r>
            <w:r w:rsidR="00410BA4">
              <w:rPr>
                <w:b/>
              </w:rPr>
              <w:t>53</w:t>
            </w:r>
            <w:r w:rsidRPr="0007020C">
              <w:rPr>
                <w:b/>
              </w:rPr>
              <w:t>)</w:t>
            </w:r>
          </w:p>
        </w:tc>
        <w:tc>
          <w:tcPr>
            <w:tcW w:w="1547" w:type="dxa"/>
            <w:tcBorders>
              <w:bottom w:val="single" w:sz="18" w:space="0" w:color="auto"/>
            </w:tcBorders>
            <w:vAlign w:val="bottom"/>
          </w:tcPr>
          <w:p w14:paraId="36793E1D" w14:textId="4F0B8927" w:rsidR="00517D8F" w:rsidRPr="00EF262B" w:rsidRDefault="0007020C" w:rsidP="00517D8F">
            <w:pPr>
              <w:pStyle w:val="Bodytext"/>
              <w:jc w:val="right"/>
              <w:rPr>
                <w:b/>
              </w:rPr>
            </w:pPr>
            <w:r w:rsidRPr="0007020C">
              <w:rPr>
                <w:b/>
              </w:rPr>
              <w:t>(82</w:t>
            </w:r>
            <w:r w:rsidR="0095106D">
              <w:rPr>
                <w:b/>
              </w:rPr>
              <w:t>5</w:t>
            </w:r>
            <w:r w:rsidRPr="0007020C">
              <w:rPr>
                <w:b/>
              </w:rPr>
              <w:t>.</w:t>
            </w:r>
            <w:r w:rsidR="00410BA4">
              <w:rPr>
                <w:b/>
              </w:rPr>
              <w:t>53</w:t>
            </w:r>
            <w:r w:rsidRPr="0007020C">
              <w:rPr>
                <w:b/>
              </w:rPr>
              <w:t>)</w:t>
            </w:r>
          </w:p>
        </w:tc>
        <w:tc>
          <w:tcPr>
            <w:tcW w:w="1598" w:type="dxa"/>
            <w:tcBorders>
              <w:bottom w:val="single" w:sz="18" w:space="0" w:color="auto"/>
            </w:tcBorders>
          </w:tcPr>
          <w:p w14:paraId="14051448" w14:textId="7C519737" w:rsidR="00517D8F" w:rsidRPr="001B2C50" w:rsidRDefault="00517D8F" w:rsidP="00517D8F">
            <w:pPr>
              <w:pStyle w:val="Bodytext"/>
              <w:jc w:val="right"/>
              <w:rPr>
                <w:b/>
              </w:rPr>
            </w:pPr>
            <w:r w:rsidRPr="00043747">
              <w:t>(286.87)</w:t>
            </w:r>
          </w:p>
        </w:tc>
        <w:tc>
          <w:tcPr>
            <w:tcW w:w="1573" w:type="dxa"/>
            <w:tcBorders>
              <w:bottom w:val="single" w:sz="18" w:space="0" w:color="auto"/>
            </w:tcBorders>
          </w:tcPr>
          <w:p w14:paraId="33FB4D00" w14:textId="61231FDA" w:rsidR="00517D8F" w:rsidRPr="001B2C50" w:rsidRDefault="00517D8F" w:rsidP="00517D8F">
            <w:pPr>
              <w:pStyle w:val="Bodytext"/>
              <w:jc w:val="right"/>
              <w:rPr>
                <w:b/>
              </w:rPr>
            </w:pPr>
            <w:r w:rsidRPr="00043747">
              <w:t>(286.87)</w:t>
            </w:r>
          </w:p>
        </w:tc>
      </w:tr>
    </w:tbl>
    <w:p w14:paraId="60D2D163" w14:textId="77777777" w:rsidR="00234DF1" w:rsidRPr="00811BA1" w:rsidRDefault="00234DF1" w:rsidP="00EB7E49">
      <w:pPr>
        <w:pStyle w:val="Bodytext"/>
        <w:ind w:left="567"/>
      </w:pPr>
    </w:p>
    <w:p w14:paraId="4119AC7F" w14:textId="1B89C63D" w:rsidR="00234DF1" w:rsidRDefault="00234DF1" w:rsidP="00C32021">
      <w:pPr>
        <w:pStyle w:val="Bodytext"/>
        <w:ind w:left="567"/>
        <w:jc w:val="both"/>
      </w:pPr>
      <w:r w:rsidRPr="00811BA1">
        <w:t xml:space="preserve">The </w:t>
      </w:r>
      <w:r w:rsidR="00546CC0">
        <w:t>E</w:t>
      </w:r>
      <w:r w:rsidR="00546CC0" w:rsidRPr="00811BA1">
        <w:t xml:space="preserve">arnings </w:t>
      </w:r>
      <w:r w:rsidRPr="00811BA1">
        <w:t xml:space="preserve">per </w:t>
      </w:r>
      <w:r w:rsidR="00546CC0">
        <w:t>S</w:t>
      </w:r>
      <w:r w:rsidR="00546CC0" w:rsidRPr="00811BA1">
        <w:t xml:space="preserve">hare </w:t>
      </w:r>
      <w:r w:rsidRPr="00811BA1">
        <w:t xml:space="preserve">is based on the profit or loss of the Company for the year and on the weighted average number of </w:t>
      </w:r>
      <w:r w:rsidR="00546CC0">
        <w:t>S</w:t>
      </w:r>
      <w:r w:rsidR="00546CC0" w:rsidRPr="00811BA1">
        <w:t xml:space="preserve">hares </w:t>
      </w:r>
      <w:r w:rsidRPr="00811BA1">
        <w:t xml:space="preserve">the Company had in issue for the year ended </w:t>
      </w:r>
      <w:r w:rsidR="00610498">
        <w:t>31 December 201</w:t>
      </w:r>
      <w:r w:rsidR="00517D8F">
        <w:t>9</w:t>
      </w:r>
      <w:r w:rsidR="00715DF1" w:rsidRPr="00811BA1">
        <w:t>.</w:t>
      </w:r>
    </w:p>
    <w:p w14:paraId="5C5F8BDC" w14:textId="58856CA2" w:rsidR="00473585" w:rsidRDefault="00473585" w:rsidP="00C32021">
      <w:pPr>
        <w:pStyle w:val="Bodytext"/>
        <w:jc w:val="both"/>
      </w:pPr>
    </w:p>
    <w:p w14:paraId="10FB5849" w14:textId="0068A6EA" w:rsidR="00F972E7" w:rsidRDefault="00473585" w:rsidP="00C32021">
      <w:pPr>
        <w:pStyle w:val="Bodytext"/>
        <w:ind w:left="567"/>
        <w:jc w:val="both"/>
      </w:pPr>
      <w:r>
        <w:t xml:space="preserve">The weighted average number of Shares during the year is 79,896,731. </w:t>
      </w:r>
    </w:p>
    <w:p w14:paraId="70423093" w14:textId="77777777" w:rsidR="00473585" w:rsidRPr="00811BA1" w:rsidRDefault="00473585" w:rsidP="00C32021">
      <w:pPr>
        <w:pStyle w:val="Bodytext"/>
        <w:ind w:left="567"/>
        <w:jc w:val="both"/>
      </w:pPr>
    </w:p>
    <w:p w14:paraId="15769B53" w14:textId="49D80C30" w:rsidR="00234DF1" w:rsidRDefault="00234DF1" w:rsidP="00C32021">
      <w:pPr>
        <w:pStyle w:val="Bodytext"/>
        <w:ind w:left="567"/>
        <w:jc w:val="both"/>
      </w:pPr>
      <w:r w:rsidRPr="00811BA1">
        <w:t xml:space="preserve">There are no dilutive </w:t>
      </w:r>
      <w:r w:rsidR="00546CC0">
        <w:t>S</w:t>
      </w:r>
      <w:r w:rsidR="00546CC0" w:rsidRPr="00811BA1">
        <w:t xml:space="preserve">hares </w:t>
      </w:r>
      <w:r w:rsidRPr="00811BA1">
        <w:t xml:space="preserve">in issue as at </w:t>
      </w:r>
      <w:r w:rsidR="00610498">
        <w:t>31 December 201</w:t>
      </w:r>
      <w:r w:rsidR="00517D8F">
        <w:t>9</w:t>
      </w:r>
      <w:r w:rsidRPr="00811BA1">
        <w:t>.</w:t>
      </w:r>
    </w:p>
    <w:p w14:paraId="0231787A" w14:textId="77777777" w:rsidR="00F972E7" w:rsidRPr="00811BA1" w:rsidRDefault="00F972E7" w:rsidP="00EB7E49">
      <w:pPr>
        <w:pStyle w:val="Bodytext"/>
        <w:ind w:left="567"/>
      </w:pPr>
    </w:p>
    <w:p w14:paraId="3EE79213" w14:textId="2839EDAA" w:rsidR="00234DF1" w:rsidRPr="00811BA1" w:rsidRDefault="00234DF1" w:rsidP="00EB7E49">
      <w:pPr>
        <w:pStyle w:val="Heading3"/>
        <w:ind w:left="567"/>
      </w:pPr>
      <w:r w:rsidRPr="00811BA1">
        <w:t xml:space="preserve">Net Asset Value per </w:t>
      </w:r>
      <w:r w:rsidR="00546CC0">
        <w:t>S</w:t>
      </w:r>
      <w:r w:rsidR="00546CC0" w:rsidRPr="00811BA1">
        <w:t>hare</w:t>
      </w:r>
    </w:p>
    <w:p w14:paraId="54DBADC2" w14:textId="77777777" w:rsidR="00D85BB2" w:rsidRPr="00811BA1" w:rsidRDefault="00D85BB2" w:rsidP="00EB7E49">
      <w:pPr>
        <w:pStyle w:val="Bodytext"/>
        <w:ind w:left="567"/>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83"/>
        <w:gridCol w:w="1691"/>
        <w:gridCol w:w="1691"/>
      </w:tblGrid>
      <w:tr w:rsidR="00D85BB2" w:rsidRPr="00811BA1" w14:paraId="1FC4F430" w14:textId="77777777" w:rsidTr="00517D8F">
        <w:trPr>
          <w:trHeight w:val="463"/>
        </w:trPr>
        <w:tc>
          <w:tcPr>
            <w:tcW w:w="5683" w:type="dxa"/>
            <w:tcBorders>
              <w:bottom w:val="single" w:sz="4" w:space="0" w:color="auto"/>
            </w:tcBorders>
          </w:tcPr>
          <w:p w14:paraId="0AA5C791" w14:textId="77777777" w:rsidR="00D85BB2" w:rsidRPr="00811BA1" w:rsidRDefault="00D85BB2" w:rsidP="00EB7E49">
            <w:pPr>
              <w:pStyle w:val="Bodytext"/>
            </w:pPr>
          </w:p>
        </w:tc>
        <w:tc>
          <w:tcPr>
            <w:tcW w:w="1691" w:type="dxa"/>
            <w:tcBorders>
              <w:bottom w:val="single" w:sz="4" w:space="0" w:color="auto"/>
            </w:tcBorders>
            <w:vAlign w:val="bottom"/>
          </w:tcPr>
          <w:p w14:paraId="14E5C239" w14:textId="77777777" w:rsidR="00D85BB2" w:rsidRPr="00811BA1" w:rsidRDefault="00D85BB2" w:rsidP="00EB7E49">
            <w:pPr>
              <w:pStyle w:val="Bodytext"/>
              <w:jc w:val="right"/>
              <w:rPr>
                <w:b/>
              </w:rPr>
            </w:pPr>
            <w:r w:rsidRPr="00811BA1">
              <w:rPr>
                <w:b/>
              </w:rPr>
              <w:t>31 December</w:t>
            </w:r>
          </w:p>
          <w:p w14:paraId="4D58AF31" w14:textId="00587B96" w:rsidR="00D85BB2" w:rsidRPr="00811BA1" w:rsidRDefault="00D85BB2" w:rsidP="002D2CEC">
            <w:pPr>
              <w:pStyle w:val="Bodytext"/>
              <w:jc w:val="right"/>
              <w:rPr>
                <w:b/>
              </w:rPr>
            </w:pPr>
            <w:r w:rsidRPr="00811BA1">
              <w:rPr>
                <w:b/>
              </w:rPr>
              <w:t>201</w:t>
            </w:r>
            <w:r w:rsidR="00517D8F">
              <w:rPr>
                <w:b/>
              </w:rPr>
              <w:t>9</w:t>
            </w:r>
          </w:p>
        </w:tc>
        <w:tc>
          <w:tcPr>
            <w:tcW w:w="1691" w:type="dxa"/>
            <w:tcBorders>
              <w:bottom w:val="single" w:sz="4" w:space="0" w:color="auto"/>
            </w:tcBorders>
            <w:vAlign w:val="bottom"/>
          </w:tcPr>
          <w:p w14:paraId="5E45C443" w14:textId="77777777" w:rsidR="00D85BB2" w:rsidRPr="00811BA1" w:rsidRDefault="00D85BB2" w:rsidP="00EB7E49">
            <w:pPr>
              <w:pStyle w:val="Bodytext"/>
              <w:jc w:val="right"/>
            </w:pPr>
            <w:r w:rsidRPr="00811BA1">
              <w:t>31 December</w:t>
            </w:r>
          </w:p>
          <w:p w14:paraId="358739E6" w14:textId="5D89EBCD" w:rsidR="00D85BB2" w:rsidRPr="00811BA1" w:rsidRDefault="00D85BB2" w:rsidP="002D2CEC">
            <w:pPr>
              <w:pStyle w:val="Bodytext"/>
              <w:jc w:val="right"/>
            </w:pPr>
            <w:r w:rsidRPr="00811BA1">
              <w:t>201</w:t>
            </w:r>
            <w:r w:rsidR="00517D8F">
              <w:t>8</w:t>
            </w:r>
          </w:p>
        </w:tc>
      </w:tr>
      <w:tr w:rsidR="00517D8F" w:rsidRPr="00811BA1" w14:paraId="0234BB7E" w14:textId="77777777" w:rsidTr="00517D8F">
        <w:tc>
          <w:tcPr>
            <w:tcW w:w="5683" w:type="dxa"/>
            <w:tcBorders>
              <w:top w:val="single" w:sz="4" w:space="0" w:color="auto"/>
            </w:tcBorders>
          </w:tcPr>
          <w:p w14:paraId="61D8A1CA" w14:textId="77777777" w:rsidR="00517D8F" w:rsidRPr="00811BA1" w:rsidRDefault="00517D8F" w:rsidP="00517D8F">
            <w:pPr>
              <w:pStyle w:val="Bodytext"/>
            </w:pPr>
            <w:r w:rsidRPr="00811BA1">
              <w:t>NAV ($’000)</w:t>
            </w:r>
          </w:p>
        </w:tc>
        <w:tc>
          <w:tcPr>
            <w:tcW w:w="1691" w:type="dxa"/>
            <w:tcBorders>
              <w:top w:val="single" w:sz="4" w:space="0" w:color="auto"/>
            </w:tcBorders>
            <w:vAlign w:val="bottom"/>
          </w:tcPr>
          <w:p w14:paraId="4EC39FBE" w14:textId="0365EEAB" w:rsidR="00517D8F" w:rsidRPr="00E35561" w:rsidRDefault="0007020C" w:rsidP="00517D8F">
            <w:pPr>
              <w:pStyle w:val="Bodytext"/>
              <w:jc w:val="right"/>
              <w:rPr>
                <w:b/>
                <w:bCs/>
              </w:rPr>
            </w:pPr>
            <w:r w:rsidRPr="0007020C">
              <w:rPr>
                <w:b/>
                <w:bCs/>
              </w:rPr>
              <w:t>7</w:t>
            </w:r>
            <w:r w:rsidR="0095106D">
              <w:rPr>
                <w:b/>
                <w:bCs/>
              </w:rPr>
              <w:t>71</w:t>
            </w:r>
            <w:r w:rsidRPr="0007020C">
              <w:rPr>
                <w:b/>
                <w:bCs/>
              </w:rPr>
              <w:t>,</w:t>
            </w:r>
            <w:r w:rsidR="00410BA4">
              <w:rPr>
                <w:b/>
                <w:bCs/>
              </w:rPr>
              <w:t>692</w:t>
            </w:r>
          </w:p>
        </w:tc>
        <w:tc>
          <w:tcPr>
            <w:tcW w:w="1691" w:type="dxa"/>
            <w:tcBorders>
              <w:top w:val="single" w:sz="4" w:space="0" w:color="auto"/>
            </w:tcBorders>
          </w:tcPr>
          <w:p w14:paraId="41D4224D" w14:textId="0EB41855" w:rsidR="00517D8F" w:rsidRPr="00C46EC3" w:rsidRDefault="00517D8F" w:rsidP="00517D8F">
            <w:pPr>
              <w:pStyle w:val="Bodytext"/>
              <w:jc w:val="right"/>
            </w:pPr>
            <w:r w:rsidRPr="00404D71">
              <w:t>1,431,261</w:t>
            </w:r>
          </w:p>
        </w:tc>
      </w:tr>
      <w:tr w:rsidR="00517D8F" w:rsidRPr="00811BA1" w14:paraId="7DBA595D" w14:textId="77777777" w:rsidTr="00517D8F">
        <w:tc>
          <w:tcPr>
            <w:tcW w:w="5683" w:type="dxa"/>
          </w:tcPr>
          <w:p w14:paraId="3C098A3E" w14:textId="515F4A47" w:rsidR="00517D8F" w:rsidRPr="00811BA1" w:rsidRDefault="00517D8F" w:rsidP="00517D8F">
            <w:pPr>
              <w:pStyle w:val="Bodytext"/>
            </w:pPr>
            <w:r w:rsidRPr="00811BA1">
              <w:t xml:space="preserve">Number of </w:t>
            </w:r>
            <w:r>
              <w:t>S</w:t>
            </w:r>
            <w:r w:rsidRPr="00811BA1">
              <w:t>hares in issue</w:t>
            </w:r>
          </w:p>
        </w:tc>
        <w:tc>
          <w:tcPr>
            <w:tcW w:w="1691" w:type="dxa"/>
            <w:vAlign w:val="bottom"/>
          </w:tcPr>
          <w:p w14:paraId="55095294" w14:textId="74E57EC9" w:rsidR="00517D8F" w:rsidRPr="00E35561" w:rsidRDefault="005007FD" w:rsidP="00517D8F">
            <w:pPr>
              <w:pStyle w:val="Bodytext"/>
              <w:jc w:val="right"/>
              <w:rPr>
                <w:b/>
                <w:bCs/>
              </w:rPr>
            </w:pPr>
            <w:r w:rsidRPr="005007FD">
              <w:rPr>
                <w:b/>
                <w:bCs/>
              </w:rPr>
              <w:t>79,896,731</w:t>
            </w:r>
          </w:p>
        </w:tc>
        <w:tc>
          <w:tcPr>
            <w:tcW w:w="1691" w:type="dxa"/>
          </w:tcPr>
          <w:p w14:paraId="61B1D161" w14:textId="25FF7B3D" w:rsidR="00517D8F" w:rsidRPr="00C46EC3" w:rsidRDefault="00517D8F" w:rsidP="00517D8F">
            <w:pPr>
              <w:pStyle w:val="Bodytext"/>
              <w:jc w:val="right"/>
            </w:pPr>
            <w:r w:rsidRPr="00404D71">
              <w:t>79,896,731</w:t>
            </w:r>
          </w:p>
        </w:tc>
      </w:tr>
      <w:tr w:rsidR="00517D8F" w:rsidRPr="00811BA1" w14:paraId="3A9FC06F" w14:textId="77777777" w:rsidTr="00517D8F">
        <w:tc>
          <w:tcPr>
            <w:tcW w:w="5683" w:type="dxa"/>
          </w:tcPr>
          <w:p w14:paraId="710350E6" w14:textId="4FB1767C" w:rsidR="00517D8F" w:rsidRPr="00C83EDE" w:rsidRDefault="00517D8F" w:rsidP="00517D8F">
            <w:pPr>
              <w:pStyle w:val="Bodytext"/>
              <w:rPr>
                <w:b/>
              </w:rPr>
            </w:pPr>
            <w:r w:rsidRPr="00C83EDE">
              <w:rPr>
                <w:b/>
              </w:rPr>
              <w:t>Net Asset Value per Share ($)</w:t>
            </w:r>
          </w:p>
        </w:tc>
        <w:tc>
          <w:tcPr>
            <w:tcW w:w="1691" w:type="dxa"/>
            <w:vAlign w:val="bottom"/>
          </w:tcPr>
          <w:p w14:paraId="27437B2C" w14:textId="0A080703" w:rsidR="00517D8F" w:rsidRPr="00E35561" w:rsidRDefault="005007FD" w:rsidP="00517D8F">
            <w:pPr>
              <w:pStyle w:val="Bodytext"/>
              <w:jc w:val="right"/>
              <w:rPr>
                <w:b/>
                <w:bCs/>
              </w:rPr>
            </w:pPr>
            <w:r w:rsidRPr="005007FD">
              <w:rPr>
                <w:b/>
                <w:bCs/>
              </w:rPr>
              <w:t>9.6</w:t>
            </w:r>
            <w:r w:rsidR="0095106D">
              <w:rPr>
                <w:b/>
                <w:bCs/>
              </w:rPr>
              <w:t>6</w:t>
            </w:r>
          </w:p>
        </w:tc>
        <w:tc>
          <w:tcPr>
            <w:tcW w:w="1691" w:type="dxa"/>
          </w:tcPr>
          <w:p w14:paraId="62D904F3" w14:textId="695941E4" w:rsidR="00517D8F" w:rsidRPr="00C46EC3" w:rsidRDefault="00517D8F" w:rsidP="00517D8F">
            <w:pPr>
              <w:pStyle w:val="Bodytext"/>
              <w:jc w:val="right"/>
            </w:pPr>
            <w:r w:rsidRPr="00404D71">
              <w:t>17.91</w:t>
            </w:r>
          </w:p>
        </w:tc>
      </w:tr>
      <w:tr w:rsidR="00517D8F" w:rsidRPr="00811BA1" w14:paraId="241D8783" w14:textId="77777777" w:rsidTr="00517D8F">
        <w:tc>
          <w:tcPr>
            <w:tcW w:w="5683" w:type="dxa"/>
          </w:tcPr>
          <w:p w14:paraId="083BEC37" w14:textId="13D82B9E" w:rsidR="00517D8F" w:rsidRPr="00C83EDE" w:rsidRDefault="00517D8F" w:rsidP="00517D8F">
            <w:pPr>
              <w:pStyle w:val="Bodytext"/>
              <w:rPr>
                <w:b/>
              </w:rPr>
            </w:pPr>
            <w:r w:rsidRPr="00C83EDE">
              <w:rPr>
                <w:b/>
              </w:rPr>
              <w:t>Net Asset Value per Share (£)</w:t>
            </w:r>
          </w:p>
        </w:tc>
        <w:tc>
          <w:tcPr>
            <w:tcW w:w="1691" w:type="dxa"/>
            <w:vAlign w:val="bottom"/>
          </w:tcPr>
          <w:p w14:paraId="7DE19F37" w14:textId="268A1F78" w:rsidR="00517D8F" w:rsidRPr="00E35561" w:rsidRDefault="005007FD" w:rsidP="00517D8F">
            <w:pPr>
              <w:pStyle w:val="Bodytext"/>
              <w:jc w:val="right"/>
              <w:rPr>
                <w:b/>
              </w:rPr>
            </w:pPr>
            <w:r w:rsidRPr="005007FD">
              <w:rPr>
                <w:b/>
              </w:rPr>
              <w:t>7.3</w:t>
            </w:r>
            <w:r w:rsidR="00410BA4">
              <w:rPr>
                <w:b/>
              </w:rPr>
              <w:t>6</w:t>
            </w:r>
          </w:p>
        </w:tc>
        <w:tc>
          <w:tcPr>
            <w:tcW w:w="1691" w:type="dxa"/>
          </w:tcPr>
          <w:p w14:paraId="53A60BBF" w14:textId="15D1D606" w:rsidR="00517D8F" w:rsidRPr="00C46EC3" w:rsidRDefault="00517D8F" w:rsidP="00517D8F">
            <w:pPr>
              <w:pStyle w:val="Bodytext"/>
              <w:jc w:val="right"/>
              <w:rPr>
                <w:bCs/>
                <w:color w:val="000000"/>
              </w:rPr>
            </w:pPr>
            <w:r w:rsidRPr="00404D71">
              <w:t>14.06</w:t>
            </w:r>
          </w:p>
        </w:tc>
      </w:tr>
      <w:tr w:rsidR="00517D8F" w:rsidRPr="00811BA1" w14:paraId="71117038" w14:textId="77777777" w:rsidTr="00517D8F">
        <w:tc>
          <w:tcPr>
            <w:tcW w:w="5683" w:type="dxa"/>
            <w:tcBorders>
              <w:bottom w:val="single" w:sz="18" w:space="0" w:color="auto"/>
            </w:tcBorders>
          </w:tcPr>
          <w:p w14:paraId="36B97A94" w14:textId="331A878D" w:rsidR="00517D8F" w:rsidRPr="00C83EDE" w:rsidRDefault="00517D8F" w:rsidP="00517D8F">
            <w:pPr>
              <w:pStyle w:val="Bodytext"/>
              <w:rPr>
                <w:b/>
              </w:rPr>
            </w:pPr>
            <w:r>
              <w:rPr>
                <w:b/>
              </w:rPr>
              <w:t>Discount to NAV (per cent.)</w:t>
            </w:r>
          </w:p>
        </w:tc>
        <w:tc>
          <w:tcPr>
            <w:tcW w:w="1691" w:type="dxa"/>
            <w:tcBorders>
              <w:bottom w:val="single" w:sz="18" w:space="0" w:color="auto"/>
            </w:tcBorders>
            <w:vAlign w:val="bottom"/>
          </w:tcPr>
          <w:p w14:paraId="04A04AC6" w14:textId="67622C3A" w:rsidR="00517D8F" w:rsidRPr="00E35561" w:rsidRDefault="005007FD" w:rsidP="00517D8F">
            <w:pPr>
              <w:pStyle w:val="Bodytext"/>
              <w:jc w:val="right"/>
              <w:rPr>
                <w:b/>
              </w:rPr>
            </w:pPr>
            <w:r w:rsidRPr="005007FD">
              <w:rPr>
                <w:b/>
              </w:rPr>
              <w:t>43.</w:t>
            </w:r>
            <w:r w:rsidR="0095106D">
              <w:rPr>
                <w:b/>
              </w:rPr>
              <w:t>75</w:t>
            </w:r>
          </w:p>
        </w:tc>
        <w:tc>
          <w:tcPr>
            <w:tcW w:w="1691" w:type="dxa"/>
            <w:tcBorders>
              <w:bottom w:val="single" w:sz="18" w:space="0" w:color="auto"/>
            </w:tcBorders>
          </w:tcPr>
          <w:p w14:paraId="14613A97" w14:textId="299184F5" w:rsidR="00517D8F" w:rsidRDefault="00517D8F" w:rsidP="00517D8F">
            <w:pPr>
              <w:pStyle w:val="Bodytext"/>
              <w:jc w:val="right"/>
              <w:rPr>
                <w:bCs/>
                <w:color w:val="000000"/>
              </w:rPr>
            </w:pPr>
            <w:r w:rsidRPr="00404D71">
              <w:t>23.45</w:t>
            </w:r>
          </w:p>
        </w:tc>
      </w:tr>
    </w:tbl>
    <w:p w14:paraId="1DA63A38" w14:textId="77777777" w:rsidR="00234DF1" w:rsidRPr="00811BA1" w:rsidRDefault="00234DF1" w:rsidP="00EB7E49">
      <w:pPr>
        <w:pStyle w:val="Bodytext"/>
        <w:ind w:left="567"/>
      </w:pPr>
    </w:p>
    <w:p w14:paraId="0D142C4C" w14:textId="241D4BA2" w:rsidR="00234DF1" w:rsidRPr="00811BA1" w:rsidRDefault="00234DF1" w:rsidP="00C32021">
      <w:pPr>
        <w:pStyle w:val="Bodytext"/>
        <w:ind w:left="567"/>
        <w:jc w:val="both"/>
      </w:pPr>
      <w:r w:rsidRPr="00811BA1">
        <w:t xml:space="preserve">The Net Asset Value per </w:t>
      </w:r>
      <w:r w:rsidR="00546CC0">
        <w:t>Sh</w:t>
      </w:r>
      <w:r w:rsidR="00546CC0" w:rsidRPr="00811BA1">
        <w:t xml:space="preserve">are </w:t>
      </w:r>
      <w:r w:rsidRPr="00811BA1">
        <w:t xml:space="preserve">is arrived at by dividing the net assets as at the date of the </w:t>
      </w:r>
      <w:r w:rsidR="005920FA" w:rsidRPr="00811BA1">
        <w:t>S</w:t>
      </w:r>
      <w:r w:rsidRPr="00811BA1">
        <w:t xml:space="preserve">tatement of </w:t>
      </w:r>
      <w:r w:rsidR="005920FA" w:rsidRPr="00811BA1">
        <w:t>F</w:t>
      </w:r>
      <w:r w:rsidRPr="00811BA1">
        <w:t xml:space="preserve">inancial </w:t>
      </w:r>
      <w:r w:rsidR="005920FA" w:rsidRPr="00811BA1">
        <w:t>P</w:t>
      </w:r>
      <w:r w:rsidRPr="00811BA1">
        <w:t>osition by the number of Ordinary Shares in issue at that date.</w:t>
      </w:r>
      <w:r w:rsidR="00F54F58">
        <w:t xml:space="preserve"> The D</w:t>
      </w:r>
      <w:r w:rsidR="00911679">
        <w:t xml:space="preserve">iscount to NAV is arrived at by calculating the percentage discount of the Company’s Net Asset Value per Share to the Company’s closing Share price as at the date of the Statement of Financial Position. </w:t>
      </w:r>
    </w:p>
    <w:p w14:paraId="21AA88B1" w14:textId="77777777" w:rsidR="00C83EDE" w:rsidRDefault="00C83EDE" w:rsidP="00EB7E49">
      <w:pPr>
        <w:pStyle w:val="Bodytext"/>
        <w:ind w:left="567"/>
      </w:pPr>
    </w:p>
    <w:p w14:paraId="024B1327" w14:textId="6B60A493" w:rsidR="00234DF1" w:rsidRPr="00811BA1" w:rsidRDefault="000B696A" w:rsidP="00EB7E49">
      <w:pPr>
        <w:pStyle w:val="Heading2"/>
      </w:pPr>
      <w:r w:rsidRPr="00811BA1">
        <w:t>1</w:t>
      </w:r>
      <w:r w:rsidR="00527E4F">
        <w:t>4</w:t>
      </w:r>
      <w:r w:rsidR="00FF095C">
        <w:t>.</w:t>
      </w:r>
      <w:r w:rsidR="00FF095C">
        <w:tab/>
        <w:t>Auditor’s</w:t>
      </w:r>
      <w:r w:rsidR="00234DF1" w:rsidRPr="00811BA1">
        <w:t xml:space="preserve"> Remuneration</w:t>
      </w:r>
    </w:p>
    <w:p w14:paraId="485D4847" w14:textId="29B1EAF6" w:rsidR="0058522D" w:rsidRDefault="0058522D" w:rsidP="00EB7E49">
      <w:pPr>
        <w:pStyle w:val="Bodytext"/>
        <w:ind w:left="567"/>
        <w:rPr>
          <w:szCs w:val="22"/>
          <w:lang w:val="en-US"/>
        </w:rPr>
      </w:pPr>
      <w:r>
        <w:rPr>
          <w:szCs w:val="22"/>
          <w:lang w:val="en-US"/>
        </w:rPr>
        <w:t xml:space="preserve">Other operating expenses include </w:t>
      </w:r>
      <w:r w:rsidR="00FF095C">
        <w:rPr>
          <w:szCs w:val="22"/>
          <w:lang w:val="en-US"/>
        </w:rPr>
        <w:t>all fees payable to the auditor</w:t>
      </w:r>
      <w:r>
        <w:rPr>
          <w:szCs w:val="22"/>
          <w:lang w:val="en-US"/>
        </w:rPr>
        <w:t>, which can be analysed as follows:</w:t>
      </w:r>
    </w:p>
    <w:p w14:paraId="1899B453" w14:textId="77777777" w:rsidR="00BE7243" w:rsidRPr="00811BA1" w:rsidRDefault="00BE7243" w:rsidP="00EB7E49">
      <w:pPr>
        <w:pStyle w:val="Bodytext"/>
        <w:ind w:left="567"/>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003"/>
        <w:gridCol w:w="1481"/>
        <w:gridCol w:w="1701"/>
      </w:tblGrid>
      <w:tr w:rsidR="00C46EC3" w:rsidRPr="00811BA1" w14:paraId="308B7D73" w14:textId="77777777" w:rsidTr="00F06413">
        <w:trPr>
          <w:trHeight w:val="463"/>
        </w:trPr>
        <w:tc>
          <w:tcPr>
            <w:tcW w:w="6003" w:type="dxa"/>
            <w:tcBorders>
              <w:bottom w:val="single" w:sz="4" w:space="0" w:color="auto"/>
            </w:tcBorders>
          </w:tcPr>
          <w:p w14:paraId="5BA79B55" w14:textId="77777777" w:rsidR="00C46EC3" w:rsidRPr="00811BA1" w:rsidRDefault="00C46EC3" w:rsidP="00EB7E49">
            <w:pPr>
              <w:pStyle w:val="Bodytext"/>
            </w:pPr>
          </w:p>
        </w:tc>
        <w:tc>
          <w:tcPr>
            <w:tcW w:w="1481" w:type="dxa"/>
            <w:tcBorders>
              <w:bottom w:val="single" w:sz="4" w:space="0" w:color="auto"/>
            </w:tcBorders>
            <w:vAlign w:val="bottom"/>
          </w:tcPr>
          <w:p w14:paraId="47FEFB26" w14:textId="4EA66B4B" w:rsidR="00C46EC3" w:rsidRPr="0006472C" w:rsidRDefault="00C46EC3" w:rsidP="00EB7E49">
            <w:pPr>
              <w:pStyle w:val="Bodytext"/>
              <w:jc w:val="right"/>
              <w:rPr>
                <w:b/>
              </w:rPr>
            </w:pPr>
            <w:r w:rsidRPr="0006472C">
              <w:rPr>
                <w:b/>
              </w:rPr>
              <w:t>201</w:t>
            </w:r>
            <w:r w:rsidR="00517D8F">
              <w:rPr>
                <w:b/>
              </w:rPr>
              <w:t>9</w:t>
            </w:r>
          </w:p>
          <w:p w14:paraId="1BF5B088" w14:textId="77777777" w:rsidR="00C46EC3" w:rsidRPr="0006472C" w:rsidRDefault="00C46EC3" w:rsidP="00EB7E49">
            <w:pPr>
              <w:pStyle w:val="Bodytext"/>
              <w:jc w:val="right"/>
              <w:rPr>
                <w:b/>
              </w:rPr>
            </w:pPr>
            <w:r w:rsidRPr="0006472C">
              <w:rPr>
                <w:b/>
              </w:rPr>
              <w:t>$’000</w:t>
            </w:r>
          </w:p>
        </w:tc>
        <w:tc>
          <w:tcPr>
            <w:tcW w:w="1701" w:type="dxa"/>
            <w:tcBorders>
              <w:bottom w:val="single" w:sz="4" w:space="0" w:color="auto"/>
            </w:tcBorders>
            <w:vAlign w:val="bottom"/>
          </w:tcPr>
          <w:p w14:paraId="1CD1F1F0" w14:textId="616EF03D" w:rsidR="00C46EC3" w:rsidRPr="00C46EC3" w:rsidRDefault="00C46EC3" w:rsidP="00184565">
            <w:pPr>
              <w:pStyle w:val="Bodytext"/>
              <w:jc w:val="right"/>
            </w:pPr>
            <w:r w:rsidRPr="00C46EC3">
              <w:t>201</w:t>
            </w:r>
            <w:r w:rsidR="00517D8F">
              <w:t>8</w:t>
            </w:r>
          </w:p>
          <w:p w14:paraId="4FD794E5" w14:textId="3D3B56FC" w:rsidR="00C46EC3" w:rsidRPr="00C46EC3" w:rsidRDefault="00C46EC3" w:rsidP="00EB7E49">
            <w:pPr>
              <w:pStyle w:val="Bodytext"/>
              <w:jc w:val="right"/>
            </w:pPr>
            <w:r w:rsidRPr="00C46EC3">
              <w:t>$’000</w:t>
            </w:r>
          </w:p>
        </w:tc>
      </w:tr>
      <w:tr w:rsidR="00517D8F" w:rsidRPr="00811BA1" w14:paraId="23F01732" w14:textId="77777777" w:rsidTr="00F06413">
        <w:tc>
          <w:tcPr>
            <w:tcW w:w="6003" w:type="dxa"/>
            <w:tcBorders>
              <w:top w:val="single" w:sz="4" w:space="0" w:color="auto"/>
              <w:bottom w:val="single" w:sz="12" w:space="0" w:color="auto"/>
            </w:tcBorders>
          </w:tcPr>
          <w:p w14:paraId="72587F96" w14:textId="77777777" w:rsidR="00517D8F" w:rsidRPr="00524E51" w:rsidRDefault="00517D8F" w:rsidP="00517D8F">
            <w:pPr>
              <w:pStyle w:val="Bodytext"/>
              <w:rPr>
                <w:b/>
              </w:rPr>
            </w:pPr>
            <w:r w:rsidRPr="00524E51">
              <w:rPr>
                <w:b/>
              </w:rPr>
              <w:t>Ernst &amp; Young LLP Audit fees</w:t>
            </w:r>
          </w:p>
        </w:tc>
        <w:tc>
          <w:tcPr>
            <w:tcW w:w="1481" w:type="dxa"/>
            <w:tcBorders>
              <w:top w:val="single" w:sz="4" w:space="0" w:color="auto"/>
              <w:bottom w:val="single" w:sz="12" w:space="0" w:color="auto"/>
            </w:tcBorders>
            <w:vAlign w:val="bottom"/>
          </w:tcPr>
          <w:p w14:paraId="4823A364" w14:textId="1BE61909" w:rsidR="00517D8F" w:rsidRPr="0006472C" w:rsidRDefault="00566DAB" w:rsidP="00517D8F">
            <w:pPr>
              <w:pStyle w:val="Bodytext"/>
              <w:jc w:val="right"/>
              <w:rPr>
                <w:b/>
              </w:rPr>
            </w:pPr>
            <w:r>
              <w:rPr>
                <w:b/>
              </w:rPr>
              <w:t>490</w:t>
            </w:r>
          </w:p>
        </w:tc>
        <w:tc>
          <w:tcPr>
            <w:tcW w:w="1701" w:type="dxa"/>
            <w:tcBorders>
              <w:top w:val="single" w:sz="4" w:space="0" w:color="auto"/>
              <w:bottom w:val="single" w:sz="12" w:space="0" w:color="auto"/>
            </w:tcBorders>
          </w:tcPr>
          <w:p w14:paraId="408FB247" w14:textId="3097BEAD" w:rsidR="00517D8F" w:rsidRPr="00C46EC3" w:rsidRDefault="00517D8F" w:rsidP="00517D8F">
            <w:pPr>
              <w:pStyle w:val="Bodytext"/>
              <w:jc w:val="right"/>
            </w:pPr>
            <w:r w:rsidRPr="00C15F4E">
              <w:t>378</w:t>
            </w:r>
          </w:p>
        </w:tc>
      </w:tr>
      <w:tr w:rsidR="00517D8F" w:rsidRPr="00811BA1" w14:paraId="13369F3B" w14:textId="77777777" w:rsidTr="00F06413">
        <w:tc>
          <w:tcPr>
            <w:tcW w:w="6003" w:type="dxa"/>
            <w:tcBorders>
              <w:top w:val="single" w:sz="12" w:space="0" w:color="auto"/>
            </w:tcBorders>
          </w:tcPr>
          <w:p w14:paraId="3CD0CA28" w14:textId="77777777" w:rsidR="00517D8F" w:rsidRPr="00811BA1" w:rsidRDefault="00517D8F" w:rsidP="00517D8F">
            <w:pPr>
              <w:pStyle w:val="Bodytext"/>
            </w:pPr>
          </w:p>
        </w:tc>
        <w:tc>
          <w:tcPr>
            <w:tcW w:w="1481" w:type="dxa"/>
            <w:tcBorders>
              <w:top w:val="single" w:sz="12" w:space="0" w:color="auto"/>
            </w:tcBorders>
            <w:vAlign w:val="bottom"/>
          </w:tcPr>
          <w:p w14:paraId="30E839D9" w14:textId="77777777" w:rsidR="00517D8F" w:rsidRPr="0006472C" w:rsidRDefault="00517D8F" w:rsidP="00517D8F">
            <w:pPr>
              <w:pStyle w:val="Bodytext"/>
              <w:jc w:val="right"/>
              <w:rPr>
                <w:b/>
                <w:bCs/>
                <w:color w:val="000000"/>
              </w:rPr>
            </w:pPr>
          </w:p>
        </w:tc>
        <w:tc>
          <w:tcPr>
            <w:tcW w:w="1701" w:type="dxa"/>
            <w:tcBorders>
              <w:top w:val="single" w:sz="12" w:space="0" w:color="auto"/>
            </w:tcBorders>
          </w:tcPr>
          <w:p w14:paraId="0213FF13" w14:textId="77777777" w:rsidR="00517D8F" w:rsidRPr="00C46EC3" w:rsidRDefault="00517D8F" w:rsidP="00517D8F">
            <w:pPr>
              <w:pStyle w:val="Bodytext"/>
              <w:jc w:val="right"/>
            </w:pPr>
          </w:p>
        </w:tc>
      </w:tr>
      <w:tr w:rsidR="00517D8F" w:rsidRPr="00811BA1" w14:paraId="3F25FA31" w14:textId="77777777" w:rsidTr="00F06413">
        <w:tc>
          <w:tcPr>
            <w:tcW w:w="6003" w:type="dxa"/>
          </w:tcPr>
          <w:p w14:paraId="4BFAF98C" w14:textId="77777777" w:rsidR="00517D8F" w:rsidRPr="00811BA1" w:rsidRDefault="00517D8F" w:rsidP="00517D8F">
            <w:pPr>
              <w:pStyle w:val="Bodytext"/>
            </w:pPr>
          </w:p>
        </w:tc>
        <w:tc>
          <w:tcPr>
            <w:tcW w:w="1481" w:type="dxa"/>
            <w:vAlign w:val="bottom"/>
          </w:tcPr>
          <w:p w14:paraId="76443B76" w14:textId="00956B1D" w:rsidR="00517D8F" w:rsidRPr="0006472C" w:rsidRDefault="0097292D" w:rsidP="00517D8F">
            <w:pPr>
              <w:pStyle w:val="Bodytext"/>
              <w:jc w:val="right"/>
              <w:rPr>
                <w:b/>
                <w:bCs/>
                <w:color w:val="000000"/>
              </w:rPr>
            </w:pPr>
            <w:r>
              <w:rPr>
                <w:b/>
                <w:bCs/>
                <w:color w:val="000000"/>
              </w:rPr>
              <w:t>2019</w:t>
            </w:r>
          </w:p>
        </w:tc>
        <w:tc>
          <w:tcPr>
            <w:tcW w:w="1701" w:type="dxa"/>
          </w:tcPr>
          <w:p w14:paraId="63BED693" w14:textId="3AF8007E" w:rsidR="00517D8F" w:rsidRPr="00C46EC3" w:rsidRDefault="00517D8F" w:rsidP="00517D8F">
            <w:pPr>
              <w:pStyle w:val="Bodytext"/>
              <w:jc w:val="right"/>
            </w:pPr>
            <w:r w:rsidRPr="00C15F4E">
              <w:t>2018</w:t>
            </w:r>
          </w:p>
        </w:tc>
      </w:tr>
      <w:tr w:rsidR="00517D8F" w:rsidRPr="00811BA1" w14:paraId="3F775D46" w14:textId="77777777" w:rsidTr="00F06413">
        <w:tc>
          <w:tcPr>
            <w:tcW w:w="6003" w:type="dxa"/>
          </w:tcPr>
          <w:p w14:paraId="4CB69961" w14:textId="0600C4BB" w:rsidR="00517D8F" w:rsidRPr="00493CFC" w:rsidRDefault="00517D8F" w:rsidP="00517D8F">
            <w:pPr>
              <w:pStyle w:val="Bodytext"/>
              <w:rPr>
                <w:highlight w:val="yellow"/>
              </w:rPr>
            </w:pPr>
          </w:p>
        </w:tc>
        <w:tc>
          <w:tcPr>
            <w:tcW w:w="1481" w:type="dxa"/>
            <w:vAlign w:val="bottom"/>
          </w:tcPr>
          <w:p w14:paraId="1426EB44" w14:textId="4716F09F" w:rsidR="00517D8F" w:rsidRPr="009C2206" w:rsidRDefault="0097292D" w:rsidP="00517D8F">
            <w:pPr>
              <w:pStyle w:val="Bodytext"/>
              <w:jc w:val="right"/>
              <w:rPr>
                <w:b/>
              </w:rPr>
            </w:pPr>
            <w:r w:rsidRPr="009C2206">
              <w:rPr>
                <w:b/>
              </w:rPr>
              <w:t>$’000</w:t>
            </w:r>
          </w:p>
        </w:tc>
        <w:tc>
          <w:tcPr>
            <w:tcW w:w="1701" w:type="dxa"/>
          </w:tcPr>
          <w:p w14:paraId="077F6B36" w14:textId="0D8D4596" w:rsidR="00517D8F" w:rsidRPr="009C2206" w:rsidRDefault="00517D8F" w:rsidP="00517D8F">
            <w:pPr>
              <w:pStyle w:val="Bodytext"/>
              <w:jc w:val="right"/>
            </w:pPr>
            <w:r w:rsidRPr="009C2206">
              <w:t>$’000</w:t>
            </w:r>
          </w:p>
        </w:tc>
      </w:tr>
      <w:tr w:rsidR="009C2206" w:rsidRPr="00811BA1" w14:paraId="518ADB40" w14:textId="77777777" w:rsidTr="00F06413">
        <w:tc>
          <w:tcPr>
            <w:tcW w:w="6003" w:type="dxa"/>
            <w:tcBorders>
              <w:top w:val="single" w:sz="4" w:space="0" w:color="auto"/>
            </w:tcBorders>
          </w:tcPr>
          <w:p w14:paraId="5A0ABF32" w14:textId="35678764" w:rsidR="009C2206" w:rsidRPr="009C2206" w:rsidRDefault="009C2206" w:rsidP="009C2206">
            <w:pPr>
              <w:pStyle w:val="Bodytext"/>
            </w:pPr>
            <w:r w:rsidRPr="009C2206">
              <w:t>Ernst &amp; Young LLP (United Kingdom) Interim Review fees</w:t>
            </w:r>
          </w:p>
        </w:tc>
        <w:tc>
          <w:tcPr>
            <w:tcW w:w="1481" w:type="dxa"/>
            <w:tcBorders>
              <w:top w:val="single" w:sz="4" w:space="0" w:color="auto"/>
            </w:tcBorders>
          </w:tcPr>
          <w:p w14:paraId="6955D3F4" w14:textId="2D1A4C1C" w:rsidR="009C2206" w:rsidRPr="009C2206" w:rsidRDefault="009C2206" w:rsidP="009C2206">
            <w:pPr>
              <w:pStyle w:val="Bodytext"/>
              <w:jc w:val="right"/>
              <w:rPr>
                <w:b/>
              </w:rPr>
            </w:pPr>
            <w:r w:rsidRPr="009C2206">
              <w:rPr>
                <w:b/>
              </w:rPr>
              <w:t>174</w:t>
            </w:r>
          </w:p>
        </w:tc>
        <w:tc>
          <w:tcPr>
            <w:tcW w:w="1701" w:type="dxa"/>
            <w:tcBorders>
              <w:top w:val="single" w:sz="4" w:space="0" w:color="auto"/>
            </w:tcBorders>
          </w:tcPr>
          <w:p w14:paraId="1CB11BF9" w14:textId="6E28E632" w:rsidR="009C2206" w:rsidRPr="009C2206" w:rsidRDefault="009C2206" w:rsidP="009C2206">
            <w:pPr>
              <w:pStyle w:val="Bodytext"/>
              <w:jc w:val="right"/>
            </w:pPr>
            <w:r w:rsidRPr="009C2206">
              <w:t>146</w:t>
            </w:r>
          </w:p>
        </w:tc>
      </w:tr>
      <w:tr w:rsidR="00792400" w:rsidRPr="00811BA1" w14:paraId="29A7EC4C" w14:textId="77777777" w:rsidTr="00F06413">
        <w:tc>
          <w:tcPr>
            <w:tcW w:w="6003" w:type="dxa"/>
          </w:tcPr>
          <w:p w14:paraId="77BC3C0C" w14:textId="3C47A0AF" w:rsidR="00792400" w:rsidRPr="009C2206" w:rsidRDefault="00792400" w:rsidP="009C2206">
            <w:pPr>
              <w:pStyle w:val="Bodytext"/>
            </w:pPr>
            <w:r w:rsidRPr="009C2206">
              <w:t>Ernst &amp; Young LLP (United Kingdom)</w:t>
            </w:r>
            <w:r>
              <w:t xml:space="preserve"> </w:t>
            </w:r>
            <w:r w:rsidR="00F06413">
              <w:t xml:space="preserve">Other </w:t>
            </w:r>
            <w:r w:rsidRPr="009C2206">
              <w:t>Assurance services</w:t>
            </w:r>
          </w:p>
        </w:tc>
        <w:tc>
          <w:tcPr>
            <w:tcW w:w="1481" w:type="dxa"/>
          </w:tcPr>
          <w:p w14:paraId="0B587E31" w14:textId="4D80DE5A" w:rsidR="00792400" w:rsidRPr="009C2206" w:rsidRDefault="00792400" w:rsidP="009C2206">
            <w:pPr>
              <w:pStyle w:val="Bodytext"/>
              <w:jc w:val="right"/>
              <w:rPr>
                <w:b/>
              </w:rPr>
            </w:pPr>
            <w:r>
              <w:rPr>
                <w:b/>
              </w:rPr>
              <w:t>121</w:t>
            </w:r>
          </w:p>
        </w:tc>
        <w:tc>
          <w:tcPr>
            <w:tcW w:w="1701" w:type="dxa"/>
          </w:tcPr>
          <w:p w14:paraId="5CEDCB95" w14:textId="17BE197E" w:rsidR="00792400" w:rsidRPr="009C2206" w:rsidRDefault="00792400" w:rsidP="009C2206">
            <w:pPr>
              <w:pStyle w:val="Bodytext"/>
              <w:jc w:val="right"/>
            </w:pPr>
            <w:r>
              <w:t>-</w:t>
            </w:r>
          </w:p>
        </w:tc>
      </w:tr>
      <w:tr w:rsidR="009C2206" w:rsidRPr="00811BA1" w14:paraId="1CFD2CDC" w14:textId="77777777" w:rsidTr="00F06413">
        <w:tc>
          <w:tcPr>
            <w:tcW w:w="6003" w:type="dxa"/>
          </w:tcPr>
          <w:p w14:paraId="7D96E537" w14:textId="0B0E3232" w:rsidR="009C2206" w:rsidRPr="00AD7CED" w:rsidRDefault="009C2206" w:rsidP="009C2206">
            <w:pPr>
              <w:pStyle w:val="Bodytext"/>
              <w:rPr>
                <w:highlight w:val="yellow"/>
              </w:rPr>
            </w:pPr>
            <w:r w:rsidRPr="009C2206">
              <w:t>Erns</w:t>
            </w:r>
            <w:r w:rsidR="00834C4F">
              <w:t>t &amp; Young Business Services S.à.</w:t>
            </w:r>
            <w:r w:rsidRPr="009C2206">
              <w:t>r.l Non-Assurance services</w:t>
            </w:r>
          </w:p>
        </w:tc>
        <w:tc>
          <w:tcPr>
            <w:tcW w:w="1481" w:type="dxa"/>
          </w:tcPr>
          <w:p w14:paraId="20E460A6" w14:textId="09B27F7A" w:rsidR="009C2206" w:rsidRPr="009C2206" w:rsidRDefault="00792400" w:rsidP="009C2206">
            <w:pPr>
              <w:pStyle w:val="Bodytext"/>
              <w:jc w:val="right"/>
              <w:rPr>
                <w:b/>
              </w:rPr>
            </w:pPr>
            <w:r>
              <w:rPr>
                <w:b/>
              </w:rPr>
              <w:t>2</w:t>
            </w:r>
          </w:p>
        </w:tc>
        <w:tc>
          <w:tcPr>
            <w:tcW w:w="1701" w:type="dxa"/>
          </w:tcPr>
          <w:p w14:paraId="745C88E8" w14:textId="6B3D95CA" w:rsidR="009C2206" w:rsidRPr="009C2206" w:rsidRDefault="009C2206" w:rsidP="009C2206">
            <w:pPr>
              <w:pStyle w:val="Bodytext"/>
              <w:jc w:val="right"/>
              <w:rPr>
                <w:bCs/>
                <w:color w:val="000000"/>
              </w:rPr>
            </w:pPr>
            <w:r w:rsidRPr="009C2206">
              <w:t>57</w:t>
            </w:r>
          </w:p>
        </w:tc>
      </w:tr>
      <w:tr w:rsidR="009C2206" w:rsidRPr="00811BA1" w14:paraId="7D112865" w14:textId="77777777" w:rsidTr="00F06413">
        <w:tc>
          <w:tcPr>
            <w:tcW w:w="6003" w:type="dxa"/>
          </w:tcPr>
          <w:p w14:paraId="1336E714" w14:textId="2E59681F" w:rsidR="009C2206" w:rsidRPr="00AD7CED" w:rsidRDefault="009C2206" w:rsidP="009C2206">
            <w:pPr>
              <w:pStyle w:val="Bodytext"/>
              <w:rPr>
                <w:highlight w:val="yellow"/>
              </w:rPr>
            </w:pPr>
            <w:r w:rsidRPr="009C2206">
              <w:t>Ernst &amp; Young (United States) Tax Compliance fees</w:t>
            </w:r>
          </w:p>
        </w:tc>
        <w:tc>
          <w:tcPr>
            <w:tcW w:w="1481" w:type="dxa"/>
            <w:vAlign w:val="bottom"/>
          </w:tcPr>
          <w:p w14:paraId="3C4B9E31" w14:textId="655B2AF6" w:rsidR="009C2206" w:rsidRPr="00AD7CED" w:rsidRDefault="00785EDA" w:rsidP="009C2206">
            <w:pPr>
              <w:pStyle w:val="Bodytext"/>
              <w:jc w:val="right"/>
              <w:rPr>
                <w:b/>
                <w:highlight w:val="yellow"/>
              </w:rPr>
            </w:pPr>
            <w:r>
              <w:rPr>
                <w:b/>
              </w:rPr>
              <w:t>4</w:t>
            </w:r>
            <w:r w:rsidR="00B55465">
              <w:rPr>
                <w:b/>
              </w:rPr>
              <w:t>5</w:t>
            </w:r>
          </w:p>
        </w:tc>
        <w:tc>
          <w:tcPr>
            <w:tcW w:w="1701" w:type="dxa"/>
          </w:tcPr>
          <w:p w14:paraId="3C0092EB" w14:textId="34A84CF6" w:rsidR="009C2206" w:rsidRPr="009C2206" w:rsidRDefault="009C2206" w:rsidP="009C2206">
            <w:pPr>
              <w:pStyle w:val="Bodytext"/>
              <w:jc w:val="right"/>
            </w:pPr>
            <w:r w:rsidRPr="009C2206">
              <w:t>25</w:t>
            </w:r>
          </w:p>
        </w:tc>
      </w:tr>
      <w:tr w:rsidR="009C2206" w:rsidRPr="00811BA1" w14:paraId="6C627A8B" w14:textId="77777777" w:rsidTr="00F06413">
        <w:tc>
          <w:tcPr>
            <w:tcW w:w="6003" w:type="dxa"/>
          </w:tcPr>
          <w:p w14:paraId="59EF3C19" w14:textId="71CE3B27" w:rsidR="009C2206" w:rsidRPr="009C2206" w:rsidRDefault="009C2206" w:rsidP="009C2206">
            <w:pPr>
              <w:pStyle w:val="Bodytext"/>
            </w:pPr>
            <w:r w:rsidRPr="009C2206">
              <w:t>Ernst &amp; Young ISAE 3000 fee</w:t>
            </w:r>
          </w:p>
        </w:tc>
        <w:tc>
          <w:tcPr>
            <w:tcW w:w="1481" w:type="dxa"/>
            <w:vAlign w:val="bottom"/>
          </w:tcPr>
          <w:p w14:paraId="49E161EC" w14:textId="2E5A116F" w:rsidR="009C2206" w:rsidRPr="009C2206" w:rsidRDefault="009C2206" w:rsidP="009C2206">
            <w:pPr>
              <w:pStyle w:val="Bodytext"/>
              <w:jc w:val="right"/>
              <w:rPr>
                <w:b/>
              </w:rPr>
            </w:pPr>
            <w:r w:rsidRPr="009C2206">
              <w:rPr>
                <w:b/>
              </w:rPr>
              <w:t>-</w:t>
            </w:r>
          </w:p>
        </w:tc>
        <w:tc>
          <w:tcPr>
            <w:tcW w:w="1701" w:type="dxa"/>
          </w:tcPr>
          <w:p w14:paraId="66768894" w14:textId="379D4678" w:rsidR="009C2206" w:rsidRPr="00AD7CED" w:rsidRDefault="009C2206" w:rsidP="009C2206">
            <w:pPr>
              <w:pStyle w:val="Bodytext"/>
              <w:jc w:val="right"/>
              <w:rPr>
                <w:highlight w:val="yellow"/>
              </w:rPr>
            </w:pPr>
            <w:r w:rsidRPr="009C2206">
              <w:t>52</w:t>
            </w:r>
          </w:p>
        </w:tc>
      </w:tr>
      <w:tr w:rsidR="009C2206" w:rsidRPr="00811BA1" w14:paraId="0D463366" w14:textId="77777777" w:rsidTr="00F06413">
        <w:tc>
          <w:tcPr>
            <w:tcW w:w="6003" w:type="dxa"/>
            <w:tcBorders>
              <w:top w:val="single" w:sz="4" w:space="0" w:color="auto"/>
              <w:bottom w:val="single" w:sz="18" w:space="0" w:color="auto"/>
            </w:tcBorders>
          </w:tcPr>
          <w:p w14:paraId="22383159" w14:textId="308DA7CD" w:rsidR="009C2206" w:rsidRPr="00AD7CED" w:rsidRDefault="009C2206" w:rsidP="009C2206">
            <w:pPr>
              <w:pStyle w:val="Bodytext"/>
              <w:rPr>
                <w:b/>
                <w:highlight w:val="yellow"/>
              </w:rPr>
            </w:pPr>
            <w:r w:rsidRPr="009C2206">
              <w:rPr>
                <w:b/>
              </w:rPr>
              <w:t>Ernst &amp; Young Non-Audit fees</w:t>
            </w:r>
          </w:p>
        </w:tc>
        <w:tc>
          <w:tcPr>
            <w:tcW w:w="1481" w:type="dxa"/>
            <w:tcBorders>
              <w:top w:val="single" w:sz="4" w:space="0" w:color="auto"/>
              <w:bottom w:val="single" w:sz="18" w:space="0" w:color="auto"/>
            </w:tcBorders>
            <w:vAlign w:val="bottom"/>
          </w:tcPr>
          <w:p w14:paraId="60C9E950" w14:textId="758BFE26" w:rsidR="009C2206" w:rsidRPr="00AD7CED" w:rsidRDefault="00B55465" w:rsidP="009C2206">
            <w:pPr>
              <w:pStyle w:val="Bodytext"/>
              <w:jc w:val="right"/>
              <w:rPr>
                <w:b/>
                <w:highlight w:val="yellow"/>
              </w:rPr>
            </w:pPr>
            <w:r>
              <w:rPr>
                <w:b/>
              </w:rPr>
              <w:t>3</w:t>
            </w:r>
            <w:r w:rsidR="00785EDA">
              <w:rPr>
                <w:b/>
              </w:rPr>
              <w:t>4</w:t>
            </w:r>
            <w:r>
              <w:rPr>
                <w:b/>
              </w:rPr>
              <w:t>2</w:t>
            </w:r>
          </w:p>
        </w:tc>
        <w:tc>
          <w:tcPr>
            <w:tcW w:w="1701" w:type="dxa"/>
            <w:tcBorders>
              <w:top w:val="single" w:sz="4" w:space="0" w:color="auto"/>
              <w:bottom w:val="single" w:sz="18" w:space="0" w:color="auto"/>
            </w:tcBorders>
          </w:tcPr>
          <w:p w14:paraId="6880EA94" w14:textId="27A53FEA" w:rsidR="009C2206" w:rsidRPr="00AD7CED" w:rsidRDefault="009C2206" w:rsidP="009C2206">
            <w:pPr>
              <w:pStyle w:val="Bodytext"/>
              <w:jc w:val="right"/>
              <w:rPr>
                <w:highlight w:val="yellow"/>
              </w:rPr>
            </w:pPr>
            <w:r w:rsidRPr="009C2206">
              <w:t>280</w:t>
            </w:r>
          </w:p>
        </w:tc>
      </w:tr>
    </w:tbl>
    <w:p w14:paraId="1BA55901" w14:textId="77777777" w:rsidR="00C83EDE" w:rsidRDefault="00C83EDE" w:rsidP="00C83EDE"/>
    <w:p w14:paraId="31544D56" w14:textId="77777777" w:rsidR="00C83EDE" w:rsidRPr="00C83EDE" w:rsidRDefault="00C83EDE" w:rsidP="00C83EDE"/>
    <w:p w14:paraId="5414C41C" w14:textId="68F61106" w:rsidR="00930246" w:rsidRDefault="00930246" w:rsidP="00EB7E49">
      <w:pPr>
        <w:pStyle w:val="Heading1"/>
        <w:spacing w:before="0"/>
        <w:rPr>
          <w:sz w:val="28"/>
          <w:szCs w:val="28"/>
        </w:rPr>
      </w:pPr>
      <w:r w:rsidRPr="00A74038">
        <w:rPr>
          <w:sz w:val="28"/>
          <w:szCs w:val="28"/>
        </w:rPr>
        <w:t>1</w:t>
      </w:r>
      <w:r>
        <w:rPr>
          <w:sz w:val="28"/>
          <w:szCs w:val="28"/>
        </w:rPr>
        <w:t>5</w:t>
      </w:r>
      <w:r w:rsidRPr="002F3F9C">
        <w:rPr>
          <w:sz w:val="28"/>
          <w:szCs w:val="28"/>
        </w:rPr>
        <w:t xml:space="preserve">.  </w:t>
      </w:r>
      <w:r>
        <w:rPr>
          <w:rFonts w:eastAsiaTheme="minorHAnsi" w:cstheme="minorBidi"/>
          <w:bCs w:val="0"/>
          <w:caps w:val="0"/>
          <w:sz w:val="28"/>
          <w:szCs w:val="28"/>
        </w:rPr>
        <w:t>IFRS to US GAAP Reconciliation</w:t>
      </w:r>
    </w:p>
    <w:p w14:paraId="2C44D12D" w14:textId="6944C2FF" w:rsidR="00A13767" w:rsidRDefault="004C6E6F" w:rsidP="00C32021">
      <w:pPr>
        <w:ind w:left="720"/>
        <w:jc w:val="both"/>
      </w:pPr>
      <w:r w:rsidRPr="004C6E6F">
        <w:t xml:space="preserve">The Company's </w:t>
      </w:r>
      <w:r>
        <w:t>F</w:t>
      </w:r>
      <w:r w:rsidRPr="004C6E6F">
        <w:t xml:space="preserve">inancial </w:t>
      </w:r>
      <w:r>
        <w:t>S</w:t>
      </w:r>
      <w:r w:rsidRPr="004C6E6F">
        <w:t>tatements are prepared in accordance with IFRS, which in certain respects differ from</w:t>
      </w:r>
      <w:r>
        <w:t xml:space="preserve"> US GAAP</w:t>
      </w:r>
      <w:r w:rsidRPr="004C6E6F">
        <w:t xml:space="preserve">. </w:t>
      </w:r>
      <w:r>
        <w:t>T</w:t>
      </w:r>
      <w:r w:rsidRPr="004C6E6F">
        <w:t>hese differences are not material and therefore no reconciliation between IFRS and US GAAP has been presented.</w:t>
      </w:r>
      <w:r w:rsidR="00A13767">
        <w:t xml:space="preserve"> </w:t>
      </w:r>
      <w:r w:rsidR="00057129">
        <w:t>For reference</w:t>
      </w:r>
      <w:r w:rsidR="00A13767">
        <w:t>, please see below for a summary of the key judgments and estimates taken into account with regards to the Company as of 31 December 2019</w:t>
      </w:r>
      <w:r w:rsidR="00FF2071">
        <w:t>, as well as the Shareholders’ financial highlights required under US GAAP</w:t>
      </w:r>
      <w:r w:rsidR="00A13767">
        <w:t>.</w:t>
      </w:r>
    </w:p>
    <w:p w14:paraId="0E6C95BB" w14:textId="76B8D2FD" w:rsidR="00A13767" w:rsidRDefault="00A13767" w:rsidP="00C32021">
      <w:pPr>
        <w:ind w:left="720"/>
        <w:jc w:val="both"/>
      </w:pPr>
    </w:p>
    <w:p w14:paraId="5FB1950E" w14:textId="77777777" w:rsidR="00A13767" w:rsidRDefault="00A13767" w:rsidP="00C32021">
      <w:pPr>
        <w:ind w:left="720"/>
        <w:jc w:val="both"/>
      </w:pPr>
      <w:r w:rsidRPr="00C65426">
        <w:rPr>
          <w:b/>
          <w:szCs w:val="24"/>
        </w:rPr>
        <w:t>Assessment as an Investment Entity</w:t>
      </w:r>
    </w:p>
    <w:p w14:paraId="2B832C9F" w14:textId="197AA9FE" w:rsidR="00A13767" w:rsidRDefault="001D00C6" w:rsidP="008B36D1">
      <w:pPr>
        <w:ind w:left="720"/>
        <w:jc w:val="both"/>
      </w:pPr>
      <w:r w:rsidRPr="008B36D1">
        <w:lastRenderedPageBreak/>
        <w:t xml:space="preserve">As stated in </w:t>
      </w:r>
      <w:r w:rsidR="005656E3" w:rsidRPr="008B36D1">
        <w:t>N</w:t>
      </w:r>
      <w:r w:rsidRPr="008B36D1">
        <w:t xml:space="preserve">ote 3, REL meets the definition of an investment entity </w:t>
      </w:r>
      <w:r w:rsidR="00A13767" w:rsidRPr="008B36D1">
        <w:t>under IFRS 10.</w:t>
      </w:r>
      <w:r w:rsidR="00057129" w:rsidRPr="008B36D1">
        <w:t xml:space="preserve"> </w:t>
      </w:r>
      <w:r w:rsidRPr="008B36D1">
        <w:t>Per US GAAP (</w:t>
      </w:r>
      <w:r w:rsidR="00057129" w:rsidRPr="008B36D1">
        <w:t>Financial Services – Investment Companies (Topic 946): Amendments to the Scope, Measurement, and Disclosure Requirements or “</w:t>
      </w:r>
      <w:r w:rsidRPr="008B36D1">
        <w:t>ASC 946</w:t>
      </w:r>
      <w:r w:rsidR="00057129" w:rsidRPr="008B36D1">
        <w:t>”</w:t>
      </w:r>
      <w:r w:rsidRPr="008B36D1">
        <w:t xml:space="preserve">), </w:t>
      </w:r>
      <w:r w:rsidR="00A13767" w:rsidRPr="008B36D1">
        <w:t>REL meets the definition of an investment company, and as required by ASC 946, REL measures its investment in the Partnership at FVTPL, which in turn measures its investment in the underlying investments at FVTPL. Also, to note that all underlying entities prepared their accounts in accordance with US GAAP and account for all investments at FVTPL.</w:t>
      </w:r>
    </w:p>
    <w:p w14:paraId="11D825C1" w14:textId="77777777" w:rsidR="008B36D1" w:rsidRDefault="008B36D1" w:rsidP="008B36D1">
      <w:pPr>
        <w:ind w:left="720"/>
        <w:jc w:val="both"/>
      </w:pPr>
    </w:p>
    <w:p w14:paraId="13071999" w14:textId="0D88F54B" w:rsidR="00A13767" w:rsidRDefault="001D00C6" w:rsidP="00C32021">
      <w:pPr>
        <w:spacing w:after="120"/>
        <w:ind w:left="720"/>
        <w:jc w:val="both"/>
      </w:pPr>
      <w:r>
        <w:rPr>
          <w:b/>
        </w:rPr>
        <w:t>REL’s Investment in the Partnership</w:t>
      </w:r>
    </w:p>
    <w:p w14:paraId="029DCD40" w14:textId="43937601" w:rsidR="001D00C6" w:rsidRDefault="00BF1DBE" w:rsidP="00C32021">
      <w:pPr>
        <w:ind w:left="720"/>
        <w:jc w:val="both"/>
      </w:pPr>
      <w:r>
        <w:t xml:space="preserve">As stated in Note 3, </w:t>
      </w:r>
      <w:r w:rsidRPr="000E28F6">
        <w:t xml:space="preserve">although the Company is the sole limited partner, it does not control the Partnership </w:t>
      </w:r>
      <w:r w:rsidR="00870321">
        <w:t>(as that is attributable to</w:t>
      </w:r>
      <w:r w:rsidRPr="000E28F6">
        <w:t xml:space="preserve"> the General Partner)</w:t>
      </w:r>
      <w:r>
        <w:t>,</w:t>
      </w:r>
      <w:r w:rsidRPr="000E28F6">
        <w:t xml:space="preserve"> but instead has significant influence</w:t>
      </w:r>
      <w:r>
        <w:t>.</w:t>
      </w:r>
      <w:r w:rsidRPr="000E28F6">
        <w:t xml:space="preserve"> </w:t>
      </w:r>
      <w:r>
        <w:t>T</w:t>
      </w:r>
      <w:r w:rsidRPr="000E28F6">
        <w:t>herefore</w:t>
      </w:r>
      <w:r>
        <w:t>,</w:t>
      </w:r>
      <w:r w:rsidRPr="000E28F6">
        <w:t xml:space="preserve"> </w:t>
      </w:r>
      <w:r>
        <w:t xml:space="preserve">REL </w:t>
      </w:r>
      <w:r w:rsidRPr="000E28F6">
        <w:t xml:space="preserve">accounts for the Partnership as an investment in associate </w:t>
      </w:r>
      <w:r>
        <w:t>in accordance with</w:t>
      </w:r>
      <w:r w:rsidRPr="000E28F6">
        <w:t xml:space="preserve"> IAS 28</w:t>
      </w:r>
      <w:r w:rsidR="00870321">
        <w:t xml:space="preserve"> –</w:t>
      </w:r>
      <w:r>
        <w:t xml:space="preserve"> </w:t>
      </w:r>
      <w:r w:rsidRPr="00BF1DBE">
        <w:t>Investment in Associates and Joint Ventures</w:t>
      </w:r>
      <w:r>
        <w:t xml:space="preserve">, and, since REL meets the definition of an investment company in accordance with IFRS 10, it measures its investment in the Partnership at FVTPL. </w:t>
      </w:r>
      <w:r w:rsidR="001D00C6">
        <w:t>Taking into consideration all applicable US GAAP requirements (ASC 946</w:t>
      </w:r>
      <w:r w:rsidR="00957ED8">
        <w:t xml:space="preserve"> and ASC 323</w:t>
      </w:r>
      <w:r w:rsidR="001D00C6">
        <w:t>), REL</w:t>
      </w:r>
      <w:r w:rsidR="001D00C6" w:rsidRPr="000E28F6">
        <w:t xml:space="preserve"> </w:t>
      </w:r>
      <w:r w:rsidR="001D00C6">
        <w:t>is</w:t>
      </w:r>
      <w:r w:rsidR="001D00C6" w:rsidRPr="00866F04">
        <w:t xml:space="preserve"> permitted to </w:t>
      </w:r>
      <w:r w:rsidR="001D00C6">
        <w:t xml:space="preserve">not </w:t>
      </w:r>
      <w:r w:rsidR="001D00C6" w:rsidRPr="00866F04">
        <w:t>consolidate its investment in the Partnershi</w:t>
      </w:r>
      <w:r w:rsidR="001D00C6">
        <w:t>p and account for it at FVTPL as required by ASC 946</w:t>
      </w:r>
      <w:r w:rsidR="00957ED8">
        <w:t xml:space="preserve"> and ASC 323</w:t>
      </w:r>
      <w:r w:rsidR="001D00C6">
        <w:t>, which is similar to the IFRS 10 requirements.</w:t>
      </w:r>
    </w:p>
    <w:p w14:paraId="3A58CA18" w14:textId="7B4DDFB8" w:rsidR="001D00C6" w:rsidRDefault="001D00C6" w:rsidP="00C32021">
      <w:pPr>
        <w:ind w:left="720"/>
        <w:jc w:val="both"/>
      </w:pPr>
    </w:p>
    <w:p w14:paraId="758C9059" w14:textId="26AB0430" w:rsidR="001D00C6" w:rsidRDefault="001D00C6" w:rsidP="00C32021">
      <w:pPr>
        <w:spacing w:after="120"/>
        <w:ind w:left="720"/>
        <w:jc w:val="both"/>
      </w:pPr>
      <w:r w:rsidRPr="00992FF7">
        <w:rPr>
          <w:b/>
        </w:rPr>
        <w:t>Fair Value Measurements</w:t>
      </w:r>
    </w:p>
    <w:p w14:paraId="259AFC2B" w14:textId="5BBE78B4" w:rsidR="001D00C6" w:rsidRDefault="001D00C6" w:rsidP="00C32021">
      <w:pPr>
        <w:ind w:left="720"/>
        <w:jc w:val="both"/>
      </w:pPr>
      <w:r w:rsidRPr="00C37BBC">
        <w:t xml:space="preserve">The fair value of the </w:t>
      </w:r>
      <w:r>
        <w:t xml:space="preserve">underlying </w:t>
      </w:r>
      <w:r w:rsidRPr="00C37BBC">
        <w:t xml:space="preserve">investments held by the </w:t>
      </w:r>
      <w:r>
        <w:t>Partnership</w:t>
      </w:r>
      <w:r w:rsidRPr="00C37BBC">
        <w:t xml:space="preserve"> are determined in accordance with US GAAP and IFRS</w:t>
      </w:r>
      <w:r>
        <w:t xml:space="preserve"> based on valuation techniques and inputs that are observable in the market which market participants have access to and will use to determine the exit price or selling price of the investments.  This will also be the case when there is reason to believe that the transaction price and fair value at initial recognition differ.  </w:t>
      </w:r>
      <w:r w:rsidRPr="00C37BBC">
        <w:t xml:space="preserve">The change in valuation of REL’s investments held by the </w:t>
      </w:r>
      <w:r>
        <w:t>Partnership</w:t>
      </w:r>
      <w:r w:rsidRPr="00C37BBC">
        <w:t xml:space="preserve"> is then reflected in the fair value of REL’s investment in the </w:t>
      </w:r>
      <w:r>
        <w:t>Partnership</w:t>
      </w:r>
      <w:r w:rsidRPr="00C37BBC">
        <w:t>.</w:t>
      </w:r>
    </w:p>
    <w:p w14:paraId="4D99DD4C" w14:textId="77777777" w:rsidR="001D00C6" w:rsidRDefault="001D00C6" w:rsidP="00C32021">
      <w:pPr>
        <w:ind w:left="720"/>
        <w:jc w:val="both"/>
      </w:pPr>
    </w:p>
    <w:p w14:paraId="4BA75EB9" w14:textId="187946FA" w:rsidR="00A13767" w:rsidRPr="00A51778" w:rsidRDefault="00FF2071" w:rsidP="00930246">
      <w:pPr>
        <w:ind w:left="720"/>
        <w:rPr>
          <w:b/>
        </w:rPr>
      </w:pPr>
      <w:r>
        <w:rPr>
          <w:b/>
        </w:rPr>
        <w:t xml:space="preserve">Shareholders’ </w:t>
      </w:r>
      <w:r w:rsidR="00A13767" w:rsidRPr="00A51778">
        <w:rPr>
          <w:b/>
        </w:rPr>
        <w:t>Financial Highlights</w:t>
      </w:r>
    </w:p>
    <w:tbl>
      <w:tblPr>
        <w:tblW w:w="9033" w:type="dxa"/>
        <w:tblInd w:w="753" w:type="dxa"/>
        <w:tblLayout w:type="fixed"/>
        <w:tblCellMar>
          <w:left w:w="0" w:type="dxa"/>
          <w:right w:w="0" w:type="dxa"/>
        </w:tblCellMar>
        <w:tblLook w:val="0000" w:firstRow="0" w:lastRow="0" w:firstColumn="0" w:lastColumn="0" w:noHBand="0" w:noVBand="0"/>
      </w:tblPr>
      <w:tblGrid>
        <w:gridCol w:w="4827"/>
        <w:gridCol w:w="2070"/>
        <w:gridCol w:w="2136"/>
      </w:tblGrid>
      <w:tr w:rsidR="00186C1D" w:rsidRPr="003161CE" w14:paraId="1BF4E35D" w14:textId="00BEC5BB" w:rsidTr="009530B2">
        <w:trPr>
          <w:cantSplit/>
          <w:trHeight w:val="984"/>
        </w:trPr>
        <w:tc>
          <w:tcPr>
            <w:tcW w:w="4827" w:type="dxa"/>
            <w:tcBorders>
              <w:top w:val="nil"/>
              <w:left w:val="nil"/>
              <w:bottom w:val="nil"/>
              <w:right w:val="nil"/>
            </w:tcBorders>
            <w:vAlign w:val="bottom"/>
          </w:tcPr>
          <w:p w14:paraId="59E5AC01" w14:textId="77777777" w:rsidR="00186C1D" w:rsidRPr="00DC71D4" w:rsidRDefault="00186C1D" w:rsidP="00186C1D">
            <w:pPr>
              <w:pStyle w:val="indent0"/>
              <w:rPr>
                <w:szCs w:val="24"/>
              </w:rPr>
            </w:pPr>
          </w:p>
        </w:tc>
        <w:tc>
          <w:tcPr>
            <w:tcW w:w="2070" w:type="dxa"/>
            <w:tcBorders>
              <w:left w:val="nil"/>
              <w:bottom w:val="single" w:sz="8" w:space="0" w:color="auto"/>
              <w:right w:val="nil"/>
            </w:tcBorders>
            <w:vAlign w:val="bottom"/>
          </w:tcPr>
          <w:p w14:paraId="56B601B5" w14:textId="085FBFAB" w:rsidR="00186C1D" w:rsidRPr="00A51778" w:rsidRDefault="00186C1D" w:rsidP="00186C1D">
            <w:pPr>
              <w:pStyle w:val="tblNormal-Heading"/>
              <w:rPr>
                <w:rFonts w:ascii="Arial" w:hAnsi="Arial" w:cs="Arial"/>
                <w:sz w:val="20"/>
              </w:rPr>
            </w:pPr>
            <w:r w:rsidRPr="00A51778">
              <w:rPr>
                <w:rFonts w:ascii="Arial" w:hAnsi="Arial" w:cs="Arial"/>
                <w:sz w:val="20"/>
              </w:rPr>
              <w:t xml:space="preserve">Year </w:t>
            </w:r>
            <w:r>
              <w:rPr>
                <w:rFonts w:ascii="Arial" w:hAnsi="Arial" w:cs="Arial"/>
                <w:sz w:val="20"/>
              </w:rPr>
              <w:t>E</w:t>
            </w:r>
            <w:r w:rsidRPr="00A51778">
              <w:rPr>
                <w:rFonts w:ascii="Arial" w:hAnsi="Arial" w:cs="Arial"/>
                <w:sz w:val="20"/>
              </w:rPr>
              <w:t xml:space="preserve">nded </w:t>
            </w:r>
          </w:p>
          <w:p w14:paraId="1F6C61E9" w14:textId="58A97CE3" w:rsidR="00186C1D" w:rsidRPr="00A51778" w:rsidRDefault="00186C1D" w:rsidP="00186C1D">
            <w:pPr>
              <w:pStyle w:val="tblNormal-Heading"/>
              <w:rPr>
                <w:rFonts w:ascii="Arial" w:hAnsi="Arial" w:cs="Arial"/>
                <w:sz w:val="20"/>
              </w:rPr>
            </w:pPr>
            <w:r>
              <w:rPr>
                <w:rFonts w:ascii="Arial" w:hAnsi="Arial" w:cs="Arial"/>
                <w:sz w:val="20"/>
              </w:rPr>
              <w:t xml:space="preserve">31 </w:t>
            </w:r>
            <w:r w:rsidRPr="00A51778">
              <w:rPr>
                <w:rFonts w:ascii="Arial" w:hAnsi="Arial" w:cs="Arial"/>
                <w:sz w:val="20"/>
              </w:rPr>
              <w:t>December 201</w:t>
            </w:r>
            <w:r>
              <w:rPr>
                <w:rFonts w:ascii="Arial" w:hAnsi="Arial" w:cs="Arial"/>
                <w:sz w:val="20"/>
              </w:rPr>
              <w:t>9</w:t>
            </w:r>
          </w:p>
        </w:tc>
        <w:tc>
          <w:tcPr>
            <w:tcW w:w="2136" w:type="dxa"/>
            <w:tcBorders>
              <w:left w:val="nil"/>
              <w:bottom w:val="single" w:sz="8" w:space="0" w:color="auto"/>
              <w:right w:val="nil"/>
            </w:tcBorders>
            <w:vAlign w:val="bottom"/>
          </w:tcPr>
          <w:p w14:paraId="293B9F00" w14:textId="77777777" w:rsidR="00186C1D" w:rsidRPr="00A51778" w:rsidRDefault="00186C1D" w:rsidP="00186C1D">
            <w:pPr>
              <w:pStyle w:val="tblNormal-Heading"/>
              <w:rPr>
                <w:rFonts w:ascii="Arial" w:hAnsi="Arial" w:cs="Arial"/>
                <w:sz w:val="20"/>
              </w:rPr>
            </w:pPr>
            <w:r w:rsidRPr="00A51778">
              <w:rPr>
                <w:rFonts w:ascii="Arial" w:hAnsi="Arial" w:cs="Arial"/>
                <w:sz w:val="20"/>
              </w:rPr>
              <w:t xml:space="preserve">Year </w:t>
            </w:r>
            <w:r>
              <w:rPr>
                <w:rFonts w:ascii="Arial" w:hAnsi="Arial" w:cs="Arial"/>
                <w:sz w:val="20"/>
              </w:rPr>
              <w:t>E</w:t>
            </w:r>
            <w:r w:rsidRPr="00A51778">
              <w:rPr>
                <w:rFonts w:ascii="Arial" w:hAnsi="Arial" w:cs="Arial"/>
                <w:sz w:val="20"/>
              </w:rPr>
              <w:t xml:space="preserve">nded </w:t>
            </w:r>
          </w:p>
          <w:p w14:paraId="1ECB2DF5" w14:textId="14AF2792" w:rsidR="00186C1D" w:rsidRPr="00A51778" w:rsidRDefault="00186C1D" w:rsidP="00186C1D">
            <w:pPr>
              <w:pStyle w:val="tblNormal-Heading"/>
              <w:rPr>
                <w:rFonts w:ascii="Arial" w:hAnsi="Arial" w:cs="Arial"/>
                <w:sz w:val="20"/>
              </w:rPr>
            </w:pPr>
            <w:r>
              <w:rPr>
                <w:rFonts w:ascii="Arial" w:hAnsi="Arial" w:cs="Arial"/>
                <w:sz w:val="20"/>
              </w:rPr>
              <w:t xml:space="preserve">31 </w:t>
            </w:r>
            <w:r w:rsidRPr="00A51778">
              <w:rPr>
                <w:rFonts w:ascii="Arial" w:hAnsi="Arial" w:cs="Arial"/>
                <w:sz w:val="20"/>
              </w:rPr>
              <w:t>December 201</w:t>
            </w:r>
            <w:r>
              <w:rPr>
                <w:rFonts w:ascii="Arial" w:hAnsi="Arial" w:cs="Arial"/>
                <w:sz w:val="20"/>
              </w:rPr>
              <w:t>8</w:t>
            </w:r>
          </w:p>
        </w:tc>
      </w:tr>
      <w:tr w:rsidR="00186C1D" w:rsidRPr="003161CE" w14:paraId="46CB2F43" w14:textId="6B136146" w:rsidTr="009530B2">
        <w:trPr>
          <w:cantSplit/>
          <w:trHeight w:hRule="exact" w:val="170"/>
        </w:trPr>
        <w:tc>
          <w:tcPr>
            <w:tcW w:w="4827" w:type="dxa"/>
            <w:tcBorders>
              <w:top w:val="nil"/>
              <w:left w:val="nil"/>
              <w:bottom w:val="nil"/>
              <w:right w:val="nil"/>
            </w:tcBorders>
          </w:tcPr>
          <w:p w14:paraId="2BE13699" w14:textId="77777777" w:rsidR="00186C1D" w:rsidRPr="00DC71D4" w:rsidRDefault="00186C1D" w:rsidP="00186C1D">
            <w:pPr>
              <w:pStyle w:val="indent0"/>
              <w:rPr>
                <w:b/>
                <w:bCs/>
                <w:spacing w:val="-4"/>
                <w:szCs w:val="24"/>
              </w:rPr>
            </w:pPr>
          </w:p>
        </w:tc>
        <w:tc>
          <w:tcPr>
            <w:tcW w:w="2070" w:type="dxa"/>
            <w:tcBorders>
              <w:left w:val="nil"/>
              <w:right w:val="nil"/>
            </w:tcBorders>
            <w:vAlign w:val="bottom"/>
          </w:tcPr>
          <w:p w14:paraId="79F85469" w14:textId="77777777" w:rsidR="00186C1D" w:rsidRPr="00A51778" w:rsidRDefault="00186C1D" w:rsidP="00186C1D">
            <w:pPr>
              <w:pStyle w:val="tblNormal"/>
              <w:tabs>
                <w:tab w:val="decimal" w:pos="648"/>
              </w:tabs>
              <w:ind w:left="58"/>
              <w:jc w:val="center"/>
              <w:rPr>
                <w:rFonts w:ascii="Arial" w:hAnsi="Arial" w:cs="Arial"/>
                <w:sz w:val="20"/>
              </w:rPr>
            </w:pPr>
          </w:p>
        </w:tc>
        <w:tc>
          <w:tcPr>
            <w:tcW w:w="2136" w:type="dxa"/>
            <w:tcBorders>
              <w:left w:val="nil"/>
              <w:right w:val="nil"/>
            </w:tcBorders>
            <w:vAlign w:val="bottom"/>
          </w:tcPr>
          <w:p w14:paraId="130C91AB" w14:textId="77777777" w:rsidR="00186C1D" w:rsidRPr="00A51778" w:rsidRDefault="00186C1D" w:rsidP="00186C1D">
            <w:pPr>
              <w:pStyle w:val="tblNormal"/>
              <w:tabs>
                <w:tab w:val="decimal" w:pos="648"/>
              </w:tabs>
              <w:ind w:left="58"/>
              <w:jc w:val="center"/>
              <w:rPr>
                <w:rFonts w:ascii="Arial" w:hAnsi="Arial" w:cs="Arial"/>
                <w:sz w:val="20"/>
              </w:rPr>
            </w:pPr>
          </w:p>
        </w:tc>
      </w:tr>
      <w:tr w:rsidR="00186C1D" w:rsidRPr="003161CE" w14:paraId="36150126" w14:textId="2DDAA877" w:rsidTr="009530B2">
        <w:trPr>
          <w:cantSplit/>
          <w:trHeight w:val="98"/>
        </w:trPr>
        <w:tc>
          <w:tcPr>
            <w:tcW w:w="4827" w:type="dxa"/>
            <w:tcBorders>
              <w:top w:val="nil"/>
              <w:left w:val="nil"/>
              <w:bottom w:val="nil"/>
              <w:right w:val="nil"/>
            </w:tcBorders>
            <w:vAlign w:val="center"/>
          </w:tcPr>
          <w:p w14:paraId="7BE10590" w14:textId="7532E60F" w:rsidR="00186C1D" w:rsidRPr="00186C1D" w:rsidRDefault="00186C1D" w:rsidP="00186C1D">
            <w:pPr>
              <w:pStyle w:val="indent0"/>
              <w:rPr>
                <w:rFonts w:ascii="Arial" w:eastAsiaTheme="minorHAnsi" w:hAnsi="Arial" w:cs="Arial"/>
                <w:sz w:val="20"/>
                <w:lang w:val="en-GB"/>
              </w:rPr>
            </w:pPr>
            <w:r w:rsidRPr="00186C1D">
              <w:rPr>
                <w:rFonts w:ascii="Arial" w:eastAsiaTheme="minorHAnsi" w:hAnsi="Arial" w:cs="Arial"/>
                <w:sz w:val="20"/>
                <w:lang w:val="en-GB"/>
              </w:rPr>
              <w:t>Expense ratio</w:t>
            </w:r>
            <w:r w:rsidRPr="00186C1D">
              <w:rPr>
                <w:rFonts w:ascii="Arial" w:eastAsiaTheme="minorHAnsi" w:hAnsi="Arial" w:cs="Arial"/>
                <w:sz w:val="20"/>
                <w:vertAlign w:val="superscript"/>
                <w:lang w:val="en-GB"/>
              </w:rPr>
              <w:t>1</w:t>
            </w:r>
          </w:p>
        </w:tc>
        <w:tc>
          <w:tcPr>
            <w:tcW w:w="2070" w:type="dxa"/>
            <w:tcBorders>
              <w:left w:val="nil"/>
              <w:right w:val="nil"/>
            </w:tcBorders>
            <w:vAlign w:val="center"/>
          </w:tcPr>
          <w:p w14:paraId="029F588E" w14:textId="40C58B96" w:rsidR="00186C1D" w:rsidRPr="00186C1D" w:rsidRDefault="00FF2071"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1.8</w:t>
            </w:r>
            <w:r w:rsidR="00186C1D" w:rsidRPr="00186C1D">
              <w:rPr>
                <w:rFonts w:ascii="Arial" w:eastAsiaTheme="minorHAnsi" w:hAnsi="Arial" w:cs="Arial"/>
                <w:sz w:val="20"/>
                <w:lang w:val="en-GB"/>
              </w:rPr>
              <w:t>%</w:t>
            </w:r>
          </w:p>
        </w:tc>
        <w:tc>
          <w:tcPr>
            <w:tcW w:w="2136" w:type="dxa"/>
            <w:tcBorders>
              <w:left w:val="nil"/>
              <w:right w:val="nil"/>
            </w:tcBorders>
            <w:vAlign w:val="center"/>
          </w:tcPr>
          <w:p w14:paraId="14D3ADAB" w14:textId="30FFD422" w:rsidR="00186C1D" w:rsidRPr="00186C1D" w:rsidRDefault="00FD3282"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1</w:t>
            </w:r>
            <w:r w:rsidR="00186C1D" w:rsidRPr="00186C1D">
              <w:rPr>
                <w:rFonts w:ascii="Arial" w:eastAsiaTheme="minorHAnsi" w:hAnsi="Arial" w:cs="Arial"/>
                <w:sz w:val="20"/>
                <w:lang w:val="en-GB"/>
              </w:rPr>
              <w:t>.</w:t>
            </w:r>
            <w:r w:rsidR="00FF2071">
              <w:rPr>
                <w:rFonts w:ascii="Arial" w:eastAsiaTheme="minorHAnsi" w:hAnsi="Arial" w:cs="Arial"/>
                <w:sz w:val="20"/>
                <w:lang w:val="en-GB"/>
              </w:rPr>
              <w:t>8</w:t>
            </w:r>
            <w:r w:rsidR="00186C1D" w:rsidRPr="00186C1D">
              <w:rPr>
                <w:rFonts w:ascii="Arial" w:eastAsiaTheme="minorHAnsi" w:hAnsi="Arial" w:cs="Arial"/>
                <w:sz w:val="20"/>
                <w:lang w:val="en-GB"/>
              </w:rPr>
              <w:t>%</w:t>
            </w:r>
          </w:p>
        </w:tc>
      </w:tr>
      <w:tr w:rsidR="009530B2" w:rsidRPr="003161CE" w14:paraId="39CCDE60" w14:textId="77777777" w:rsidTr="009530B2">
        <w:trPr>
          <w:cantSplit/>
          <w:trHeight w:val="98"/>
        </w:trPr>
        <w:tc>
          <w:tcPr>
            <w:tcW w:w="4827" w:type="dxa"/>
            <w:tcBorders>
              <w:top w:val="nil"/>
              <w:left w:val="nil"/>
              <w:bottom w:val="nil"/>
              <w:right w:val="nil"/>
            </w:tcBorders>
            <w:vAlign w:val="center"/>
          </w:tcPr>
          <w:p w14:paraId="06D60694" w14:textId="00DD2EE6" w:rsidR="009530B2" w:rsidRPr="00186C1D" w:rsidRDefault="009530B2" w:rsidP="00186C1D">
            <w:pPr>
              <w:pStyle w:val="indent0"/>
              <w:rPr>
                <w:rFonts w:ascii="Arial" w:eastAsiaTheme="minorHAnsi" w:hAnsi="Arial" w:cs="Arial"/>
                <w:sz w:val="20"/>
                <w:lang w:val="en-GB"/>
              </w:rPr>
            </w:pPr>
            <w:r>
              <w:rPr>
                <w:rFonts w:ascii="Arial" w:eastAsiaTheme="minorHAnsi" w:hAnsi="Arial" w:cs="Arial"/>
                <w:sz w:val="20"/>
                <w:lang w:val="en-GB"/>
              </w:rPr>
              <w:t>Performance Allocation ratio</w:t>
            </w:r>
            <w:r w:rsidR="000B7397" w:rsidRPr="000B7397">
              <w:rPr>
                <w:rFonts w:ascii="Arial" w:eastAsiaTheme="minorHAnsi" w:hAnsi="Arial" w:cs="Arial"/>
                <w:sz w:val="20"/>
                <w:vertAlign w:val="superscript"/>
                <w:lang w:val="en-GB"/>
              </w:rPr>
              <w:t>1</w:t>
            </w:r>
          </w:p>
        </w:tc>
        <w:tc>
          <w:tcPr>
            <w:tcW w:w="2070" w:type="dxa"/>
            <w:tcBorders>
              <w:left w:val="nil"/>
              <w:bottom w:val="single" w:sz="4" w:space="0" w:color="auto"/>
              <w:right w:val="nil"/>
            </w:tcBorders>
            <w:vAlign w:val="center"/>
          </w:tcPr>
          <w:p w14:paraId="5BC70307" w14:textId="4AF647B5" w:rsidR="009530B2" w:rsidRPr="00186C1D" w:rsidRDefault="00FD3282"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(2</w:t>
            </w:r>
            <w:r w:rsidR="00CE7AB1">
              <w:rPr>
                <w:rFonts w:ascii="Arial" w:eastAsiaTheme="minorHAnsi" w:hAnsi="Arial" w:cs="Arial"/>
                <w:sz w:val="20"/>
                <w:lang w:val="en-GB"/>
              </w:rPr>
              <w:t>.</w:t>
            </w:r>
            <w:r>
              <w:rPr>
                <w:rFonts w:ascii="Arial" w:eastAsiaTheme="minorHAnsi" w:hAnsi="Arial" w:cs="Arial"/>
                <w:sz w:val="20"/>
                <w:lang w:val="en-GB"/>
              </w:rPr>
              <w:t>6)%</w:t>
            </w:r>
          </w:p>
        </w:tc>
        <w:tc>
          <w:tcPr>
            <w:tcW w:w="2136" w:type="dxa"/>
            <w:tcBorders>
              <w:left w:val="nil"/>
              <w:bottom w:val="single" w:sz="4" w:space="0" w:color="auto"/>
              <w:right w:val="nil"/>
            </w:tcBorders>
            <w:vAlign w:val="center"/>
          </w:tcPr>
          <w:p w14:paraId="7CCC0446" w14:textId="2D4CA860" w:rsidR="009530B2" w:rsidRPr="00186C1D" w:rsidRDefault="00FD3282"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(1.4)%</w:t>
            </w:r>
          </w:p>
        </w:tc>
      </w:tr>
      <w:tr w:rsidR="009530B2" w:rsidRPr="003161CE" w14:paraId="34BDE4C4" w14:textId="77777777" w:rsidTr="009530B2">
        <w:trPr>
          <w:cantSplit/>
          <w:trHeight w:val="98"/>
        </w:trPr>
        <w:tc>
          <w:tcPr>
            <w:tcW w:w="4827" w:type="dxa"/>
            <w:tcBorders>
              <w:top w:val="nil"/>
              <w:left w:val="nil"/>
              <w:bottom w:val="nil"/>
              <w:right w:val="nil"/>
            </w:tcBorders>
            <w:vAlign w:val="center"/>
          </w:tcPr>
          <w:p w14:paraId="5A3E2C87" w14:textId="4D2789C5" w:rsidR="009530B2" w:rsidRPr="00186C1D" w:rsidRDefault="000B7397" w:rsidP="00186C1D">
            <w:pPr>
              <w:pStyle w:val="indent0"/>
              <w:rPr>
                <w:rFonts w:ascii="Arial" w:eastAsiaTheme="minorHAnsi" w:hAnsi="Arial" w:cs="Arial"/>
                <w:sz w:val="20"/>
                <w:lang w:val="en-GB"/>
              </w:rPr>
            </w:pPr>
            <w:r>
              <w:rPr>
                <w:rFonts w:ascii="Arial" w:eastAsiaTheme="minorHAnsi" w:hAnsi="Arial" w:cs="Arial"/>
                <w:sz w:val="20"/>
                <w:lang w:val="en-GB"/>
              </w:rPr>
              <w:t xml:space="preserve">Total </w:t>
            </w:r>
            <w:r w:rsidR="009530B2">
              <w:rPr>
                <w:rFonts w:ascii="Arial" w:eastAsiaTheme="minorHAnsi" w:hAnsi="Arial" w:cs="Arial"/>
                <w:sz w:val="20"/>
                <w:lang w:val="en-GB"/>
              </w:rPr>
              <w:t>Expense and Performance Allocation ratio</w:t>
            </w:r>
          </w:p>
        </w:tc>
        <w:tc>
          <w:tcPr>
            <w:tcW w:w="2070" w:type="dxa"/>
            <w:tcBorders>
              <w:top w:val="single" w:sz="4" w:space="0" w:color="auto"/>
              <w:left w:val="nil"/>
              <w:bottom w:val="double" w:sz="4" w:space="0" w:color="auto"/>
              <w:right w:val="nil"/>
            </w:tcBorders>
            <w:vAlign w:val="center"/>
          </w:tcPr>
          <w:p w14:paraId="1E3F23C4" w14:textId="55D5373F" w:rsidR="009530B2" w:rsidRPr="00186C1D" w:rsidRDefault="00FD3282"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w:t>
            </w:r>
            <w:r w:rsidR="00FF2071">
              <w:rPr>
                <w:rFonts w:ascii="Arial" w:eastAsiaTheme="minorHAnsi" w:hAnsi="Arial" w:cs="Arial"/>
                <w:sz w:val="20"/>
                <w:lang w:val="en-GB"/>
              </w:rPr>
              <w:t>0.8</w:t>
            </w:r>
            <w:r>
              <w:rPr>
                <w:rFonts w:ascii="Arial" w:eastAsiaTheme="minorHAnsi" w:hAnsi="Arial" w:cs="Arial"/>
                <w:sz w:val="20"/>
                <w:lang w:val="en-GB"/>
              </w:rPr>
              <w:t>)</w:t>
            </w:r>
            <w:r w:rsidR="000B7397">
              <w:rPr>
                <w:rFonts w:ascii="Arial" w:eastAsiaTheme="minorHAnsi" w:hAnsi="Arial" w:cs="Arial"/>
                <w:sz w:val="20"/>
                <w:lang w:val="en-GB"/>
              </w:rPr>
              <w:t>%</w:t>
            </w:r>
          </w:p>
        </w:tc>
        <w:tc>
          <w:tcPr>
            <w:tcW w:w="2136" w:type="dxa"/>
            <w:tcBorders>
              <w:top w:val="single" w:sz="4" w:space="0" w:color="auto"/>
              <w:left w:val="nil"/>
              <w:bottom w:val="double" w:sz="4" w:space="0" w:color="auto"/>
              <w:right w:val="nil"/>
            </w:tcBorders>
            <w:vAlign w:val="center"/>
          </w:tcPr>
          <w:p w14:paraId="774BDF2E" w14:textId="310FF6C0" w:rsidR="009530B2" w:rsidRPr="00186C1D" w:rsidRDefault="00FF2071"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(0.4)%</w:t>
            </w:r>
          </w:p>
        </w:tc>
      </w:tr>
      <w:tr w:rsidR="00186C1D" w:rsidRPr="003161CE" w:rsidDel="00547DA2" w14:paraId="2D910C42" w14:textId="47BFF7E9" w:rsidTr="009530B2">
        <w:trPr>
          <w:cantSplit/>
          <w:trHeight w:hRule="exact" w:val="92"/>
        </w:trPr>
        <w:tc>
          <w:tcPr>
            <w:tcW w:w="4827" w:type="dxa"/>
            <w:tcBorders>
              <w:top w:val="nil"/>
              <w:left w:val="nil"/>
              <w:bottom w:val="nil"/>
              <w:right w:val="nil"/>
            </w:tcBorders>
            <w:vAlign w:val="center"/>
          </w:tcPr>
          <w:p w14:paraId="4ACF478A" w14:textId="77777777" w:rsidR="00186C1D" w:rsidRPr="00186C1D" w:rsidRDefault="00186C1D" w:rsidP="00186C1D">
            <w:pPr>
              <w:pStyle w:val="indent0"/>
              <w:rPr>
                <w:rFonts w:ascii="Arial" w:eastAsiaTheme="minorHAnsi" w:hAnsi="Arial" w:cs="Arial"/>
                <w:sz w:val="20"/>
                <w:lang w:val="en-GB"/>
              </w:rPr>
            </w:pPr>
          </w:p>
        </w:tc>
        <w:tc>
          <w:tcPr>
            <w:tcW w:w="2070" w:type="dxa"/>
            <w:tcBorders>
              <w:top w:val="double" w:sz="4" w:space="0" w:color="auto"/>
              <w:left w:val="nil"/>
              <w:right w:val="nil"/>
            </w:tcBorders>
            <w:vAlign w:val="center"/>
          </w:tcPr>
          <w:p w14:paraId="0CF852E6" w14:textId="77777777" w:rsidR="00186C1D" w:rsidRPr="00186C1D" w:rsidRDefault="00186C1D" w:rsidP="000B7397">
            <w:pPr>
              <w:pStyle w:val="tblNormal"/>
              <w:tabs>
                <w:tab w:val="decimal" w:pos="648"/>
              </w:tabs>
              <w:ind w:left="58"/>
              <w:jc w:val="center"/>
              <w:rPr>
                <w:rFonts w:ascii="Arial" w:eastAsiaTheme="minorHAnsi" w:hAnsi="Arial" w:cs="Arial"/>
                <w:sz w:val="20"/>
                <w:lang w:val="en-GB"/>
              </w:rPr>
            </w:pPr>
          </w:p>
        </w:tc>
        <w:tc>
          <w:tcPr>
            <w:tcW w:w="2136" w:type="dxa"/>
            <w:tcBorders>
              <w:top w:val="double" w:sz="4" w:space="0" w:color="auto"/>
              <w:left w:val="nil"/>
              <w:right w:val="nil"/>
            </w:tcBorders>
            <w:vAlign w:val="center"/>
          </w:tcPr>
          <w:p w14:paraId="5E7B622A" w14:textId="77777777" w:rsidR="00186C1D" w:rsidRPr="00186C1D" w:rsidRDefault="00186C1D" w:rsidP="000B7397">
            <w:pPr>
              <w:pStyle w:val="tblNormal"/>
              <w:tabs>
                <w:tab w:val="decimal" w:pos="648"/>
              </w:tabs>
              <w:ind w:left="58"/>
              <w:jc w:val="center"/>
              <w:rPr>
                <w:rFonts w:ascii="Arial" w:eastAsiaTheme="minorHAnsi" w:hAnsi="Arial" w:cs="Arial"/>
                <w:sz w:val="20"/>
                <w:lang w:val="en-GB"/>
              </w:rPr>
            </w:pPr>
          </w:p>
        </w:tc>
      </w:tr>
      <w:tr w:rsidR="00186C1D" w:rsidRPr="003161CE" w14:paraId="4D71639D" w14:textId="6D8E0839" w:rsidTr="009530B2">
        <w:trPr>
          <w:cantSplit/>
          <w:trHeight w:val="312"/>
        </w:trPr>
        <w:tc>
          <w:tcPr>
            <w:tcW w:w="4827" w:type="dxa"/>
            <w:tcBorders>
              <w:top w:val="nil"/>
              <w:left w:val="nil"/>
              <w:bottom w:val="nil"/>
              <w:right w:val="nil"/>
            </w:tcBorders>
            <w:vAlign w:val="center"/>
          </w:tcPr>
          <w:p w14:paraId="30901D7D" w14:textId="20506CBB" w:rsidR="00186C1D" w:rsidRPr="00186C1D" w:rsidRDefault="00186C1D" w:rsidP="00186C1D">
            <w:pPr>
              <w:pStyle w:val="indent0"/>
              <w:rPr>
                <w:rFonts w:ascii="Arial" w:eastAsiaTheme="minorHAnsi" w:hAnsi="Arial" w:cs="Arial"/>
                <w:sz w:val="20"/>
                <w:lang w:val="en-GB"/>
              </w:rPr>
            </w:pPr>
            <w:r w:rsidRPr="00186C1D">
              <w:rPr>
                <w:rFonts w:ascii="Arial" w:eastAsiaTheme="minorHAnsi" w:hAnsi="Arial" w:cs="Arial"/>
                <w:sz w:val="20"/>
                <w:lang w:val="en-GB"/>
              </w:rPr>
              <w:t xml:space="preserve">Net investment </w:t>
            </w:r>
            <w:r w:rsidR="000B7397">
              <w:rPr>
                <w:rFonts w:ascii="Arial" w:eastAsiaTheme="minorHAnsi" w:hAnsi="Arial" w:cs="Arial"/>
                <w:sz w:val="20"/>
                <w:lang w:val="en-GB"/>
              </w:rPr>
              <w:t>loss</w:t>
            </w:r>
            <w:r w:rsidRPr="00186C1D">
              <w:rPr>
                <w:rFonts w:ascii="Arial" w:eastAsiaTheme="minorHAnsi" w:hAnsi="Arial" w:cs="Arial"/>
                <w:sz w:val="20"/>
                <w:lang w:val="en-GB"/>
              </w:rPr>
              <w:t xml:space="preserve"> ratio</w:t>
            </w:r>
            <w:r w:rsidRPr="00186C1D">
              <w:rPr>
                <w:rFonts w:ascii="Arial" w:eastAsiaTheme="minorHAnsi" w:hAnsi="Arial" w:cs="Arial"/>
                <w:sz w:val="20"/>
                <w:vertAlign w:val="superscript"/>
                <w:lang w:val="en-GB"/>
              </w:rPr>
              <w:t>2</w:t>
            </w:r>
          </w:p>
        </w:tc>
        <w:tc>
          <w:tcPr>
            <w:tcW w:w="2070" w:type="dxa"/>
            <w:tcBorders>
              <w:top w:val="nil"/>
              <w:left w:val="nil"/>
              <w:bottom w:val="double" w:sz="6" w:space="0" w:color="auto"/>
              <w:right w:val="nil"/>
            </w:tcBorders>
            <w:vAlign w:val="center"/>
          </w:tcPr>
          <w:p w14:paraId="23C81243" w14:textId="06D0882B" w:rsidR="00186C1D" w:rsidRPr="00186C1D" w:rsidRDefault="000B7397"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w:t>
            </w:r>
            <w:r w:rsidR="00FF2071">
              <w:rPr>
                <w:rFonts w:ascii="Arial" w:eastAsiaTheme="minorHAnsi" w:hAnsi="Arial" w:cs="Arial"/>
                <w:sz w:val="20"/>
                <w:lang w:val="en-GB"/>
              </w:rPr>
              <w:t>1.4</w:t>
            </w:r>
            <w:r>
              <w:rPr>
                <w:rFonts w:ascii="Arial" w:eastAsiaTheme="minorHAnsi" w:hAnsi="Arial" w:cs="Arial"/>
                <w:sz w:val="20"/>
                <w:lang w:val="en-GB"/>
              </w:rPr>
              <w:t>)</w:t>
            </w:r>
            <w:r w:rsidR="00186C1D" w:rsidRPr="00186C1D">
              <w:rPr>
                <w:rFonts w:ascii="Arial" w:eastAsiaTheme="minorHAnsi" w:hAnsi="Arial" w:cs="Arial"/>
                <w:sz w:val="20"/>
                <w:lang w:val="en-GB"/>
              </w:rPr>
              <w:t>%</w:t>
            </w:r>
          </w:p>
        </w:tc>
        <w:tc>
          <w:tcPr>
            <w:tcW w:w="2136" w:type="dxa"/>
            <w:tcBorders>
              <w:top w:val="nil"/>
              <w:left w:val="nil"/>
              <w:bottom w:val="double" w:sz="6" w:space="0" w:color="auto"/>
              <w:right w:val="nil"/>
            </w:tcBorders>
            <w:vAlign w:val="center"/>
          </w:tcPr>
          <w:p w14:paraId="2D9769ED" w14:textId="7E969AC4" w:rsidR="00186C1D" w:rsidRPr="00186C1D" w:rsidRDefault="00FF2071"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(1.7)</w:t>
            </w:r>
            <w:r w:rsidR="00186C1D" w:rsidRPr="00186C1D">
              <w:rPr>
                <w:rFonts w:ascii="Arial" w:eastAsiaTheme="minorHAnsi" w:hAnsi="Arial" w:cs="Arial"/>
                <w:sz w:val="20"/>
                <w:lang w:val="en-GB"/>
              </w:rPr>
              <w:t>%</w:t>
            </w:r>
          </w:p>
        </w:tc>
      </w:tr>
      <w:tr w:rsidR="00186C1D" w:rsidRPr="003161CE" w14:paraId="1E5A25E9" w14:textId="781FBD89" w:rsidTr="009530B2">
        <w:trPr>
          <w:cantSplit/>
          <w:trHeight w:val="325"/>
        </w:trPr>
        <w:tc>
          <w:tcPr>
            <w:tcW w:w="4827" w:type="dxa"/>
            <w:tcBorders>
              <w:top w:val="nil"/>
              <w:left w:val="nil"/>
              <w:bottom w:val="nil"/>
              <w:right w:val="nil"/>
            </w:tcBorders>
            <w:vAlign w:val="center"/>
          </w:tcPr>
          <w:p w14:paraId="12075E9F" w14:textId="77777777" w:rsidR="00186C1D" w:rsidRPr="00186C1D" w:rsidRDefault="00186C1D" w:rsidP="00186C1D">
            <w:pPr>
              <w:pStyle w:val="indent0"/>
              <w:rPr>
                <w:rFonts w:ascii="Arial" w:eastAsiaTheme="minorHAnsi" w:hAnsi="Arial" w:cs="Arial"/>
                <w:sz w:val="20"/>
                <w:lang w:val="en-GB"/>
              </w:rPr>
            </w:pPr>
            <w:r w:rsidRPr="00186C1D">
              <w:rPr>
                <w:rFonts w:ascii="Arial" w:eastAsiaTheme="minorHAnsi" w:hAnsi="Arial" w:cs="Arial"/>
                <w:sz w:val="20"/>
                <w:lang w:val="en-GB"/>
              </w:rPr>
              <w:t>Internal rate of return</w:t>
            </w:r>
            <w:r w:rsidRPr="00186C1D">
              <w:rPr>
                <w:rFonts w:ascii="Arial" w:eastAsiaTheme="minorHAnsi" w:hAnsi="Arial" w:cs="Arial"/>
                <w:sz w:val="20"/>
                <w:vertAlign w:val="superscript"/>
                <w:lang w:val="en-GB"/>
              </w:rPr>
              <w:t>3</w:t>
            </w:r>
            <w:r w:rsidRPr="00186C1D">
              <w:rPr>
                <w:rFonts w:ascii="Arial" w:eastAsiaTheme="minorHAnsi" w:hAnsi="Arial" w:cs="Arial"/>
                <w:sz w:val="20"/>
                <w:lang w:val="en-GB"/>
              </w:rPr>
              <w:t>, beginning of year</w:t>
            </w:r>
          </w:p>
        </w:tc>
        <w:tc>
          <w:tcPr>
            <w:tcW w:w="2070" w:type="dxa"/>
            <w:tcBorders>
              <w:top w:val="double" w:sz="6" w:space="0" w:color="auto"/>
              <w:left w:val="nil"/>
              <w:bottom w:val="double" w:sz="6" w:space="0" w:color="auto"/>
              <w:right w:val="nil"/>
            </w:tcBorders>
            <w:shd w:val="clear" w:color="auto" w:fill="auto"/>
            <w:vAlign w:val="center"/>
          </w:tcPr>
          <w:p w14:paraId="3FC5B268" w14:textId="45D7ED1D" w:rsidR="00186C1D" w:rsidRPr="00186C1D" w:rsidRDefault="009530B2"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2.7</w:t>
            </w:r>
            <w:r w:rsidR="00186C1D" w:rsidRPr="00186C1D">
              <w:rPr>
                <w:rFonts w:ascii="Arial" w:eastAsiaTheme="minorHAnsi" w:hAnsi="Arial" w:cs="Arial"/>
                <w:sz w:val="20"/>
                <w:lang w:val="en-GB"/>
              </w:rPr>
              <w:t>%</w:t>
            </w:r>
          </w:p>
        </w:tc>
        <w:tc>
          <w:tcPr>
            <w:tcW w:w="2136" w:type="dxa"/>
            <w:tcBorders>
              <w:top w:val="double" w:sz="6" w:space="0" w:color="auto"/>
              <w:left w:val="nil"/>
              <w:bottom w:val="double" w:sz="6" w:space="0" w:color="auto"/>
              <w:right w:val="nil"/>
            </w:tcBorders>
            <w:vAlign w:val="center"/>
          </w:tcPr>
          <w:p w14:paraId="13F44E80" w14:textId="52C22EB7" w:rsidR="00186C1D" w:rsidRPr="00186C1D" w:rsidRDefault="009530B2"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7.3</w:t>
            </w:r>
            <w:r w:rsidR="00186C1D" w:rsidRPr="00186C1D">
              <w:rPr>
                <w:rFonts w:ascii="Arial" w:eastAsiaTheme="minorHAnsi" w:hAnsi="Arial" w:cs="Arial"/>
                <w:sz w:val="20"/>
                <w:lang w:val="en-GB"/>
              </w:rPr>
              <w:t>%</w:t>
            </w:r>
          </w:p>
        </w:tc>
      </w:tr>
      <w:tr w:rsidR="00186C1D" w:rsidRPr="003161CE" w14:paraId="00E454F7" w14:textId="320F9B84" w:rsidTr="009530B2">
        <w:trPr>
          <w:cantSplit/>
          <w:trHeight w:val="312"/>
        </w:trPr>
        <w:tc>
          <w:tcPr>
            <w:tcW w:w="4827" w:type="dxa"/>
            <w:tcBorders>
              <w:top w:val="nil"/>
              <w:left w:val="nil"/>
              <w:bottom w:val="nil"/>
              <w:right w:val="nil"/>
            </w:tcBorders>
            <w:vAlign w:val="center"/>
          </w:tcPr>
          <w:p w14:paraId="036D253A" w14:textId="77777777" w:rsidR="00186C1D" w:rsidRPr="00186C1D" w:rsidRDefault="00186C1D" w:rsidP="00186C1D">
            <w:pPr>
              <w:pStyle w:val="indent0"/>
              <w:rPr>
                <w:rFonts w:ascii="Arial" w:eastAsiaTheme="minorHAnsi" w:hAnsi="Arial" w:cs="Arial"/>
                <w:sz w:val="20"/>
                <w:lang w:val="en-GB"/>
              </w:rPr>
            </w:pPr>
            <w:r w:rsidRPr="00186C1D">
              <w:rPr>
                <w:rFonts w:ascii="Arial" w:eastAsiaTheme="minorHAnsi" w:hAnsi="Arial" w:cs="Arial"/>
                <w:sz w:val="20"/>
                <w:lang w:val="en-GB"/>
              </w:rPr>
              <w:t>Internal rate of return</w:t>
            </w:r>
            <w:r w:rsidRPr="00186C1D">
              <w:rPr>
                <w:rFonts w:ascii="Arial" w:eastAsiaTheme="minorHAnsi" w:hAnsi="Arial" w:cs="Arial"/>
                <w:sz w:val="20"/>
                <w:vertAlign w:val="superscript"/>
                <w:lang w:val="en-GB"/>
              </w:rPr>
              <w:t>3</w:t>
            </w:r>
            <w:r w:rsidRPr="00186C1D">
              <w:rPr>
                <w:rFonts w:ascii="Arial" w:eastAsiaTheme="minorHAnsi" w:hAnsi="Arial" w:cs="Arial"/>
                <w:sz w:val="20"/>
                <w:lang w:val="en-GB"/>
              </w:rPr>
              <w:t>, end of year</w:t>
            </w:r>
          </w:p>
        </w:tc>
        <w:tc>
          <w:tcPr>
            <w:tcW w:w="2070" w:type="dxa"/>
            <w:tcBorders>
              <w:top w:val="nil"/>
              <w:left w:val="nil"/>
              <w:bottom w:val="double" w:sz="6" w:space="0" w:color="auto"/>
              <w:right w:val="nil"/>
            </w:tcBorders>
            <w:vAlign w:val="center"/>
          </w:tcPr>
          <w:p w14:paraId="0D39E3C9" w14:textId="635C93D2" w:rsidR="00186C1D" w:rsidRPr="00186C1D" w:rsidRDefault="00186C1D" w:rsidP="000B7397">
            <w:pPr>
              <w:pStyle w:val="tblNormal"/>
              <w:tabs>
                <w:tab w:val="decimal" w:pos="648"/>
              </w:tabs>
              <w:ind w:left="58"/>
              <w:jc w:val="center"/>
              <w:rPr>
                <w:rFonts w:ascii="Arial" w:eastAsiaTheme="minorHAnsi" w:hAnsi="Arial" w:cs="Arial"/>
                <w:sz w:val="20"/>
                <w:lang w:val="en-GB"/>
              </w:rPr>
            </w:pPr>
            <w:r w:rsidRPr="00186C1D">
              <w:rPr>
                <w:rFonts w:ascii="Arial" w:eastAsiaTheme="minorHAnsi" w:hAnsi="Arial" w:cs="Arial"/>
                <w:sz w:val="20"/>
                <w:lang w:val="en-GB"/>
              </w:rPr>
              <w:t>(7.4)%</w:t>
            </w:r>
          </w:p>
        </w:tc>
        <w:tc>
          <w:tcPr>
            <w:tcW w:w="2136" w:type="dxa"/>
            <w:tcBorders>
              <w:top w:val="nil"/>
              <w:left w:val="nil"/>
              <w:bottom w:val="double" w:sz="6" w:space="0" w:color="auto"/>
              <w:right w:val="nil"/>
            </w:tcBorders>
            <w:vAlign w:val="center"/>
          </w:tcPr>
          <w:p w14:paraId="6F5A1809" w14:textId="5A54A602" w:rsidR="00186C1D" w:rsidRPr="00186C1D" w:rsidRDefault="009530B2" w:rsidP="000B7397">
            <w:pPr>
              <w:pStyle w:val="tblNormal"/>
              <w:tabs>
                <w:tab w:val="decimal" w:pos="648"/>
              </w:tabs>
              <w:ind w:left="58"/>
              <w:jc w:val="center"/>
              <w:rPr>
                <w:rFonts w:ascii="Arial" w:eastAsiaTheme="minorHAnsi" w:hAnsi="Arial" w:cs="Arial"/>
                <w:sz w:val="20"/>
                <w:lang w:val="en-GB"/>
              </w:rPr>
            </w:pPr>
            <w:r>
              <w:rPr>
                <w:rFonts w:ascii="Arial" w:eastAsiaTheme="minorHAnsi" w:hAnsi="Arial" w:cs="Arial"/>
                <w:sz w:val="20"/>
                <w:lang w:val="en-GB"/>
              </w:rPr>
              <w:t>2.7</w:t>
            </w:r>
            <w:r w:rsidR="00186C1D" w:rsidRPr="00186C1D">
              <w:rPr>
                <w:rFonts w:ascii="Arial" w:eastAsiaTheme="minorHAnsi" w:hAnsi="Arial" w:cs="Arial"/>
                <w:sz w:val="20"/>
                <w:lang w:val="en-GB"/>
              </w:rPr>
              <w:t>%</w:t>
            </w:r>
          </w:p>
        </w:tc>
      </w:tr>
      <w:tr w:rsidR="00186C1D" w:rsidRPr="003161CE" w14:paraId="3456DD92" w14:textId="461173A0" w:rsidTr="009530B2">
        <w:trPr>
          <w:cantSplit/>
          <w:trHeight w:val="325"/>
        </w:trPr>
        <w:tc>
          <w:tcPr>
            <w:tcW w:w="4827" w:type="dxa"/>
            <w:tcBorders>
              <w:top w:val="nil"/>
              <w:left w:val="nil"/>
              <w:bottom w:val="nil"/>
              <w:right w:val="nil"/>
            </w:tcBorders>
            <w:vAlign w:val="center"/>
          </w:tcPr>
          <w:p w14:paraId="529C2B05" w14:textId="77777777" w:rsidR="00186C1D" w:rsidRPr="00186C1D" w:rsidRDefault="00186C1D" w:rsidP="00186C1D">
            <w:pPr>
              <w:pStyle w:val="indent0"/>
              <w:rPr>
                <w:rFonts w:ascii="Arial" w:eastAsiaTheme="minorHAnsi" w:hAnsi="Arial" w:cs="Arial"/>
                <w:sz w:val="20"/>
                <w:lang w:val="en-GB"/>
              </w:rPr>
            </w:pPr>
            <w:r w:rsidRPr="00186C1D">
              <w:rPr>
                <w:rFonts w:ascii="Arial" w:eastAsiaTheme="minorHAnsi" w:hAnsi="Arial" w:cs="Arial"/>
                <w:sz w:val="20"/>
                <w:lang w:val="en-GB"/>
              </w:rPr>
              <w:t>Net contributed capital to total capital commitments</w:t>
            </w:r>
            <w:r w:rsidRPr="00186C1D">
              <w:rPr>
                <w:rFonts w:ascii="Arial" w:eastAsiaTheme="minorHAnsi" w:hAnsi="Arial" w:cs="Arial"/>
                <w:sz w:val="20"/>
                <w:vertAlign w:val="superscript"/>
                <w:lang w:val="en-GB"/>
              </w:rPr>
              <w:t>4</w:t>
            </w:r>
          </w:p>
        </w:tc>
        <w:tc>
          <w:tcPr>
            <w:tcW w:w="2070" w:type="dxa"/>
            <w:tcBorders>
              <w:top w:val="double" w:sz="6" w:space="0" w:color="auto"/>
              <w:left w:val="nil"/>
              <w:bottom w:val="double" w:sz="6" w:space="0" w:color="auto"/>
              <w:right w:val="nil"/>
            </w:tcBorders>
            <w:shd w:val="clear" w:color="auto" w:fill="auto"/>
            <w:vAlign w:val="center"/>
          </w:tcPr>
          <w:p w14:paraId="4C2B4DDC" w14:textId="0DB4B91B" w:rsidR="00186C1D" w:rsidRPr="00186C1D" w:rsidRDefault="00186C1D" w:rsidP="000B7397">
            <w:pPr>
              <w:pStyle w:val="tblNormal"/>
              <w:tabs>
                <w:tab w:val="decimal" w:pos="648"/>
              </w:tabs>
              <w:ind w:left="58"/>
              <w:jc w:val="center"/>
              <w:rPr>
                <w:rFonts w:ascii="Arial" w:eastAsiaTheme="minorHAnsi" w:hAnsi="Arial" w:cs="Arial"/>
                <w:sz w:val="20"/>
                <w:lang w:val="en-GB"/>
              </w:rPr>
            </w:pPr>
            <w:r w:rsidRPr="00186C1D">
              <w:rPr>
                <w:rFonts w:ascii="Arial" w:eastAsiaTheme="minorHAnsi" w:hAnsi="Arial" w:cs="Arial"/>
                <w:sz w:val="20"/>
                <w:lang w:val="en-GB"/>
              </w:rPr>
              <w:t>100.0%</w:t>
            </w:r>
          </w:p>
        </w:tc>
        <w:tc>
          <w:tcPr>
            <w:tcW w:w="2136" w:type="dxa"/>
            <w:tcBorders>
              <w:top w:val="double" w:sz="6" w:space="0" w:color="auto"/>
              <w:left w:val="nil"/>
              <w:bottom w:val="double" w:sz="6" w:space="0" w:color="auto"/>
              <w:right w:val="nil"/>
            </w:tcBorders>
            <w:vAlign w:val="center"/>
          </w:tcPr>
          <w:p w14:paraId="6964E7AF" w14:textId="3181B794" w:rsidR="00186C1D" w:rsidRPr="00186C1D" w:rsidRDefault="00186C1D" w:rsidP="000B7397">
            <w:pPr>
              <w:pStyle w:val="tblNormal"/>
              <w:tabs>
                <w:tab w:val="decimal" w:pos="648"/>
              </w:tabs>
              <w:ind w:left="58"/>
              <w:jc w:val="center"/>
              <w:rPr>
                <w:rFonts w:ascii="Arial" w:eastAsiaTheme="minorHAnsi" w:hAnsi="Arial" w:cs="Arial"/>
                <w:sz w:val="20"/>
                <w:lang w:val="en-GB"/>
              </w:rPr>
            </w:pPr>
            <w:r w:rsidRPr="00186C1D">
              <w:rPr>
                <w:rFonts w:ascii="Arial" w:eastAsiaTheme="minorHAnsi" w:hAnsi="Arial" w:cs="Arial"/>
                <w:sz w:val="20"/>
                <w:lang w:val="en-GB"/>
              </w:rPr>
              <w:t>100.0%</w:t>
            </w:r>
          </w:p>
        </w:tc>
      </w:tr>
    </w:tbl>
    <w:p w14:paraId="2BFB84A8" w14:textId="6B1CE9EF" w:rsidR="00A51778" w:rsidRDefault="00A51778" w:rsidP="00C32021">
      <w:pPr>
        <w:ind w:left="720"/>
        <w:jc w:val="both"/>
        <w:rPr>
          <w:i/>
          <w:iCs/>
        </w:rPr>
      </w:pPr>
    </w:p>
    <w:p w14:paraId="0B2ED250" w14:textId="13EEAD39" w:rsidR="005B4773" w:rsidRDefault="00A51778" w:rsidP="00C32021">
      <w:pPr>
        <w:pStyle w:val="ListParagraph"/>
        <w:numPr>
          <w:ilvl w:val="0"/>
          <w:numId w:val="34"/>
        </w:numPr>
        <w:jc w:val="both"/>
        <w:rPr>
          <w:i/>
          <w:iCs/>
          <w:sz w:val="18"/>
          <w:szCs w:val="18"/>
        </w:rPr>
      </w:pPr>
      <w:r w:rsidRPr="000B7397">
        <w:rPr>
          <w:i/>
          <w:iCs/>
          <w:sz w:val="18"/>
          <w:szCs w:val="18"/>
        </w:rPr>
        <w:t xml:space="preserve">The expense ratio </w:t>
      </w:r>
      <w:r w:rsidR="005B4773" w:rsidRPr="000B7397">
        <w:rPr>
          <w:i/>
          <w:iCs/>
          <w:sz w:val="18"/>
          <w:szCs w:val="18"/>
        </w:rPr>
        <w:t>is</w:t>
      </w:r>
      <w:r w:rsidRPr="000B7397">
        <w:rPr>
          <w:i/>
          <w:iCs/>
          <w:sz w:val="18"/>
          <w:szCs w:val="18"/>
        </w:rPr>
        <w:t xml:space="preserve"> calculated using total expenses</w:t>
      </w:r>
      <w:r w:rsidR="000B7397">
        <w:rPr>
          <w:i/>
          <w:iCs/>
          <w:sz w:val="18"/>
          <w:szCs w:val="18"/>
        </w:rPr>
        <w:t xml:space="preserve"> of the Company and the Partnership</w:t>
      </w:r>
      <w:r w:rsidRPr="000B7397">
        <w:rPr>
          <w:i/>
          <w:iCs/>
          <w:sz w:val="18"/>
          <w:szCs w:val="18"/>
        </w:rPr>
        <w:t xml:space="preserve"> allocated to the </w:t>
      </w:r>
      <w:r w:rsidR="000B7397">
        <w:rPr>
          <w:i/>
          <w:iCs/>
          <w:sz w:val="18"/>
          <w:szCs w:val="18"/>
        </w:rPr>
        <w:t>Shareholders</w:t>
      </w:r>
      <w:r w:rsidRPr="000B7397">
        <w:rPr>
          <w:i/>
          <w:iCs/>
          <w:sz w:val="18"/>
          <w:szCs w:val="18"/>
        </w:rPr>
        <w:t xml:space="preserve"> divided by the </w:t>
      </w:r>
      <w:r w:rsidR="000B7397">
        <w:rPr>
          <w:i/>
          <w:iCs/>
          <w:sz w:val="18"/>
          <w:szCs w:val="18"/>
        </w:rPr>
        <w:t>Shareholders</w:t>
      </w:r>
      <w:r w:rsidRPr="000B7397">
        <w:rPr>
          <w:i/>
          <w:iCs/>
          <w:sz w:val="18"/>
          <w:szCs w:val="18"/>
        </w:rPr>
        <w:t xml:space="preserve">’ average capital balance for the year presented. </w:t>
      </w:r>
      <w:r w:rsidR="000B7397" w:rsidRPr="000B7397">
        <w:rPr>
          <w:i/>
          <w:iCs/>
          <w:sz w:val="18"/>
          <w:szCs w:val="18"/>
        </w:rPr>
        <w:t>For the year</w:t>
      </w:r>
      <w:r w:rsidR="00CE7AB1">
        <w:rPr>
          <w:i/>
          <w:iCs/>
          <w:sz w:val="18"/>
          <w:szCs w:val="18"/>
        </w:rPr>
        <w:t>s</w:t>
      </w:r>
      <w:r w:rsidR="000B7397" w:rsidRPr="000B7397">
        <w:rPr>
          <w:i/>
          <w:iCs/>
          <w:sz w:val="18"/>
          <w:szCs w:val="18"/>
        </w:rPr>
        <w:t xml:space="preserve"> ended </w:t>
      </w:r>
      <w:r w:rsidR="000B7397">
        <w:rPr>
          <w:i/>
          <w:iCs/>
          <w:sz w:val="18"/>
          <w:szCs w:val="18"/>
        </w:rPr>
        <w:t xml:space="preserve">31 </w:t>
      </w:r>
      <w:r w:rsidR="000B7397" w:rsidRPr="000B7397">
        <w:rPr>
          <w:i/>
          <w:iCs/>
          <w:sz w:val="18"/>
          <w:szCs w:val="18"/>
        </w:rPr>
        <w:t>December 2019</w:t>
      </w:r>
      <w:r w:rsidR="00CE7AB1">
        <w:rPr>
          <w:i/>
          <w:iCs/>
          <w:sz w:val="18"/>
          <w:szCs w:val="18"/>
        </w:rPr>
        <w:t xml:space="preserve"> and 2018</w:t>
      </w:r>
      <w:r w:rsidR="000B7397" w:rsidRPr="000B7397">
        <w:rPr>
          <w:i/>
          <w:iCs/>
          <w:sz w:val="18"/>
          <w:szCs w:val="18"/>
        </w:rPr>
        <w:t xml:space="preserve">, the </w:t>
      </w:r>
      <w:r w:rsidR="000B7397">
        <w:rPr>
          <w:i/>
          <w:iCs/>
          <w:sz w:val="18"/>
          <w:szCs w:val="18"/>
        </w:rPr>
        <w:t>Performance Allocation</w:t>
      </w:r>
      <w:r w:rsidR="000B7397" w:rsidRPr="000B7397">
        <w:rPr>
          <w:i/>
          <w:iCs/>
          <w:sz w:val="18"/>
          <w:szCs w:val="18"/>
        </w:rPr>
        <w:t xml:space="preserve"> reali</w:t>
      </w:r>
      <w:r w:rsidR="00EF5C4A">
        <w:rPr>
          <w:i/>
          <w:iCs/>
          <w:sz w:val="18"/>
          <w:szCs w:val="18"/>
        </w:rPr>
        <w:t>s</w:t>
      </w:r>
      <w:r w:rsidR="000B7397" w:rsidRPr="000B7397">
        <w:rPr>
          <w:i/>
          <w:iCs/>
          <w:sz w:val="18"/>
          <w:szCs w:val="18"/>
        </w:rPr>
        <w:t>ed by the General Partner</w:t>
      </w:r>
      <w:r w:rsidR="00CE7AB1">
        <w:rPr>
          <w:i/>
          <w:iCs/>
          <w:sz w:val="18"/>
          <w:szCs w:val="18"/>
        </w:rPr>
        <w:t xml:space="preserve"> of the Partnership</w:t>
      </w:r>
      <w:r w:rsidR="000B7397" w:rsidRPr="000B7397">
        <w:rPr>
          <w:i/>
          <w:iCs/>
          <w:sz w:val="18"/>
          <w:szCs w:val="18"/>
        </w:rPr>
        <w:t xml:space="preserve"> was $</w:t>
      </w:r>
      <w:r w:rsidR="00EF5C4A">
        <w:rPr>
          <w:i/>
          <w:iCs/>
          <w:sz w:val="18"/>
          <w:szCs w:val="18"/>
        </w:rPr>
        <w:t>13.6 million</w:t>
      </w:r>
      <w:r w:rsidR="00CE7AB1">
        <w:rPr>
          <w:i/>
          <w:iCs/>
          <w:sz w:val="18"/>
          <w:szCs w:val="18"/>
        </w:rPr>
        <w:t xml:space="preserve"> and $</w:t>
      </w:r>
      <w:r w:rsidR="00EF5C4A">
        <w:rPr>
          <w:i/>
          <w:iCs/>
          <w:sz w:val="18"/>
          <w:szCs w:val="18"/>
        </w:rPr>
        <w:t>28.7</w:t>
      </w:r>
      <w:r w:rsidR="00CE7AB1">
        <w:rPr>
          <w:i/>
          <w:iCs/>
          <w:sz w:val="18"/>
          <w:szCs w:val="18"/>
        </w:rPr>
        <w:t xml:space="preserve"> million, respectively,</w:t>
      </w:r>
      <w:r w:rsidR="000B7397" w:rsidRPr="000B7397">
        <w:rPr>
          <w:i/>
          <w:iCs/>
          <w:sz w:val="18"/>
          <w:szCs w:val="18"/>
        </w:rPr>
        <w:t xml:space="preserve"> and the </w:t>
      </w:r>
      <w:r w:rsidR="00CE7AB1">
        <w:rPr>
          <w:i/>
          <w:iCs/>
          <w:sz w:val="18"/>
          <w:szCs w:val="18"/>
        </w:rPr>
        <w:t>Performance Allocation</w:t>
      </w:r>
      <w:r w:rsidR="000B7397" w:rsidRPr="000B7397">
        <w:rPr>
          <w:i/>
          <w:iCs/>
          <w:sz w:val="18"/>
          <w:szCs w:val="18"/>
        </w:rPr>
        <w:t xml:space="preserve"> accrued by the General Partner</w:t>
      </w:r>
      <w:r w:rsidR="00CE7AB1">
        <w:rPr>
          <w:i/>
          <w:iCs/>
          <w:sz w:val="18"/>
          <w:szCs w:val="18"/>
        </w:rPr>
        <w:t xml:space="preserve"> of the Partnership</w:t>
      </w:r>
      <w:r w:rsidR="000B7397" w:rsidRPr="000B7397">
        <w:rPr>
          <w:i/>
          <w:iCs/>
          <w:sz w:val="18"/>
          <w:szCs w:val="18"/>
        </w:rPr>
        <w:t xml:space="preserve"> was approximately $(</w:t>
      </w:r>
      <w:r w:rsidR="00EF5C4A">
        <w:rPr>
          <w:i/>
          <w:iCs/>
          <w:sz w:val="18"/>
          <w:szCs w:val="18"/>
        </w:rPr>
        <w:t>42.3</w:t>
      </w:r>
      <w:r w:rsidR="000B7397" w:rsidRPr="000B7397">
        <w:rPr>
          <w:i/>
          <w:iCs/>
          <w:sz w:val="18"/>
          <w:szCs w:val="18"/>
        </w:rPr>
        <w:t>) million</w:t>
      </w:r>
      <w:r w:rsidR="00CE7AB1">
        <w:rPr>
          <w:i/>
          <w:iCs/>
          <w:sz w:val="18"/>
          <w:szCs w:val="18"/>
        </w:rPr>
        <w:t xml:space="preserve"> and $</w:t>
      </w:r>
      <w:r w:rsidR="00EF5C4A">
        <w:rPr>
          <w:i/>
          <w:iCs/>
          <w:sz w:val="18"/>
          <w:szCs w:val="18"/>
        </w:rPr>
        <w:t>(53.6)</w:t>
      </w:r>
      <w:r w:rsidR="00CE7AB1">
        <w:rPr>
          <w:i/>
          <w:iCs/>
          <w:sz w:val="18"/>
          <w:szCs w:val="18"/>
        </w:rPr>
        <w:t xml:space="preserve"> million, respectively</w:t>
      </w:r>
      <w:r w:rsidR="000B7397" w:rsidRPr="000B7397">
        <w:rPr>
          <w:i/>
          <w:iCs/>
          <w:sz w:val="18"/>
          <w:szCs w:val="18"/>
        </w:rPr>
        <w:t>.</w:t>
      </w:r>
    </w:p>
    <w:p w14:paraId="6DA17806" w14:textId="77777777" w:rsidR="000B7397" w:rsidRPr="000B7397" w:rsidRDefault="000B7397" w:rsidP="00C32021">
      <w:pPr>
        <w:pStyle w:val="ListParagraph"/>
        <w:ind w:left="1080"/>
        <w:jc w:val="both"/>
        <w:rPr>
          <w:i/>
          <w:iCs/>
          <w:sz w:val="18"/>
          <w:szCs w:val="18"/>
        </w:rPr>
      </w:pPr>
    </w:p>
    <w:p w14:paraId="75A09587" w14:textId="41EBA92A" w:rsidR="005B4773" w:rsidRPr="000B7397" w:rsidRDefault="00A51778" w:rsidP="00C32021">
      <w:pPr>
        <w:pStyle w:val="ListParagraph"/>
        <w:numPr>
          <w:ilvl w:val="0"/>
          <w:numId w:val="34"/>
        </w:numPr>
        <w:jc w:val="both"/>
        <w:rPr>
          <w:i/>
          <w:iCs/>
          <w:sz w:val="16"/>
          <w:szCs w:val="16"/>
        </w:rPr>
      </w:pPr>
      <w:r w:rsidRPr="005201DB">
        <w:rPr>
          <w:i/>
          <w:iCs/>
          <w:sz w:val="18"/>
          <w:szCs w:val="18"/>
        </w:rPr>
        <w:t xml:space="preserve">The net investment loss ratio is the </w:t>
      </w:r>
      <w:r w:rsidR="00CE7AB1">
        <w:rPr>
          <w:i/>
          <w:iCs/>
          <w:sz w:val="18"/>
          <w:szCs w:val="18"/>
        </w:rPr>
        <w:t>Shareholders</w:t>
      </w:r>
      <w:r w:rsidRPr="005201DB">
        <w:rPr>
          <w:i/>
          <w:iCs/>
          <w:sz w:val="18"/>
          <w:szCs w:val="18"/>
        </w:rPr>
        <w:t>’ investment income</w:t>
      </w:r>
      <w:r w:rsidR="00CE7AB1">
        <w:rPr>
          <w:i/>
          <w:iCs/>
          <w:sz w:val="18"/>
          <w:szCs w:val="18"/>
        </w:rPr>
        <w:t xml:space="preserve"> of the Company and Partnership</w:t>
      </w:r>
      <w:r w:rsidRPr="005201DB">
        <w:rPr>
          <w:i/>
          <w:iCs/>
          <w:sz w:val="18"/>
          <w:szCs w:val="18"/>
        </w:rPr>
        <w:t xml:space="preserve"> reduced by total expenses</w:t>
      </w:r>
      <w:r w:rsidR="00CE7AB1">
        <w:rPr>
          <w:i/>
          <w:iCs/>
          <w:sz w:val="18"/>
          <w:szCs w:val="18"/>
        </w:rPr>
        <w:t xml:space="preserve"> of the Company and the Partnership</w:t>
      </w:r>
      <w:r w:rsidRPr="005201DB">
        <w:rPr>
          <w:i/>
          <w:iCs/>
          <w:sz w:val="18"/>
          <w:szCs w:val="18"/>
        </w:rPr>
        <w:t xml:space="preserve"> divided by the </w:t>
      </w:r>
      <w:r w:rsidR="00CE7AB1">
        <w:rPr>
          <w:i/>
          <w:iCs/>
          <w:sz w:val="18"/>
          <w:szCs w:val="18"/>
        </w:rPr>
        <w:t>Shareholders</w:t>
      </w:r>
      <w:r w:rsidRPr="005201DB">
        <w:rPr>
          <w:i/>
          <w:iCs/>
          <w:sz w:val="18"/>
          <w:szCs w:val="18"/>
        </w:rPr>
        <w:t>’ average capital balance for the year presented. However, net investment loss</w:t>
      </w:r>
      <w:r w:rsidR="005201DB" w:rsidRPr="005201DB">
        <w:rPr>
          <w:i/>
          <w:iCs/>
          <w:sz w:val="18"/>
          <w:szCs w:val="18"/>
        </w:rPr>
        <w:t xml:space="preserve"> does</w:t>
      </w:r>
      <w:r w:rsidRPr="005201DB">
        <w:rPr>
          <w:i/>
          <w:iCs/>
          <w:sz w:val="18"/>
          <w:szCs w:val="18"/>
        </w:rPr>
        <w:t xml:space="preserve"> not include any reali</w:t>
      </w:r>
      <w:r w:rsidR="00CE7AB1">
        <w:rPr>
          <w:i/>
          <w:iCs/>
          <w:sz w:val="18"/>
          <w:szCs w:val="18"/>
        </w:rPr>
        <w:t>s</w:t>
      </w:r>
      <w:r w:rsidRPr="005201DB">
        <w:rPr>
          <w:i/>
          <w:iCs/>
          <w:sz w:val="18"/>
          <w:szCs w:val="18"/>
        </w:rPr>
        <w:t>ed or unreali</w:t>
      </w:r>
      <w:r w:rsidR="00CE7AB1">
        <w:rPr>
          <w:i/>
          <w:iCs/>
          <w:sz w:val="18"/>
          <w:szCs w:val="18"/>
        </w:rPr>
        <w:t>s</w:t>
      </w:r>
      <w:r w:rsidRPr="005201DB">
        <w:rPr>
          <w:i/>
          <w:iCs/>
          <w:sz w:val="18"/>
          <w:szCs w:val="18"/>
        </w:rPr>
        <w:t>ed gains/losses generated from the sale or recapitali</w:t>
      </w:r>
      <w:r w:rsidR="00CE7AB1">
        <w:rPr>
          <w:i/>
          <w:iCs/>
          <w:sz w:val="18"/>
          <w:szCs w:val="18"/>
        </w:rPr>
        <w:t>s</w:t>
      </w:r>
      <w:r w:rsidRPr="005201DB">
        <w:rPr>
          <w:i/>
          <w:iCs/>
          <w:sz w:val="18"/>
          <w:szCs w:val="18"/>
        </w:rPr>
        <w:t>ation of an investment</w:t>
      </w:r>
      <w:r w:rsidR="00CE7AB1">
        <w:rPr>
          <w:i/>
          <w:iCs/>
          <w:sz w:val="18"/>
          <w:szCs w:val="18"/>
        </w:rPr>
        <w:t xml:space="preserve"> of the Partnership</w:t>
      </w:r>
      <w:r w:rsidRPr="005201DB">
        <w:rPr>
          <w:i/>
          <w:iCs/>
          <w:sz w:val="18"/>
          <w:szCs w:val="18"/>
        </w:rPr>
        <w:t>. Thus, net investment loss includes dividend</w:t>
      </w:r>
      <w:r w:rsidR="005201DB" w:rsidRPr="005201DB">
        <w:rPr>
          <w:i/>
          <w:iCs/>
          <w:sz w:val="18"/>
          <w:szCs w:val="18"/>
        </w:rPr>
        <w:t xml:space="preserve"> and</w:t>
      </w:r>
      <w:r w:rsidRPr="005201DB">
        <w:rPr>
          <w:i/>
          <w:iCs/>
          <w:sz w:val="18"/>
          <w:szCs w:val="18"/>
        </w:rPr>
        <w:t xml:space="preserve"> interest</w:t>
      </w:r>
      <w:r w:rsidR="005201DB" w:rsidRPr="005201DB">
        <w:rPr>
          <w:i/>
          <w:iCs/>
          <w:sz w:val="18"/>
          <w:szCs w:val="18"/>
        </w:rPr>
        <w:t xml:space="preserve"> </w:t>
      </w:r>
      <w:r w:rsidRPr="005201DB">
        <w:rPr>
          <w:i/>
          <w:iCs/>
          <w:sz w:val="18"/>
          <w:szCs w:val="18"/>
        </w:rPr>
        <w:t>income</w:t>
      </w:r>
      <w:r w:rsidR="00CE7AB1">
        <w:rPr>
          <w:i/>
          <w:iCs/>
          <w:sz w:val="18"/>
          <w:szCs w:val="18"/>
        </w:rPr>
        <w:t xml:space="preserve"> of the Company and the Partnership</w:t>
      </w:r>
      <w:r w:rsidRPr="005201DB">
        <w:rPr>
          <w:i/>
          <w:iCs/>
          <w:sz w:val="18"/>
          <w:szCs w:val="18"/>
        </w:rPr>
        <w:t xml:space="preserve"> less the total expenses</w:t>
      </w:r>
      <w:r w:rsidR="00CE7AB1">
        <w:rPr>
          <w:i/>
          <w:iCs/>
          <w:sz w:val="18"/>
          <w:szCs w:val="18"/>
        </w:rPr>
        <w:t xml:space="preserve"> of the Company and the Partnership</w:t>
      </w:r>
      <w:r w:rsidRPr="005201DB">
        <w:rPr>
          <w:i/>
          <w:iCs/>
          <w:sz w:val="18"/>
          <w:szCs w:val="18"/>
        </w:rPr>
        <w:t xml:space="preserve"> incurred during the year presented.</w:t>
      </w:r>
    </w:p>
    <w:p w14:paraId="1340E5D0" w14:textId="77777777" w:rsidR="000B7397" w:rsidRPr="000B7397" w:rsidRDefault="000B7397" w:rsidP="00C32021">
      <w:pPr>
        <w:pStyle w:val="ListParagraph"/>
        <w:jc w:val="both"/>
        <w:rPr>
          <w:i/>
          <w:iCs/>
          <w:sz w:val="16"/>
          <w:szCs w:val="16"/>
        </w:rPr>
      </w:pPr>
    </w:p>
    <w:p w14:paraId="4E9A5F25" w14:textId="77777777" w:rsidR="000B7397" w:rsidRPr="005201DB" w:rsidRDefault="000B7397" w:rsidP="00C32021">
      <w:pPr>
        <w:pStyle w:val="ListParagraph"/>
        <w:ind w:left="1080"/>
        <w:jc w:val="both"/>
        <w:rPr>
          <w:i/>
          <w:iCs/>
          <w:sz w:val="16"/>
          <w:szCs w:val="16"/>
        </w:rPr>
      </w:pPr>
    </w:p>
    <w:p w14:paraId="5AD9607C" w14:textId="7928EF79" w:rsidR="005B4773" w:rsidRPr="000B7397" w:rsidRDefault="00A51778" w:rsidP="00C32021">
      <w:pPr>
        <w:pStyle w:val="ListParagraph"/>
        <w:numPr>
          <w:ilvl w:val="0"/>
          <w:numId w:val="34"/>
        </w:numPr>
        <w:jc w:val="both"/>
        <w:rPr>
          <w:i/>
          <w:iCs/>
          <w:sz w:val="16"/>
          <w:szCs w:val="16"/>
        </w:rPr>
      </w:pPr>
      <w:r w:rsidRPr="005201DB">
        <w:rPr>
          <w:i/>
          <w:iCs/>
          <w:sz w:val="18"/>
          <w:szCs w:val="18"/>
        </w:rPr>
        <w:t xml:space="preserve">The internal rate of return since the commencement of operations (“IRR”) is computed based on the dates of the </w:t>
      </w:r>
      <w:r w:rsidR="00CE7AB1">
        <w:rPr>
          <w:i/>
          <w:iCs/>
          <w:sz w:val="18"/>
          <w:szCs w:val="18"/>
        </w:rPr>
        <w:t>Shareholders</w:t>
      </w:r>
      <w:r w:rsidRPr="005201DB">
        <w:rPr>
          <w:i/>
          <w:iCs/>
          <w:sz w:val="18"/>
          <w:szCs w:val="18"/>
        </w:rPr>
        <w:t>’ capital contributions to the</w:t>
      </w:r>
      <w:r w:rsidR="00CE7AB1">
        <w:rPr>
          <w:i/>
          <w:iCs/>
          <w:sz w:val="18"/>
          <w:szCs w:val="18"/>
        </w:rPr>
        <w:t xml:space="preserve"> Company</w:t>
      </w:r>
      <w:r w:rsidRPr="005201DB">
        <w:rPr>
          <w:i/>
          <w:iCs/>
          <w:sz w:val="18"/>
          <w:szCs w:val="18"/>
        </w:rPr>
        <w:t xml:space="preserve">, distributions from the </w:t>
      </w:r>
      <w:r w:rsidR="00CE7AB1">
        <w:rPr>
          <w:i/>
          <w:iCs/>
          <w:sz w:val="18"/>
          <w:szCs w:val="18"/>
        </w:rPr>
        <w:t>Company</w:t>
      </w:r>
      <w:r w:rsidRPr="005201DB">
        <w:rPr>
          <w:i/>
          <w:iCs/>
          <w:sz w:val="18"/>
          <w:szCs w:val="18"/>
        </w:rPr>
        <w:t xml:space="preserve"> to the </w:t>
      </w:r>
      <w:r w:rsidR="00CE7AB1">
        <w:rPr>
          <w:i/>
          <w:iCs/>
          <w:sz w:val="18"/>
          <w:szCs w:val="18"/>
        </w:rPr>
        <w:t>Shareholders</w:t>
      </w:r>
      <w:r w:rsidRPr="005201DB">
        <w:rPr>
          <w:i/>
          <w:iCs/>
          <w:sz w:val="18"/>
          <w:szCs w:val="18"/>
        </w:rPr>
        <w:t xml:space="preserve">, and the fair value of the </w:t>
      </w:r>
      <w:r w:rsidR="00CE7AB1">
        <w:rPr>
          <w:i/>
          <w:iCs/>
          <w:sz w:val="18"/>
          <w:szCs w:val="18"/>
        </w:rPr>
        <w:t>Shareholders</w:t>
      </w:r>
      <w:r w:rsidRPr="005201DB">
        <w:rPr>
          <w:i/>
          <w:iCs/>
          <w:sz w:val="18"/>
          <w:szCs w:val="18"/>
        </w:rPr>
        <w:t xml:space="preserve">’ </w:t>
      </w:r>
      <w:r w:rsidR="00CE7AB1">
        <w:rPr>
          <w:i/>
          <w:iCs/>
          <w:sz w:val="18"/>
          <w:szCs w:val="18"/>
        </w:rPr>
        <w:t>NAV</w:t>
      </w:r>
      <w:r w:rsidRPr="005201DB">
        <w:rPr>
          <w:i/>
          <w:iCs/>
          <w:sz w:val="18"/>
          <w:szCs w:val="18"/>
        </w:rPr>
        <w:t xml:space="preserve"> as of </w:t>
      </w:r>
      <w:r w:rsidR="00CE7AB1">
        <w:rPr>
          <w:i/>
          <w:iCs/>
          <w:sz w:val="18"/>
          <w:szCs w:val="18"/>
        </w:rPr>
        <w:t xml:space="preserve">31 </w:t>
      </w:r>
      <w:r w:rsidRPr="005201DB">
        <w:rPr>
          <w:i/>
          <w:iCs/>
          <w:sz w:val="18"/>
          <w:szCs w:val="18"/>
        </w:rPr>
        <w:t>December 20</w:t>
      </w:r>
      <w:r w:rsidR="005201DB" w:rsidRPr="005201DB">
        <w:rPr>
          <w:i/>
          <w:iCs/>
          <w:sz w:val="18"/>
          <w:szCs w:val="18"/>
        </w:rPr>
        <w:t>19</w:t>
      </w:r>
      <w:r w:rsidRPr="005201DB">
        <w:rPr>
          <w:i/>
          <w:iCs/>
          <w:sz w:val="18"/>
          <w:szCs w:val="18"/>
        </w:rPr>
        <w:t xml:space="preserve">. The IRR of the </w:t>
      </w:r>
      <w:r w:rsidR="00CE7AB1">
        <w:rPr>
          <w:i/>
          <w:iCs/>
          <w:sz w:val="18"/>
          <w:szCs w:val="18"/>
        </w:rPr>
        <w:t>Shareholders</w:t>
      </w:r>
      <w:r w:rsidRPr="005201DB">
        <w:rPr>
          <w:i/>
          <w:iCs/>
          <w:sz w:val="18"/>
          <w:szCs w:val="18"/>
        </w:rPr>
        <w:t xml:space="preserve"> is net of all fees and </w:t>
      </w:r>
      <w:r w:rsidR="00CE7AB1">
        <w:rPr>
          <w:i/>
          <w:iCs/>
          <w:sz w:val="18"/>
          <w:szCs w:val="18"/>
        </w:rPr>
        <w:t>Performance Allocation</w:t>
      </w:r>
      <w:r w:rsidRPr="005201DB">
        <w:rPr>
          <w:i/>
          <w:iCs/>
          <w:sz w:val="18"/>
          <w:szCs w:val="18"/>
        </w:rPr>
        <w:t xml:space="preserve"> to the General Partner</w:t>
      </w:r>
      <w:r w:rsidR="00CE7AB1">
        <w:rPr>
          <w:i/>
          <w:iCs/>
          <w:sz w:val="18"/>
          <w:szCs w:val="18"/>
        </w:rPr>
        <w:t xml:space="preserve"> of the Partnership</w:t>
      </w:r>
      <w:r w:rsidRPr="005201DB">
        <w:rPr>
          <w:i/>
          <w:iCs/>
          <w:sz w:val="18"/>
          <w:szCs w:val="18"/>
        </w:rPr>
        <w:t xml:space="preserve">. The computation of the IRR for an individual </w:t>
      </w:r>
      <w:r w:rsidR="00CE7AB1">
        <w:rPr>
          <w:i/>
          <w:iCs/>
          <w:sz w:val="18"/>
          <w:szCs w:val="18"/>
        </w:rPr>
        <w:t>Shareholder</w:t>
      </w:r>
      <w:r w:rsidRPr="005201DB">
        <w:rPr>
          <w:i/>
          <w:iCs/>
          <w:sz w:val="18"/>
          <w:szCs w:val="18"/>
        </w:rPr>
        <w:t xml:space="preserve"> may vary from the IRR presented above due to the timing of capital transactions.</w:t>
      </w:r>
    </w:p>
    <w:p w14:paraId="74EC28D9" w14:textId="77777777" w:rsidR="000B7397" w:rsidRPr="005201DB" w:rsidRDefault="000B7397" w:rsidP="00C32021">
      <w:pPr>
        <w:pStyle w:val="ListParagraph"/>
        <w:ind w:left="1080"/>
        <w:jc w:val="both"/>
        <w:rPr>
          <w:i/>
          <w:iCs/>
          <w:sz w:val="16"/>
          <w:szCs w:val="16"/>
        </w:rPr>
      </w:pPr>
    </w:p>
    <w:p w14:paraId="18795368" w14:textId="17989F14" w:rsidR="00A51778" w:rsidRPr="005201DB" w:rsidRDefault="00A51778" w:rsidP="00C32021">
      <w:pPr>
        <w:pStyle w:val="ListParagraph"/>
        <w:numPr>
          <w:ilvl w:val="0"/>
          <w:numId w:val="34"/>
        </w:numPr>
        <w:jc w:val="both"/>
        <w:rPr>
          <w:i/>
          <w:iCs/>
          <w:sz w:val="16"/>
          <w:szCs w:val="16"/>
        </w:rPr>
      </w:pPr>
      <w:r w:rsidRPr="005201DB">
        <w:rPr>
          <w:i/>
          <w:iCs/>
          <w:sz w:val="18"/>
          <w:szCs w:val="18"/>
        </w:rPr>
        <w:t xml:space="preserve">Net contributed capital is based on the </w:t>
      </w:r>
      <w:r w:rsidR="00CE7AB1">
        <w:rPr>
          <w:i/>
          <w:iCs/>
          <w:sz w:val="18"/>
          <w:szCs w:val="18"/>
        </w:rPr>
        <w:t>Shareholders</w:t>
      </w:r>
      <w:r w:rsidRPr="005201DB">
        <w:rPr>
          <w:i/>
          <w:iCs/>
          <w:sz w:val="18"/>
          <w:szCs w:val="18"/>
        </w:rPr>
        <w:t>’ gross capital contributions.</w:t>
      </w:r>
    </w:p>
    <w:p w14:paraId="0232798F" w14:textId="77777777" w:rsidR="00930246" w:rsidRPr="00930246" w:rsidRDefault="00930246" w:rsidP="00930246"/>
    <w:p w14:paraId="49675F55" w14:textId="3801AD24" w:rsidR="00A74038" w:rsidRPr="002F3F9C" w:rsidRDefault="00A74038" w:rsidP="00EB7E49">
      <w:pPr>
        <w:pStyle w:val="Heading1"/>
        <w:spacing w:before="0"/>
        <w:rPr>
          <w:rFonts w:eastAsiaTheme="minorHAnsi" w:cstheme="minorBidi"/>
          <w:bCs w:val="0"/>
          <w:caps w:val="0"/>
          <w:sz w:val="28"/>
          <w:szCs w:val="24"/>
        </w:rPr>
      </w:pPr>
      <w:r w:rsidRPr="00A74038">
        <w:rPr>
          <w:sz w:val="28"/>
          <w:szCs w:val="28"/>
        </w:rPr>
        <w:lastRenderedPageBreak/>
        <w:t>1</w:t>
      </w:r>
      <w:r w:rsidR="00930246">
        <w:rPr>
          <w:sz w:val="28"/>
          <w:szCs w:val="28"/>
        </w:rPr>
        <w:t>6</w:t>
      </w:r>
      <w:r w:rsidRPr="002F3F9C">
        <w:rPr>
          <w:sz w:val="28"/>
          <w:szCs w:val="28"/>
        </w:rPr>
        <w:t xml:space="preserve">.  </w:t>
      </w:r>
      <w:r w:rsidRPr="002F3F9C">
        <w:rPr>
          <w:rFonts w:eastAsiaTheme="minorHAnsi" w:cstheme="minorBidi"/>
          <w:bCs w:val="0"/>
          <w:caps w:val="0"/>
          <w:sz w:val="28"/>
          <w:szCs w:val="28"/>
        </w:rPr>
        <w:t>Subsequent</w:t>
      </w:r>
      <w:r w:rsidRPr="002F3F9C">
        <w:rPr>
          <w:rFonts w:eastAsiaTheme="minorHAnsi" w:cstheme="minorBidi"/>
          <w:bCs w:val="0"/>
          <w:caps w:val="0"/>
          <w:sz w:val="28"/>
          <w:szCs w:val="24"/>
        </w:rPr>
        <w:t xml:space="preserve"> Events</w:t>
      </w:r>
    </w:p>
    <w:p w14:paraId="5BF94763" w14:textId="15CA470E" w:rsidR="00F86461" w:rsidRDefault="00F86461" w:rsidP="00C32021">
      <w:pPr>
        <w:pStyle w:val="Bodytext"/>
        <w:ind w:left="720"/>
        <w:jc w:val="both"/>
        <w:rPr>
          <w:rFonts w:eastAsia="Cambria"/>
        </w:rPr>
      </w:pPr>
      <w:r>
        <w:t>On 3 January 2020, the Company announced amendments to Performance Allocation arrangements under the Investment Management Agreement that are effective from 30 June 2019 (see Note 10 for further detail).</w:t>
      </w:r>
    </w:p>
    <w:p w14:paraId="4D48F51D" w14:textId="77777777" w:rsidR="00F86461" w:rsidRDefault="00F86461" w:rsidP="00C32021">
      <w:pPr>
        <w:pStyle w:val="Bodytext"/>
        <w:ind w:left="720"/>
        <w:jc w:val="both"/>
        <w:rPr>
          <w:rFonts w:eastAsia="Cambria"/>
        </w:rPr>
      </w:pPr>
    </w:p>
    <w:p w14:paraId="5B294AC1" w14:textId="06034D54" w:rsidR="000743E2" w:rsidRDefault="000743E2" w:rsidP="00C32021">
      <w:pPr>
        <w:pStyle w:val="Bodytext"/>
        <w:ind w:left="720"/>
        <w:jc w:val="both"/>
        <w:rPr>
          <w:rFonts w:eastAsia="Cambria"/>
        </w:rPr>
      </w:pPr>
      <w:r w:rsidRPr="007B5927">
        <w:rPr>
          <w:rFonts w:eastAsia="Cambria"/>
        </w:rPr>
        <w:t xml:space="preserve">In January 2020, Ridgebury H3 decided to sell the Nalini D, one of the three Handy vessels purchased in April 2019, to Tufton Oceanic, at a premium to its original purchase price. Ridgebury H3 decided to take advantage of a recent market spike to reduce risk and lock in returns. REL’s realized </w:t>
      </w:r>
      <w:r w:rsidR="00986B39">
        <w:rPr>
          <w:rFonts w:eastAsia="Cambria"/>
        </w:rPr>
        <w:t xml:space="preserve">Gross </w:t>
      </w:r>
      <w:r w:rsidRPr="007B5927">
        <w:rPr>
          <w:rFonts w:eastAsia="Cambria"/>
        </w:rPr>
        <w:t xml:space="preserve">MOIC in this investment </w:t>
      </w:r>
      <w:r w:rsidR="002A46C8">
        <w:rPr>
          <w:rFonts w:eastAsia="Cambria"/>
        </w:rPr>
        <w:t>is</w:t>
      </w:r>
      <w:r w:rsidRPr="007B5927">
        <w:rPr>
          <w:rFonts w:eastAsia="Cambria"/>
        </w:rPr>
        <w:t xml:space="preserve"> 0.5x</w:t>
      </w:r>
      <w:r w:rsidR="00986B39">
        <w:rPr>
          <w:rFonts w:eastAsia="Cambria"/>
        </w:rPr>
        <w:t xml:space="preserve"> (total Gross MOIC of 1.2x)</w:t>
      </w:r>
      <w:r w:rsidRPr="007B5927">
        <w:rPr>
          <w:rFonts w:eastAsia="Cambria"/>
        </w:rPr>
        <w:t>, including prior distributions.</w:t>
      </w:r>
    </w:p>
    <w:p w14:paraId="5A25A5A1" w14:textId="77777777" w:rsidR="000743E2" w:rsidRDefault="000743E2" w:rsidP="00C32021">
      <w:pPr>
        <w:pStyle w:val="Bodytext"/>
        <w:jc w:val="both"/>
        <w:rPr>
          <w:rFonts w:eastAsia="Cambria"/>
        </w:rPr>
      </w:pPr>
    </w:p>
    <w:p w14:paraId="714FF152" w14:textId="16A1EF65" w:rsidR="000743E2" w:rsidRDefault="000743E2" w:rsidP="00C32021">
      <w:pPr>
        <w:pStyle w:val="Bodytext"/>
        <w:ind w:left="720"/>
        <w:jc w:val="both"/>
        <w:rPr>
          <w:rFonts w:eastAsia="Cambria"/>
        </w:rPr>
      </w:pPr>
      <w:r w:rsidRPr="007B5927">
        <w:rPr>
          <w:rFonts w:eastAsia="Cambria"/>
        </w:rPr>
        <w:t>In February 2020, REL decided to unwind its commitment to Aleph</w:t>
      </w:r>
      <w:r w:rsidR="00194385">
        <w:rPr>
          <w:rFonts w:eastAsia="Cambria"/>
        </w:rPr>
        <w:t xml:space="preserve"> Midstream</w:t>
      </w:r>
      <w:r w:rsidRPr="007B5927">
        <w:rPr>
          <w:rFonts w:eastAsia="Cambria"/>
        </w:rPr>
        <w:t xml:space="preserve"> due to the macroeconomic conditions in Argentina as well as certain condition precedents that have not been met with its anchor customer. </w:t>
      </w:r>
      <w:r w:rsidR="005F13F7">
        <w:rPr>
          <w:rFonts w:eastAsia="Cambria"/>
        </w:rPr>
        <w:t xml:space="preserve">In March 2020, </w:t>
      </w:r>
      <w:r w:rsidRPr="007B5927">
        <w:rPr>
          <w:rFonts w:eastAsia="Cambria"/>
        </w:rPr>
        <w:t xml:space="preserve">REL </w:t>
      </w:r>
      <w:r w:rsidR="005F13F7">
        <w:rPr>
          <w:rFonts w:eastAsia="Cambria"/>
        </w:rPr>
        <w:t>was</w:t>
      </w:r>
      <w:r w:rsidRPr="007B5927">
        <w:rPr>
          <w:rFonts w:eastAsia="Cambria"/>
        </w:rPr>
        <w:t xml:space="preserve"> reimbursed for it</w:t>
      </w:r>
      <w:r w:rsidR="00194385">
        <w:rPr>
          <w:rFonts w:eastAsia="Cambria"/>
        </w:rPr>
        <w:t>s</w:t>
      </w:r>
      <w:r w:rsidRPr="007B5927">
        <w:rPr>
          <w:rFonts w:eastAsia="Cambria"/>
        </w:rPr>
        <w:t xml:space="preserve"> fund invested capital in Aleph</w:t>
      </w:r>
      <w:r w:rsidR="00194385">
        <w:rPr>
          <w:rFonts w:eastAsia="Cambria"/>
        </w:rPr>
        <w:t xml:space="preserve"> Midstream</w:t>
      </w:r>
      <w:r w:rsidRPr="007B5927">
        <w:rPr>
          <w:rFonts w:eastAsia="Cambria"/>
        </w:rPr>
        <w:t>.</w:t>
      </w:r>
    </w:p>
    <w:p w14:paraId="55CBD49F" w14:textId="0737663E" w:rsidR="0042579F" w:rsidRDefault="0042579F" w:rsidP="00C32021">
      <w:pPr>
        <w:pStyle w:val="Bodytext"/>
        <w:ind w:left="720"/>
        <w:jc w:val="both"/>
        <w:rPr>
          <w:rFonts w:eastAsia="Cambria"/>
        </w:rPr>
      </w:pPr>
    </w:p>
    <w:p w14:paraId="5F4EFBE5" w14:textId="75F986E9" w:rsidR="0042579F" w:rsidRDefault="0042579F" w:rsidP="00C32021">
      <w:pPr>
        <w:pStyle w:val="Bodytext"/>
        <w:ind w:left="720"/>
        <w:jc w:val="both"/>
        <w:rPr>
          <w:rFonts w:eastAsia="Cambria"/>
        </w:rPr>
      </w:pPr>
      <w:r>
        <w:rPr>
          <w:rFonts w:eastAsia="Cambria"/>
        </w:rPr>
        <w:t xml:space="preserve">In March 2020, the macro environment for energy significantly weakened due to coronavirus and developments related </w:t>
      </w:r>
      <w:r w:rsidRPr="006F0F97">
        <w:rPr>
          <w:rFonts w:eastAsia="Cambria"/>
        </w:rPr>
        <w:t xml:space="preserve">to OPEC+. </w:t>
      </w:r>
      <w:r w:rsidR="005B7FE7" w:rsidRPr="006F0F97">
        <w:rPr>
          <w:rFonts w:eastAsia="Cambria"/>
        </w:rPr>
        <w:t xml:space="preserve">Several countries have restricted travel and quarantined those who have been exposed. Quarantines and the inability to move or interact freely will have an impact on economic results. In particular, such actions could reduce the world demand for oil. </w:t>
      </w:r>
      <w:r w:rsidR="005B7FE7" w:rsidRPr="006F0F97">
        <w:t>Crude oil has experienced near term downward pressure as a result of softer demand from the growing impact of the coronavirus related crisis across the world.</w:t>
      </w:r>
      <w:r w:rsidRPr="006F0F97">
        <w:rPr>
          <w:rFonts w:eastAsia="Cambria"/>
        </w:rPr>
        <w:t xml:space="preserve"> As a result, WTI and REL’s share price have declined by 6</w:t>
      </w:r>
      <w:r w:rsidR="00E0460A">
        <w:rPr>
          <w:rFonts w:eastAsia="Cambria"/>
        </w:rPr>
        <w:t>8</w:t>
      </w:r>
      <w:r w:rsidRPr="006F0F97">
        <w:rPr>
          <w:rFonts w:eastAsia="Cambria"/>
        </w:rPr>
        <w:t xml:space="preserve"> per cent. and 6</w:t>
      </w:r>
      <w:r w:rsidR="00E0460A">
        <w:rPr>
          <w:rFonts w:eastAsia="Cambria"/>
        </w:rPr>
        <w:t>7</w:t>
      </w:r>
      <w:r w:rsidRPr="006F0F97">
        <w:rPr>
          <w:rFonts w:eastAsia="Cambria"/>
        </w:rPr>
        <w:t xml:space="preserve"> per cent., respectively year-to-date</w:t>
      </w:r>
      <w:r w:rsidR="001366D9" w:rsidRPr="001366D9">
        <w:rPr>
          <w:rFonts w:eastAsia="Cambria"/>
        </w:rPr>
        <w:t xml:space="preserve"> </w:t>
      </w:r>
      <w:r w:rsidR="001366D9">
        <w:rPr>
          <w:rFonts w:eastAsia="Cambria"/>
        </w:rPr>
        <w:t>as of 31 March 2020</w:t>
      </w:r>
      <w:r w:rsidR="00152131">
        <w:rPr>
          <w:rFonts w:eastAsia="Cambria"/>
        </w:rPr>
        <w:t>.</w:t>
      </w:r>
      <w:r w:rsidR="00F84F81">
        <w:rPr>
          <w:rFonts w:eastAsia="Cambria"/>
        </w:rPr>
        <w:t xml:space="preserve"> </w:t>
      </w:r>
      <w:bookmarkStart w:id="39" w:name="_Hlk37768393"/>
      <w:r w:rsidR="00152131">
        <w:rPr>
          <w:rFonts w:eastAsia="Cambria"/>
        </w:rPr>
        <w:t xml:space="preserve">Additionally, </w:t>
      </w:r>
      <w:r w:rsidR="00F84F81">
        <w:rPr>
          <w:rFonts w:eastAsia="Cambria"/>
        </w:rPr>
        <w:t>there’s expected to be an impact on the valuations of the Company’s investments, through the Partnership, as of 31 March 2020</w:t>
      </w:r>
      <w:r w:rsidR="006D5F71">
        <w:rPr>
          <w:rFonts w:eastAsia="Cambria"/>
        </w:rPr>
        <w:t xml:space="preserve">, </w:t>
      </w:r>
      <w:r w:rsidR="00152131">
        <w:rPr>
          <w:rFonts w:eastAsia="Cambria"/>
        </w:rPr>
        <w:t>but</w:t>
      </w:r>
      <w:r w:rsidR="00DB2C2F">
        <w:rPr>
          <w:rFonts w:eastAsia="Cambria"/>
        </w:rPr>
        <w:t xml:space="preserve"> an estimate of the financial effect of COVID-19 on the fair value of investments cannot be made at this stage. </w:t>
      </w:r>
      <w:bookmarkEnd w:id="39"/>
      <w:r w:rsidR="00DB2C2F">
        <w:rPr>
          <w:rFonts w:eastAsia="Cambria"/>
        </w:rPr>
        <w:t>However, Note 5 includes sensitivity disclosures in respect of the fair value of the Partnership’s investments held at year end.</w:t>
      </w:r>
    </w:p>
    <w:p w14:paraId="330DCF71" w14:textId="33DBDE85" w:rsidR="001366D9" w:rsidRDefault="001366D9" w:rsidP="00C32021">
      <w:pPr>
        <w:pStyle w:val="Bodytext"/>
        <w:ind w:left="720"/>
        <w:jc w:val="both"/>
        <w:rPr>
          <w:rFonts w:eastAsia="Cambria"/>
        </w:rPr>
      </w:pPr>
    </w:p>
    <w:p w14:paraId="7DCE81BF" w14:textId="5E0CFDE6" w:rsidR="001366D9" w:rsidRDefault="001366D9" w:rsidP="00C32021">
      <w:pPr>
        <w:ind w:left="720"/>
        <w:jc w:val="both"/>
        <w:rPr>
          <w:rFonts w:eastAsia="Cambria"/>
        </w:rPr>
      </w:pPr>
      <w:r w:rsidRPr="006F5FE4">
        <w:rPr>
          <w:rFonts w:eastAsia="Cambria"/>
        </w:rPr>
        <w:t xml:space="preserve">The Board </w:t>
      </w:r>
      <w:r w:rsidRPr="00F62C2E">
        <w:rPr>
          <w:rFonts w:eastAsia="Cambria"/>
        </w:rPr>
        <w:t>and Investment Manager have been in continuous dialogue regarding the impact of COVID-19 and appropriate disclosures within the Company’s 2019 Annual Report and Financial Statements, including an update to the inherent risk of the global energy sector in the Principal Risks and Uncert</w:t>
      </w:r>
      <w:r w:rsidR="007D0343">
        <w:rPr>
          <w:rFonts w:eastAsia="Cambria"/>
        </w:rPr>
        <w:t>ainties section</w:t>
      </w:r>
      <w:r w:rsidRPr="00F62C2E">
        <w:rPr>
          <w:rFonts w:eastAsia="Cambria"/>
        </w:rPr>
        <w:t xml:space="preserve">. The Company’s Management Engagement Committee requested and received updates from REL’s key service providers, including the Investment </w:t>
      </w:r>
      <w:r w:rsidRPr="006F5FE4">
        <w:rPr>
          <w:rFonts w:eastAsia="Cambria"/>
        </w:rPr>
        <w:t>Manager, regarding the</w:t>
      </w:r>
      <w:r>
        <w:rPr>
          <w:rFonts w:eastAsia="Cambria"/>
        </w:rPr>
        <w:t>ir response to COVID-19, including an update on their</w:t>
      </w:r>
      <w:r w:rsidRPr="006F5FE4">
        <w:rPr>
          <w:rFonts w:eastAsia="Cambria"/>
        </w:rPr>
        <w:t xml:space="preserve"> respective business continuity plans.</w:t>
      </w:r>
    </w:p>
    <w:p w14:paraId="76547791" w14:textId="77777777" w:rsidR="001366D9" w:rsidRDefault="001366D9" w:rsidP="00C32021">
      <w:pPr>
        <w:jc w:val="both"/>
        <w:rPr>
          <w:rFonts w:eastAsia="Cambria"/>
        </w:rPr>
      </w:pPr>
    </w:p>
    <w:p w14:paraId="14F45E33" w14:textId="217BE732" w:rsidR="001366D9" w:rsidRDefault="001366D9" w:rsidP="00C32021">
      <w:pPr>
        <w:pStyle w:val="Bodytext"/>
        <w:ind w:left="720"/>
        <w:jc w:val="both"/>
        <w:rPr>
          <w:rFonts w:eastAsia="Cambria"/>
        </w:rPr>
      </w:pPr>
      <w:r w:rsidRPr="006F5FE4">
        <w:rPr>
          <w:rFonts w:eastAsia="Cambria"/>
        </w:rPr>
        <w:t>The Investment Manager activat</w:t>
      </w:r>
      <w:r>
        <w:rPr>
          <w:rFonts w:eastAsia="Cambria"/>
        </w:rPr>
        <w:t>ed</w:t>
      </w:r>
      <w:r w:rsidRPr="006F5FE4">
        <w:rPr>
          <w:rFonts w:eastAsia="Cambria"/>
        </w:rPr>
        <w:t xml:space="preserve"> its business continuity plan</w:t>
      </w:r>
      <w:r>
        <w:rPr>
          <w:rFonts w:eastAsia="Cambria"/>
        </w:rPr>
        <w:t xml:space="preserve"> and its </w:t>
      </w:r>
      <w:r>
        <w:t>regular working pattern has changed to remote working, though all staff are continuing to assume their day-to-day responsibilities remotely.</w:t>
      </w:r>
      <w:r>
        <w:rPr>
          <w:rFonts w:eastAsia="Cambria"/>
        </w:rPr>
        <w:t xml:space="preserve"> There</w:t>
      </w:r>
      <w:r w:rsidRPr="006F5FE4">
        <w:rPr>
          <w:rFonts w:eastAsia="Cambria"/>
        </w:rPr>
        <w:t xml:space="preserve"> has been regular communication with its employees</w:t>
      </w:r>
      <w:r>
        <w:rPr>
          <w:rFonts w:eastAsia="Cambria"/>
        </w:rPr>
        <w:t xml:space="preserve">, as well as its investors. </w:t>
      </w:r>
      <w:r>
        <w:t xml:space="preserve">In addition, the Investment Manager’s partners are hosting weekly calls on potential investment opportunities in this new environment (caused by COVID and OPEC+ news), so that Riverstone can best position the portfolio for the future. </w:t>
      </w:r>
      <w:r>
        <w:rPr>
          <w:rFonts w:eastAsia="Cambria"/>
        </w:rPr>
        <w:t>The Investment Manager has contacted its</w:t>
      </w:r>
      <w:r w:rsidRPr="006F5FE4">
        <w:rPr>
          <w:rFonts w:eastAsia="Cambria"/>
        </w:rPr>
        <w:t xml:space="preserve"> portfolio companies </w:t>
      </w:r>
      <w:r>
        <w:t>to make sure that they have the appropriate plans and resources in place to prioritize the health and safety of their employees, as well as to assess supply chain disruptions and ensure the normal operations of our businesses</w:t>
      </w:r>
      <w:r w:rsidRPr="006F5FE4">
        <w:rPr>
          <w:rFonts w:eastAsia="Cambria"/>
        </w:rPr>
        <w:t>.</w:t>
      </w:r>
    </w:p>
    <w:p w14:paraId="735A03C1" w14:textId="77777777" w:rsidR="0042579F" w:rsidRDefault="0042579F" w:rsidP="00C32021">
      <w:pPr>
        <w:pStyle w:val="Bodytext"/>
        <w:ind w:left="720"/>
        <w:jc w:val="both"/>
        <w:rPr>
          <w:rFonts w:eastAsia="Cambria"/>
        </w:rPr>
      </w:pPr>
    </w:p>
    <w:p w14:paraId="24626D29" w14:textId="384019B5" w:rsidR="008E66B2" w:rsidRDefault="008E66B2" w:rsidP="00EB7E49">
      <w:pPr>
        <w:pStyle w:val="Bodytext"/>
        <w:ind w:left="567"/>
      </w:pPr>
    </w:p>
    <w:p w14:paraId="5CEBB682" w14:textId="3038F06C" w:rsidR="000743E2" w:rsidRDefault="000743E2" w:rsidP="00A965F3">
      <w:pPr>
        <w:pStyle w:val="Heading1"/>
        <w:keepNext w:val="0"/>
        <w:keepLines w:val="0"/>
        <w:widowControl w:val="0"/>
        <w:spacing w:before="0"/>
        <w:contextualSpacing/>
      </w:pPr>
      <w:r>
        <w:t>Alternative performance measures</w:t>
      </w:r>
      <w:r w:rsidR="00A965F3">
        <w:t xml:space="preserve"> (“APM</w:t>
      </w:r>
      <w:r w:rsidR="009C26CF" w:rsidRPr="009C26CF">
        <w:rPr>
          <w:sz w:val="22"/>
          <w:szCs w:val="22"/>
        </w:rPr>
        <w:t>s</w:t>
      </w:r>
      <w:r w:rsidR="00A965F3">
        <w:t>”)</w:t>
      </w:r>
    </w:p>
    <w:p w14:paraId="285A4D75" w14:textId="414A34DA" w:rsidR="00A965F3" w:rsidRDefault="00A965F3" w:rsidP="00A965F3">
      <w:bookmarkStart w:id="40" w:name="_GoBack"/>
      <w:bookmarkEnd w:id="40"/>
    </w:p>
    <w:p w14:paraId="172180CF" w14:textId="06009100" w:rsidR="00A965F3" w:rsidRPr="00A965F3" w:rsidRDefault="00A965F3" w:rsidP="00C32021">
      <w:pPr>
        <w:pStyle w:val="Bodytext"/>
        <w:ind w:left="720"/>
        <w:jc w:val="both"/>
        <w:rPr>
          <w:rFonts w:eastAsia="Cambria"/>
        </w:rPr>
      </w:pPr>
      <w:r w:rsidRPr="00A965F3">
        <w:rPr>
          <w:rFonts w:eastAsia="Cambria"/>
        </w:rPr>
        <w:t>This Annual Report and Accounts contain APMs, which are financial measures not defined in IFRS. These include certain financial</w:t>
      </w:r>
      <w:r w:rsidR="009C26CF">
        <w:rPr>
          <w:rFonts w:eastAsia="Cambria"/>
        </w:rPr>
        <w:t xml:space="preserve"> and operational</w:t>
      </w:r>
      <w:r w:rsidRPr="00A965F3">
        <w:rPr>
          <w:rFonts w:eastAsia="Cambria"/>
        </w:rPr>
        <w:t xml:space="preserve"> highlights </w:t>
      </w:r>
      <w:r w:rsidR="007D0343" w:rsidRPr="007D0343">
        <w:rPr>
          <w:rFonts w:eastAsia="Cambria"/>
        </w:rPr>
        <w:t>within the key financials section, as well as in the performance section of the Chairman’s Statement</w:t>
      </w:r>
      <w:r w:rsidRPr="00A965F3">
        <w:rPr>
          <w:rFonts w:eastAsia="Cambria"/>
        </w:rPr>
        <w:t>. The definition of each of these APM</w:t>
      </w:r>
      <w:r w:rsidR="009C26CF">
        <w:rPr>
          <w:rFonts w:eastAsia="Cambria"/>
        </w:rPr>
        <w:t>s</w:t>
      </w:r>
      <w:r w:rsidRPr="00A965F3">
        <w:rPr>
          <w:rFonts w:eastAsia="Cambria"/>
        </w:rPr>
        <w:t xml:space="preserve"> is shown below. </w:t>
      </w:r>
    </w:p>
    <w:p w14:paraId="7B575226" w14:textId="77777777" w:rsidR="00A965F3" w:rsidRPr="00A965F3" w:rsidRDefault="00A965F3" w:rsidP="00C32021">
      <w:pPr>
        <w:pStyle w:val="Bodytext"/>
        <w:ind w:left="720"/>
        <w:jc w:val="both"/>
        <w:rPr>
          <w:rFonts w:eastAsia="Cambria"/>
        </w:rPr>
      </w:pPr>
    </w:p>
    <w:p w14:paraId="5FF76A8C" w14:textId="1EC2283B" w:rsidR="00A965F3" w:rsidRPr="00A965F3" w:rsidRDefault="006278C2" w:rsidP="00C32021">
      <w:pPr>
        <w:pStyle w:val="Bodytext"/>
        <w:ind w:left="720"/>
        <w:jc w:val="both"/>
        <w:rPr>
          <w:rFonts w:eastAsia="Cambria"/>
        </w:rPr>
      </w:pPr>
      <w:r>
        <w:rPr>
          <w:rFonts w:eastAsia="Cambria"/>
        </w:rPr>
        <w:t>The Company</w:t>
      </w:r>
      <w:r w:rsidR="00A965F3" w:rsidRPr="00A965F3">
        <w:rPr>
          <w:rFonts w:eastAsia="Cambria"/>
        </w:rPr>
        <w:t xml:space="preserve"> assess</w:t>
      </w:r>
      <w:r w:rsidR="009C26CF">
        <w:rPr>
          <w:rFonts w:eastAsia="Cambria"/>
        </w:rPr>
        <w:t>es</w:t>
      </w:r>
      <w:r w:rsidR="00A965F3" w:rsidRPr="00A965F3">
        <w:rPr>
          <w:rFonts w:eastAsia="Cambria"/>
        </w:rPr>
        <w:t xml:space="preserve"> </w:t>
      </w:r>
      <w:r>
        <w:rPr>
          <w:rFonts w:eastAsia="Cambria"/>
        </w:rPr>
        <w:t>its</w:t>
      </w:r>
      <w:r w:rsidR="00A965F3" w:rsidRPr="00A965F3">
        <w:rPr>
          <w:rFonts w:eastAsia="Cambria"/>
        </w:rPr>
        <w:t xml:space="preserve"> performance using a variety of measures that are not specifically defined under IFRS and are therefore termed APMs. The APMs that </w:t>
      </w:r>
      <w:r>
        <w:rPr>
          <w:rFonts w:eastAsia="Cambria"/>
        </w:rPr>
        <w:t>the Company</w:t>
      </w:r>
      <w:r w:rsidR="00A965F3" w:rsidRPr="00A965F3">
        <w:rPr>
          <w:rFonts w:eastAsia="Cambria"/>
        </w:rPr>
        <w:t xml:space="preserve"> use</w:t>
      </w:r>
      <w:r>
        <w:rPr>
          <w:rFonts w:eastAsia="Cambria"/>
        </w:rPr>
        <w:t>s</w:t>
      </w:r>
      <w:r w:rsidR="00A965F3" w:rsidRPr="00A965F3">
        <w:rPr>
          <w:rFonts w:eastAsia="Cambria"/>
        </w:rPr>
        <w:t xml:space="preserve"> may not be directly comparable with those used by other companies. These APMs are used to present a clearer picture of how the Company has performed over the year and are all financial measures of historical performance.</w:t>
      </w:r>
    </w:p>
    <w:p w14:paraId="31BF68AF" w14:textId="77777777" w:rsidR="00A965F3" w:rsidRPr="00A965F3" w:rsidRDefault="00A965F3" w:rsidP="00C32021">
      <w:pPr>
        <w:pStyle w:val="Bodytext"/>
        <w:ind w:left="720"/>
        <w:jc w:val="both"/>
        <w:rPr>
          <w:rFonts w:eastAsia="Cambria"/>
        </w:rPr>
      </w:pPr>
    </w:p>
    <w:p w14:paraId="171FC3AA" w14:textId="77777777" w:rsidR="00A965F3" w:rsidRPr="00A965F3" w:rsidRDefault="00A965F3" w:rsidP="00C32021">
      <w:pPr>
        <w:pStyle w:val="Bodytext"/>
        <w:ind w:left="720"/>
        <w:jc w:val="both"/>
        <w:rPr>
          <w:rFonts w:eastAsia="Cambria"/>
        </w:rPr>
      </w:pPr>
      <w:r w:rsidRPr="00A965F3">
        <w:rPr>
          <w:rFonts w:eastAsia="Cambria"/>
        </w:rPr>
        <w:t>The table below defines our APMs.</w:t>
      </w:r>
    </w:p>
    <w:p w14:paraId="38A20C2D" w14:textId="0D4ECFFE" w:rsidR="00A965F3" w:rsidRDefault="00A965F3" w:rsidP="00A965F3">
      <w:pPr>
        <w:rPr>
          <w:b/>
          <w:u w:val="single"/>
        </w:rPr>
      </w:pPr>
    </w:p>
    <w:tbl>
      <w:tblPr>
        <w:tblStyle w:val="TableGrid"/>
        <w:tblpPr w:leftFromText="180" w:rightFromText="180" w:vertAnchor="text" w:horzAnchor="margin" w:tblpXSpec="right" w:tblpY="104"/>
        <w:tblW w:w="10170" w:type="dxa"/>
        <w:tblLook w:val="04A0" w:firstRow="1" w:lastRow="0" w:firstColumn="1" w:lastColumn="0" w:noHBand="0" w:noVBand="1"/>
      </w:tblPr>
      <w:tblGrid>
        <w:gridCol w:w="1950"/>
        <w:gridCol w:w="2355"/>
        <w:gridCol w:w="2141"/>
        <w:gridCol w:w="3724"/>
      </w:tblGrid>
      <w:tr w:rsidR="007E2A89" w14:paraId="135BF682" w14:textId="11231379" w:rsidTr="00093FD3">
        <w:tc>
          <w:tcPr>
            <w:tcW w:w="1950" w:type="dxa"/>
          </w:tcPr>
          <w:p w14:paraId="1841C490" w14:textId="77777777" w:rsidR="007E2A89" w:rsidRPr="002763CF" w:rsidRDefault="007E2A89" w:rsidP="00767743">
            <w:pPr>
              <w:rPr>
                <w:b/>
                <w:bCs/>
                <w:lang w:val="en-US"/>
              </w:rPr>
            </w:pPr>
            <w:r w:rsidRPr="002763CF">
              <w:rPr>
                <w:b/>
                <w:bCs/>
                <w:lang w:val="en-US"/>
              </w:rPr>
              <w:t>APM</w:t>
            </w:r>
          </w:p>
        </w:tc>
        <w:tc>
          <w:tcPr>
            <w:tcW w:w="2355" w:type="dxa"/>
          </w:tcPr>
          <w:p w14:paraId="2E1E9471" w14:textId="77777777" w:rsidR="007E2A89" w:rsidRPr="002763CF" w:rsidRDefault="007E2A89" w:rsidP="00767743">
            <w:pPr>
              <w:rPr>
                <w:b/>
                <w:bCs/>
                <w:lang w:val="en-US"/>
              </w:rPr>
            </w:pPr>
            <w:r w:rsidRPr="002763CF">
              <w:rPr>
                <w:b/>
                <w:bCs/>
                <w:lang w:val="en-US"/>
              </w:rPr>
              <w:t>Definition</w:t>
            </w:r>
          </w:p>
        </w:tc>
        <w:tc>
          <w:tcPr>
            <w:tcW w:w="2141" w:type="dxa"/>
          </w:tcPr>
          <w:p w14:paraId="66317B81" w14:textId="77777777" w:rsidR="007E2A89" w:rsidRPr="002763CF" w:rsidRDefault="007E2A89" w:rsidP="00767743">
            <w:pPr>
              <w:rPr>
                <w:b/>
                <w:bCs/>
                <w:lang w:val="en-US"/>
              </w:rPr>
            </w:pPr>
            <w:r w:rsidRPr="002763CF">
              <w:rPr>
                <w:b/>
                <w:bCs/>
                <w:lang w:val="en-US"/>
              </w:rPr>
              <w:t>Purpose</w:t>
            </w:r>
          </w:p>
        </w:tc>
        <w:tc>
          <w:tcPr>
            <w:tcW w:w="3724" w:type="dxa"/>
          </w:tcPr>
          <w:p w14:paraId="09AED370" w14:textId="47E89979" w:rsidR="007E2A89" w:rsidRPr="002763CF" w:rsidRDefault="007E2A89" w:rsidP="00767743">
            <w:pPr>
              <w:rPr>
                <w:b/>
                <w:bCs/>
                <w:lang w:val="en-US"/>
              </w:rPr>
            </w:pPr>
            <w:r>
              <w:rPr>
                <w:b/>
                <w:bCs/>
                <w:lang w:val="en-US"/>
              </w:rPr>
              <w:t>Calculation and (where relevant) reconciliation to IFRS</w:t>
            </w:r>
          </w:p>
        </w:tc>
      </w:tr>
      <w:tr w:rsidR="007E2A89" w14:paraId="75FEC3D1" w14:textId="1A79EB47" w:rsidTr="00093FD3">
        <w:trPr>
          <w:trHeight w:val="712"/>
        </w:trPr>
        <w:tc>
          <w:tcPr>
            <w:tcW w:w="1950" w:type="dxa"/>
          </w:tcPr>
          <w:p w14:paraId="17175780" w14:textId="68EF7E1F" w:rsidR="007E2A89" w:rsidRDefault="007E2A89" w:rsidP="00767743">
            <w:pPr>
              <w:rPr>
                <w:lang w:val="en-US"/>
              </w:rPr>
            </w:pPr>
            <w:r>
              <w:rPr>
                <w:lang w:val="en-US"/>
              </w:rPr>
              <w:lastRenderedPageBreak/>
              <w:t xml:space="preserve">NAV per </w:t>
            </w:r>
            <w:r w:rsidR="00A04AA7">
              <w:rPr>
                <w:lang w:val="en-US"/>
              </w:rPr>
              <w:t>O</w:t>
            </w:r>
            <w:r>
              <w:rPr>
                <w:lang w:val="en-US"/>
              </w:rPr>
              <w:t xml:space="preserve">rdinary </w:t>
            </w:r>
            <w:r w:rsidR="00A04AA7">
              <w:rPr>
                <w:lang w:val="en-US"/>
              </w:rPr>
              <w:t>S</w:t>
            </w:r>
            <w:r>
              <w:rPr>
                <w:lang w:val="en-US"/>
              </w:rPr>
              <w:t>hare</w:t>
            </w:r>
          </w:p>
        </w:tc>
        <w:tc>
          <w:tcPr>
            <w:tcW w:w="2355" w:type="dxa"/>
          </w:tcPr>
          <w:p w14:paraId="75847C86" w14:textId="411ED38E" w:rsidR="007E2A89" w:rsidRDefault="007E2A89" w:rsidP="00767743">
            <w:pPr>
              <w:rPr>
                <w:lang w:val="en-US"/>
              </w:rPr>
            </w:pPr>
            <w:r>
              <w:rPr>
                <w:lang w:val="en-US"/>
              </w:rPr>
              <w:t xml:space="preserve">The Company’s NAV divided by the number of </w:t>
            </w:r>
            <w:r w:rsidR="00A04AA7">
              <w:rPr>
                <w:lang w:val="en-US"/>
              </w:rPr>
              <w:t>O</w:t>
            </w:r>
            <w:r>
              <w:rPr>
                <w:lang w:val="en-US"/>
              </w:rPr>
              <w:t xml:space="preserve">rdinary </w:t>
            </w:r>
            <w:r w:rsidR="00A04AA7">
              <w:rPr>
                <w:lang w:val="en-US"/>
              </w:rPr>
              <w:t>S</w:t>
            </w:r>
            <w:r>
              <w:rPr>
                <w:lang w:val="en-US"/>
              </w:rPr>
              <w:t>hares.</w:t>
            </w:r>
          </w:p>
        </w:tc>
        <w:tc>
          <w:tcPr>
            <w:tcW w:w="2141" w:type="dxa"/>
          </w:tcPr>
          <w:p w14:paraId="76AA1544" w14:textId="77777777" w:rsidR="007E2A89" w:rsidRDefault="007E2A89" w:rsidP="00767743">
            <w:pPr>
              <w:rPr>
                <w:lang w:val="en-US"/>
              </w:rPr>
            </w:pPr>
            <w:r>
              <w:rPr>
                <w:lang w:val="en-US"/>
              </w:rPr>
              <w:t>A measure of the value of one ordinary share</w:t>
            </w:r>
          </w:p>
        </w:tc>
        <w:tc>
          <w:tcPr>
            <w:tcW w:w="3724" w:type="dxa"/>
          </w:tcPr>
          <w:p w14:paraId="65BDB82F" w14:textId="3277DB16" w:rsidR="007E2A89" w:rsidRDefault="000F69B8" w:rsidP="00767743">
            <w:pPr>
              <w:rPr>
                <w:lang w:val="en-US"/>
              </w:rPr>
            </w:pPr>
            <w:r>
              <w:rPr>
                <w:lang w:val="en-US"/>
              </w:rPr>
              <w:t>The net assets as show</w:t>
            </w:r>
            <w:r w:rsidR="0033432C">
              <w:rPr>
                <w:lang w:val="en-US"/>
              </w:rPr>
              <w:t>n</w:t>
            </w:r>
            <w:r>
              <w:rPr>
                <w:lang w:val="en-US"/>
              </w:rPr>
              <w:t xml:space="preserve"> on the statement of financial position (</w:t>
            </w:r>
            <w:r w:rsidR="0033432C">
              <w:rPr>
                <w:lang w:val="en-US"/>
              </w:rPr>
              <w:t>$77</w:t>
            </w:r>
            <w:r w:rsidR="00FA5CB8">
              <w:rPr>
                <w:lang w:val="en-US"/>
              </w:rPr>
              <w:t>2</w:t>
            </w:r>
            <w:r w:rsidR="00093FD3">
              <w:rPr>
                <w:lang w:val="en-US"/>
              </w:rPr>
              <w:t xml:space="preserve"> </w:t>
            </w:r>
            <w:r w:rsidR="0033432C">
              <w:rPr>
                <w:lang w:val="en-US"/>
              </w:rPr>
              <w:t>m</w:t>
            </w:r>
            <w:r w:rsidR="00093FD3">
              <w:rPr>
                <w:lang w:val="en-US"/>
              </w:rPr>
              <w:t>illion</w:t>
            </w:r>
            <w:r>
              <w:rPr>
                <w:lang w:val="en-US"/>
              </w:rPr>
              <w:t xml:space="preserve"> as at 31 December 2019</w:t>
            </w:r>
            <w:r w:rsidR="00FA5CB8">
              <w:rPr>
                <w:lang w:val="en-US"/>
              </w:rPr>
              <w:t xml:space="preserve"> </w:t>
            </w:r>
            <w:r w:rsidR="000111EE">
              <w:rPr>
                <w:lang w:val="en-US"/>
              </w:rPr>
              <w:t>and</w:t>
            </w:r>
            <w:r w:rsidR="00FA5CB8">
              <w:rPr>
                <w:lang w:val="en-US"/>
              </w:rPr>
              <w:t xml:space="preserve"> $1,431 million as at 31 December 2018</w:t>
            </w:r>
            <w:r>
              <w:rPr>
                <w:lang w:val="en-US"/>
              </w:rPr>
              <w:t xml:space="preserve">) divided by the number of </w:t>
            </w:r>
            <w:r w:rsidR="00093FD3">
              <w:rPr>
                <w:lang w:val="en-US"/>
              </w:rPr>
              <w:t>O</w:t>
            </w:r>
            <w:r>
              <w:rPr>
                <w:lang w:val="en-US"/>
              </w:rPr>
              <w:t xml:space="preserve">rdinary </w:t>
            </w:r>
            <w:r w:rsidR="00093FD3">
              <w:rPr>
                <w:lang w:val="en-US"/>
              </w:rPr>
              <w:t>S</w:t>
            </w:r>
            <w:r>
              <w:rPr>
                <w:lang w:val="en-US"/>
              </w:rPr>
              <w:t>hares in issue as at the calculation date (</w:t>
            </w:r>
            <w:r w:rsidR="00093FD3" w:rsidRPr="00093FD3">
              <w:t>79,896,731</w:t>
            </w:r>
            <w:r>
              <w:rPr>
                <w:lang w:val="en-US"/>
              </w:rPr>
              <w:t xml:space="preserve"> as at 31 December 2019</w:t>
            </w:r>
            <w:r w:rsidR="00FA5CB8">
              <w:rPr>
                <w:lang w:val="en-US"/>
              </w:rPr>
              <w:t xml:space="preserve"> </w:t>
            </w:r>
            <w:r w:rsidR="000111EE">
              <w:rPr>
                <w:lang w:val="en-US"/>
              </w:rPr>
              <w:t>and</w:t>
            </w:r>
            <w:r w:rsidR="00FA5CB8">
              <w:rPr>
                <w:lang w:val="en-US"/>
              </w:rPr>
              <w:t xml:space="preserve"> 31 December 2018</w:t>
            </w:r>
            <w:r>
              <w:rPr>
                <w:lang w:val="en-US"/>
              </w:rPr>
              <w:t>).</w:t>
            </w:r>
          </w:p>
          <w:p w14:paraId="5243BFDC" w14:textId="35F727C6" w:rsidR="00A04AA7" w:rsidRDefault="00A04AA7" w:rsidP="00767743">
            <w:pPr>
              <w:rPr>
                <w:lang w:val="en-US"/>
              </w:rPr>
            </w:pPr>
          </w:p>
        </w:tc>
      </w:tr>
      <w:tr w:rsidR="007E2A89" w14:paraId="004695D5" w14:textId="0C243630" w:rsidTr="00093FD3">
        <w:trPr>
          <w:trHeight w:val="703"/>
        </w:trPr>
        <w:tc>
          <w:tcPr>
            <w:tcW w:w="1950" w:type="dxa"/>
          </w:tcPr>
          <w:p w14:paraId="49AB1B57" w14:textId="77777777" w:rsidR="007E2A89" w:rsidRDefault="007E2A89" w:rsidP="00767743">
            <w:pPr>
              <w:rPr>
                <w:lang w:val="en-US"/>
              </w:rPr>
            </w:pPr>
            <w:r>
              <w:rPr>
                <w:lang w:val="en-US"/>
              </w:rPr>
              <w:t>Ordinary NAV total return</w:t>
            </w:r>
          </w:p>
        </w:tc>
        <w:tc>
          <w:tcPr>
            <w:tcW w:w="2355" w:type="dxa"/>
          </w:tcPr>
          <w:p w14:paraId="4444C088" w14:textId="77777777" w:rsidR="007E2A89" w:rsidRDefault="007E2A89" w:rsidP="00767743">
            <w:pPr>
              <w:rPr>
                <w:lang w:val="en-US"/>
              </w:rPr>
            </w:pPr>
            <w:r>
              <w:rPr>
                <w:lang w:val="en-US"/>
              </w:rPr>
              <w:t>The increase/(decrease) in the NAV per ordinary share.</w:t>
            </w:r>
          </w:p>
        </w:tc>
        <w:tc>
          <w:tcPr>
            <w:tcW w:w="2141" w:type="dxa"/>
          </w:tcPr>
          <w:p w14:paraId="1C9AF8C6" w14:textId="77777777" w:rsidR="007E2A89" w:rsidRDefault="007E2A89" w:rsidP="00767743">
            <w:pPr>
              <w:rPr>
                <w:lang w:val="en-US"/>
              </w:rPr>
            </w:pPr>
            <w:r>
              <w:rPr>
                <w:lang w:val="en-US"/>
              </w:rPr>
              <w:t>A measure of the overall financial performance of the Company.</w:t>
            </w:r>
          </w:p>
        </w:tc>
        <w:tc>
          <w:tcPr>
            <w:tcW w:w="3724" w:type="dxa"/>
          </w:tcPr>
          <w:p w14:paraId="62DEA78E" w14:textId="3365FEC4" w:rsidR="007E2A89" w:rsidRDefault="000174BE" w:rsidP="00767743">
            <w:pPr>
              <w:rPr>
                <w:lang w:val="en-US"/>
              </w:rPr>
            </w:pPr>
            <w:r>
              <w:rPr>
                <w:lang w:val="en-US"/>
              </w:rPr>
              <w:t xml:space="preserve">The difference in the NAV per </w:t>
            </w:r>
            <w:r w:rsidR="00093FD3">
              <w:rPr>
                <w:lang w:val="en-US"/>
              </w:rPr>
              <w:t>O</w:t>
            </w:r>
            <w:r>
              <w:rPr>
                <w:lang w:val="en-US"/>
              </w:rPr>
              <w:t xml:space="preserve">rdinary </w:t>
            </w:r>
            <w:r w:rsidR="00093FD3">
              <w:rPr>
                <w:lang w:val="en-US"/>
              </w:rPr>
              <w:t>S</w:t>
            </w:r>
            <w:r>
              <w:rPr>
                <w:lang w:val="en-US"/>
              </w:rPr>
              <w:t xml:space="preserve">hare at the beginning and end of the </w:t>
            </w:r>
            <w:r w:rsidR="00093FD3">
              <w:rPr>
                <w:lang w:val="en-US"/>
              </w:rPr>
              <w:t>year</w:t>
            </w:r>
            <w:r>
              <w:rPr>
                <w:lang w:val="en-US"/>
              </w:rPr>
              <w:t xml:space="preserve"> from the statement of financial position (</w:t>
            </w:r>
            <w:r w:rsidR="00093FD3">
              <w:rPr>
                <w:lang w:val="en-US"/>
              </w:rPr>
              <w:t>(</w:t>
            </w:r>
            <w:r w:rsidR="003E4D01">
              <w:rPr>
                <w:lang w:val="en-US"/>
              </w:rPr>
              <w:t>$9.6</w:t>
            </w:r>
            <w:r w:rsidR="00B01FB4">
              <w:rPr>
                <w:lang w:val="en-US"/>
              </w:rPr>
              <w:t>6</w:t>
            </w:r>
            <w:r w:rsidR="00093FD3">
              <w:rPr>
                <w:lang w:val="en-US"/>
              </w:rPr>
              <w:t>)</w:t>
            </w:r>
            <w:r>
              <w:rPr>
                <w:lang w:val="en-US"/>
              </w:rPr>
              <w:t xml:space="preserve"> for the year ended 31 December 2019</w:t>
            </w:r>
            <w:r w:rsidR="00205A92">
              <w:rPr>
                <w:lang w:val="en-US"/>
              </w:rPr>
              <w:t xml:space="preserve"> &amp; ($17.91) for the year ended 31 December 2018</w:t>
            </w:r>
            <w:r>
              <w:rPr>
                <w:lang w:val="en-US"/>
              </w:rPr>
              <w:t xml:space="preserve">) as a percentage of the opening NAV per </w:t>
            </w:r>
            <w:r w:rsidR="00093FD3">
              <w:rPr>
                <w:lang w:val="en-US"/>
              </w:rPr>
              <w:t>O</w:t>
            </w:r>
            <w:r>
              <w:rPr>
                <w:lang w:val="en-US"/>
              </w:rPr>
              <w:t xml:space="preserve">rdinary </w:t>
            </w:r>
            <w:r w:rsidR="00093FD3">
              <w:rPr>
                <w:lang w:val="en-US"/>
              </w:rPr>
              <w:t>S</w:t>
            </w:r>
            <w:r>
              <w:rPr>
                <w:lang w:val="en-US"/>
              </w:rPr>
              <w:t xml:space="preserve">hare as shown in the </w:t>
            </w:r>
            <w:r w:rsidR="00093FD3">
              <w:rPr>
                <w:lang w:val="en-US"/>
              </w:rPr>
              <w:t>S</w:t>
            </w:r>
            <w:r>
              <w:rPr>
                <w:lang w:val="en-US"/>
              </w:rPr>
              <w:t xml:space="preserve">tatement of </w:t>
            </w:r>
            <w:r w:rsidR="00093FD3">
              <w:rPr>
                <w:lang w:val="en-US"/>
              </w:rPr>
              <w:t>F</w:t>
            </w:r>
            <w:r>
              <w:rPr>
                <w:lang w:val="en-US"/>
              </w:rPr>
              <w:t xml:space="preserve">inancial </w:t>
            </w:r>
            <w:r w:rsidR="00093FD3">
              <w:rPr>
                <w:lang w:val="en-US"/>
              </w:rPr>
              <w:t>P</w:t>
            </w:r>
            <w:r>
              <w:rPr>
                <w:lang w:val="en-US"/>
              </w:rPr>
              <w:t xml:space="preserve">osition (being </w:t>
            </w:r>
            <w:r w:rsidR="003E4D01">
              <w:rPr>
                <w:lang w:val="en-US"/>
              </w:rPr>
              <w:t>$17.91</w:t>
            </w:r>
            <w:r>
              <w:rPr>
                <w:lang w:val="en-US"/>
              </w:rPr>
              <w:t xml:space="preserve"> per ordinary share as at 31 December 2018</w:t>
            </w:r>
            <w:r w:rsidR="00205A92">
              <w:rPr>
                <w:lang w:val="en-US"/>
              </w:rPr>
              <w:t xml:space="preserve"> &amp; $20.63 as at 31 December 2017</w:t>
            </w:r>
            <w:r>
              <w:rPr>
                <w:lang w:val="en-US"/>
              </w:rPr>
              <w:t>).</w:t>
            </w:r>
          </w:p>
          <w:p w14:paraId="643F8C0D" w14:textId="79DE5E90" w:rsidR="00A04AA7" w:rsidRDefault="00A04AA7" w:rsidP="00767743">
            <w:pPr>
              <w:rPr>
                <w:lang w:val="en-US"/>
              </w:rPr>
            </w:pPr>
          </w:p>
        </w:tc>
      </w:tr>
      <w:tr w:rsidR="007E2A89" w14:paraId="1A241997" w14:textId="74ECCCE6" w:rsidTr="00093FD3">
        <w:trPr>
          <w:trHeight w:val="1432"/>
        </w:trPr>
        <w:tc>
          <w:tcPr>
            <w:tcW w:w="1950" w:type="dxa"/>
          </w:tcPr>
          <w:p w14:paraId="2EEEADF3" w14:textId="77777777" w:rsidR="007E2A89" w:rsidRDefault="007E2A89" w:rsidP="00767743">
            <w:pPr>
              <w:rPr>
                <w:lang w:val="en-US"/>
              </w:rPr>
            </w:pPr>
            <w:r>
              <w:rPr>
                <w:lang w:val="en-US"/>
              </w:rPr>
              <w:t>Premium/(discount) to NAV</w:t>
            </w:r>
          </w:p>
        </w:tc>
        <w:tc>
          <w:tcPr>
            <w:tcW w:w="2355" w:type="dxa"/>
          </w:tcPr>
          <w:p w14:paraId="210E66C3" w14:textId="52C2B7EB" w:rsidR="007E2A89" w:rsidRDefault="007E2A89" w:rsidP="00767743">
            <w:pPr>
              <w:rPr>
                <w:lang w:val="en-US"/>
              </w:rPr>
            </w:pPr>
            <w:r>
              <w:rPr>
                <w:lang w:val="en-US"/>
              </w:rPr>
              <w:t xml:space="preserve">The amount by which the ordinary share price is higher/lower than the NAV per </w:t>
            </w:r>
            <w:r w:rsidR="00093FD3">
              <w:rPr>
                <w:lang w:val="en-US"/>
              </w:rPr>
              <w:t>O</w:t>
            </w:r>
            <w:r>
              <w:rPr>
                <w:lang w:val="en-US"/>
              </w:rPr>
              <w:t xml:space="preserve">rdinary </w:t>
            </w:r>
            <w:r w:rsidR="00093FD3">
              <w:rPr>
                <w:lang w:val="en-US"/>
              </w:rPr>
              <w:t>S</w:t>
            </w:r>
            <w:r>
              <w:rPr>
                <w:lang w:val="en-US"/>
              </w:rPr>
              <w:t>hare, expressed as a percentage of the NAV per ordinary share.</w:t>
            </w:r>
          </w:p>
          <w:p w14:paraId="15940525" w14:textId="149130EB" w:rsidR="00093FD3" w:rsidRDefault="00093FD3" w:rsidP="00767743">
            <w:pPr>
              <w:rPr>
                <w:lang w:val="en-US"/>
              </w:rPr>
            </w:pPr>
          </w:p>
        </w:tc>
        <w:tc>
          <w:tcPr>
            <w:tcW w:w="2141" w:type="dxa"/>
          </w:tcPr>
          <w:p w14:paraId="6A961157" w14:textId="288E3B43" w:rsidR="007E2A89" w:rsidRDefault="007E2A89" w:rsidP="00767743">
            <w:pPr>
              <w:rPr>
                <w:lang w:val="en-US"/>
              </w:rPr>
            </w:pPr>
            <w:r>
              <w:rPr>
                <w:lang w:val="en-US"/>
              </w:rPr>
              <w:t>A measure of the performance of the Company’s share price relative to the NAV</w:t>
            </w:r>
            <w:r w:rsidR="00093FD3">
              <w:rPr>
                <w:lang w:val="en-US"/>
              </w:rPr>
              <w:t xml:space="preserve"> per Ordinary Share</w:t>
            </w:r>
            <w:r>
              <w:rPr>
                <w:lang w:val="en-US"/>
              </w:rPr>
              <w:t>.</w:t>
            </w:r>
          </w:p>
        </w:tc>
        <w:tc>
          <w:tcPr>
            <w:tcW w:w="3724" w:type="dxa"/>
          </w:tcPr>
          <w:p w14:paraId="3B7D8F43" w14:textId="0297268F" w:rsidR="007E2A89" w:rsidRDefault="000174BE" w:rsidP="00767743">
            <w:pPr>
              <w:rPr>
                <w:lang w:val="en-US"/>
              </w:rPr>
            </w:pPr>
            <w:r>
              <w:rPr>
                <w:lang w:val="en-US"/>
              </w:rPr>
              <w:t xml:space="preserve">The </w:t>
            </w:r>
            <w:r w:rsidR="001855A1">
              <w:rPr>
                <w:lang w:val="en-US"/>
              </w:rPr>
              <w:t xml:space="preserve">difference between the </w:t>
            </w:r>
            <w:r>
              <w:rPr>
                <w:lang w:val="en-US"/>
              </w:rPr>
              <w:t>Company’s share price</w:t>
            </w:r>
            <w:r w:rsidR="001855A1">
              <w:rPr>
                <w:lang w:val="en-US"/>
              </w:rPr>
              <w:t xml:space="preserve"> and NAV per Ordinary Share</w:t>
            </w:r>
            <w:r>
              <w:rPr>
                <w:lang w:val="en-US"/>
              </w:rPr>
              <w:t xml:space="preserve"> as a relative percentage of the NAV per </w:t>
            </w:r>
            <w:r w:rsidR="00093FD3">
              <w:rPr>
                <w:lang w:val="en-US"/>
              </w:rPr>
              <w:t>O</w:t>
            </w:r>
            <w:r>
              <w:rPr>
                <w:lang w:val="en-US"/>
              </w:rPr>
              <w:t xml:space="preserve">rdinary </w:t>
            </w:r>
            <w:r w:rsidR="00093FD3">
              <w:rPr>
                <w:lang w:val="en-US"/>
              </w:rPr>
              <w:t>S</w:t>
            </w:r>
            <w:r>
              <w:rPr>
                <w:lang w:val="en-US"/>
              </w:rPr>
              <w:t>hare</w:t>
            </w:r>
            <w:r w:rsidR="000111EE">
              <w:rPr>
                <w:lang w:val="en-US"/>
              </w:rPr>
              <w:t xml:space="preserve"> (43.7 per cent. as at 31 December 2019 and 23.5 per cent. as at 31 December 2018)</w:t>
            </w:r>
            <w:r>
              <w:rPr>
                <w:lang w:val="en-US"/>
              </w:rPr>
              <w:t>.</w:t>
            </w:r>
          </w:p>
        </w:tc>
      </w:tr>
      <w:tr w:rsidR="00093FD3" w14:paraId="255286DA" w14:textId="77777777" w:rsidTr="00093FD3">
        <w:trPr>
          <w:trHeight w:val="1432"/>
        </w:trPr>
        <w:tc>
          <w:tcPr>
            <w:tcW w:w="1950" w:type="dxa"/>
          </w:tcPr>
          <w:p w14:paraId="02091131" w14:textId="687514B2" w:rsidR="00093FD3" w:rsidRDefault="00093FD3" w:rsidP="00093FD3">
            <w:pPr>
              <w:rPr>
                <w:lang w:val="en-US"/>
              </w:rPr>
            </w:pPr>
            <w:r>
              <w:rPr>
                <w:lang w:val="en-US"/>
              </w:rPr>
              <w:t>Annual total costs’ impact on return per year</w:t>
            </w:r>
          </w:p>
        </w:tc>
        <w:tc>
          <w:tcPr>
            <w:tcW w:w="2355" w:type="dxa"/>
          </w:tcPr>
          <w:p w14:paraId="6ABEDB02" w14:textId="77777777" w:rsidR="00093FD3" w:rsidRDefault="00093FD3" w:rsidP="00093FD3">
            <w:r>
              <w:t>The impact on return each year total costs on the investment return.</w:t>
            </w:r>
          </w:p>
          <w:p w14:paraId="30E5271F" w14:textId="77777777" w:rsidR="00093FD3" w:rsidRDefault="00093FD3" w:rsidP="00093FD3">
            <w:pPr>
              <w:rPr>
                <w:lang w:val="en-US"/>
              </w:rPr>
            </w:pPr>
          </w:p>
        </w:tc>
        <w:tc>
          <w:tcPr>
            <w:tcW w:w="2141" w:type="dxa"/>
          </w:tcPr>
          <w:p w14:paraId="621A8B15" w14:textId="36E4C467" w:rsidR="00093FD3" w:rsidRDefault="00093FD3" w:rsidP="00093FD3">
            <w:pPr>
              <w:rPr>
                <w:lang w:val="en-US"/>
              </w:rPr>
            </w:pPr>
            <w:r>
              <w:rPr>
                <w:lang w:val="en-US"/>
              </w:rPr>
              <w:t>A measure to show how costs affect the return from the Company.</w:t>
            </w:r>
          </w:p>
        </w:tc>
        <w:tc>
          <w:tcPr>
            <w:tcW w:w="3724" w:type="dxa"/>
          </w:tcPr>
          <w:p w14:paraId="2F5685AA" w14:textId="313750DF" w:rsidR="00093FD3" w:rsidRDefault="00093FD3" w:rsidP="00093FD3">
            <w:pPr>
              <w:rPr>
                <w:lang w:val="en-US"/>
              </w:rPr>
            </w:pPr>
            <w:r>
              <w:rPr>
                <w:lang w:val="en-US"/>
              </w:rPr>
              <w:t>Annual t</w:t>
            </w:r>
            <w:r w:rsidRPr="00A04AA7">
              <w:rPr>
                <w:lang w:val="en-US"/>
              </w:rPr>
              <w:t>otal costs</w:t>
            </w:r>
            <w:r>
              <w:rPr>
                <w:lang w:val="en-US"/>
              </w:rPr>
              <w:t xml:space="preserve"> of the Company and Partnership as a per cent. of average NAV of the Company (3.1 per cent. as of 31 December 2019</w:t>
            </w:r>
            <w:r w:rsidR="00353FC9">
              <w:rPr>
                <w:lang w:val="en-US"/>
              </w:rPr>
              <w:t xml:space="preserve"> &amp; 2.8 per cent. </w:t>
            </w:r>
            <w:r w:rsidR="00FF2071">
              <w:rPr>
                <w:lang w:val="en-US"/>
              </w:rPr>
              <w:t>a</w:t>
            </w:r>
            <w:r w:rsidR="00353FC9">
              <w:rPr>
                <w:lang w:val="en-US"/>
              </w:rPr>
              <w:t>s of 31 December 2018</w:t>
            </w:r>
            <w:r>
              <w:rPr>
                <w:lang w:val="en-US"/>
              </w:rPr>
              <w:t>)</w:t>
            </w:r>
          </w:p>
        </w:tc>
      </w:tr>
      <w:tr w:rsidR="00057129" w14:paraId="54242911" w14:textId="77777777" w:rsidTr="00093FD3">
        <w:trPr>
          <w:trHeight w:val="1432"/>
        </w:trPr>
        <w:tc>
          <w:tcPr>
            <w:tcW w:w="1950" w:type="dxa"/>
          </w:tcPr>
          <w:p w14:paraId="0F2618A2" w14:textId="5CE65FE7" w:rsidR="00057129" w:rsidRDefault="00057129" w:rsidP="00093FD3">
            <w:pPr>
              <w:rPr>
                <w:lang w:val="en-US"/>
              </w:rPr>
            </w:pPr>
            <w:r>
              <w:rPr>
                <w:lang w:val="en-US"/>
              </w:rPr>
              <w:t>Reconciliation of Partnership’s investments</w:t>
            </w:r>
          </w:p>
        </w:tc>
        <w:tc>
          <w:tcPr>
            <w:tcW w:w="2355" w:type="dxa"/>
          </w:tcPr>
          <w:p w14:paraId="438BB300" w14:textId="3A5DA677" w:rsidR="00057129" w:rsidRDefault="00FA5CB8" w:rsidP="00093FD3">
            <w:r w:rsidRPr="00FA5CB8">
              <w:t xml:space="preserve">The </w:t>
            </w:r>
            <w:r>
              <w:t>annual investment value</w:t>
            </w:r>
            <w:r w:rsidRPr="00FA5CB8">
              <w:t xml:space="preserve"> of the Partnership, including capital deployed into the Company's assets, cash received from the Company's investment portfolio and the net unreali</w:t>
            </w:r>
            <w:r w:rsidR="000111EE">
              <w:t>s</w:t>
            </w:r>
            <w:r w:rsidRPr="00FA5CB8">
              <w:t>ed change in value.</w:t>
            </w:r>
          </w:p>
        </w:tc>
        <w:tc>
          <w:tcPr>
            <w:tcW w:w="2141" w:type="dxa"/>
          </w:tcPr>
          <w:p w14:paraId="615EF106" w14:textId="23A21F2F" w:rsidR="00057129" w:rsidRDefault="00FA5CB8" w:rsidP="00093FD3">
            <w:pPr>
              <w:rPr>
                <w:lang w:val="en-US"/>
              </w:rPr>
            </w:pPr>
            <w:r w:rsidRPr="00FA5CB8">
              <w:rPr>
                <w:lang w:val="en-US"/>
              </w:rPr>
              <w:t>A reconciliation of the Partnership's investments on an annual basis</w:t>
            </w:r>
            <w:r>
              <w:rPr>
                <w:lang w:val="en-US"/>
              </w:rPr>
              <w:t>.</w:t>
            </w:r>
          </w:p>
        </w:tc>
        <w:tc>
          <w:tcPr>
            <w:tcW w:w="3724" w:type="dxa"/>
          </w:tcPr>
          <w:p w14:paraId="0049ACAC" w14:textId="53F840AD" w:rsidR="00057129" w:rsidRDefault="000111EE" w:rsidP="00093FD3">
            <w:pPr>
              <w:rPr>
                <w:lang w:val="en-US"/>
              </w:rPr>
            </w:pPr>
            <w:r>
              <w:rPr>
                <w:lang w:val="en-US"/>
              </w:rPr>
              <w:t>For the year ended 31 December 2019:</w:t>
            </w:r>
          </w:p>
          <w:p w14:paraId="6D5679AE" w14:textId="1F06C275" w:rsidR="000111EE" w:rsidRDefault="000111EE" w:rsidP="00093FD3">
            <w:pPr>
              <w:rPr>
                <w:lang w:val="en-US"/>
              </w:rPr>
            </w:pPr>
            <w:r>
              <w:rPr>
                <w:lang w:val="en-US"/>
              </w:rPr>
              <w:t xml:space="preserve">$1,360 million – </w:t>
            </w:r>
            <w:r w:rsidRPr="000111EE">
              <w:rPr>
                <w:lang w:val="en-US"/>
              </w:rPr>
              <w:t>Brought Forward</w:t>
            </w:r>
          </w:p>
          <w:p w14:paraId="6CB43B2D" w14:textId="6F30D330" w:rsidR="000111EE" w:rsidRDefault="000111EE" w:rsidP="00093FD3">
            <w:pPr>
              <w:rPr>
                <w:lang w:val="en-US"/>
              </w:rPr>
            </w:pPr>
            <w:r>
              <w:rPr>
                <w:lang w:val="en-US"/>
              </w:rPr>
              <w:t xml:space="preserve">       81 million – Capital Invested</w:t>
            </w:r>
          </w:p>
          <w:p w14:paraId="5456B7D3" w14:textId="1AA0D2CC" w:rsidR="000111EE" w:rsidRDefault="000111EE" w:rsidP="00093FD3">
            <w:pPr>
              <w:rPr>
                <w:lang w:val="en-US"/>
              </w:rPr>
            </w:pPr>
            <w:r>
              <w:rPr>
                <w:lang w:val="en-US"/>
              </w:rPr>
              <w:t xml:space="preserve">   (163) million – Cash Proceeds</w:t>
            </w:r>
          </w:p>
          <w:p w14:paraId="39D63B95" w14:textId="77777777" w:rsidR="000111EE" w:rsidRDefault="000111EE" w:rsidP="00093FD3">
            <w:pPr>
              <w:rPr>
                <w:lang w:val="en-US"/>
              </w:rPr>
            </w:pPr>
            <w:r>
              <w:rPr>
                <w:lang w:val="en-US"/>
              </w:rPr>
              <w:t xml:space="preserve">   (685) million – Change in Unrealised</w:t>
            </w:r>
          </w:p>
          <w:p w14:paraId="50D62997" w14:textId="03BC3B58" w:rsidR="000111EE" w:rsidRDefault="000111EE" w:rsidP="00093FD3">
            <w:pPr>
              <w:rPr>
                <w:lang w:val="en-US"/>
              </w:rPr>
            </w:pPr>
            <w:r>
              <w:rPr>
                <w:lang w:val="en-US"/>
              </w:rPr>
              <w:t xml:space="preserve">                           Gain/(Loss)</w:t>
            </w:r>
          </w:p>
          <w:p w14:paraId="1D43F793" w14:textId="77777777" w:rsidR="000111EE" w:rsidRDefault="000111EE" w:rsidP="00093FD3">
            <w:pPr>
              <w:rPr>
                <w:lang w:val="en-US"/>
              </w:rPr>
            </w:pPr>
            <w:r>
              <w:rPr>
                <w:lang w:val="en-US"/>
              </w:rPr>
              <w:t xml:space="preserve">   $593 million – Carried Forward</w:t>
            </w:r>
          </w:p>
          <w:p w14:paraId="13BD7543" w14:textId="77777777" w:rsidR="000111EE" w:rsidRDefault="000111EE" w:rsidP="00093FD3">
            <w:pPr>
              <w:rPr>
                <w:lang w:val="en-US"/>
              </w:rPr>
            </w:pPr>
          </w:p>
          <w:p w14:paraId="66483898" w14:textId="35C7FB16" w:rsidR="000111EE" w:rsidRDefault="000111EE" w:rsidP="000111EE">
            <w:pPr>
              <w:rPr>
                <w:lang w:val="en-US"/>
              </w:rPr>
            </w:pPr>
            <w:r>
              <w:rPr>
                <w:lang w:val="en-US"/>
              </w:rPr>
              <w:t>For the year ended 31 December 2018:</w:t>
            </w:r>
          </w:p>
          <w:p w14:paraId="7BB01454" w14:textId="6B754F38" w:rsidR="000111EE" w:rsidRDefault="000111EE" w:rsidP="000111EE">
            <w:pPr>
              <w:rPr>
                <w:lang w:val="en-US"/>
              </w:rPr>
            </w:pPr>
            <w:r>
              <w:rPr>
                <w:lang w:val="en-US"/>
              </w:rPr>
              <w:t xml:space="preserve">$1,887 million – </w:t>
            </w:r>
            <w:r w:rsidRPr="000111EE">
              <w:rPr>
                <w:lang w:val="en-US"/>
              </w:rPr>
              <w:t>Brought Forward</w:t>
            </w:r>
          </w:p>
          <w:p w14:paraId="2D08D70C" w14:textId="0A9A62B2" w:rsidR="000111EE" w:rsidRDefault="000111EE" w:rsidP="000111EE">
            <w:pPr>
              <w:rPr>
                <w:lang w:val="en-US"/>
              </w:rPr>
            </w:pPr>
            <w:r>
              <w:rPr>
                <w:lang w:val="en-US"/>
              </w:rPr>
              <w:t xml:space="preserve">       84 million – Capital Invested</w:t>
            </w:r>
          </w:p>
          <w:p w14:paraId="472EBD01" w14:textId="0FE1F6D1" w:rsidR="000111EE" w:rsidRDefault="000111EE" w:rsidP="000111EE">
            <w:pPr>
              <w:rPr>
                <w:lang w:val="en-US"/>
              </w:rPr>
            </w:pPr>
            <w:r>
              <w:rPr>
                <w:lang w:val="en-US"/>
              </w:rPr>
              <w:t xml:space="preserve">   (304) million – Cash Proceeds</w:t>
            </w:r>
          </w:p>
          <w:p w14:paraId="67159A70" w14:textId="74041026" w:rsidR="000111EE" w:rsidRDefault="000111EE" w:rsidP="000111EE">
            <w:pPr>
              <w:rPr>
                <w:lang w:val="en-US"/>
              </w:rPr>
            </w:pPr>
            <w:r>
              <w:rPr>
                <w:lang w:val="en-US"/>
              </w:rPr>
              <w:t xml:space="preserve">   (306) million – Change in Unrealised</w:t>
            </w:r>
          </w:p>
          <w:p w14:paraId="42D2BB0A" w14:textId="77777777" w:rsidR="000111EE" w:rsidRDefault="000111EE" w:rsidP="000111EE">
            <w:pPr>
              <w:rPr>
                <w:lang w:val="en-US"/>
              </w:rPr>
            </w:pPr>
            <w:r>
              <w:rPr>
                <w:lang w:val="en-US"/>
              </w:rPr>
              <w:t xml:space="preserve">                           Gain/(Loss)</w:t>
            </w:r>
          </w:p>
          <w:p w14:paraId="12514DD9" w14:textId="41F94CD8" w:rsidR="000111EE" w:rsidRDefault="000111EE" w:rsidP="000111EE">
            <w:pPr>
              <w:rPr>
                <w:lang w:val="en-US"/>
              </w:rPr>
            </w:pPr>
            <w:r>
              <w:rPr>
                <w:lang w:val="en-US"/>
              </w:rPr>
              <w:t>$1,360 million – Carried Forward</w:t>
            </w:r>
          </w:p>
        </w:tc>
      </w:tr>
    </w:tbl>
    <w:p w14:paraId="238DEF55" w14:textId="1723623A" w:rsidR="00647B73" w:rsidRDefault="00647B73" w:rsidP="00A965F3">
      <w:pPr>
        <w:rPr>
          <w:b/>
          <w:u w:val="single"/>
        </w:rPr>
      </w:pPr>
    </w:p>
    <w:p w14:paraId="437C1673" w14:textId="0A760948" w:rsidR="00647B73" w:rsidRDefault="00647B73" w:rsidP="00A965F3">
      <w:pPr>
        <w:rPr>
          <w:b/>
          <w:u w:val="single"/>
        </w:rPr>
      </w:pPr>
    </w:p>
    <w:p w14:paraId="7FA21B1D" w14:textId="56514421" w:rsidR="005E12D9" w:rsidRDefault="005E12D9" w:rsidP="00AD7CED">
      <w:pPr>
        <w:rPr>
          <w:lang w:val="en-US"/>
        </w:rPr>
      </w:pPr>
    </w:p>
    <w:p w14:paraId="5AD23CBF" w14:textId="440126BA" w:rsidR="00046B7F" w:rsidRPr="00811BA1" w:rsidRDefault="00046B7F" w:rsidP="00EB7E49">
      <w:pPr>
        <w:pStyle w:val="Heading1"/>
        <w:keepNext w:val="0"/>
        <w:keepLines w:val="0"/>
        <w:widowControl w:val="0"/>
        <w:spacing w:before="0"/>
        <w:ind w:left="561"/>
        <w:contextualSpacing/>
      </w:pPr>
      <w:r w:rsidRPr="00811BA1">
        <w:t>Glossary of Capitalised Defined Terms</w:t>
      </w:r>
    </w:p>
    <w:p w14:paraId="4E71490C" w14:textId="77777777" w:rsidR="00046B7F" w:rsidRPr="00811BA1" w:rsidRDefault="00046B7F" w:rsidP="00EB7E49">
      <w:pPr>
        <w:pStyle w:val="Bodytext"/>
      </w:pPr>
    </w:p>
    <w:p w14:paraId="61E551CC" w14:textId="77777777" w:rsidR="007E010D" w:rsidRPr="002D1A2F" w:rsidRDefault="007E010D" w:rsidP="007E010D">
      <w:pPr>
        <w:pStyle w:val="Bodytext"/>
        <w:spacing w:after="80"/>
      </w:pPr>
      <w:r w:rsidRPr="002D1A2F">
        <w:t>“</w:t>
      </w:r>
      <w:r w:rsidRPr="002D1A2F">
        <w:rPr>
          <w:b/>
        </w:rPr>
        <w:t>1P reserve</w:t>
      </w:r>
      <w:r w:rsidRPr="002D1A2F">
        <w:t>” means proven reserves;</w:t>
      </w:r>
    </w:p>
    <w:p w14:paraId="357FF3D9" w14:textId="77777777" w:rsidR="007E010D" w:rsidRPr="002D1A2F" w:rsidRDefault="007E010D" w:rsidP="007E010D">
      <w:pPr>
        <w:pStyle w:val="Bodytext"/>
        <w:spacing w:after="80"/>
      </w:pPr>
      <w:r w:rsidRPr="002D1A2F">
        <w:t>“</w:t>
      </w:r>
      <w:r w:rsidRPr="002D1A2F">
        <w:rPr>
          <w:b/>
        </w:rPr>
        <w:t>2P reserve</w:t>
      </w:r>
      <w:r w:rsidRPr="002D1A2F">
        <w:t>” means proven and probable reserves;</w:t>
      </w:r>
    </w:p>
    <w:p w14:paraId="08BAA586" w14:textId="39948AA4" w:rsidR="007E010D" w:rsidRPr="002D1A2F" w:rsidRDefault="007E010D" w:rsidP="007E010D">
      <w:pPr>
        <w:pStyle w:val="Bodytext"/>
        <w:spacing w:after="80"/>
      </w:pPr>
      <w:r w:rsidRPr="002D1A2F">
        <w:t>“</w:t>
      </w:r>
      <w:r w:rsidRPr="002D1A2F">
        <w:rPr>
          <w:b/>
        </w:rPr>
        <w:t>Administrator</w:t>
      </w:r>
      <w:r w:rsidRPr="002D1A2F">
        <w:t xml:space="preserve">” means </w:t>
      </w:r>
      <w:r w:rsidR="0041345C" w:rsidRPr="007506DC">
        <w:t>Estera</w:t>
      </w:r>
      <w:r w:rsidRPr="007506DC">
        <w:t xml:space="preserve"> International Fund Managers</w:t>
      </w:r>
      <w:r w:rsidR="00EB2F83">
        <w:t xml:space="preserve"> (Guernsey)</w:t>
      </w:r>
      <w:r w:rsidRPr="007506DC">
        <w:t xml:space="preserve"> Limited;</w:t>
      </w:r>
    </w:p>
    <w:p w14:paraId="7B6CC969" w14:textId="77777777" w:rsidR="007E010D" w:rsidRPr="002D1A2F" w:rsidRDefault="007E010D" w:rsidP="007E010D">
      <w:pPr>
        <w:pStyle w:val="Bodytext"/>
        <w:spacing w:after="80"/>
      </w:pPr>
      <w:r w:rsidRPr="002D1A2F">
        <w:t>“</w:t>
      </w:r>
      <w:r w:rsidRPr="002D1A2F">
        <w:rPr>
          <w:b/>
        </w:rPr>
        <w:t>Admission</w:t>
      </w:r>
      <w:r w:rsidRPr="002D1A2F">
        <w:t>” means admission, on 29 October 2013, to the Official List and/or admission to trading on the London Stock Exchange, as the context may require, of the Ordinary Shares becoming effective in accordance with the Listing Rules and/or the LSE Admission Standards as the context may require;</w:t>
      </w:r>
    </w:p>
    <w:p w14:paraId="1777C924" w14:textId="77777777" w:rsidR="007E010D" w:rsidRPr="002D1A2F" w:rsidRDefault="007E010D" w:rsidP="007E010D">
      <w:pPr>
        <w:pStyle w:val="Bodytext"/>
        <w:spacing w:after="80"/>
      </w:pPr>
      <w:r w:rsidRPr="002D1A2F">
        <w:lastRenderedPageBreak/>
        <w:t>“</w:t>
      </w:r>
      <w:r w:rsidRPr="002D1A2F">
        <w:rPr>
          <w:b/>
        </w:rPr>
        <w:t>AEOI Rules</w:t>
      </w:r>
      <w:r w:rsidRPr="002D1A2F">
        <w:t>” means Automatic Exchange of Information;</w:t>
      </w:r>
    </w:p>
    <w:p w14:paraId="696C37A0" w14:textId="77777777" w:rsidR="007E010D" w:rsidRPr="002D1A2F" w:rsidRDefault="007E010D" w:rsidP="007E010D">
      <w:pPr>
        <w:pStyle w:val="Bodytext"/>
        <w:spacing w:after="80"/>
      </w:pPr>
      <w:r w:rsidRPr="002D1A2F">
        <w:t>“</w:t>
      </w:r>
      <w:r w:rsidRPr="002D1A2F">
        <w:rPr>
          <w:b/>
        </w:rPr>
        <w:t>AIC</w:t>
      </w:r>
      <w:r w:rsidRPr="002D1A2F">
        <w:t>” means the Association of Investment Companies;</w:t>
      </w:r>
    </w:p>
    <w:p w14:paraId="779EF540" w14:textId="5C0CC934" w:rsidR="007E010D" w:rsidRPr="002D1A2F" w:rsidRDefault="007E010D" w:rsidP="007E010D">
      <w:pPr>
        <w:pStyle w:val="Bodytext"/>
        <w:spacing w:after="80"/>
      </w:pPr>
      <w:r w:rsidRPr="002D1A2F">
        <w:t>“</w:t>
      </w:r>
      <w:r w:rsidRPr="002D1A2F">
        <w:rPr>
          <w:b/>
        </w:rPr>
        <w:t>AIC Code</w:t>
      </w:r>
      <w:r w:rsidRPr="002D1A2F">
        <w:t xml:space="preserve">” means </w:t>
      </w:r>
      <w:r w:rsidR="009C41BD">
        <w:t>T</w:t>
      </w:r>
      <w:r w:rsidRPr="002D1A2F">
        <w:t xml:space="preserve">he </w:t>
      </w:r>
      <w:r w:rsidR="009C41BD">
        <w:t xml:space="preserve">2019 </w:t>
      </w:r>
      <w:r w:rsidRPr="002D1A2F">
        <w:t>AIC Code of Corporate Governance;</w:t>
      </w:r>
    </w:p>
    <w:p w14:paraId="5C27C603" w14:textId="77777777" w:rsidR="007E010D" w:rsidRPr="002D1A2F" w:rsidRDefault="007E010D" w:rsidP="007E010D">
      <w:pPr>
        <w:pStyle w:val="Bodytext"/>
        <w:spacing w:after="80"/>
      </w:pPr>
      <w:r w:rsidRPr="002D1A2F">
        <w:t>“</w:t>
      </w:r>
      <w:r w:rsidRPr="002D1A2F">
        <w:rPr>
          <w:b/>
        </w:rPr>
        <w:t>AIF</w:t>
      </w:r>
      <w:r w:rsidRPr="002D1A2F">
        <w:t>” means Alternative Investment Funds;</w:t>
      </w:r>
    </w:p>
    <w:p w14:paraId="7CE435E8" w14:textId="77777777" w:rsidR="007E010D" w:rsidRPr="002D1A2F" w:rsidRDefault="007E010D" w:rsidP="007E010D">
      <w:pPr>
        <w:pStyle w:val="Bodytext"/>
        <w:spacing w:after="80"/>
      </w:pPr>
      <w:r w:rsidRPr="002D1A2F">
        <w:t>“</w:t>
      </w:r>
      <w:r w:rsidRPr="002D1A2F">
        <w:rPr>
          <w:b/>
        </w:rPr>
        <w:t>AIFM</w:t>
      </w:r>
      <w:r w:rsidRPr="002D1A2F">
        <w:t>” means AIF Manager;</w:t>
      </w:r>
    </w:p>
    <w:p w14:paraId="59F4F6CC" w14:textId="4B40FE7F" w:rsidR="007E010D" w:rsidRDefault="007E010D" w:rsidP="007E010D">
      <w:pPr>
        <w:pStyle w:val="Bodytext"/>
        <w:spacing w:after="80"/>
      </w:pPr>
      <w:r w:rsidRPr="002D1A2F">
        <w:t>“</w:t>
      </w:r>
      <w:r w:rsidRPr="002D1A2F">
        <w:rPr>
          <w:b/>
        </w:rPr>
        <w:t>AIFMD</w:t>
      </w:r>
      <w:r w:rsidRPr="002D1A2F">
        <w:t>” means EU Alternative Investment Fund Managers Directive (No. 2011/61EU);</w:t>
      </w:r>
    </w:p>
    <w:p w14:paraId="177020A3" w14:textId="21EA1CD9" w:rsidR="00E066CF" w:rsidRPr="002D1A2F" w:rsidRDefault="00E066CF" w:rsidP="007E010D">
      <w:pPr>
        <w:pStyle w:val="Bodytext"/>
        <w:spacing w:after="80"/>
      </w:pPr>
      <w:r>
        <w:rPr>
          <w:b/>
        </w:rPr>
        <w:t>“</w:t>
      </w:r>
      <w:r w:rsidRPr="00D23F93">
        <w:rPr>
          <w:b/>
        </w:rPr>
        <w:t>Aleph</w:t>
      </w:r>
      <w:r>
        <w:rPr>
          <w:b/>
        </w:rPr>
        <w:t xml:space="preserve"> Midstream” </w:t>
      </w:r>
      <w:r w:rsidRPr="007A53ED">
        <w:t>means</w:t>
      </w:r>
      <w:r>
        <w:t xml:space="preserve"> Aleph Midstream S.A;</w:t>
      </w:r>
    </w:p>
    <w:p w14:paraId="25ACD125" w14:textId="77777777" w:rsidR="007E010D" w:rsidRPr="002D1A2F" w:rsidRDefault="007E010D" w:rsidP="007E010D">
      <w:pPr>
        <w:pStyle w:val="Bodytext"/>
        <w:spacing w:after="80"/>
      </w:pPr>
      <w:r w:rsidRPr="002D1A2F">
        <w:t>“</w:t>
      </w:r>
      <w:r w:rsidRPr="002D1A2F">
        <w:rPr>
          <w:b/>
        </w:rPr>
        <w:t>Annual General Meeting</w:t>
      </w:r>
      <w:r w:rsidRPr="002D1A2F">
        <w:t>” or “</w:t>
      </w:r>
      <w:r w:rsidRPr="002D1A2F">
        <w:rPr>
          <w:b/>
        </w:rPr>
        <w:t>AGM</w:t>
      </w:r>
      <w:r w:rsidRPr="002D1A2F">
        <w:t>” means the general meeting of the Company;</w:t>
      </w:r>
    </w:p>
    <w:p w14:paraId="71E03488" w14:textId="77777777" w:rsidR="007E010D" w:rsidRPr="002D1A2F" w:rsidRDefault="007E010D" w:rsidP="007E010D">
      <w:pPr>
        <w:pStyle w:val="Bodytext"/>
        <w:spacing w:after="80"/>
      </w:pPr>
      <w:r w:rsidRPr="002D1A2F">
        <w:t>“</w:t>
      </w:r>
      <w:r w:rsidRPr="002D1A2F">
        <w:rPr>
          <w:b/>
        </w:rPr>
        <w:t>Annual Report and Financial Statements</w:t>
      </w:r>
      <w:r w:rsidRPr="002D1A2F">
        <w:t>” means the annual publication of the Company provided to the Shareholders to describe their operations and financial conditions, together with their Financial Statements;</w:t>
      </w:r>
    </w:p>
    <w:p w14:paraId="243A18E4" w14:textId="3F0DC188" w:rsidR="007E010D" w:rsidRPr="002D1A2F" w:rsidRDefault="007E010D" w:rsidP="007E010D">
      <w:pPr>
        <w:pStyle w:val="Bodytext"/>
        <w:spacing w:after="80"/>
      </w:pPr>
      <w:r w:rsidRPr="002D1A2F">
        <w:t>“</w:t>
      </w:r>
      <w:r w:rsidRPr="002D1A2F">
        <w:rPr>
          <w:b/>
        </w:rPr>
        <w:t>Articles of Incorporation</w:t>
      </w:r>
      <w:r w:rsidRPr="002D1A2F">
        <w:t>” or “</w:t>
      </w:r>
      <w:r w:rsidRPr="002D1A2F">
        <w:rPr>
          <w:b/>
        </w:rPr>
        <w:t>Articles</w:t>
      </w:r>
      <w:r w:rsidRPr="002D1A2F">
        <w:t>” means the articles of incorporation of the Company</w:t>
      </w:r>
      <w:r w:rsidR="00512101">
        <w:t>, as amended from time to time</w:t>
      </w:r>
      <w:r w:rsidRPr="002D1A2F">
        <w:t>;</w:t>
      </w:r>
    </w:p>
    <w:p w14:paraId="63D99660" w14:textId="77777777" w:rsidR="007E010D" w:rsidRPr="002D1A2F" w:rsidRDefault="007E010D" w:rsidP="007E010D">
      <w:pPr>
        <w:pStyle w:val="Bodytext"/>
        <w:spacing w:after="80"/>
      </w:pPr>
      <w:r w:rsidRPr="002D1A2F">
        <w:t>“</w:t>
      </w:r>
      <w:r w:rsidRPr="002D1A2F">
        <w:rPr>
          <w:b/>
        </w:rPr>
        <w:t>Audit Committee</w:t>
      </w:r>
      <w:r w:rsidRPr="002D1A2F">
        <w:t>” means a formal committee of the Board with defined terms of reference;</w:t>
      </w:r>
    </w:p>
    <w:p w14:paraId="2D6ADFE1" w14:textId="77777777" w:rsidR="007E010D" w:rsidRPr="002D1A2F" w:rsidRDefault="007E010D" w:rsidP="007E010D">
      <w:pPr>
        <w:pStyle w:val="Bodytext"/>
        <w:spacing w:after="80"/>
      </w:pPr>
      <w:r w:rsidRPr="002D1A2F">
        <w:t>“</w:t>
      </w:r>
      <w:r w:rsidRPr="002D1A2F">
        <w:rPr>
          <w:b/>
        </w:rPr>
        <w:t>bbl</w:t>
      </w:r>
      <w:r w:rsidRPr="002D1A2F">
        <w:t>” means barrel of crude oil;</w:t>
      </w:r>
    </w:p>
    <w:p w14:paraId="781B9001" w14:textId="77777777" w:rsidR="007E010D" w:rsidRPr="002D1A2F" w:rsidRDefault="007E010D" w:rsidP="007E010D">
      <w:pPr>
        <w:pStyle w:val="Bodytext"/>
        <w:spacing w:after="80"/>
      </w:pPr>
      <w:r w:rsidRPr="002D1A2F">
        <w:t>“</w:t>
      </w:r>
      <w:r w:rsidRPr="002D1A2F">
        <w:rPr>
          <w:b/>
        </w:rPr>
        <w:t>Board</w:t>
      </w:r>
      <w:r w:rsidRPr="002D1A2F">
        <w:t>” or “</w:t>
      </w:r>
      <w:r w:rsidRPr="002D1A2F">
        <w:rPr>
          <w:b/>
        </w:rPr>
        <w:t>Directors</w:t>
      </w:r>
      <w:r w:rsidRPr="002D1A2F">
        <w:t>” means the directors of the Company;</w:t>
      </w:r>
    </w:p>
    <w:p w14:paraId="54706B53" w14:textId="77777777" w:rsidR="007E010D" w:rsidRDefault="007E010D" w:rsidP="007E010D">
      <w:pPr>
        <w:pStyle w:val="Bodytext"/>
        <w:spacing w:after="80"/>
      </w:pPr>
      <w:r w:rsidRPr="002D1A2F">
        <w:t>“</w:t>
      </w:r>
      <w:r w:rsidRPr="002D1A2F">
        <w:rPr>
          <w:b/>
        </w:rPr>
        <w:t>boepd</w:t>
      </w:r>
      <w:r w:rsidRPr="002D1A2F">
        <w:t>” means barrels of equivalent oil per day;</w:t>
      </w:r>
    </w:p>
    <w:p w14:paraId="6E06DAB0" w14:textId="0E3BB7E8" w:rsidR="004B388D" w:rsidRDefault="004B388D" w:rsidP="007E010D">
      <w:pPr>
        <w:pStyle w:val="Bodytext"/>
        <w:spacing w:after="80"/>
      </w:pPr>
      <w:r>
        <w:t>“</w:t>
      </w:r>
      <w:r>
        <w:rPr>
          <w:b/>
        </w:rPr>
        <w:t>bopd</w:t>
      </w:r>
      <w:r>
        <w:t>” means barrels of oil per day;</w:t>
      </w:r>
    </w:p>
    <w:p w14:paraId="240AF5C2" w14:textId="78ED1C03" w:rsidR="00E066CF" w:rsidRPr="004B388D" w:rsidRDefault="00E066CF" w:rsidP="007E010D">
      <w:pPr>
        <w:pStyle w:val="Bodytext"/>
        <w:spacing w:after="80"/>
      </w:pPr>
      <w:r w:rsidRPr="008813E2">
        <w:t>“</w:t>
      </w:r>
      <w:r w:rsidRPr="008813E2">
        <w:rPr>
          <w:b/>
        </w:rPr>
        <w:t>bw/d</w:t>
      </w:r>
      <w:r w:rsidRPr="008813E2">
        <w:t>” means barrels of water per day;</w:t>
      </w:r>
    </w:p>
    <w:p w14:paraId="77D23DD1" w14:textId="77777777" w:rsidR="007E010D" w:rsidRPr="002D1A2F" w:rsidRDefault="007E010D" w:rsidP="007E010D">
      <w:pPr>
        <w:pStyle w:val="Bodytext"/>
        <w:spacing w:after="80"/>
      </w:pPr>
      <w:r w:rsidRPr="002D1A2F">
        <w:t>“</w:t>
      </w:r>
      <w:r w:rsidRPr="002D1A2F">
        <w:rPr>
          <w:b/>
        </w:rPr>
        <w:t>CAD</w:t>
      </w:r>
      <w:r w:rsidRPr="002D1A2F">
        <w:t xml:space="preserve">” </w:t>
      </w:r>
      <w:r>
        <w:t>or “</w:t>
      </w:r>
      <w:r w:rsidRPr="00306224">
        <w:rPr>
          <w:b/>
        </w:rPr>
        <w:t>C$</w:t>
      </w:r>
      <w:r>
        <w:t xml:space="preserve">” </w:t>
      </w:r>
      <w:r w:rsidRPr="002D1A2F">
        <w:t>means Canadian dollar;</w:t>
      </w:r>
    </w:p>
    <w:p w14:paraId="579A85FE" w14:textId="77777777" w:rsidR="007E010D" w:rsidRPr="002D1A2F" w:rsidRDefault="007E010D" w:rsidP="007E010D">
      <w:pPr>
        <w:pStyle w:val="Bodytext"/>
        <w:spacing w:after="80"/>
      </w:pPr>
      <w:r w:rsidRPr="002D1A2F">
        <w:t>“</w:t>
      </w:r>
      <w:r w:rsidRPr="002D1A2F">
        <w:rPr>
          <w:b/>
        </w:rPr>
        <w:t>CanEra III</w:t>
      </w:r>
      <w:r w:rsidRPr="002D1A2F">
        <w:t>” means CanEra Inc.;</w:t>
      </w:r>
    </w:p>
    <w:p w14:paraId="5E133FE8" w14:textId="77777777" w:rsidR="007E010D" w:rsidRPr="002D1A2F" w:rsidRDefault="007E010D" w:rsidP="007E010D">
      <w:pPr>
        <w:pStyle w:val="Bodytext"/>
        <w:spacing w:after="80"/>
      </w:pPr>
      <w:r w:rsidRPr="002D1A2F">
        <w:t>“</w:t>
      </w:r>
      <w:r w:rsidRPr="002D1A2F">
        <w:rPr>
          <w:b/>
        </w:rPr>
        <w:t>CAR</w:t>
      </w:r>
      <w:r w:rsidRPr="002D1A2F">
        <w:t>” means Capital Adequacy Ratio;</w:t>
      </w:r>
    </w:p>
    <w:p w14:paraId="238790EF" w14:textId="77777777" w:rsidR="007E010D" w:rsidRPr="002D1A2F" w:rsidRDefault="007E010D" w:rsidP="007E010D">
      <w:pPr>
        <w:pStyle w:val="Bodytext"/>
        <w:spacing w:after="80"/>
      </w:pPr>
      <w:r w:rsidRPr="002D1A2F">
        <w:t>“</w:t>
      </w:r>
      <w:r w:rsidRPr="002D1A2F">
        <w:rPr>
          <w:b/>
        </w:rPr>
        <w:t>Carrier II</w:t>
      </w:r>
      <w:r w:rsidRPr="002D1A2F">
        <w:t>” means Carrier Energy Partners II LLC;</w:t>
      </w:r>
    </w:p>
    <w:p w14:paraId="22CFD8A6" w14:textId="77777777" w:rsidR="007E010D" w:rsidRPr="002D1A2F" w:rsidRDefault="007E010D" w:rsidP="007E010D">
      <w:pPr>
        <w:pStyle w:val="Bodytext"/>
        <w:spacing w:after="80"/>
      </w:pPr>
      <w:r w:rsidRPr="002D1A2F">
        <w:t>“</w:t>
      </w:r>
      <w:r w:rsidRPr="002D1A2F">
        <w:rPr>
          <w:b/>
        </w:rPr>
        <w:t>Castex 2005</w:t>
      </w:r>
      <w:r w:rsidRPr="002D1A2F">
        <w:t>” means Castex Energy 2005 LLC;</w:t>
      </w:r>
    </w:p>
    <w:p w14:paraId="1AB71825" w14:textId="77777777" w:rsidR="007E010D" w:rsidRPr="002D1A2F" w:rsidRDefault="007E010D" w:rsidP="007E010D">
      <w:pPr>
        <w:pStyle w:val="Bodytext"/>
        <w:spacing w:after="80"/>
      </w:pPr>
      <w:r w:rsidRPr="002D1A2F">
        <w:t>“</w:t>
      </w:r>
      <w:r w:rsidRPr="002D1A2F">
        <w:rPr>
          <w:b/>
        </w:rPr>
        <w:t>Castex 2014</w:t>
      </w:r>
      <w:r w:rsidRPr="002D1A2F">
        <w:t>” means Castex Energy 2014 LLC;</w:t>
      </w:r>
    </w:p>
    <w:p w14:paraId="7D2613FC" w14:textId="77777777" w:rsidR="007E010D" w:rsidRPr="002D1A2F" w:rsidRDefault="007E010D" w:rsidP="007E010D">
      <w:pPr>
        <w:pStyle w:val="Bodytext"/>
        <w:spacing w:after="80"/>
      </w:pPr>
      <w:r w:rsidRPr="002D1A2F">
        <w:t>“</w:t>
      </w:r>
      <w:r w:rsidRPr="002D1A2F">
        <w:rPr>
          <w:b/>
        </w:rPr>
        <w:t>Centennial</w:t>
      </w:r>
      <w:r w:rsidRPr="002D1A2F">
        <w:t>” means Centennial Resource Development, Inc.;</w:t>
      </w:r>
    </w:p>
    <w:p w14:paraId="12FC67F7" w14:textId="7825C6CF" w:rsidR="007E010D" w:rsidRPr="002D1A2F" w:rsidRDefault="007E010D" w:rsidP="007E010D">
      <w:pPr>
        <w:pStyle w:val="Bodytext"/>
        <w:spacing w:after="80"/>
      </w:pPr>
      <w:r w:rsidRPr="002D1A2F">
        <w:t>“</w:t>
      </w:r>
      <w:r w:rsidRPr="002D1A2F">
        <w:rPr>
          <w:b/>
        </w:rPr>
        <w:t>CNOR</w:t>
      </w:r>
      <w:r w:rsidRPr="002D1A2F">
        <w:t>” means the Canadian Non-Operated Resources LP;</w:t>
      </w:r>
    </w:p>
    <w:p w14:paraId="782D34DC" w14:textId="77777777" w:rsidR="007E010D" w:rsidRPr="002D1A2F" w:rsidRDefault="007E010D" w:rsidP="007E010D">
      <w:pPr>
        <w:pStyle w:val="Bodytext"/>
        <w:spacing w:after="80"/>
      </w:pPr>
      <w:r w:rsidRPr="002D1A2F">
        <w:t>“</w:t>
      </w:r>
      <w:r w:rsidRPr="002D1A2F">
        <w:rPr>
          <w:b/>
        </w:rPr>
        <w:t>Companies Law</w:t>
      </w:r>
      <w:r w:rsidRPr="002D1A2F">
        <w:t>” means the Companies (Guernsey) Law, 2008, (as amended);</w:t>
      </w:r>
    </w:p>
    <w:p w14:paraId="7951DCB8" w14:textId="77777777" w:rsidR="007E010D" w:rsidRPr="002D1A2F" w:rsidRDefault="007E010D" w:rsidP="007E010D">
      <w:pPr>
        <w:pStyle w:val="Bodytext"/>
        <w:spacing w:after="80"/>
      </w:pPr>
      <w:r w:rsidRPr="002D1A2F">
        <w:t>“</w:t>
      </w:r>
      <w:r w:rsidRPr="002D1A2F">
        <w:rPr>
          <w:b/>
        </w:rPr>
        <w:t>Company</w:t>
      </w:r>
      <w:r w:rsidRPr="002D1A2F">
        <w:t>” or “</w:t>
      </w:r>
      <w:r w:rsidRPr="002D1A2F">
        <w:rPr>
          <w:b/>
        </w:rPr>
        <w:t>REL</w:t>
      </w:r>
      <w:r w:rsidRPr="002D1A2F">
        <w:t>” means Riverstone Energy Limited;</w:t>
      </w:r>
    </w:p>
    <w:p w14:paraId="548D8856" w14:textId="12977652" w:rsidR="007E010D" w:rsidRPr="002D1A2F" w:rsidRDefault="007E010D" w:rsidP="007E010D">
      <w:pPr>
        <w:pStyle w:val="Bodytext"/>
        <w:spacing w:after="80"/>
      </w:pPr>
      <w:r w:rsidRPr="002D1A2F">
        <w:t>“</w:t>
      </w:r>
      <w:r w:rsidRPr="002D1A2F">
        <w:rPr>
          <w:b/>
        </w:rPr>
        <w:t>Company Secretary</w:t>
      </w:r>
      <w:r w:rsidRPr="002D1A2F">
        <w:t xml:space="preserve">” means </w:t>
      </w:r>
      <w:r w:rsidR="0041345C" w:rsidRPr="007506DC">
        <w:t>Estera</w:t>
      </w:r>
      <w:r w:rsidRPr="007506DC">
        <w:t xml:space="preserve"> International Fund Managers </w:t>
      </w:r>
      <w:r w:rsidR="009D4A2B">
        <w:t xml:space="preserve">(Guernsey) </w:t>
      </w:r>
      <w:r w:rsidRPr="007506DC">
        <w:t>Limited;</w:t>
      </w:r>
    </w:p>
    <w:p w14:paraId="54B43112" w14:textId="513869F8" w:rsidR="007E010D" w:rsidRPr="002D1A2F" w:rsidRDefault="007E010D" w:rsidP="007E010D">
      <w:pPr>
        <w:pStyle w:val="Bodytext"/>
        <w:spacing w:after="80"/>
      </w:pPr>
      <w:r w:rsidRPr="002D1A2F">
        <w:t>“</w:t>
      </w:r>
      <w:r w:rsidRPr="002D1A2F">
        <w:rPr>
          <w:b/>
        </w:rPr>
        <w:t>Cornerstone Investors</w:t>
      </w:r>
      <w:r w:rsidRPr="002D1A2F">
        <w:t>” means those investors who have acquired Ordinary Shares and acquired a minority economic interest in the General Partner and in the Investment Manager, being AKRC Investments LLC, Casita, L.P., KFI and McNair;</w:t>
      </w:r>
    </w:p>
    <w:p w14:paraId="1FCB539C" w14:textId="3950C147" w:rsidR="007E010D" w:rsidRPr="002D1A2F" w:rsidRDefault="007E010D" w:rsidP="007E010D">
      <w:pPr>
        <w:pStyle w:val="Bodytext"/>
        <w:spacing w:after="80"/>
      </w:pPr>
      <w:r w:rsidRPr="00D22603">
        <w:t>“</w:t>
      </w:r>
      <w:r w:rsidRPr="00D22603">
        <w:rPr>
          <w:b/>
        </w:rPr>
        <w:t>Corporate Brokers</w:t>
      </w:r>
      <w:r w:rsidRPr="00D22603">
        <w:t>” means JP Morgan Cazenove</w:t>
      </w:r>
      <w:r w:rsidR="00E066CF" w:rsidRPr="00D22603">
        <w:t xml:space="preserve"> and Numis Securities Limited</w:t>
      </w:r>
      <w:r w:rsidR="009B39A2" w:rsidRPr="00D22603">
        <w:t>;</w:t>
      </w:r>
    </w:p>
    <w:p w14:paraId="11043788" w14:textId="33D40047" w:rsidR="004E028B" w:rsidRPr="004E028B" w:rsidRDefault="00791227" w:rsidP="007E010D">
      <w:pPr>
        <w:pStyle w:val="Bodytext"/>
        <w:spacing w:after="80"/>
      </w:pPr>
      <w:r w:rsidRPr="002D1A2F" w:rsidDel="00791227">
        <w:t xml:space="preserve"> </w:t>
      </w:r>
      <w:r w:rsidR="004E028B">
        <w:t>“</w:t>
      </w:r>
      <w:r w:rsidR="004E028B">
        <w:rPr>
          <w:b/>
        </w:rPr>
        <w:t>C Corporations</w:t>
      </w:r>
      <w:r w:rsidR="004E028B">
        <w:t xml:space="preserve">” means a C Corporation, under U.S. federal income tax law, being a corporation that is taxed separately from its owners; </w:t>
      </w:r>
    </w:p>
    <w:p w14:paraId="56AB7D74" w14:textId="77777777" w:rsidR="007E010D" w:rsidRPr="002D1A2F" w:rsidRDefault="007E010D" w:rsidP="007E010D">
      <w:pPr>
        <w:pStyle w:val="Bodytext"/>
        <w:spacing w:after="80"/>
      </w:pPr>
      <w:r w:rsidRPr="002D1A2F">
        <w:t>“</w:t>
      </w:r>
      <w:r w:rsidRPr="002D1A2F">
        <w:rPr>
          <w:b/>
        </w:rPr>
        <w:t>CRAR</w:t>
      </w:r>
      <w:r w:rsidRPr="002D1A2F">
        <w:t>” means Capital to Risk (Weighted) Assets Ratio;</w:t>
      </w:r>
    </w:p>
    <w:p w14:paraId="0BF8A2E3" w14:textId="50FD2321" w:rsidR="007E010D" w:rsidRDefault="007E010D" w:rsidP="007E010D">
      <w:pPr>
        <w:pStyle w:val="Bodytext"/>
        <w:spacing w:after="80"/>
      </w:pPr>
      <w:r w:rsidRPr="002D1A2F">
        <w:t>“</w:t>
      </w:r>
      <w:r w:rsidRPr="002D1A2F">
        <w:rPr>
          <w:b/>
        </w:rPr>
        <w:t>CRS</w:t>
      </w:r>
      <w:r w:rsidRPr="002D1A2F">
        <w:t>” means Common Reporting Standard;</w:t>
      </w:r>
    </w:p>
    <w:p w14:paraId="1A399629" w14:textId="0E34421A" w:rsidR="00343DAD" w:rsidRPr="002D1A2F" w:rsidRDefault="00343DAD" w:rsidP="007E010D">
      <w:pPr>
        <w:pStyle w:val="Bodytext"/>
        <w:spacing w:after="80"/>
      </w:pPr>
      <w:r w:rsidRPr="008813E2">
        <w:t>“</w:t>
      </w:r>
      <w:r w:rsidRPr="008813E2">
        <w:rPr>
          <w:b/>
        </w:rPr>
        <w:t>DEA</w:t>
      </w:r>
      <w:r w:rsidRPr="008813E2">
        <w:t>” means Deutsche Erdoel AG, an international independent exploration and production company headquartered in Germany;</w:t>
      </w:r>
    </w:p>
    <w:p w14:paraId="5C8D867A" w14:textId="3FEDEB8E" w:rsidR="007E010D" w:rsidRDefault="007E010D" w:rsidP="007E010D">
      <w:pPr>
        <w:pStyle w:val="Bodytext"/>
        <w:spacing w:after="80"/>
      </w:pPr>
      <w:r w:rsidRPr="002D1A2F">
        <w:t>“</w:t>
      </w:r>
      <w:r w:rsidRPr="002D1A2F">
        <w:rPr>
          <w:b/>
        </w:rPr>
        <w:t>Depositary</w:t>
      </w:r>
      <w:r w:rsidRPr="002D1A2F">
        <w:t xml:space="preserve">” </w:t>
      </w:r>
      <w:r w:rsidRPr="00C50AB9">
        <w:t xml:space="preserve">means </w:t>
      </w:r>
      <w:r w:rsidR="0041345C" w:rsidRPr="00C50AB9">
        <w:t>Estera</w:t>
      </w:r>
      <w:r w:rsidRPr="00C50AB9">
        <w:t xml:space="preserve"> Depositary Company (UK) Limited;</w:t>
      </w:r>
    </w:p>
    <w:p w14:paraId="257269F3" w14:textId="6FC8F74C" w:rsidR="00175CCC" w:rsidRDefault="00175CCC" w:rsidP="007E010D">
      <w:pPr>
        <w:pStyle w:val="Bodytext"/>
        <w:spacing w:after="80"/>
      </w:pPr>
      <w:r>
        <w:t>“</w:t>
      </w:r>
      <w:r w:rsidRPr="00175CCC">
        <w:rPr>
          <w:b/>
        </w:rPr>
        <w:t>Discontinuation Resolution</w:t>
      </w:r>
      <w:r>
        <w:t>” means a special resolution that must be proposed to the Company’s Shareholders to discontinue the Company within six weeks of the seventh anniversary of the Company’s first Admission if the trading price has not met the Target Price, and the Invested Capital Target Return has not been met</w:t>
      </w:r>
      <w:r w:rsidR="00240068">
        <w:t>;</w:t>
      </w:r>
    </w:p>
    <w:p w14:paraId="5C9EC85A" w14:textId="51477FC5" w:rsidR="00C63C73" w:rsidRDefault="00C63C73" w:rsidP="007E010D">
      <w:pPr>
        <w:pStyle w:val="Bodytext"/>
        <w:spacing w:after="80"/>
      </w:pPr>
      <w:r>
        <w:t>“</w:t>
      </w:r>
      <w:r>
        <w:rPr>
          <w:b/>
        </w:rPr>
        <w:t>Discount to NAV</w:t>
      </w:r>
      <w:r>
        <w:t>” means the situation where the Ordinary shares of the Company are trading at a price lower than the Company’s Net Asset Value;</w:t>
      </w:r>
    </w:p>
    <w:p w14:paraId="3EFD8DA5" w14:textId="060AA5FA" w:rsidR="003C2192" w:rsidRPr="00C63C73" w:rsidRDefault="003C2192" w:rsidP="007E010D">
      <w:pPr>
        <w:pStyle w:val="Bodytext"/>
        <w:spacing w:after="80"/>
      </w:pPr>
      <w:r w:rsidRPr="003C2192">
        <w:t>“</w:t>
      </w:r>
      <w:r w:rsidRPr="003C2192">
        <w:rPr>
          <w:b/>
        </w:rPr>
        <w:t>Disclosure Guidance and Transparency Rules</w:t>
      </w:r>
      <w:r w:rsidRPr="003C2192">
        <w:t>” or “</w:t>
      </w:r>
      <w:r w:rsidRPr="003C2192">
        <w:rPr>
          <w:b/>
        </w:rPr>
        <w:t>DTRs</w:t>
      </w:r>
      <w:r w:rsidRPr="003C2192">
        <w:t>” mean the disclosure guidance published by the FCA and the transparency rules made by the FCA under section 73A of FSMA;</w:t>
      </w:r>
    </w:p>
    <w:p w14:paraId="3C6CD003" w14:textId="77777777" w:rsidR="007E010D" w:rsidRPr="002D1A2F" w:rsidRDefault="007E010D" w:rsidP="007E010D">
      <w:pPr>
        <w:pStyle w:val="Bodytext"/>
        <w:spacing w:after="80"/>
      </w:pPr>
      <w:r w:rsidRPr="002D1A2F">
        <w:t>“</w:t>
      </w:r>
      <w:r w:rsidRPr="002D1A2F">
        <w:rPr>
          <w:b/>
        </w:rPr>
        <w:t>E&amp;P</w:t>
      </w:r>
      <w:r w:rsidRPr="002D1A2F">
        <w:t>” means exploration and production;</w:t>
      </w:r>
    </w:p>
    <w:p w14:paraId="3574C6D3" w14:textId="77777777" w:rsidR="007E010D" w:rsidRPr="002D1A2F" w:rsidRDefault="007E010D" w:rsidP="007E010D">
      <w:pPr>
        <w:pStyle w:val="Bodytext"/>
        <w:spacing w:after="80"/>
      </w:pPr>
      <w:r w:rsidRPr="002D1A2F">
        <w:t>“</w:t>
      </w:r>
      <w:r w:rsidRPr="002D1A2F">
        <w:rPr>
          <w:b/>
        </w:rPr>
        <w:t>Eagle II</w:t>
      </w:r>
      <w:r w:rsidRPr="002D1A2F">
        <w:t>” means Eagle Energy Exploration, LLC;</w:t>
      </w:r>
    </w:p>
    <w:p w14:paraId="5BFC6E48" w14:textId="42FDFA20" w:rsidR="007E010D" w:rsidRPr="002D1A2F" w:rsidRDefault="007E010D" w:rsidP="007E010D">
      <w:pPr>
        <w:pStyle w:val="Bodytext"/>
        <w:spacing w:after="80"/>
      </w:pPr>
      <w:r w:rsidRPr="002D1A2F">
        <w:t>“</w:t>
      </w:r>
      <w:r w:rsidRPr="002D1A2F">
        <w:rPr>
          <w:b/>
        </w:rPr>
        <w:t>Earnings per Share</w:t>
      </w:r>
      <w:r w:rsidRPr="002D1A2F">
        <w:t>” or “</w:t>
      </w:r>
      <w:r w:rsidRPr="002D1A2F">
        <w:rPr>
          <w:b/>
        </w:rPr>
        <w:t>EPS</w:t>
      </w:r>
      <w:r w:rsidRPr="002D1A2F">
        <w:t>” means the Earnings per Ordinary Share and is expressed in U.S. dollars</w:t>
      </w:r>
      <w:r>
        <w:t>;</w:t>
      </w:r>
    </w:p>
    <w:p w14:paraId="7E1FB3FE" w14:textId="77777777" w:rsidR="007E010D" w:rsidRPr="006C0E66" w:rsidRDefault="007E010D" w:rsidP="007E010D">
      <w:pPr>
        <w:pStyle w:val="Bodytext"/>
        <w:spacing w:after="80"/>
      </w:pPr>
      <w:r w:rsidRPr="006C0E66">
        <w:lastRenderedPageBreak/>
        <w:t>“</w:t>
      </w:r>
      <w:r w:rsidRPr="006C0E66">
        <w:rPr>
          <w:b/>
        </w:rPr>
        <w:t>EBITDA</w:t>
      </w:r>
      <w:r w:rsidRPr="006C0E66">
        <w:t>” means earnings before interest, taxes, depreciation and amortisation;</w:t>
      </w:r>
    </w:p>
    <w:p w14:paraId="0B08413A" w14:textId="04073D25" w:rsidR="007E010D" w:rsidRDefault="007E010D" w:rsidP="007E010D">
      <w:pPr>
        <w:pStyle w:val="Bodytext"/>
        <w:spacing w:after="80"/>
        <w:rPr>
          <w:rFonts w:eastAsia="Times New Roman"/>
        </w:rPr>
      </w:pPr>
      <w:r w:rsidRPr="006C0E66">
        <w:rPr>
          <w:rFonts w:eastAsia="Times New Roman"/>
        </w:rPr>
        <w:t>“</w:t>
      </w:r>
      <w:r w:rsidRPr="006C0E66">
        <w:rPr>
          <w:rFonts w:eastAsia="Times New Roman"/>
          <w:b/>
        </w:rPr>
        <w:t>ECI</w:t>
      </w:r>
      <w:r w:rsidRPr="006C0E66">
        <w:rPr>
          <w:rFonts w:eastAsia="Times New Roman"/>
        </w:rPr>
        <w:t>” means effectively connected income</w:t>
      </w:r>
      <w:r w:rsidR="00CE1CDB" w:rsidRPr="006C0E66">
        <w:rPr>
          <w:rFonts w:eastAsia="Times New Roman"/>
        </w:rPr>
        <w:t>, which refers to all income from sources within the United States connected with the conduct of a trade or business</w:t>
      </w:r>
      <w:r w:rsidRPr="006C0E66">
        <w:rPr>
          <w:rFonts w:eastAsia="Times New Roman"/>
        </w:rPr>
        <w:t>;</w:t>
      </w:r>
    </w:p>
    <w:p w14:paraId="4E67EACF" w14:textId="6683D502" w:rsidR="002174F2" w:rsidRPr="006C0E66" w:rsidRDefault="002174F2" w:rsidP="007E010D">
      <w:pPr>
        <w:pStyle w:val="Bodytext"/>
        <w:spacing w:after="80"/>
        <w:rPr>
          <w:rFonts w:eastAsia="Times New Roman"/>
        </w:rPr>
      </w:pPr>
      <w:r>
        <w:rPr>
          <w:rFonts w:eastAsia="Times New Roman"/>
        </w:rPr>
        <w:t>“</w:t>
      </w:r>
      <w:r w:rsidRPr="002174F2">
        <w:rPr>
          <w:rFonts w:eastAsia="Times New Roman"/>
          <w:b/>
        </w:rPr>
        <w:t>ECL</w:t>
      </w:r>
      <w:r>
        <w:rPr>
          <w:rFonts w:eastAsia="Times New Roman"/>
        </w:rPr>
        <w:t>” means expected credit loss;</w:t>
      </w:r>
    </w:p>
    <w:p w14:paraId="56BB0BCF" w14:textId="5B455F1F" w:rsidR="007E010D" w:rsidRDefault="007E010D" w:rsidP="007E010D">
      <w:pPr>
        <w:pStyle w:val="Bodytext"/>
        <w:spacing w:after="80"/>
      </w:pPr>
      <w:r w:rsidRPr="006C0E66">
        <w:t>“</w:t>
      </w:r>
      <w:r w:rsidRPr="006C0E66">
        <w:rPr>
          <w:b/>
        </w:rPr>
        <w:t>EEA</w:t>
      </w:r>
      <w:r w:rsidRPr="006C0E66">
        <w:t>” means European Economic Area;</w:t>
      </w:r>
    </w:p>
    <w:p w14:paraId="0F5F06E7" w14:textId="0872DB9C" w:rsidR="00545002" w:rsidRPr="006C0E66" w:rsidRDefault="00545002" w:rsidP="007E010D">
      <w:pPr>
        <w:pStyle w:val="Bodytext"/>
        <w:spacing w:after="80"/>
      </w:pPr>
      <w:r>
        <w:t>“</w:t>
      </w:r>
      <w:r w:rsidRPr="00545002">
        <w:rPr>
          <w:b/>
        </w:rPr>
        <w:t>EGM</w:t>
      </w:r>
      <w:r>
        <w:t>” means an Extraordinary General Meeting of the Company;</w:t>
      </w:r>
    </w:p>
    <w:p w14:paraId="65EFCAD1" w14:textId="3EB7F826" w:rsidR="007E010D" w:rsidRPr="006C0E66" w:rsidRDefault="007E010D" w:rsidP="007E010D">
      <w:pPr>
        <w:pStyle w:val="Bodytext"/>
        <w:spacing w:after="80"/>
      </w:pPr>
      <w:r w:rsidRPr="006C0E66">
        <w:t>“</w:t>
      </w:r>
      <w:r w:rsidRPr="006C0E66">
        <w:rPr>
          <w:b/>
        </w:rPr>
        <w:t>EU</w:t>
      </w:r>
      <w:r w:rsidRPr="006C0E66">
        <w:t>” means the European Union;</w:t>
      </w:r>
    </w:p>
    <w:p w14:paraId="3B448F1D" w14:textId="77777777" w:rsidR="007E010D" w:rsidRPr="006C0E66" w:rsidRDefault="007E010D" w:rsidP="007E010D">
      <w:pPr>
        <w:pStyle w:val="Bodytext"/>
        <w:spacing w:after="80"/>
      </w:pPr>
      <w:r w:rsidRPr="006C0E66">
        <w:t>“</w:t>
      </w:r>
      <w:r w:rsidRPr="006C0E66">
        <w:rPr>
          <w:b/>
        </w:rPr>
        <w:t>EV</w:t>
      </w:r>
      <w:r w:rsidRPr="006C0E66">
        <w:t>” means enterprise value;</w:t>
      </w:r>
    </w:p>
    <w:p w14:paraId="0B3B6951" w14:textId="2B8DCAC7" w:rsidR="00C14AAA" w:rsidRPr="006C0E66" w:rsidRDefault="00C14AAA" w:rsidP="007E010D">
      <w:pPr>
        <w:pStyle w:val="Bodytext"/>
        <w:spacing w:after="80"/>
      </w:pPr>
      <w:r w:rsidRPr="006C0E66">
        <w:t>“</w:t>
      </w:r>
      <w:r w:rsidRPr="006C0E66">
        <w:rPr>
          <w:b/>
        </w:rPr>
        <w:t>FATCA</w:t>
      </w:r>
      <w:r w:rsidRPr="006C0E66">
        <w:t>” means Foreign Account Tax Compliance Act;</w:t>
      </w:r>
    </w:p>
    <w:p w14:paraId="512EC414" w14:textId="1F67C871" w:rsidR="007E010D" w:rsidRPr="006C0E66" w:rsidRDefault="007E010D" w:rsidP="007E010D">
      <w:pPr>
        <w:pStyle w:val="Bodytext"/>
        <w:spacing w:after="80"/>
      </w:pPr>
      <w:r w:rsidRPr="006C0E66">
        <w:t>“</w:t>
      </w:r>
      <w:r w:rsidRPr="006C0E66">
        <w:rPr>
          <w:b/>
        </w:rPr>
        <w:t>FCA</w:t>
      </w:r>
      <w:r w:rsidRPr="006C0E66">
        <w:t>” means the UK Financial Conduct Authority (or its successor bodies);</w:t>
      </w:r>
    </w:p>
    <w:p w14:paraId="0A250C5C" w14:textId="77777777" w:rsidR="007E010D" w:rsidRPr="006C0E66" w:rsidRDefault="007E010D" w:rsidP="007E010D">
      <w:pPr>
        <w:pStyle w:val="Bodytext"/>
        <w:spacing w:after="80"/>
      </w:pPr>
      <w:r w:rsidRPr="006C0E66">
        <w:t>“</w:t>
      </w:r>
      <w:r w:rsidRPr="006C0E66">
        <w:rPr>
          <w:b/>
        </w:rPr>
        <w:t>Fieldwood</w:t>
      </w:r>
      <w:r w:rsidRPr="006C0E66">
        <w:t>” means Fieldwood Energy LLC;</w:t>
      </w:r>
    </w:p>
    <w:p w14:paraId="4A57D7C6" w14:textId="77777777" w:rsidR="007E010D" w:rsidRPr="006C0E66" w:rsidRDefault="007E010D" w:rsidP="007E010D">
      <w:pPr>
        <w:pStyle w:val="Bodytext"/>
        <w:spacing w:after="80"/>
      </w:pPr>
      <w:r w:rsidRPr="006C0E66">
        <w:t>“</w:t>
      </w:r>
      <w:r w:rsidRPr="006C0E66">
        <w:rPr>
          <w:b/>
        </w:rPr>
        <w:t>Financial Statements</w:t>
      </w:r>
      <w:r w:rsidRPr="006C0E66">
        <w:t>” means the audited financial statements of the Company, including the Statement of Financial Position, the Statement of Comprehensive Income, the Statement of Cash Flows, the Statement of Changes in Equity and associated notes;</w:t>
      </w:r>
    </w:p>
    <w:p w14:paraId="35F9B4C0" w14:textId="32B79CD4" w:rsidR="00C14AAA" w:rsidRPr="006C0E66" w:rsidRDefault="00C14AAA" w:rsidP="007E010D">
      <w:pPr>
        <w:pStyle w:val="Bodytext"/>
        <w:spacing w:after="80"/>
      </w:pPr>
      <w:r w:rsidRPr="006C0E66">
        <w:t>“</w:t>
      </w:r>
      <w:r w:rsidRPr="006C0E66">
        <w:rPr>
          <w:b/>
        </w:rPr>
        <w:t>FRC</w:t>
      </w:r>
      <w:r w:rsidRPr="006C0E66">
        <w:t>” means Financial Reporting Council</w:t>
      </w:r>
      <w:r w:rsidR="00240068">
        <w:t>;</w:t>
      </w:r>
    </w:p>
    <w:p w14:paraId="6B697319" w14:textId="23D9A2DC" w:rsidR="007E010D" w:rsidRPr="006C0E66" w:rsidRDefault="007E010D" w:rsidP="007E010D">
      <w:pPr>
        <w:pStyle w:val="Bodytext"/>
        <w:spacing w:after="80"/>
      </w:pPr>
      <w:r w:rsidRPr="006C0E66">
        <w:t>“</w:t>
      </w:r>
      <w:r w:rsidRPr="006C0E66">
        <w:rPr>
          <w:b/>
        </w:rPr>
        <w:t>Fund V</w:t>
      </w:r>
      <w:r w:rsidRPr="006C0E66">
        <w:t>” means Riverstone Global Energy &amp; Power Fund V, L.P.;</w:t>
      </w:r>
    </w:p>
    <w:p w14:paraId="4771750D" w14:textId="77777777" w:rsidR="007E010D" w:rsidRPr="006C0E66" w:rsidRDefault="007E010D" w:rsidP="007E010D">
      <w:pPr>
        <w:pStyle w:val="Bodytext"/>
        <w:spacing w:after="80"/>
      </w:pPr>
      <w:r w:rsidRPr="006C0E66">
        <w:t>“</w:t>
      </w:r>
      <w:r w:rsidRPr="006C0E66">
        <w:rPr>
          <w:b/>
        </w:rPr>
        <w:t>Fund VI</w:t>
      </w:r>
      <w:r w:rsidRPr="006C0E66">
        <w:t>” means Riverstone Global Energy &amp; Power Fund VI, L.P.;</w:t>
      </w:r>
    </w:p>
    <w:p w14:paraId="404A02FF" w14:textId="1AE028CE" w:rsidR="00057129" w:rsidRDefault="00057129" w:rsidP="007E010D">
      <w:pPr>
        <w:pStyle w:val="Bodytext"/>
        <w:spacing w:after="80"/>
      </w:pPr>
      <w:r>
        <w:t>“</w:t>
      </w:r>
      <w:r w:rsidRPr="00057129">
        <w:rPr>
          <w:b/>
          <w:bCs/>
        </w:rPr>
        <w:t>FVTPL</w:t>
      </w:r>
      <w:r>
        <w:t xml:space="preserve">” means </w:t>
      </w:r>
      <w:r w:rsidR="00186C1D">
        <w:rPr>
          <w:szCs w:val="24"/>
        </w:rPr>
        <w:t>F</w:t>
      </w:r>
      <w:r w:rsidRPr="001D00C6">
        <w:rPr>
          <w:szCs w:val="24"/>
        </w:rPr>
        <w:t xml:space="preserve">air </w:t>
      </w:r>
      <w:r w:rsidR="00186C1D">
        <w:rPr>
          <w:szCs w:val="24"/>
        </w:rPr>
        <w:t>V</w:t>
      </w:r>
      <w:r w:rsidRPr="001D00C6">
        <w:rPr>
          <w:szCs w:val="24"/>
        </w:rPr>
        <w:t xml:space="preserve">alue through </w:t>
      </w:r>
      <w:r w:rsidR="00186C1D">
        <w:rPr>
          <w:szCs w:val="24"/>
        </w:rPr>
        <w:t xml:space="preserve">the </w:t>
      </w:r>
      <w:r w:rsidRPr="001D00C6">
        <w:rPr>
          <w:szCs w:val="24"/>
        </w:rPr>
        <w:t>profit or loss</w:t>
      </w:r>
      <w:r>
        <w:rPr>
          <w:szCs w:val="24"/>
        </w:rPr>
        <w:t>;</w:t>
      </w:r>
    </w:p>
    <w:p w14:paraId="66A44E02" w14:textId="61B03765" w:rsidR="007E010D" w:rsidRPr="006C0E66" w:rsidRDefault="007E010D" w:rsidP="007E010D">
      <w:pPr>
        <w:pStyle w:val="Bodytext"/>
        <w:spacing w:after="80"/>
      </w:pPr>
      <w:r w:rsidRPr="006C0E66">
        <w:t>“</w:t>
      </w:r>
      <w:r w:rsidRPr="006C0E66">
        <w:rPr>
          <w:b/>
        </w:rPr>
        <w:t>General Partner</w:t>
      </w:r>
      <w:r w:rsidRPr="006C0E66">
        <w:t>” means REL IP General Partner LP (acting through its general partner, REL IP General Partner Limited), the general partner of the Partnership and a member of the Riverstone group;</w:t>
      </w:r>
    </w:p>
    <w:p w14:paraId="48519E35" w14:textId="77777777" w:rsidR="007E010D" w:rsidRPr="006C0E66" w:rsidRDefault="007E010D" w:rsidP="007E010D">
      <w:pPr>
        <w:pStyle w:val="Bodytext"/>
        <w:spacing w:after="80"/>
      </w:pPr>
      <w:r w:rsidRPr="006C0E66">
        <w:t>“</w:t>
      </w:r>
      <w:r w:rsidRPr="006C0E66">
        <w:rPr>
          <w:b/>
        </w:rPr>
        <w:t>GFSC</w:t>
      </w:r>
      <w:r w:rsidRPr="006C0E66">
        <w:t>” or “</w:t>
      </w:r>
      <w:r w:rsidRPr="006C0E66">
        <w:rPr>
          <w:b/>
        </w:rPr>
        <w:t>Commission</w:t>
      </w:r>
      <w:r w:rsidRPr="006C0E66">
        <w:t>” means the Guernsey Financial Services Commission;</w:t>
      </w:r>
    </w:p>
    <w:p w14:paraId="7E2F3E47" w14:textId="77777777" w:rsidR="007E010D" w:rsidRPr="002D1A2F" w:rsidRDefault="007E010D" w:rsidP="007E010D">
      <w:pPr>
        <w:pStyle w:val="Bodytext"/>
        <w:spacing w:after="80"/>
      </w:pPr>
      <w:r w:rsidRPr="006C0E66">
        <w:t>“</w:t>
      </w:r>
      <w:r w:rsidRPr="006C0E66">
        <w:rPr>
          <w:b/>
        </w:rPr>
        <w:t>GFSC Code</w:t>
      </w:r>
      <w:r w:rsidRPr="006C0E66">
        <w:t>” means the GFSC Finance</w:t>
      </w:r>
      <w:r w:rsidRPr="002D1A2F">
        <w:t xml:space="preserve"> Sector Code of Corporate Governance;</w:t>
      </w:r>
    </w:p>
    <w:p w14:paraId="77A46DCF" w14:textId="34947EE3" w:rsidR="004553BB" w:rsidRPr="004553BB" w:rsidRDefault="004553BB" w:rsidP="007E010D">
      <w:pPr>
        <w:pStyle w:val="Bodytext"/>
        <w:spacing w:after="80"/>
      </w:pPr>
      <w:r>
        <w:t>“</w:t>
      </w:r>
      <w:r>
        <w:rPr>
          <w:b/>
        </w:rPr>
        <w:t>GoM</w:t>
      </w:r>
      <w:r>
        <w:t>” means the Gulf of Mexico;</w:t>
      </w:r>
    </w:p>
    <w:p w14:paraId="757520A0" w14:textId="77777777" w:rsidR="007E010D" w:rsidRPr="002D1A2F" w:rsidRDefault="007E010D" w:rsidP="007E010D">
      <w:pPr>
        <w:pStyle w:val="Bodytext"/>
        <w:spacing w:after="80"/>
      </w:pPr>
      <w:r w:rsidRPr="002D1A2F">
        <w:t>“</w:t>
      </w:r>
      <w:r w:rsidRPr="002D1A2F">
        <w:rPr>
          <w:b/>
        </w:rPr>
        <w:t>Gross IRR</w:t>
      </w:r>
      <w:r w:rsidRPr="002D1A2F">
        <w:t>” means an aggregate, annual, compound, gross internal rate of return on investments. Gross IRR does not reflect expenses to be borne by the relevant investment vehicle or its investors including, without limitation, carried interest, management fees, taxes and organisational, partnership or transaction expenses;</w:t>
      </w:r>
    </w:p>
    <w:p w14:paraId="29719D7A" w14:textId="13543B40" w:rsidR="007E010D" w:rsidRPr="008813E2" w:rsidRDefault="007E010D" w:rsidP="007E010D">
      <w:pPr>
        <w:pStyle w:val="Bodytext"/>
        <w:spacing w:after="80"/>
      </w:pPr>
      <w:r w:rsidRPr="008813E2">
        <w:t>“</w:t>
      </w:r>
      <w:r w:rsidRPr="008813E2">
        <w:rPr>
          <w:b/>
        </w:rPr>
        <w:t>Gross MOIC</w:t>
      </w:r>
      <w:r w:rsidRPr="008813E2">
        <w:t>” means gross multiple of invested capital;</w:t>
      </w:r>
    </w:p>
    <w:p w14:paraId="2171C02C" w14:textId="6A3D63B7" w:rsidR="00343DAD" w:rsidRDefault="00343DAD" w:rsidP="007E010D">
      <w:pPr>
        <w:pStyle w:val="Bodytext"/>
        <w:spacing w:after="80"/>
      </w:pPr>
      <w:r w:rsidRPr="008813E2">
        <w:t>“</w:t>
      </w:r>
      <w:r w:rsidRPr="008813E2">
        <w:rPr>
          <w:b/>
        </w:rPr>
        <w:t>G20 Summit</w:t>
      </w:r>
      <w:r w:rsidRPr="008813E2">
        <w:t xml:space="preserve">” means the </w:t>
      </w:r>
      <w:r w:rsidRPr="008813E2">
        <w:rPr>
          <w:bCs/>
        </w:rPr>
        <w:t>2019 G20 Osaka summit</w:t>
      </w:r>
      <w:r w:rsidRPr="008813E2">
        <w:t> which</w:t>
      </w:r>
      <w:r w:rsidRPr="008813E2">
        <w:rPr>
          <w:bCs/>
        </w:rPr>
        <w:t xml:space="preserve"> was the fourteenth meeting of the G20, a forum of 19 countries and the European Union;</w:t>
      </w:r>
    </w:p>
    <w:p w14:paraId="246622FA" w14:textId="53E474DE" w:rsidR="00955678" w:rsidRPr="002D1A2F" w:rsidRDefault="00955678" w:rsidP="00955678">
      <w:pPr>
        <w:pStyle w:val="Bodytext"/>
        <w:spacing w:after="80"/>
      </w:pPr>
      <w:r w:rsidRPr="00955678">
        <w:t>“</w:t>
      </w:r>
      <w:r w:rsidRPr="00955678">
        <w:rPr>
          <w:b/>
        </w:rPr>
        <w:t>Hammerhead</w:t>
      </w:r>
      <w:r w:rsidRPr="00955678">
        <w:t>” means Hammerhead Resources Inc. (formerly Canadian International Oil Corp.);</w:t>
      </w:r>
    </w:p>
    <w:p w14:paraId="06B314D6" w14:textId="77777777" w:rsidR="007E010D" w:rsidRPr="002D1A2F" w:rsidRDefault="007E010D" w:rsidP="007E010D">
      <w:pPr>
        <w:pStyle w:val="Bodytext"/>
        <w:spacing w:after="80"/>
      </w:pPr>
      <w:r w:rsidRPr="002D1A2F">
        <w:t>“</w:t>
      </w:r>
      <w:r w:rsidRPr="002D1A2F">
        <w:rPr>
          <w:b/>
        </w:rPr>
        <w:t>Hunt</w:t>
      </w:r>
      <w:r w:rsidRPr="002D1A2F">
        <w:t xml:space="preserve">” means Hunt REL Holdings LLC together with various members of Ray L. Hunt’s family and their </w:t>
      </w:r>
    </w:p>
    <w:p w14:paraId="1F32FC1C" w14:textId="77777777" w:rsidR="007E010D" w:rsidRPr="002D1A2F" w:rsidRDefault="007E010D" w:rsidP="007E010D">
      <w:pPr>
        <w:pStyle w:val="Bodytext"/>
        <w:spacing w:after="80"/>
      </w:pPr>
      <w:r w:rsidRPr="002D1A2F">
        <w:t>related entities;</w:t>
      </w:r>
    </w:p>
    <w:p w14:paraId="01FE71A7" w14:textId="77777777" w:rsidR="007E010D" w:rsidRPr="002D1A2F" w:rsidRDefault="007E010D" w:rsidP="007E010D">
      <w:pPr>
        <w:pStyle w:val="Bodytext"/>
        <w:spacing w:after="80"/>
      </w:pPr>
      <w:r w:rsidRPr="002D1A2F">
        <w:t>“</w:t>
      </w:r>
      <w:r w:rsidRPr="002D1A2F">
        <w:rPr>
          <w:b/>
        </w:rPr>
        <w:t>IAS</w:t>
      </w:r>
      <w:r w:rsidRPr="002D1A2F">
        <w:t>” means international accounting standards as issued by the Board of the International Accounting Standards Committee;</w:t>
      </w:r>
    </w:p>
    <w:p w14:paraId="195ABEFB" w14:textId="718FABE6" w:rsidR="007E010D" w:rsidRPr="002D1A2F" w:rsidRDefault="007E010D" w:rsidP="007E010D">
      <w:pPr>
        <w:pStyle w:val="Bodytext"/>
        <w:spacing w:after="80"/>
      </w:pPr>
      <w:r w:rsidRPr="002D1A2F">
        <w:t>“</w:t>
      </w:r>
      <w:r w:rsidRPr="002D1A2F">
        <w:rPr>
          <w:b/>
        </w:rPr>
        <w:t>IFRS</w:t>
      </w:r>
      <w:r w:rsidRPr="002D1A2F">
        <w:t>” means the International Financial Reporting Standards</w:t>
      </w:r>
      <w:r w:rsidR="00D156B3">
        <w:t xml:space="preserve"> as adopted by the European Union</w:t>
      </w:r>
      <w:r w:rsidRPr="002D1A2F">
        <w:t>, being the principles-based accounting standards, interpretations and the framework by that name issued by the International Accounting Standards Board;</w:t>
      </w:r>
    </w:p>
    <w:p w14:paraId="495D5636" w14:textId="54B35F9D" w:rsidR="007E010D" w:rsidRPr="008813E2" w:rsidRDefault="007E010D" w:rsidP="007E010D">
      <w:pPr>
        <w:pStyle w:val="Bodytext"/>
        <w:spacing w:after="80"/>
      </w:pPr>
      <w:r w:rsidRPr="008813E2">
        <w:t>“</w:t>
      </w:r>
      <w:r w:rsidRPr="008813E2">
        <w:rPr>
          <w:b/>
        </w:rPr>
        <w:t>ILX III</w:t>
      </w:r>
      <w:r w:rsidRPr="008813E2">
        <w:t>” means ILX Holdings III LLC;</w:t>
      </w:r>
    </w:p>
    <w:p w14:paraId="0067F1F7" w14:textId="0B3A1035" w:rsidR="00343DAD" w:rsidRPr="006C0E66" w:rsidRDefault="00343DAD" w:rsidP="007E010D">
      <w:pPr>
        <w:pStyle w:val="Bodytext"/>
        <w:spacing w:after="80"/>
      </w:pPr>
      <w:r w:rsidRPr="008813E2">
        <w:t>“</w:t>
      </w:r>
      <w:r w:rsidRPr="008813E2">
        <w:rPr>
          <w:b/>
        </w:rPr>
        <w:t>IMO</w:t>
      </w:r>
      <w:r w:rsidRPr="008813E2">
        <w:t>” means the International Maritime Organization (IMO), an agency of the United Nations which has been formed to promote maritime safety;</w:t>
      </w:r>
    </w:p>
    <w:p w14:paraId="1CC13AD9" w14:textId="77777777" w:rsidR="007E010D" w:rsidRPr="002D1A2F" w:rsidRDefault="007E010D" w:rsidP="007E010D">
      <w:pPr>
        <w:pStyle w:val="Bodytext"/>
        <w:spacing w:after="80"/>
      </w:pPr>
      <w:r w:rsidRPr="006C0E66">
        <w:t>“</w:t>
      </w:r>
      <w:r w:rsidRPr="006C0E66">
        <w:rPr>
          <w:b/>
        </w:rPr>
        <w:t>Interim Financial Report</w:t>
      </w:r>
      <w:r w:rsidRPr="006C0E66">
        <w:t>” means the Company’s half yearly report and unaudited interim condensed financial statements for the period ended 30 June;</w:t>
      </w:r>
    </w:p>
    <w:p w14:paraId="3BFB5985" w14:textId="77777777" w:rsidR="007E010D" w:rsidRPr="002D1A2F" w:rsidRDefault="007E010D" w:rsidP="007E010D">
      <w:pPr>
        <w:pStyle w:val="Bodytext"/>
        <w:spacing w:after="80"/>
      </w:pPr>
      <w:r w:rsidRPr="002D1A2F">
        <w:t>“</w:t>
      </w:r>
      <w:r w:rsidRPr="002D1A2F">
        <w:rPr>
          <w:b/>
        </w:rPr>
        <w:t>Investment Manager</w:t>
      </w:r>
      <w:r w:rsidRPr="002D1A2F">
        <w:t>” or “</w:t>
      </w:r>
      <w:r w:rsidRPr="002D1A2F">
        <w:rPr>
          <w:b/>
        </w:rPr>
        <w:t>RIL</w:t>
      </w:r>
      <w:r w:rsidRPr="002D1A2F">
        <w:t>” means Riverstone International Limited which is majority-owned and controlled by Riverstone;</w:t>
      </w:r>
    </w:p>
    <w:p w14:paraId="34A6101E" w14:textId="272D21EC" w:rsidR="007E010D" w:rsidRDefault="007E010D" w:rsidP="007E010D">
      <w:pPr>
        <w:pStyle w:val="Bodytext"/>
        <w:spacing w:after="80"/>
      </w:pPr>
      <w:r w:rsidRPr="002D1A2F">
        <w:t>“</w:t>
      </w:r>
      <w:r w:rsidRPr="002D1A2F">
        <w:rPr>
          <w:b/>
        </w:rPr>
        <w:t>Investment Management Agreement</w:t>
      </w:r>
      <w:r w:rsidRPr="002D1A2F">
        <w:t>” means the investment management agreement dated 24 September 2013 between RIL, the Company and the Partnership (acting through its General Partner) under which RIL is appointed as the Investment Manager of both the Company and the Partnership;</w:t>
      </w:r>
    </w:p>
    <w:p w14:paraId="097B19FA" w14:textId="6D168C1E" w:rsidR="00C170F4" w:rsidRPr="002D1A2F" w:rsidRDefault="00C170F4" w:rsidP="007E010D">
      <w:pPr>
        <w:pStyle w:val="Bodytext"/>
        <w:spacing w:after="80"/>
      </w:pPr>
      <w:r>
        <w:t>“</w:t>
      </w:r>
      <w:r w:rsidRPr="00C170F4">
        <w:rPr>
          <w:b/>
        </w:rPr>
        <w:t>Invested Capital Target Return</w:t>
      </w:r>
      <w:r>
        <w:t>” means, as defined in the Articles, the Gross IRR of 8 per cent. on the portion of the proceeds of the Issue (as such term is defined in the Company’s Prospectus) that have been invested or committed to an investment</w:t>
      </w:r>
      <w:r w:rsidR="00973A20">
        <w:t xml:space="preserve"> (“Invested Capital”) in respect of the period from the dates of investment or commitment of that Invested Capital (being the dates from which a Management Fee has been paid in respect of that Invested Capital) to the seventh anniversary of the first Admission, calculated by reference to the prevailing U.S. dollar valuations (as of the seventh anniversary of the first Admission (or </w:t>
      </w:r>
      <w:r w:rsidR="00973A20">
        <w:lastRenderedPageBreak/>
        <w:t>earlier disposal)) of the investment acquired with that Invested Capital and sales proceeds of investments that have been disposed of prior to such seventh anniversary and taking account of any distributions made on those investments prior to the seventh anniversary of the first Admission</w:t>
      </w:r>
      <w:r>
        <w:t>;</w:t>
      </w:r>
    </w:p>
    <w:p w14:paraId="61C52FB4" w14:textId="77777777" w:rsidR="007E010D" w:rsidRPr="002D1A2F" w:rsidRDefault="007E010D" w:rsidP="007E010D">
      <w:pPr>
        <w:pStyle w:val="Bodytext"/>
        <w:spacing w:after="80"/>
      </w:pPr>
      <w:r w:rsidRPr="002D1A2F">
        <w:t>“</w:t>
      </w:r>
      <w:r w:rsidRPr="002D1A2F">
        <w:rPr>
          <w:b/>
        </w:rPr>
        <w:t>Investment Undertaking</w:t>
      </w:r>
      <w:r w:rsidRPr="002D1A2F">
        <w:t>” means the Partnership, any intermediate holding or investing entities that the Company or the Partnership may establish from time to time for the purposes of efficient portfolio management and to assist with tax planning generally and any subsidiary undertaking of the Company or the Partnership from time to time;</w:t>
      </w:r>
    </w:p>
    <w:p w14:paraId="64C4004E" w14:textId="77777777" w:rsidR="007E010D" w:rsidRPr="002D1A2F" w:rsidRDefault="007E010D" w:rsidP="007E010D">
      <w:pPr>
        <w:pStyle w:val="Bodytext"/>
        <w:spacing w:after="80"/>
      </w:pPr>
      <w:r w:rsidRPr="002D1A2F">
        <w:t>“</w:t>
      </w:r>
      <w:r w:rsidRPr="002D1A2F">
        <w:rPr>
          <w:b/>
        </w:rPr>
        <w:t>IPEV Valuation Guidelines</w:t>
      </w:r>
      <w:r w:rsidRPr="002D1A2F">
        <w:t>” means the International Private Equity and Venture Capital Valuation Guidelines;</w:t>
      </w:r>
    </w:p>
    <w:p w14:paraId="4E4C8A19" w14:textId="77777777" w:rsidR="007E010D" w:rsidRDefault="007E010D" w:rsidP="007E010D">
      <w:pPr>
        <w:pStyle w:val="Bodytext"/>
        <w:spacing w:after="80"/>
      </w:pPr>
      <w:r w:rsidRPr="002D1A2F">
        <w:t>“</w:t>
      </w:r>
      <w:r w:rsidRPr="002D1A2F">
        <w:rPr>
          <w:b/>
        </w:rPr>
        <w:t>IPO</w:t>
      </w:r>
      <w:r w:rsidRPr="002D1A2F">
        <w:t>” means the initial public offering of shares by a private company to the public;</w:t>
      </w:r>
    </w:p>
    <w:p w14:paraId="5C10C2EB" w14:textId="1A6DC7CE" w:rsidR="004E028B" w:rsidRPr="002D1A2F" w:rsidRDefault="004E028B" w:rsidP="007E010D">
      <w:pPr>
        <w:pStyle w:val="Bodytext"/>
        <w:spacing w:after="80"/>
      </w:pPr>
      <w:r>
        <w:t>“</w:t>
      </w:r>
      <w:r w:rsidRPr="004E028B">
        <w:rPr>
          <w:b/>
        </w:rPr>
        <w:t>IRS</w:t>
      </w:r>
      <w:r>
        <w:t xml:space="preserve">” means the Internal Revenue Service, the revenue service of the U.S. federal government; </w:t>
      </w:r>
    </w:p>
    <w:p w14:paraId="695AD226" w14:textId="77777777" w:rsidR="007E010D" w:rsidRPr="002D1A2F" w:rsidRDefault="007E010D" w:rsidP="007E010D">
      <w:pPr>
        <w:pStyle w:val="Bodytext"/>
        <w:spacing w:after="80"/>
      </w:pPr>
      <w:r w:rsidRPr="002D1A2F">
        <w:t>“</w:t>
      </w:r>
      <w:r w:rsidRPr="002D1A2F">
        <w:rPr>
          <w:b/>
        </w:rPr>
        <w:t>ISAE 3402</w:t>
      </w:r>
      <w:r w:rsidRPr="002D1A2F">
        <w:t>” means International Standard on Assurance Engagements 3402, “Assurance Reports on Controls at a Service Organisation”;</w:t>
      </w:r>
    </w:p>
    <w:p w14:paraId="5C3CD950" w14:textId="44BC3078" w:rsidR="007E010D" w:rsidRPr="002D1A2F" w:rsidRDefault="007E010D" w:rsidP="007E010D">
      <w:pPr>
        <w:pStyle w:val="Bodytext"/>
        <w:spacing w:after="80"/>
      </w:pPr>
      <w:r w:rsidRPr="002D1A2F">
        <w:t>“</w:t>
      </w:r>
      <w:r w:rsidRPr="002D1A2F">
        <w:rPr>
          <w:b/>
        </w:rPr>
        <w:t>ISA</w:t>
      </w:r>
      <w:r w:rsidRPr="002D1A2F">
        <w:t xml:space="preserve">” means International Standards on Auditing (UK);  </w:t>
      </w:r>
    </w:p>
    <w:p w14:paraId="2569C647" w14:textId="77777777" w:rsidR="007E010D" w:rsidRPr="002D1A2F" w:rsidRDefault="007E010D" w:rsidP="007E010D">
      <w:pPr>
        <w:pStyle w:val="Bodytext"/>
        <w:spacing w:after="80"/>
      </w:pPr>
      <w:r w:rsidRPr="002D1A2F">
        <w:t>“</w:t>
      </w:r>
      <w:r w:rsidRPr="002D1A2F">
        <w:rPr>
          <w:b/>
        </w:rPr>
        <w:t>ISIN</w:t>
      </w:r>
      <w:r w:rsidRPr="002D1A2F">
        <w:t>” means an International Securities Identification Number;</w:t>
      </w:r>
    </w:p>
    <w:p w14:paraId="65E86111" w14:textId="77777777" w:rsidR="007E010D" w:rsidRPr="002D1A2F" w:rsidRDefault="007E010D" w:rsidP="007E010D">
      <w:pPr>
        <w:pStyle w:val="Bodytext"/>
        <w:spacing w:after="80"/>
      </w:pPr>
      <w:r w:rsidRPr="002D1A2F">
        <w:t>“</w:t>
      </w:r>
      <w:r w:rsidRPr="002D1A2F">
        <w:rPr>
          <w:b/>
        </w:rPr>
        <w:t>KFI</w:t>
      </w:r>
      <w:r w:rsidRPr="002D1A2F">
        <w:t>” means Kendall Family Investments, LLC, a cornerstone investor in the Company;</w:t>
      </w:r>
    </w:p>
    <w:p w14:paraId="1EE0A9C3" w14:textId="77777777" w:rsidR="007E010D" w:rsidRPr="002D1A2F" w:rsidRDefault="007E010D" w:rsidP="007E010D">
      <w:pPr>
        <w:pStyle w:val="Bodytext"/>
        <w:spacing w:after="80"/>
      </w:pPr>
      <w:r w:rsidRPr="002D1A2F">
        <w:t>“</w:t>
      </w:r>
      <w:r w:rsidRPr="002D1A2F">
        <w:rPr>
          <w:b/>
        </w:rPr>
        <w:t>Liberty II</w:t>
      </w:r>
      <w:r w:rsidRPr="002D1A2F">
        <w:t>” means Liberty Resources II LLC;</w:t>
      </w:r>
    </w:p>
    <w:p w14:paraId="2BDD567D" w14:textId="77777777" w:rsidR="007E010D" w:rsidRPr="002D1A2F" w:rsidRDefault="007E010D" w:rsidP="007E010D">
      <w:pPr>
        <w:pStyle w:val="Bodytext"/>
        <w:spacing w:after="80"/>
      </w:pPr>
      <w:r w:rsidRPr="002D1A2F">
        <w:t>“</w:t>
      </w:r>
      <w:r w:rsidRPr="002D1A2F">
        <w:rPr>
          <w:b/>
        </w:rPr>
        <w:t>Listing Rules</w:t>
      </w:r>
      <w:r w:rsidRPr="002D1A2F">
        <w:t>” means the listing rules made by the UK Listing Authority under section 73A Financial Services and Markets Act 2000;</w:t>
      </w:r>
    </w:p>
    <w:p w14:paraId="654BB92C" w14:textId="77777777" w:rsidR="007E010D" w:rsidRPr="002D1A2F" w:rsidRDefault="007E010D" w:rsidP="007E010D">
      <w:pPr>
        <w:pStyle w:val="Bodytext"/>
        <w:spacing w:after="80"/>
      </w:pPr>
      <w:r w:rsidRPr="002D1A2F">
        <w:t>“</w:t>
      </w:r>
      <w:r w:rsidRPr="002D1A2F">
        <w:rPr>
          <w:b/>
        </w:rPr>
        <w:t>London Stock Exchange</w:t>
      </w:r>
      <w:r w:rsidRPr="002D1A2F">
        <w:t>” or “</w:t>
      </w:r>
      <w:r w:rsidRPr="002D1A2F">
        <w:rPr>
          <w:b/>
        </w:rPr>
        <w:t>LSE</w:t>
      </w:r>
      <w:r w:rsidRPr="002D1A2F">
        <w:t>” means London Stock Exchange plc;</w:t>
      </w:r>
    </w:p>
    <w:p w14:paraId="250BBCEE" w14:textId="77777777" w:rsidR="007E010D" w:rsidRPr="002D1A2F" w:rsidRDefault="007E010D" w:rsidP="007E010D">
      <w:pPr>
        <w:pStyle w:val="Bodytext"/>
        <w:spacing w:after="80"/>
      </w:pPr>
      <w:r w:rsidRPr="002D1A2F">
        <w:t>“</w:t>
      </w:r>
      <w:r w:rsidRPr="002D1A2F">
        <w:rPr>
          <w:b/>
        </w:rPr>
        <w:t>LSE Admission Standards</w:t>
      </w:r>
      <w:r w:rsidRPr="002D1A2F">
        <w:t>” means the rules issued by the London Stock Exchange in relation to the admission to trading of, and continuing requirements for, securities admitted to the Official List;</w:t>
      </w:r>
    </w:p>
    <w:p w14:paraId="31FCE506" w14:textId="4830A48E" w:rsidR="008A0676" w:rsidRPr="005C587D" w:rsidRDefault="008A0676" w:rsidP="008A0676">
      <w:pPr>
        <w:pStyle w:val="Bodytext"/>
        <w:spacing w:after="80"/>
      </w:pPr>
      <w:r>
        <w:t>“</w:t>
      </w:r>
      <w:r w:rsidRPr="008A0676">
        <w:rPr>
          <w:b/>
          <w:bCs/>
        </w:rPr>
        <w:t>LTIF</w:t>
      </w:r>
      <w:r>
        <w:t xml:space="preserve">” means Lost Time Injury Frequency </w:t>
      </w:r>
      <w:r w:rsidR="00224993">
        <w:t>r</w:t>
      </w:r>
      <w:r>
        <w:t xml:space="preserve">ate; </w:t>
      </w:r>
    </w:p>
    <w:p w14:paraId="0B46A0C3" w14:textId="0E69373C" w:rsidR="005C587D" w:rsidRPr="005C587D" w:rsidRDefault="005C587D" w:rsidP="007E010D">
      <w:pPr>
        <w:pStyle w:val="Bodytext"/>
        <w:spacing w:after="80"/>
      </w:pPr>
      <w:r>
        <w:t>“</w:t>
      </w:r>
      <w:r>
        <w:rPr>
          <w:b/>
        </w:rPr>
        <w:t>M&amp;A</w:t>
      </w:r>
      <w:r>
        <w:t xml:space="preserve">” means mergers and acquisitions; </w:t>
      </w:r>
    </w:p>
    <w:p w14:paraId="2FB5554A" w14:textId="77777777" w:rsidR="007E010D" w:rsidRPr="002D1A2F" w:rsidRDefault="007E010D" w:rsidP="007E010D">
      <w:pPr>
        <w:pStyle w:val="Bodytext"/>
        <w:spacing w:after="80"/>
      </w:pPr>
      <w:r w:rsidRPr="002D1A2F">
        <w:t>“</w:t>
      </w:r>
      <w:r w:rsidRPr="002D1A2F">
        <w:rPr>
          <w:b/>
        </w:rPr>
        <w:t>Management Engagement Committee</w:t>
      </w:r>
      <w:r w:rsidRPr="002D1A2F">
        <w:t>” means a formal committee of the Board with defined terms of reference;</w:t>
      </w:r>
    </w:p>
    <w:p w14:paraId="5A95C189" w14:textId="77777777" w:rsidR="007E010D" w:rsidRPr="002D1A2F" w:rsidRDefault="007E010D" w:rsidP="007E010D">
      <w:pPr>
        <w:pStyle w:val="Bodytext"/>
        <w:spacing w:after="80"/>
      </w:pPr>
      <w:r w:rsidRPr="002D1A2F">
        <w:t>“</w:t>
      </w:r>
      <w:r w:rsidRPr="002D1A2F">
        <w:rPr>
          <w:b/>
        </w:rPr>
        <w:t>Management Fee</w:t>
      </w:r>
      <w:r w:rsidRPr="002D1A2F">
        <w:t>” means the management fee to which RIL is entitled;</w:t>
      </w:r>
    </w:p>
    <w:p w14:paraId="1BE973BF" w14:textId="77777777" w:rsidR="007E010D" w:rsidRPr="002D1A2F" w:rsidRDefault="007E010D" w:rsidP="007E010D">
      <w:pPr>
        <w:pStyle w:val="Bodytext"/>
        <w:spacing w:after="80"/>
      </w:pPr>
      <w:r w:rsidRPr="002D1A2F">
        <w:t>“</w:t>
      </w:r>
      <w:r w:rsidRPr="002D1A2F">
        <w:rPr>
          <w:b/>
        </w:rPr>
        <w:t>McNair</w:t>
      </w:r>
      <w:r w:rsidRPr="002D1A2F">
        <w:t>” means RCM Financial Services, L.P. for the purposes of acquiring Ordinary Shares and Palmetto for the purposes of acquiring a minority economic interest in the General Partner and the Investment Manager;</w:t>
      </w:r>
    </w:p>
    <w:p w14:paraId="660A306A" w14:textId="77777777" w:rsidR="007E010D" w:rsidRPr="002D1A2F" w:rsidRDefault="007E010D" w:rsidP="007E010D">
      <w:pPr>
        <w:pStyle w:val="Bodytext"/>
        <w:spacing w:after="80"/>
      </w:pPr>
      <w:r w:rsidRPr="002D1A2F">
        <w:t>“</w:t>
      </w:r>
      <w:r w:rsidRPr="002D1A2F">
        <w:rPr>
          <w:b/>
        </w:rPr>
        <w:t>Meritage III</w:t>
      </w:r>
      <w:r w:rsidRPr="002D1A2F">
        <w:t>” means Meritage Midstream Services III, L.P.;</w:t>
      </w:r>
    </w:p>
    <w:p w14:paraId="2FF03E08" w14:textId="77777777" w:rsidR="007E010D" w:rsidRPr="002D1A2F" w:rsidRDefault="007E010D" w:rsidP="007E010D">
      <w:pPr>
        <w:pStyle w:val="Bodytext"/>
        <w:spacing w:after="80"/>
      </w:pPr>
      <w:r w:rsidRPr="002D1A2F">
        <w:t>“</w:t>
      </w:r>
      <w:r w:rsidRPr="002D1A2F">
        <w:rPr>
          <w:b/>
        </w:rPr>
        <w:t>mmboe</w:t>
      </w:r>
      <w:r w:rsidRPr="002D1A2F">
        <w:t>” means million barrels of oil equivalent;</w:t>
      </w:r>
    </w:p>
    <w:p w14:paraId="2E88857C" w14:textId="77777777" w:rsidR="007E010D" w:rsidRPr="002D1A2F" w:rsidRDefault="007E010D" w:rsidP="007E010D">
      <w:pPr>
        <w:pStyle w:val="Bodytext"/>
        <w:spacing w:after="80"/>
      </w:pPr>
      <w:r w:rsidRPr="002D1A2F">
        <w:t>“</w:t>
      </w:r>
      <w:r w:rsidRPr="002D1A2F">
        <w:rPr>
          <w:b/>
        </w:rPr>
        <w:t>mcfe</w:t>
      </w:r>
      <w:r w:rsidRPr="002D1A2F">
        <w:t>” means thousand cubic feet equivalent (natural gas);</w:t>
      </w:r>
    </w:p>
    <w:p w14:paraId="2C389131" w14:textId="5EEF69BF" w:rsidR="007E010D" w:rsidRPr="006C0E66" w:rsidRDefault="007E010D" w:rsidP="007E010D">
      <w:pPr>
        <w:pStyle w:val="Bodytext"/>
        <w:spacing w:after="80"/>
      </w:pPr>
      <w:r w:rsidRPr="006C0E66">
        <w:t>“</w:t>
      </w:r>
      <w:r w:rsidRPr="006C0E66">
        <w:rPr>
          <w:b/>
        </w:rPr>
        <w:t>NASDAQ</w:t>
      </w:r>
      <w:r w:rsidRPr="006C0E66">
        <w:t>” means National Association of Securities Dealers Automated Quotations</w:t>
      </w:r>
    </w:p>
    <w:p w14:paraId="1126DD72" w14:textId="77777777" w:rsidR="007E010D" w:rsidRPr="006C0E66" w:rsidRDefault="007E010D" w:rsidP="007E010D">
      <w:pPr>
        <w:pStyle w:val="Bodytext"/>
        <w:spacing w:after="80"/>
      </w:pPr>
      <w:r w:rsidRPr="006C0E66">
        <w:t xml:space="preserve">Stock Market; </w:t>
      </w:r>
    </w:p>
    <w:p w14:paraId="1B0A0D52" w14:textId="77777777" w:rsidR="007E010D" w:rsidRPr="006C0E66" w:rsidRDefault="007E010D" w:rsidP="007E010D">
      <w:pPr>
        <w:pStyle w:val="Bodytext"/>
        <w:spacing w:after="80"/>
      </w:pPr>
      <w:r w:rsidRPr="006C0E66">
        <w:t>“</w:t>
      </w:r>
      <w:r w:rsidRPr="006C0E66">
        <w:rPr>
          <w:b/>
        </w:rPr>
        <w:t>NAV per Share</w:t>
      </w:r>
      <w:r w:rsidRPr="006C0E66">
        <w:t>” means the Net Asset Value per Ordinary Share;</w:t>
      </w:r>
    </w:p>
    <w:p w14:paraId="6BADD163" w14:textId="77777777" w:rsidR="007E010D" w:rsidRPr="006C0E66" w:rsidRDefault="007E010D" w:rsidP="007E010D">
      <w:pPr>
        <w:pStyle w:val="Bodytext"/>
        <w:spacing w:after="80"/>
      </w:pPr>
      <w:r w:rsidRPr="006C0E66">
        <w:t>“</w:t>
      </w:r>
      <w:r w:rsidRPr="006C0E66">
        <w:rPr>
          <w:b/>
        </w:rPr>
        <w:t>Net Asset Value</w:t>
      </w:r>
      <w:r w:rsidRPr="006C0E66">
        <w:t>” or “</w:t>
      </w:r>
      <w:r w:rsidRPr="006C0E66">
        <w:rPr>
          <w:b/>
        </w:rPr>
        <w:t>NAV</w:t>
      </w:r>
      <w:r w:rsidRPr="006C0E66">
        <w:t>” means the value of the assets of the Company less its liabilities as calculated in accordance with the Company’s valuation policy and expressed in U.S. dollars;</w:t>
      </w:r>
    </w:p>
    <w:p w14:paraId="0646B190" w14:textId="77777777" w:rsidR="007E010D" w:rsidRPr="006C0E66" w:rsidRDefault="007E010D" w:rsidP="007E010D">
      <w:pPr>
        <w:pStyle w:val="Bodytext"/>
        <w:spacing w:after="80"/>
      </w:pPr>
      <w:r w:rsidRPr="006C0E66">
        <w:t>“</w:t>
      </w:r>
      <w:r w:rsidRPr="006C0E66">
        <w:rPr>
          <w:b/>
        </w:rPr>
        <w:t>Net IRR</w:t>
      </w:r>
      <w:r w:rsidRPr="006C0E66">
        <w:t>” means an aggregate, annual, compound, gross internal rate of return on investments, net of taxes and carried interest on gross profit;</w:t>
      </w:r>
    </w:p>
    <w:p w14:paraId="611698AF" w14:textId="62284C17" w:rsidR="007E010D" w:rsidRDefault="007E010D" w:rsidP="007E010D">
      <w:pPr>
        <w:pStyle w:val="Bodytext"/>
        <w:spacing w:after="80"/>
      </w:pPr>
      <w:r w:rsidRPr="006C0E66">
        <w:t>“</w:t>
      </w:r>
      <w:r w:rsidRPr="006C0E66">
        <w:rPr>
          <w:b/>
        </w:rPr>
        <w:t>Net MOIC</w:t>
      </w:r>
      <w:r w:rsidRPr="006C0E66">
        <w:t>” means gross multiple of invested capital net of taxes and carried interest on gross profit;</w:t>
      </w:r>
    </w:p>
    <w:p w14:paraId="3EFBF2D6" w14:textId="62E073EA" w:rsidR="00DF68E3" w:rsidRPr="006C0E66" w:rsidRDefault="00DF68E3" w:rsidP="007E010D">
      <w:pPr>
        <w:pStyle w:val="Bodytext"/>
        <w:spacing w:after="80"/>
      </w:pPr>
      <w:r w:rsidRPr="00DF68E3">
        <w:t>"</w:t>
      </w:r>
      <w:r w:rsidRPr="00DF68E3">
        <w:rPr>
          <w:b/>
        </w:rPr>
        <w:t>Net Profits</w:t>
      </w:r>
      <w:r w:rsidRPr="00DF68E3">
        <w:t>" means the proceeds received from each realised investment (after the expenses related to its disposal) minus the acquisition pr</w:t>
      </w:r>
      <w:r>
        <w:t>ice of that realised investment;</w:t>
      </w:r>
    </w:p>
    <w:p w14:paraId="3AEC5455" w14:textId="77777777" w:rsidR="007E010D" w:rsidRPr="006C0E66" w:rsidRDefault="007E010D" w:rsidP="007E010D">
      <w:pPr>
        <w:pStyle w:val="Bodytext"/>
        <w:spacing w:after="80"/>
      </w:pPr>
      <w:r w:rsidRPr="006C0E66">
        <w:t>“</w:t>
      </w:r>
      <w:r w:rsidRPr="006C0E66">
        <w:rPr>
          <w:b/>
        </w:rPr>
        <w:t>Nomination Committee</w:t>
      </w:r>
      <w:r w:rsidRPr="006C0E66">
        <w:t>” means a formal committee of the Board with defined terms of reference;</w:t>
      </w:r>
    </w:p>
    <w:p w14:paraId="176C03CB" w14:textId="77777777" w:rsidR="007E010D" w:rsidRPr="006C0E66" w:rsidRDefault="007E010D" w:rsidP="007E010D">
      <w:pPr>
        <w:pStyle w:val="Bodytext"/>
        <w:spacing w:after="80"/>
      </w:pPr>
      <w:r w:rsidRPr="006C0E66">
        <w:t>“</w:t>
      </w:r>
      <w:r w:rsidRPr="006C0E66">
        <w:rPr>
          <w:b/>
        </w:rPr>
        <w:t>NURS</w:t>
      </w:r>
      <w:r w:rsidRPr="006C0E66">
        <w:t>” means non-UCITS retail schemes;</w:t>
      </w:r>
    </w:p>
    <w:p w14:paraId="25DA3E17" w14:textId="77777777" w:rsidR="007E010D" w:rsidRPr="006C0E66" w:rsidRDefault="007E010D" w:rsidP="007E010D">
      <w:pPr>
        <w:pStyle w:val="Bodytext"/>
        <w:spacing w:after="80"/>
      </w:pPr>
      <w:r w:rsidRPr="006C0E66">
        <w:t>“</w:t>
      </w:r>
      <w:r w:rsidRPr="006C0E66">
        <w:rPr>
          <w:b/>
        </w:rPr>
        <w:t>NYSE</w:t>
      </w:r>
      <w:r w:rsidRPr="006C0E66">
        <w:t xml:space="preserve">” means The New York Stock Exchange; </w:t>
      </w:r>
    </w:p>
    <w:p w14:paraId="408CCCCD" w14:textId="321D0D90" w:rsidR="007E010D" w:rsidRDefault="007E010D" w:rsidP="007E010D">
      <w:pPr>
        <w:pStyle w:val="Bodytext"/>
        <w:spacing w:after="80"/>
      </w:pPr>
      <w:r w:rsidRPr="006C0E66">
        <w:t>“</w:t>
      </w:r>
      <w:r w:rsidRPr="006C0E66">
        <w:rPr>
          <w:b/>
        </w:rPr>
        <w:t>Official List</w:t>
      </w:r>
      <w:r w:rsidRPr="006C0E66">
        <w:t>” is the list maintained by the Financial Conduct Authority (acting in its capacity as the UK Listing Authority) in accordance with Section 74(1) of the Financial Services and Markets Act 2000;</w:t>
      </w:r>
    </w:p>
    <w:p w14:paraId="1F9E2102" w14:textId="0B07FB1A" w:rsidR="00343DAD" w:rsidRPr="006C0E66" w:rsidRDefault="00343DAD" w:rsidP="007E010D">
      <w:pPr>
        <w:pStyle w:val="Bodytext"/>
        <w:spacing w:after="80"/>
      </w:pPr>
      <w:r>
        <w:t>“</w:t>
      </w:r>
      <w:r w:rsidRPr="007A53ED">
        <w:rPr>
          <w:b/>
        </w:rPr>
        <w:t>Onyx</w:t>
      </w:r>
      <w:r w:rsidR="00A71B6D">
        <w:rPr>
          <w:b/>
        </w:rPr>
        <w:t xml:space="preserve"> Power</w:t>
      </w:r>
      <w:r>
        <w:t>” means Onyx Strategic Investment Management I BV;</w:t>
      </w:r>
    </w:p>
    <w:p w14:paraId="7499A325" w14:textId="77777777" w:rsidR="007E010D" w:rsidRPr="006C0E66" w:rsidRDefault="007E010D" w:rsidP="007E010D">
      <w:pPr>
        <w:pStyle w:val="Bodytext"/>
        <w:spacing w:after="80"/>
      </w:pPr>
      <w:r w:rsidRPr="006C0E66">
        <w:t>“</w:t>
      </w:r>
      <w:r w:rsidRPr="006C0E66">
        <w:rPr>
          <w:b/>
        </w:rPr>
        <w:t>OPEC</w:t>
      </w:r>
      <w:r w:rsidRPr="006C0E66">
        <w:t>” means Organisation of the Petroleum Exporting Countries;</w:t>
      </w:r>
    </w:p>
    <w:p w14:paraId="4514B801" w14:textId="77777777" w:rsidR="007E010D" w:rsidRPr="006C0E66" w:rsidRDefault="007E010D" w:rsidP="007E010D">
      <w:pPr>
        <w:pStyle w:val="Bodytext"/>
        <w:spacing w:after="80"/>
      </w:pPr>
      <w:r w:rsidRPr="006C0E66">
        <w:t>“</w:t>
      </w:r>
      <w:r w:rsidRPr="006C0E66">
        <w:rPr>
          <w:b/>
        </w:rPr>
        <w:t>Ordinary Shares</w:t>
      </w:r>
      <w:r w:rsidRPr="006C0E66">
        <w:t>” means redeemable ordinary shares of no par value in the capital of the Company issued and designated as “Ordinary Shares” and having the rights, restrictions and entitlements set out in the Articles;</w:t>
      </w:r>
    </w:p>
    <w:p w14:paraId="46E3D80D" w14:textId="77777777" w:rsidR="007E010D" w:rsidRPr="006C0E66" w:rsidRDefault="007E010D" w:rsidP="007E010D">
      <w:pPr>
        <w:pStyle w:val="Bodytext"/>
        <w:spacing w:after="80"/>
      </w:pPr>
      <w:r w:rsidRPr="006C0E66">
        <w:lastRenderedPageBreak/>
        <w:t>“</w:t>
      </w:r>
      <w:r w:rsidRPr="006C0E66">
        <w:rPr>
          <w:b/>
        </w:rPr>
        <w:t>Origo</w:t>
      </w:r>
      <w:r w:rsidRPr="006C0E66">
        <w:t>” means Origo Exploration Holding AS;</w:t>
      </w:r>
    </w:p>
    <w:p w14:paraId="2DE454D3" w14:textId="35F562DA" w:rsidR="007E010D" w:rsidRPr="006C0E66" w:rsidRDefault="007E010D" w:rsidP="007E010D">
      <w:pPr>
        <w:pStyle w:val="Bodytext"/>
        <w:spacing w:after="80"/>
      </w:pPr>
      <w:r w:rsidRPr="006C0E66">
        <w:t>“</w:t>
      </w:r>
      <w:r w:rsidRPr="006C0E66">
        <w:rPr>
          <w:b/>
        </w:rPr>
        <w:t>Other Riverstone Funds</w:t>
      </w:r>
      <w:r w:rsidRPr="006C0E66">
        <w:t>” means other Riverstone-sponsored, controlled or managed entities, including Fund V/VI, which are or may in the future be managed or advised by the Investment Manager or one or more of its affiliates, excluding the Partnership;</w:t>
      </w:r>
    </w:p>
    <w:p w14:paraId="2B96DDEC" w14:textId="77777777" w:rsidR="007E010D" w:rsidRPr="006C0E66" w:rsidRDefault="007E010D" w:rsidP="007E010D">
      <w:pPr>
        <w:pStyle w:val="Bodytext"/>
        <w:spacing w:after="80"/>
      </w:pPr>
      <w:r w:rsidRPr="006C0E66">
        <w:t>“</w:t>
      </w:r>
      <w:r w:rsidRPr="006C0E66">
        <w:rPr>
          <w:b/>
        </w:rPr>
        <w:t>Partnership</w:t>
      </w:r>
      <w:r w:rsidRPr="006C0E66">
        <w:t>” or “</w:t>
      </w:r>
      <w:r w:rsidRPr="006C0E66">
        <w:rPr>
          <w:b/>
        </w:rPr>
        <w:t>RELIP</w:t>
      </w:r>
      <w:r w:rsidRPr="006C0E66">
        <w:t>” means Riverstone Energy Investment Partnership, LP, the Investment Undertaking in which the Company is the sole limited partner;</w:t>
      </w:r>
    </w:p>
    <w:p w14:paraId="55CC7436" w14:textId="77777777" w:rsidR="007E010D" w:rsidRPr="006C0E66" w:rsidRDefault="007E010D" w:rsidP="007E010D">
      <w:pPr>
        <w:pStyle w:val="Bodytext"/>
        <w:spacing w:after="80"/>
      </w:pPr>
      <w:r w:rsidRPr="006C0E66">
        <w:t>“</w:t>
      </w:r>
      <w:r w:rsidRPr="006C0E66">
        <w:rPr>
          <w:b/>
        </w:rPr>
        <w:t>Partnership Agreement</w:t>
      </w:r>
      <w:r w:rsidRPr="006C0E66">
        <w:t>” means the partnership agreement in respect of the Partnership between inter alios the Company as the sole limited partner and the General Partner as the sole general partner dated 23 September 2013;</w:t>
      </w:r>
    </w:p>
    <w:p w14:paraId="1F930E6A" w14:textId="77777777" w:rsidR="007E010D" w:rsidRPr="006C0E66" w:rsidRDefault="007E010D" w:rsidP="007E010D">
      <w:pPr>
        <w:pStyle w:val="Bodytext"/>
        <w:spacing w:after="80"/>
      </w:pPr>
      <w:r w:rsidRPr="006C0E66">
        <w:t>“</w:t>
      </w:r>
      <w:r w:rsidRPr="006C0E66">
        <w:rPr>
          <w:b/>
        </w:rPr>
        <w:t>Performance Allocation</w:t>
      </w:r>
      <w:r w:rsidRPr="006C0E66">
        <w:t>” means the Performance Allocation to which the General Partner is entitled;</w:t>
      </w:r>
    </w:p>
    <w:p w14:paraId="679CC755" w14:textId="1D497564" w:rsidR="007E010D" w:rsidRPr="006C0E66" w:rsidRDefault="007E010D" w:rsidP="007E010D">
      <w:pPr>
        <w:pStyle w:val="Bodytext"/>
        <w:spacing w:after="80"/>
      </w:pPr>
      <w:r w:rsidRPr="006C0E66">
        <w:t>“</w:t>
      </w:r>
      <w:r w:rsidRPr="006C0E66">
        <w:rPr>
          <w:b/>
        </w:rPr>
        <w:t>Placing and Open Offer</w:t>
      </w:r>
      <w:r w:rsidRPr="006C0E66">
        <w:t>” means the issuance of 8,448,006 new Ordinary Shares at £8.00 per Ordinary Share on 11 December 2015</w:t>
      </w:r>
      <w:r w:rsidR="009B39A2" w:rsidRPr="006C0E66">
        <w:t>;</w:t>
      </w:r>
    </w:p>
    <w:p w14:paraId="0497E505" w14:textId="77777777" w:rsidR="007E010D" w:rsidRPr="006C0E66" w:rsidRDefault="007E010D" w:rsidP="007E010D">
      <w:pPr>
        <w:pStyle w:val="Bodytext"/>
        <w:spacing w:after="80"/>
      </w:pPr>
      <w:r w:rsidRPr="006C0E66">
        <w:t>“</w:t>
      </w:r>
      <w:r w:rsidRPr="006C0E66">
        <w:rPr>
          <w:b/>
        </w:rPr>
        <w:t>POI Law</w:t>
      </w:r>
      <w:r w:rsidRPr="006C0E66">
        <w:t>” means the Protection of Investors (Bailiwick of Guernsey) Law, 1987;</w:t>
      </w:r>
    </w:p>
    <w:p w14:paraId="52399BD3" w14:textId="77777777" w:rsidR="007E010D" w:rsidRPr="006C0E66" w:rsidRDefault="007E010D" w:rsidP="007E010D">
      <w:pPr>
        <w:pStyle w:val="Bodytext"/>
        <w:spacing w:after="80"/>
      </w:pPr>
      <w:r w:rsidRPr="006C0E66">
        <w:t>“</w:t>
      </w:r>
      <w:r w:rsidRPr="006C0E66">
        <w:rPr>
          <w:b/>
        </w:rPr>
        <w:t>Private Riverstone Funds</w:t>
      </w:r>
      <w:r w:rsidRPr="006C0E66">
        <w:t>” means Fund V and all other private multi-investor, multi-investment funds that are launched after Admission and are managed or advised by the Investment Manager (or one or more of its affiliates) and excludes Riverstone employee co-investment vehicles and any Riverstone managed or advised private co-investment vehicles that invest alongside either Fund V or any multi-investor multi-investment funds that the Investment Manager (or one or more of its affiliates) launches after Admission;</w:t>
      </w:r>
    </w:p>
    <w:p w14:paraId="071BD189" w14:textId="6BAC8284" w:rsidR="007E010D" w:rsidRDefault="007E010D" w:rsidP="007E010D">
      <w:pPr>
        <w:pStyle w:val="Bodytext"/>
        <w:spacing w:after="80"/>
      </w:pPr>
      <w:r w:rsidRPr="006C0E66">
        <w:t>“</w:t>
      </w:r>
      <w:r w:rsidRPr="008630CF">
        <w:rPr>
          <w:b/>
        </w:rPr>
        <w:t>Prospectuses</w:t>
      </w:r>
      <w:r w:rsidRPr="008630CF">
        <w:t>” means</w:t>
      </w:r>
      <w:r w:rsidRPr="006C0E66">
        <w:t xml:space="preserve"> the prospectus published on 24 September 2013 by the Company in connection with the IPO of Ordinary Shares and further prospectus published</w:t>
      </w:r>
      <w:r w:rsidRPr="002D1A2F">
        <w:t xml:space="preserve"> on 23 November 2015;</w:t>
      </w:r>
    </w:p>
    <w:p w14:paraId="1E0BC8E7" w14:textId="72C02983" w:rsidR="00FE1D35" w:rsidRDefault="00FE1D35" w:rsidP="007E010D">
      <w:pPr>
        <w:pStyle w:val="Bodytext"/>
        <w:spacing w:after="80"/>
      </w:pPr>
      <w:r>
        <w:t>“</w:t>
      </w:r>
      <w:r w:rsidRPr="00FE1D35">
        <w:rPr>
          <w:b/>
        </w:rPr>
        <w:t>PRT</w:t>
      </w:r>
      <w:r>
        <w:t>” means Riverstone Performance Review Team;</w:t>
      </w:r>
    </w:p>
    <w:p w14:paraId="51057ACE" w14:textId="07A726CE" w:rsidR="00343DAD" w:rsidRPr="002D1A2F" w:rsidRDefault="00343DAD" w:rsidP="007E010D">
      <w:pPr>
        <w:pStyle w:val="Bodytext"/>
        <w:spacing w:after="80"/>
      </w:pPr>
      <w:r w:rsidRPr="008813E2">
        <w:rPr>
          <w:b/>
        </w:rPr>
        <w:t xml:space="preserve">“PSA” </w:t>
      </w:r>
      <w:r w:rsidRPr="008813E2">
        <w:t>means a public service announcement;</w:t>
      </w:r>
    </w:p>
    <w:p w14:paraId="72C9A226" w14:textId="4454054A" w:rsidR="007E010D" w:rsidRPr="002D1A2F" w:rsidRDefault="007E010D" w:rsidP="007E010D">
      <w:pPr>
        <w:pStyle w:val="Bodytext"/>
        <w:spacing w:after="80"/>
      </w:pPr>
      <w:r w:rsidRPr="002D1A2F">
        <w:t>“</w:t>
      </w:r>
      <w:r w:rsidRPr="002D1A2F">
        <w:rPr>
          <w:b/>
        </w:rPr>
        <w:t>Qualifying Investments</w:t>
      </w:r>
      <w:r w:rsidRPr="002D1A2F">
        <w:t>” means all investments in which Private Riverstone Funds participate which are consistent with the Company’s investment objective where the aggregate equity investment in each such investment (including equity committed for future investment) available to the relevant Private Riverstone Fund and the Company (and other co-investees, if any, procured by the Investment Manager or its affiliates) is $100 million or greater, but excluding any investments made by Private Riverstone Funds where both (a) a majority of the Company’s independent directors and (b) the Investment Manager have agreed that the Company should not participate;</w:t>
      </w:r>
    </w:p>
    <w:p w14:paraId="3C5E8C3B" w14:textId="77777777" w:rsidR="007E010D" w:rsidRPr="002D1A2F" w:rsidRDefault="007E010D" w:rsidP="007E010D">
      <w:pPr>
        <w:pStyle w:val="Bodytext"/>
        <w:spacing w:after="80"/>
      </w:pPr>
      <w:r w:rsidRPr="002D1A2F">
        <w:t>“</w:t>
      </w:r>
      <w:r w:rsidRPr="002D1A2F">
        <w:rPr>
          <w:b/>
        </w:rPr>
        <w:t>RCO</w:t>
      </w:r>
      <w:r w:rsidRPr="002D1A2F">
        <w:t>” means Riverstone Credit Opportunities, L.P.;</w:t>
      </w:r>
    </w:p>
    <w:p w14:paraId="53BF321E" w14:textId="64923DD2" w:rsidR="007E010D" w:rsidRPr="002D1A2F" w:rsidRDefault="007E010D" w:rsidP="007E010D">
      <w:pPr>
        <w:pStyle w:val="Bodytext"/>
        <w:spacing w:after="80"/>
      </w:pPr>
      <w:r w:rsidRPr="002D1A2F">
        <w:t>“</w:t>
      </w:r>
      <w:r w:rsidRPr="002D1A2F">
        <w:rPr>
          <w:b/>
        </w:rPr>
        <w:t>RELCP</w:t>
      </w:r>
      <w:r w:rsidRPr="002D1A2F">
        <w:t>” means Riverstone Energy Limited Capital Partners, LP (acting by its general partner Riverstone Holdings II (Cayman) Ltd.) a Cayman exempted limited partnership controlled by affiliates of Riverstone;</w:t>
      </w:r>
    </w:p>
    <w:p w14:paraId="3B0C86E1" w14:textId="2948F5BD" w:rsidR="00A71B6D" w:rsidRDefault="00A71B6D" w:rsidP="007E010D">
      <w:pPr>
        <w:pStyle w:val="Bodytext"/>
        <w:spacing w:after="80"/>
      </w:pPr>
      <w:r>
        <w:t>“</w:t>
      </w:r>
      <w:r w:rsidRPr="00A71B6D">
        <w:rPr>
          <w:b/>
          <w:bCs/>
        </w:rPr>
        <w:t>Ridgebury H3</w:t>
      </w:r>
      <w:r>
        <w:t xml:space="preserve">” means Ridgebury H3, LLC; </w:t>
      </w:r>
    </w:p>
    <w:p w14:paraId="68F2783F" w14:textId="4C38D33C" w:rsidR="007E010D" w:rsidRPr="002D1A2F" w:rsidRDefault="007E010D" w:rsidP="007E010D">
      <w:pPr>
        <w:pStyle w:val="Bodytext"/>
        <w:spacing w:after="80"/>
      </w:pPr>
      <w:r w:rsidRPr="002D1A2F">
        <w:t>“</w:t>
      </w:r>
      <w:r w:rsidRPr="002D1A2F">
        <w:rPr>
          <w:b/>
        </w:rPr>
        <w:t>RIL</w:t>
      </w:r>
      <w:r w:rsidRPr="002D1A2F">
        <w:t>” or “</w:t>
      </w:r>
      <w:r w:rsidRPr="002D1A2F">
        <w:rPr>
          <w:b/>
        </w:rPr>
        <w:t>Investment Manager</w:t>
      </w:r>
      <w:r w:rsidRPr="002D1A2F">
        <w:t>” means Riverstone International Limited;</w:t>
      </w:r>
    </w:p>
    <w:p w14:paraId="38FBF070" w14:textId="77777777" w:rsidR="007E010D" w:rsidRPr="002D1A2F" w:rsidRDefault="007E010D" w:rsidP="007E010D">
      <w:pPr>
        <w:pStyle w:val="Bodytext"/>
        <w:spacing w:after="80"/>
      </w:pPr>
      <w:r w:rsidRPr="002D1A2F">
        <w:t>“</w:t>
      </w:r>
      <w:r w:rsidRPr="002D1A2F">
        <w:rPr>
          <w:b/>
        </w:rPr>
        <w:t>Riverstone</w:t>
      </w:r>
      <w:r w:rsidRPr="002D1A2F">
        <w:t>” means Riverstone Holdings LLC and its affiliated entities (other than the Investment Manager and the General Partner), as the context may require;</w:t>
      </w:r>
    </w:p>
    <w:p w14:paraId="3443D394" w14:textId="77777777" w:rsidR="007E010D" w:rsidRPr="002D1A2F" w:rsidRDefault="007E010D" w:rsidP="007E010D">
      <w:pPr>
        <w:pStyle w:val="Bodytext"/>
        <w:spacing w:after="80"/>
      </w:pPr>
      <w:r w:rsidRPr="002D1A2F">
        <w:t>“</w:t>
      </w:r>
      <w:r w:rsidRPr="002D1A2F">
        <w:rPr>
          <w:b/>
        </w:rPr>
        <w:t>Rock Oil</w:t>
      </w:r>
      <w:r w:rsidRPr="002D1A2F">
        <w:t>” means Rock Oil Holdings, LLC;</w:t>
      </w:r>
    </w:p>
    <w:p w14:paraId="09DF0F90" w14:textId="404C6CCF" w:rsidR="005C587D" w:rsidRDefault="005C587D" w:rsidP="007E010D">
      <w:pPr>
        <w:pStyle w:val="Bodytext"/>
        <w:spacing w:after="80"/>
      </w:pPr>
      <w:r>
        <w:t>“</w:t>
      </w:r>
      <w:r>
        <w:rPr>
          <w:b/>
        </w:rPr>
        <w:t>S&amp;P Index</w:t>
      </w:r>
      <w:r>
        <w:t>” means the Standard &amp; Poor’s 500 Index</w:t>
      </w:r>
      <w:r w:rsidR="005E1FD7">
        <w:t xml:space="preserve">; </w:t>
      </w:r>
    </w:p>
    <w:p w14:paraId="4EF71784" w14:textId="6CB7B718" w:rsidR="005E1FD7" w:rsidRPr="005E1FD7" w:rsidRDefault="005E1FD7" w:rsidP="007E010D">
      <w:pPr>
        <w:pStyle w:val="Bodytext"/>
        <w:spacing w:after="80"/>
      </w:pPr>
      <w:r>
        <w:t>“</w:t>
      </w:r>
      <w:r>
        <w:rPr>
          <w:b/>
        </w:rPr>
        <w:t>S&amp;P Oil &amp; Gas E&amp;P Index</w:t>
      </w:r>
      <w:r>
        <w:t xml:space="preserve">” means the Standard &amp; Poor’s Oil &amp; Gas Exploration &amp; Production Select Industry Index; </w:t>
      </w:r>
    </w:p>
    <w:p w14:paraId="291894E8" w14:textId="77777777" w:rsidR="007E010D" w:rsidRPr="002D1A2F" w:rsidRDefault="007E010D" w:rsidP="007E010D">
      <w:pPr>
        <w:pStyle w:val="Bodytext"/>
        <w:spacing w:after="80"/>
      </w:pPr>
      <w:r w:rsidRPr="002D1A2F">
        <w:t>“</w:t>
      </w:r>
      <w:r w:rsidRPr="002D1A2F">
        <w:rPr>
          <w:b/>
        </w:rPr>
        <w:t>SCOOP</w:t>
      </w:r>
      <w:r w:rsidRPr="002D1A2F">
        <w:t>” means South Central Oklahoma Oil Province;</w:t>
      </w:r>
    </w:p>
    <w:p w14:paraId="2F154E57" w14:textId="77777777" w:rsidR="007E010D" w:rsidRPr="002D1A2F" w:rsidRDefault="007E010D" w:rsidP="007E010D">
      <w:pPr>
        <w:pStyle w:val="Bodytext"/>
        <w:spacing w:after="80"/>
      </w:pPr>
      <w:r w:rsidRPr="002D1A2F">
        <w:t>“</w:t>
      </w:r>
      <w:r w:rsidRPr="002D1A2F">
        <w:rPr>
          <w:b/>
        </w:rPr>
        <w:t>SEC</w:t>
      </w:r>
      <w:r w:rsidRPr="002D1A2F">
        <w:t>” means the U.S. Securities and Exchange Commission;</w:t>
      </w:r>
    </w:p>
    <w:p w14:paraId="5F6B3313" w14:textId="77777777" w:rsidR="007E010D" w:rsidRPr="002D1A2F" w:rsidRDefault="007E010D" w:rsidP="007E010D">
      <w:pPr>
        <w:pStyle w:val="Bodytext"/>
        <w:spacing w:after="80"/>
      </w:pPr>
      <w:r w:rsidRPr="002D1A2F">
        <w:t>“</w:t>
      </w:r>
      <w:r w:rsidRPr="002D1A2F">
        <w:rPr>
          <w:b/>
        </w:rPr>
        <w:t>Sierra</w:t>
      </w:r>
      <w:r w:rsidRPr="002D1A2F">
        <w:t>” means Sierra Oil and Gas Holdings, L.P.;</w:t>
      </w:r>
    </w:p>
    <w:p w14:paraId="2E934714" w14:textId="6C920E1F" w:rsidR="007E010D" w:rsidRPr="002D1A2F" w:rsidRDefault="007E010D" w:rsidP="007E010D">
      <w:pPr>
        <w:pStyle w:val="Bodytext"/>
        <w:spacing w:after="80"/>
      </w:pPr>
      <w:r w:rsidRPr="00343DAD">
        <w:t>“</w:t>
      </w:r>
      <w:r w:rsidRPr="00343DAD">
        <w:rPr>
          <w:b/>
        </w:rPr>
        <w:t>SIFI</w:t>
      </w:r>
      <w:r w:rsidRPr="00343DAD">
        <w:t>” means Systemically Important Financial Institutions</w:t>
      </w:r>
      <w:r w:rsidR="00343DAD" w:rsidRPr="00343DAD">
        <w:t xml:space="preserve">; </w:t>
      </w:r>
    </w:p>
    <w:p w14:paraId="631AA8AC" w14:textId="6A8FA622" w:rsidR="007E010D" w:rsidRDefault="007E010D" w:rsidP="007E010D">
      <w:pPr>
        <w:pStyle w:val="Bodytext"/>
        <w:spacing w:after="80"/>
      </w:pPr>
      <w:r w:rsidRPr="002D1A2F">
        <w:t>“</w:t>
      </w:r>
      <w:r w:rsidRPr="002D1A2F">
        <w:rPr>
          <w:b/>
        </w:rPr>
        <w:t>Shareholder</w:t>
      </w:r>
      <w:r w:rsidRPr="002D1A2F">
        <w:t>” means the holder of one or more Ordinary Shares;</w:t>
      </w:r>
    </w:p>
    <w:p w14:paraId="23E56296" w14:textId="5059B897" w:rsidR="002174F2" w:rsidRDefault="002174F2" w:rsidP="007E010D">
      <w:pPr>
        <w:pStyle w:val="Bodytext"/>
        <w:spacing w:after="80"/>
      </w:pPr>
      <w:r>
        <w:t>“</w:t>
      </w:r>
      <w:r w:rsidRPr="0007340D">
        <w:rPr>
          <w:b/>
        </w:rPr>
        <w:t>SPPI</w:t>
      </w:r>
      <w:r>
        <w:t>” means solely payments of principal and interest;</w:t>
      </w:r>
    </w:p>
    <w:p w14:paraId="1D0B50E6" w14:textId="709AE081" w:rsidR="0007340D" w:rsidRPr="002D1A2F" w:rsidRDefault="0007340D" w:rsidP="007E010D">
      <w:pPr>
        <w:pStyle w:val="Bodytext"/>
        <w:spacing w:after="80"/>
      </w:pPr>
      <w:r>
        <w:t>“</w:t>
      </w:r>
      <w:r w:rsidRPr="0007340D">
        <w:rPr>
          <w:b/>
        </w:rPr>
        <w:t>Standing Committee</w:t>
      </w:r>
      <w:r>
        <w:t>” means a formal committee of the Board with defined terms of reference;</w:t>
      </w:r>
    </w:p>
    <w:p w14:paraId="10C5C998" w14:textId="0D7F9EC2" w:rsidR="007E010D" w:rsidRDefault="007E010D" w:rsidP="007E010D">
      <w:pPr>
        <w:pStyle w:val="Bodytext"/>
        <w:spacing w:after="80"/>
      </w:pPr>
      <w:r w:rsidRPr="002D1A2F">
        <w:t>“</w:t>
      </w:r>
      <w:r w:rsidRPr="002D1A2F">
        <w:rPr>
          <w:b/>
        </w:rPr>
        <w:t>Stewardship Code</w:t>
      </w:r>
      <w:r w:rsidRPr="002D1A2F">
        <w:t>” means the UK Stewardship Code;</w:t>
      </w:r>
    </w:p>
    <w:p w14:paraId="73FA26B4" w14:textId="33092D1B" w:rsidR="00C170F4" w:rsidRPr="002D1A2F" w:rsidRDefault="00C170F4" w:rsidP="007E010D">
      <w:pPr>
        <w:pStyle w:val="Bodytext"/>
        <w:spacing w:after="80"/>
      </w:pPr>
      <w:r>
        <w:t>“</w:t>
      </w:r>
      <w:r w:rsidRPr="00C170F4">
        <w:rPr>
          <w:b/>
        </w:rPr>
        <w:t>Target Price</w:t>
      </w:r>
      <w:r>
        <w:t>” means, as defined in the Articles, £15.00, subject to (a) downward adjustment in respect of the amount of all dividends and other distributions, stock splits and equity issuances below the prevailing NAV per Ordinary Share made following the first Admission and (b) upward adjustment to take account of any share consolidations made following the first Admission;</w:t>
      </w:r>
    </w:p>
    <w:p w14:paraId="324635BE" w14:textId="686E226E" w:rsidR="009D6FFF" w:rsidRPr="005C587D" w:rsidRDefault="009D6FFF" w:rsidP="007E010D">
      <w:pPr>
        <w:pStyle w:val="Bodytext"/>
        <w:spacing w:after="80"/>
      </w:pPr>
      <w:r>
        <w:t>“</w:t>
      </w:r>
      <w:r w:rsidRPr="009D6FFF">
        <w:rPr>
          <w:b/>
        </w:rPr>
        <w:t>Tender Offer</w:t>
      </w:r>
      <w:r>
        <w:t xml:space="preserve">” means </w:t>
      </w:r>
      <w:r w:rsidRPr="009D6FFF">
        <w:t xml:space="preserve">up to £55,000,000 in value of </w:t>
      </w:r>
      <w:r>
        <w:t>O</w:t>
      </w:r>
      <w:r w:rsidRPr="009D6FFF">
        <w:t xml:space="preserve">rdinary </w:t>
      </w:r>
      <w:r>
        <w:t>S</w:t>
      </w:r>
      <w:r w:rsidRPr="009D6FFF">
        <w:t>hares</w:t>
      </w:r>
      <w:r w:rsidR="00280F94">
        <w:t xml:space="preserve"> made by the Company in 2018</w:t>
      </w:r>
      <w:r>
        <w:t>;</w:t>
      </w:r>
    </w:p>
    <w:p w14:paraId="0ED39068" w14:textId="77777777" w:rsidR="007E010D" w:rsidRPr="00CC1FB0" w:rsidRDefault="007E010D" w:rsidP="007E010D">
      <w:pPr>
        <w:pStyle w:val="Bodytext"/>
        <w:spacing w:after="80"/>
      </w:pPr>
      <w:r w:rsidRPr="00CC1FB0">
        <w:t>“</w:t>
      </w:r>
      <w:r w:rsidRPr="00CC1FB0">
        <w:rPr>
          <w:b/>
        </w:rPr>
        <w:t>Three Rivers III</w:t>
      </w:r>
      <w:r w:rsidRPr="00CC1FB0">
        <w:t>” means Three Rivers Natural Resources Holdings III LLC;</w:t>
      </w:r>
    </w:p>
    <w:p w14:paraId="4D375B4F" w14:textId="118C2468" w:rsidR="00E90BA6" w:rsidRPr="008813E2" w:rsidRDefault="00E90BA6" w:rsidP="007E010D">
      <w:pPr>
        <w:pStyle w:val="Bodytext"/>
        <w:spacing w:after="80"/>
      </w:pPr>
      <w:r w:rsidRPr="00CC1FB0">
        <w:lastRenderedPageBreak/>
        <w:t>“</w:t>
      </w:r>
      <w:r w:rsidRPr="00CC1FB0">
        <w:rPr>
          <w:b/>
        </w:rPr>
        <w:t>Total Return of the Company’s Net Asset Value</w:t>
      </w:r>
      <w:r w:rsidRPr="00CC1FB0">
        <w:t xml:space="preserve">” means the capital appreciation of the Company’s Net </w:t>
      </w:r>
      <w:r w:rsidRPr="008813E2">
        <w:t xml:space="preserve">Asset Value plus the income received from the Company in the form of dividends; </w:t>
      </w:r>
    </w:p>
    <w:p w14:paraId="007245B1" w14:textId="042B6637" w:rsidR="008A0676" w:rsidRPr="008813E2" w:rsidRDefault="008A0676" w:rsidP="008A0676">
      <w:pPr>
        <w:pStyle w:val="Bodytext"/>
        <w:spacing w:after="80"/>
      </w:pPr>
      <w:r w:rsidRPr="00CC1FB0">
        <w:t>“</w:t>
      </w:r>
      <w:r w:rsidRPr="00CC1FB0">
        <w:rPr>
          <w:b/>
        </w:rPr>
        <w:t>T</w:t>
      </w:r>
      <w:r>
        <w:rPr>
          <w:b/>
        </w:rPr>
        <w:t>RIF</w:t>
      </w:r>
      <w:r w:rsidRPr="00CC1FB0">
        <w:t xml:space="preserve">” </w:t>
      </w:r>
      <w:r>
        <w:t>means Total Recordable Incident Frequency</w:t>
      </w:r>
      <w:r w:rsidRPr="008813E2">
        <w:t xml:space="preserve">; </w:t>
      </w:r>
    </w:p>
    <w:p w14:paraId="485D7083" w14:textId="621A2041" w:rsidR="008630CF" w:rsidRPr="00E90BA6" w:rsidRDefault="008630CF" w:rsidP="007E010D">
      <w:pPr>
        <w:pStyle w:val="Bodytext"/>
        <w:spacing w:after="80"/>
        <w:rPr>
          <w:b/>
        </w:rPr>
      </w:pPr>
      <w:r w:rsidRPr="008813E2">
        <w:t>“</w:t>
      </w:r>
      <w:r w:rsidRPr="008813E2">
        <w:rPr>
          <w:b/>
        </w:rPr>
        <w:t>TSX</w:t>
      </w:r>
      <w:r w:rsidRPr="008813E2">
        <w:t>” means Toronto Stock Exchange;</w:t>
      </w:r>
      <w:r>
        <w:t xml:space="preserve"> </w:t>
      </w:r>
    </w:p>
    <w:p w14:paraId="6557A47F" w14:textId="7C5A16ED" w:rsidR="007E010D" w:rsidRDefault="007E010D" w:rsidP="007E010D">
      <w:pPr>
        <w:pStyle w:val="Bodytext"/>
        <w:spacing w:after="80"/>
      </w:pPr>
      <w:r w:rsidRPr="002D1A2F">
        <w:t>“</w:t>
      </w:r>
      <w:r w:rsidRPr="002D1A2F">
        <w:rPr>
          <w:b/>
        </w:rPr>
        <w:t>UCITS</w:t>
      </w:r>
      <w:r w:rsidRPr="002D1A2F">
        <w:t xml:space="preserve">” means undertakings for collective investment in transferable securities; </w:t>
      </w:r>
    </w:p>
    <w:p w14:paraId="272E7E42" w14:textId="2F5C5220" w:rsidR="001500E2" w:rsidRDefault="001500E2" w:rsidP="007E010D">
      <w:pPr>
        <w:pStyle w:val="Bodytext"/>
        <w:spacing w:after="80"/>
      </w:pPr>
      <w:r>
        <w:t>“</w:t>
      </w:r>
      <w:r w:rsidRPr="001500E2">
        <w:rPr>
          <w:b/>
        </w:rPr>
        <w:t>United States Bankruptcy Code</w:t>
      </w:r>
      <w:r>
        <w:t>” means the source of bankruptcy law in the United States Code;</w:t>
      </w:r>
    </w:p>
    <w:p w14:paraId="03C77191" w14:textId="767E386F" w:rsidR="001500E2" w:rsidRPr="002D1A2F" w:rsidRDefault="001500E2" w:rsidP="007E010D">
      <w:pPr>
        <w:pStyle w:val="Bodytext"/>
        <w:spacing w:after="80"/>
      </w:pPr>
      <w:r>
        <w:t>“</w:t>
      </w:r>
      <w:r w:rsidRPr="001500E2">
        <w:rPr>
          <w:b/>
        </w:rPr>
        <w:t>United States Code</w:t>
      </w:r>
      <w:r>
        <w:t>” means the consolidation and codification by subject matter of the general and permanent laws of the United States;</w:t>
      </w:r>
    </w:p>
    <w:p w14:paraId="6E4E773F" w14:textId="5845C320" w:rsidR="007E010D" w:rsidRDefault="007E010D" w:rsidP="007E010D">
      <w:pPr>
        <w:pStyle w:val="Bodytext"/>
        <w:spacing w:after="80"/>
      </w:pPr>
      <w:r w:rsidRPr="002D1A2F">
        <w:t>“</w:t>
      </w:r>
      <w:r w:rsidRPr="002D1A2F">
        <w:rPr>
          <w:b/>
        </w:rPr>
        <w:t>UK</w:t>
      </w:r>
      <w:r w:rsidRPr="002D1A2F">
        <w:t>” or “</w:t>
      </w:r>
      <w:r w:rsidRPr="002D1A2F">
        <w:rPr>
          <w:b/>
        </w:rPr>
        <w:t>United Kingdom</w:t>
      </w:r>
      <w:r w:rsidRPr="002D1A2F">
        <w:t>” means the United Kingdom of Great Britain and Northern Ireland;</w:t>
      </w:r>
    </w:p>
    <w:p w14:paraId="075B82C3" w14:textId="2FC298DB" w:rsidR="00791227" w:rsidRPr="002D1A2F" w:rsidRDefault="00482E1D" w:rsidP="009C41BD">
      <w:pPr>
        <w:spacing w:after="80"/>
        <w:jc w:val="both"/>
      </w:pPr>
      <w:r w:rsidRPr="002D1A2F">
        <w:t>“</w:t>
      </w:r>
      <w:r w:rsidR="00791227" w:rsidRPr="00791227">
        <w:rPr>
          <w:b/>
        </w:rPr>
        <w:t>UK Code</w:t>
      </w:r>
      <w:r w:rsidRPr="002D1A2F">
        <w:t>”</w:t>
      </w:r>
      <w:r w:rsidR="00791227" w:rsidRPr="00F67473">
        <w:rPr>
          <w:rFonts w:ascii="Verdana" w:hAnsi="Verdana"/>
          <w:sz w:val="18"/>
          <w:szCs w:val="18"/>
        </w:rPr>
        <w:t xml:space="preserve"> </w:t>
      </w:r>
      <w:r w:rsidR="00791227" w:rsidRPr="00791227">
        <w:t xml:space="preserve">means </w:t>
      </w:r>
      <w:r w:rsidR="009C41BD">
        <w:t>T</w:t>
      </w:r>
      <w:r w:rsidR="00791227" w:rsidRPr="00791227">
        <w:t>he UK Corporate Governance Code</w:t>
      </w:r>
      <w:r w:rsidR="009C41BD">
        <w:t xml:space="preserve"> 2018,</w:t>
      </w:r>
      <w:r w:rsidR="00791227" w:rsidRPr="00791227">
        <w:t xml:space="preserve"> issued by the FRC;</w:t>
      </w:r>
    </w:p>
    <w:p w14:paraId="5341A74B" w14:textId="77777777" w:rsidR="007E010D" w:rsidRPr="002D1A2F" w:rsidRDefault="007E010D" w:rsidP="007E010D">
      <w:pPr>
        <w:pStyle w:val="Bodytext"/>
        <w:spacing w:after="80"/>
      </w:pPr>
      <w:r w:rsidRPr="002D1A2F">
        <w:t>“</w:t>
      </w:r>
      <w:r w:rsidRPr="002D1A2F">
        <w:rPr>
          <w:b/>
        </w:rPr>
        <w:t>UK Listing Authority</w:t>
      </w:r>
      <w:r w:rsidRPr="002D1A2F">
        <w:t>” or “</w:t>
      </w:r>
      <w:r w:rsidRPr="002D1A2F">
        <w:rPr>
          <w:b/>
        </w:rPr>
        <w:t>UKLA</w:t>
      </w:r>
      <w:r w:rsidRPr="002D1A2F">
        <w:t>” means the Financial Conduct Authority;</w:t>
      </w:r>
    </w:p>
    <w:p w14:paraId="18BBC862" w14:textId="6772315A" w:rsidR="007E010D" w:rsidRDefault="007E010D" w:rsidP="007E010D">
      <w:pPr>
        <w:pStyle w:val="Bodytext"/>
        <w:spacing w:after="80"/>
      </w:pPr>
      <w:r w:rsidRPr="002D1A2F">
        <w:t>“</w:t>
      </w:r>
      <w:r w:rsidRPr="002D1A2F">
        <w:rPr>
          <w:b/>
        </w:rPr>
        <w:t>U.S.</w:t>
      </w:r>
      <w:r w:rsidRPr="002D1A2F">
        <w:t>” or “</w:t>
      </w:r>
      <w:r w:rsidRPr="002D1A2F">
        <w:rPr>
          <w:b/>
        </w:rPr>
        <w:t>United States</w:t>
      </w:r>
      <w:r w:rsidRPr="002D1A2F">
        <w:t>” means the United States of America, its territories and possessions, any state of the United States and the District of Columbia;</w:t>
      </w:r>
    </w:p>
    <w:p w14:paraId="22DC35BE" w14:textId="2F2E1F6D" w:rsidR="004C6E6F" w:rsidRPr="002D1A2F" w:rsidRDefault="004C6E6F" w:rsidP="007E010D">
      <w:pPr>
        <w:pStyle w:val="Bodytext"/>
        <w:spacing w:after="80"/>
      </w:pPr>
      <w:r>
        <w:t>“</w:t>
      </w:r>
      <w:r w:rsidRPr="004C6E6F">
        <w:rPr>
          <w:b/>
          <w:bCs/>
        </w:rPr>
        <w:t>US GAAP</w:t>
      </w:r>
      <w:r>
        <w:t xml:space="preserve">” means </w:t>
      </w:r>
      <w:r w:rsidRPr="004C6E6F">
        <w:t>the accounting principles generally accepted in the United States</w:t>
      </w:r>
      <w:r>
        <w:t>;</w:t>
      </w:r>
    </w:p>
    <w:p w14:paraId="4B0EECF6" w14:textId="362F1287" w:rsidR="007E010D" w:rsidRPr="002D1A2F" w:rsidRDefault="007E010D" w:rsidP="007E010D">
      <w:pPr>
        <w:pStyle w:val="Bodytext"/>
        <w:spacing w:after="80"/>
      </w:pPr>
      <w:r w:rsidRPr="002D1A2F">
        <w:t>“</w:t>
      </w:r>
      <w:r w:rsidRPr="002D1A2F">
        <w:rPr>
          <w:b/>
        </w:rPr>
        <w:t>WTI</w:t>
      </w:r>
      <w:r w:rsidRPr="002D1A2F">
        <w:t>” means West Texas Intermediate which is a grade of crude oil used as a benchmark in oil pricing;</w:t>
      </w:r>
    </w:p>
    <w:p w14:paraId="16A58724" w14:textId="77777777" w:rsidR="007E010D" w:rsidRPr="002D1A2F" w:rsidRDefault="007E010D" w:rsidP="007E010D">
      <w:pPr>
        <w:pStyle w:val="Bodytext"/>
        <w:spacing w:after="80"/>
      </w:pPr>
      <w:r w:rsidRPr="002D1A2F">
        <w:t>“</w:t>
      </w:r>
      <w:r w:rsidRPr="002D1A2F">
        <w:rPr>
          <w:b/>
        </w:rPr>
        <w:t>£</w:t>
      </w:r>
      <w:r w:rsidRPr="002D1A2F">
        <w:t>” or “</w:t>
      </w:r>
      <w:r w:rsidRPr="0043087C">
        <w:rPr>
          <w:b/>
        </w:rPr>
        <w:t>Pounds Sterling</w:t>
      </w:r>
      <w:r w:rsidRPr="002D1A2F">
        <w:t>”</w:t>
      </w:r>
      <w:r>
        <w:t xml:space="preserve"> or “</w:t>
      </w:r>
      <w:r>
        <w:rPr>
          <w:b/>
        </w:rPr>
        <w:t>Sterling</w:t>
      </w:r>
      <w:r>
        <w:t>”</w:t>
      </w:r>
      <w:r w:rsidRPr="002D1A2F">
        <w:t xml:space="preserve"> means British pound sterling and “</w:t>
      </w:r>
      <w:r w:rsidRPr="0043087C">
        <w:rPr>
          <w:b/>
        </w:rPr>
        <w:t>pence</w:t>
      </w:r>
      <w:r w:rsidRPr="002D1A2F">
        <w:t>” means British pence; and</w:t>
      </w:r>
    </w:p>
    <w:p w14:paraId="0ECF2D6F" w14:textId="34827C82" w:rsidR="00F17068" w:rsidRDefault="007E010D" w:rsidP="00C32021">
      <w:pPr>
        <w:pStyle w:val="Bodytext"/>
        <w:spacing w:after="80"/>
      </w:pPr>
      <w:r w:rsidRPr="002D1A2F">
        <w:t>“</w:t>
      </w:r>
      <w:r w:rsidRPr="002D1A2F">
        <w:rPr>
          <w:b/>
        </w:rPr>
        <w:t>$</w:t>
      </w:r>
      <w:r w:rsidRPr="002D1A2F">
        <w:t>”</w:t>
      </w:r>
      <w:r>
        <w:t xml:space="preserve"> </w:t>
      </w:r>
      <w:r w:rsidRPr="002D1A2F">
        <w:t>means United States dollars and “</w:t>
      </w:r>
      <w:r w:rsidRPr="0043087C">
        <w:rPr>
          <w:b/>
        </w:rPr>
        <w:t>cents</w:t>
      </w:r>
      <w:r w:rsidRPr="002D1A2F">
        <w:t>” means United States cents.</w:t>
      </w:r>
    </w:p>
    <w:p w14:paraId="6BAB6812" w14:textId="2FBE13C0" w:rsidR="00637CA9" w:rsidRPr="00811BA1" w:rsidRDefault="00637CA9" w:rsidP="00EB7E49">
      <w:pPr>
        <w:pStyle w:val="Heading1"/>
      </w:pPr>
      <w:r w:rsidRPr="00811BA1">
        <w:t>Directors and General Information</w:t>
      </w:r>
    </w:p>
    <w:p w14:paraId="29C47559" w14:textId="77777777" w:rsidR="00637CA9" w:rsidRPr="00811BA1" w:rsidRDefault="00637CA9" w:rsidP="00EB7E49">
      <w:pPr>
        <w:pStyle w:val="Bodytext"/>
      </w:pPr>
    </w:p>
    <w:tbl>
      <w:tblPr>
        <w:tblStyle w:val="TableGrid"/>
        <w:tblW w:w="9715" w:type="dxa"/>
        <w:tblLook w:val="00A0" w:firstRow="1" w:lastRow="0" w:firstColumn="1" w:lastColumn="0" w:noHBand="0" w:noVBand="0"/>
      </w:tblPr>
      <w:tblGrid>
        <w:gridCol w:w="3238"/>
        <w:gridCol w:w="3288"/>
        <w:gridCol w:w="3189"/>
      </w:tblGrid>
      <w:tr w:rsidR="00780840" w:rsidRPr="00811BA1" w14:paraId="1C7F191D" w14:textId="77777777" w:rsidTr="008630CF">
        <w:trPr>
          <w:trHeight w:val="1707"/>
        </w:trPr>
        <w:tc>
          <w:tcPr>
            <w:tcW w:w="3238" w:type="dxa"/>
          </w:tcPr>
          <w:p w14:paraId="70D6A614" w14:textId="43FE71AA" w:rsidR="00780840" w:rsidRPr="008630CF" w:rsidRDefault="00780840" w:rsidP="00EB7E49">
            <w:pPr>
              <w:pStyle w:val="Bodytext"/>
              <w:rPr>
                <w:b/>
                <w:sz w:val="19"/>
                <w:szCs w:val="19"/>
              </w:rPr>
            </w:pPr>
            <w:r w:rsidRPr="008630CF">
              <w:rPr>
                <w:b/>
                <w:sz w:val="19"/>
                <w:szCs w:val="19"/>
              </w:rPr>
              <w:t>Directors</w:t>
            </w:r>
          </w:p>
          <w:p w14:paraId="3D79910C" w14:textId="0AB4E38C" w:rsidR="00F17068" w:rsidRPr="008630CF" w:rsidRDefault="00F17068" w:rsidP="00EB7E49">
            <w:pPr>
              <w:rPr>
                <w:rFonts w:eastAsia="Arial"/>
                <w:sz w:val="19"/>
                <w:szCs w:val="19"/>
              </w:rPr>
            </w:pPr>
            <w:r w:rsidRPr="008630CF">
              <w:rPr>
                <w:rFonts w:eastAsia="Arial"/>
                <w:sz w:val="19"/>
                <w:szCs w:val="19"/>
              </w:rPr>
              <w:t>Richard Hayden (Chairman)</w:t>
            </w:r>
          </w:p>
          <w:p w14:paraId="4C6001AB" w14:textId="77777777" w:rsidR="00F17068" w:rsidRPr="008630CF" w:rsidRDefault="00F17068" w:rsidP="00EB7E49">
            <w:pPr>
              <w:rPr>
                <w:rFonts w:eastAsia="Arial"/>
                <w:sz w:val="19"/>
                <w:szCs w:val="19"/>
                <w:lang w:val="de-DE"/>
              </w:rPr>
            </w:pPr>
            <w:r w:rsidRPr="008630CF">
              <w:rPr>
                <w:rFonts w:eastAsia="Arial"/>
                <w:sz w:val="19"/>
                <w:szCs w:val="19"/>
                <w:lang w:val="de-DE"/>
              </w:rPr>
              <w:t>Peter Barker</w:t>
            </w:r>
          </w:p>
          <w:p w14:paraId="1A2CE1C1" w14:textId="77777777" w:rsidR="00F17068" w:rsidRPr="008630CF" w:rsidRDefault="00F17068" w:rsidP="00EB7E49">
            <w:pPr>
              <w:rPr>
                <w:rFonts w:eastAsia="Arial"/>
                <w:sz w:val="19"/>
                <w:szCs w:val="19"/>
                <w:lang w:val="de-DE"/>
              </w:rPr>
            </w:pPr>
            <w:r w:rsidRPr="008630CF">
              <w:rPr>
                <w:rFonts w:eastAsia="Arial"/>
                <w:sz w:val="19"/>
                <w:szCs w:val="19"/>
                <w:lang w:val="de-DE"/>
              </w:rPr>
              <w:t>Patrick Firth</w:t>
            </w:r>
          </w:p>
          <w:p w14:paraId="46DD5A6A" w14:textId="77777777" w:rsidR="00F17068" w:rsidRPr="008630CF" w:rsidRDefault="00F17068" w:rsidP="00EB7E49">
            <w:pPr>
              <w:rPr>
                <w:rFonts w:eastAsia="Arial"/>
                <w:sz w:val="19"/>
                <w:szCs w:val="19"/>
                <w:lang w:val="de-DE"/>
              </w:rPr>
            </w:pPr>
            <w:r w:rsidRPr="008630CF">
              <w:rPr>
                <w:rFonts w:eastAsia="Arial"/>
                <w:sz w:val="19"/>
                <w:szCs w:val="19"/>
                <w:lang w:val="de-DE"/>
              </w:rPr>
              <w:t>Pierre Lapeyre</w:t>
            </w:r>
          </w:p>
          <w:p w14:paraId="34E28247" w14:textId="77777777" w:rsidR="00F17068" w:rsidRPr="008630CF" w:rsidRDefault="00F17068" w:rsidP="00EB7E49">
            <w:pPr>
              <w:rPr>
                <w:rFonts w:eastAsia="Arial"/>
                <w:sz w:val="19"/>
                <w:szCs w:val="19"/>
                <w:lang w:val="de-DE"/>
              </w:rPr>
            </w:pPr>
            <w:r w:rsidRPr="008630CF">
              <w:rPr>
                <w:rFonts w:eastAsia="Arial"/>
                <w:sz w:val="19"/>
                <w:szCs w:val="19"/>
                <w:lang w:val="de-DE"/>
              </w:rPr>
              <w:t>David Leuschen</w:t>
            </w:r>
          </w:p>
          <w:p w14:paraId="70ACBB9A" w14:textId="588A1E97" w:rsidR="00F17068" w:rsidRPr="008630CF" w:rsidRDefault="00F17068" w:rsidP="00EB7E49">
            <w:pPr>
              <w:rPr>
                <w:rFonts w:eastAsia="Arial"/>
                <w:sz w:val="19"/>
                <w:szCs w:val="19"/>
              </w:rPr>
            </w:pPr>
            <w:r w:rsidRPr="008630CF">
              <w:rPr>
                <w:rFonts w:eastAsia="Arial"/>
                <w:sz w:val="19"/>
                <w:szCs w:val="19"/>
              </w:rPr>
              <w:t xml:space="preserve">Ken Ryan </w:t>
            </w:r>
          </w:p>
          <w:p w14:paraId="2DA5ECAC" w14:textId="45C4718E" w:rsidR="00F17068" w:rsidRPr="008630CF" w:rsidRDefault="00F17068" w:rsidP="00EB7E49">
            <w:pPr>
              <w:rPr>
                <w:rFonts w:eastAsia="Arial"/>
                <w:sz w:val="19"/>
                <w:szCs w:val="19"/>
              </w:rPr>
            </w:pPr>
            <w:r w:rsidRPr="008630CF">
              <w:rPr>
                <w:rFonts w:eastAsia="Arial"/>
                <w:sz w:val="19"/>
                <w:szCs w:val="19"/>
              </w:rPr>
              <w:t xml:space="preserve">Jeremy Thompson </w:t>
            </w:r>
          </w:p>
          <w:p w14:paraId="211C69E9" w14:textId="77777777" w:rsidR="00AC6CD0" w:rsidRPr="008630CF" w:rsidRDefault="00AC6CD0" w:rsidP="00AC6CD0">
            <w:pPr>
              <w:rPr>
                <w:rFonts w:eastAsia="Arial"/>
                <w:sz w:val="19"/>
                <w:szCs w:val="19"/>
              </w:rPr>
            </w:pPr>
            <w:r w:rsidRPr="008630CF">
              <w:rPr>
                <w:rFonts w:eastAsia="Arial"/>
                <w:sz w:val="19"/>
                <w:szCs w:val="19"/>
              </w:rPr>
              <w:t xml:space="preserve">Claire Whittet </w:t>
            </w:r>
          </w:p>
          <w:p w14:paraId="7D58308A" w14:textId="77777777" w:rsidR="006721D5" w:rsidRPr="008630CF" w:rsidRDefault="006721D5" w:rsidP="00EB7E49">
            <w:pPr>
              <w:pStyle w:val="Bodytext"/>
              <w:rPr>
                <w:sz w:val="19"/>
                <w:szCs w:val="19"/>
              </w:rPr>
            </w:pPr>
          </w:p>
          <w:p w14:paraId="3153EEF7" w14:textId="77777777" w:rsidR="00780840" w:rsidRPr="008630CF" w:rsidRDefault="00780840" w:rsidP="00EB7E49">
            <w:pPr>
              <w:pStyle w:val="Bodytext"/>
              <w:rPr>
                <w:b/>
                <w:sz w:val="19"/>
                <w:szCs w:val="19"/>
              </w:rPr>
            </w:pPr>
            <w:r w:rsidRPr="008630CF">
              <w:rPr>
                <w:b/>
                <w:sz w:val="19"/>
                <w:szCs w:val="19"/>
              </w:rPr>
              <w:t>Audit Committee</w:t>
            </w:r>
          </w:p>
          <w:p w14:paraId="091D5FCA" w14:textId="2318F408" w:rsidR="00F17068" w:rsidRPr="008630CF" w:rsidRDefault="00F17068" w:rsidP="00EB7E49">
            <w:pPr>
              <w:rPr>
                <w:rFonts w:eastAsia="Arial"/>
                <w:sz w:val="19"/>
                <w:szCs w:val="19"/>
              </w:rPr>
            </w:pPr>
            <w:r w:rsidRPr="008630CF">
              <w:rPr>
                <w:rFonts w:eastAsia="Arial"/>
                <w:sz w:val="19"/>
                <w:szCs w:val="19"/>
              </w:rPr>
              <w:t>Patrick Firth (Chairman)</w:t>
            </w:r>
          </w:p>
          <w:p w14:paraId="124B1E6B" w14:textId="77777777" w:rsidR="00F17068" w:rsidRPr="008630CF" w:rsidRDefault="00F17068" w:rsidP="00EB7E49">
            <w:pPr>
              <w:rPr>
                <w:rFonts w:eastAsia="Arial"/>
                <w:sz w:val="19"/>
                <w:szCs w:val="19"/>
              </w:rPr>
            </w:pPr>
            <w:r w:rsidRPr="008630CF">
              <w:rPr>
                <w:rFonts w:eastAsia="Arial"/>
                <w:sz w:val="19"/>
                <w:szCs w:val="19"/>
              </w:rPr>
              <w:t>Peter Barker</w:t>
            </w:r>
          </w:p>
          <w:p w14:paraId="6F33AFC2" w14:textId="77777777" w:rsidR="0084507F" w:rsidRPr="008630CF" w:rsidRDefault="0084507F" w:rsidP="00EB7E49">
            <w:pPr>
              <w:rPr>
                <w:rFonts w:eastAsia="Arial"/>
                <w:sz w:val="19"/>
                <w:szCs w:val="19"/>
              </w:rPr>
            </w:pPr>
            <w:r w:rsidRPr="008630CF">
              <w:rPr>
                <w:rFonts w:eastAsia="Arial"/>
                <w:sz w:val="19"/>
                <w:szCs w:val="19"/>
              </w:rPr>
              <w:t>Richard Hayden</w:t>
            </w:r>
          </w:p>
          <w:p w14:paraId="6B8D6DC5" w14:textId="0B2C280C" w:rsidR="00F17068" w:rsidRPr="008630CF" w:rsidRDefault="00F17068" w:rsidP="00EB7E49">
            <w:pPr>
              <w:rPr>
                <w:rFonts w:eastAsia="Arial"/>
                <w:sz w:val="19"/>
                <w:szCs w:val="19"/>
              </w:rPr>
            </w:pPr>
            <w:r w:rsidRPr="008630CF">
              <w:rPr>
                <w:rFonts w:eastAsia="Arial"/>
                <w:sz w:val="19"/>
                <w:szCs w:val="19"/>
              </w:rPr>
              <w:t xml:space="preserve">Jeremy Thompson </w:t>
            </w:r>
          </w:p>
          <w:p w14:paraId="60EC7CA9" w14:textId="77777777" w:rsidR="00AC6CD0" w:rsidRPr="008630CF" w:rsidRDefault="00AC6CD0" w:rsidP="00AC6CD0">
            <w:pPr>
              <w:rPr>
                <w:rFonts w:eastAsia="Arial"/>
                <w:sz w:val="19"/>
                <w:szCs w:val="19"/>
              </w:rPr>
            </w:pPr>
            <w:r w:rsidRPr="008630CF">
              <w:rPr>
                <w:rFonts w:eastAsia="Arial"/>
                <w:sz w:val="19"/>
                <w:szCs w:val="19"/>
              </w:rPr>
              <w:t xml:space="preserve">Claire Whittet </w:t>
            </w:r>
          </w:p>
          <w:p w14:paraId="2A6EF1F0" w14:textId="77777777" w:rsidR="00C248DC" w:rsidRPr="008630CF" w:rsidRDefault="00C248DC" w:rsidP="00EB7E49">
            <w:pPr>
              <w:pStyle w:val="Bodytext"/>
              <w:rPr>
                <w:sz w:val="19"/>
                <w:szCs w:val="19"/>
              </w:rPr>
            </w:pPr>
          </w:p>
          <w:p w14:paraId="07A4399B" w14:textId="77777777" w:rsidR="00780840" w:rsidRPr="008630CF" w:rsidRDefault="00780840" w:rsidP="00EB7E49">
            <w:pPr>
              <w:pStyle w:val="Bodytext"/>
              <w:rPr>
                <w:b/>
                <w:sz w:val="19"/>
                <w:szCs w:val="19"/>
              </w:rPr>
            </w:pPr>
            <w:r w:rsidRPr="008630CF">
              <w:rPr>
                <w:b/>
                <w:sz w:val="19"/>
                <w:szCs w:val="19"/>
              </w:rPr>
              <w:t>Management Engagement Committee</w:t>
            </w:r>
          </w:p>
          <w:p w14:paraId="11048256" w14:textId="3808FFBE" w:rsidR="00F17068" w:rsidRPr="008630CF" w:rsidRDefault="00F17068" w:rsidP="00EB7E49">
            <w:pPr>
              <w:rPr>
                <w:rFonts w:eastAsia="Arial"/>
                <w:sz w:val="19"/>
                <w:szCs w:val="19"/>
              </w:rPr>
            </w:pPr>
            <w:r w:rsidRPr="008630CF">
              <w:rPr>
                <w:rFonts w:eastAsia="Arial"/>
                <w:sz w:val="19"/>
                <w:szCs w:val="19"/>
              </w:rPr>
              <w:t>Claire Whittet (Chairman)</w:t>
            </w:r>
          </w:p>
          <w:p w14:paraId="6F80C5E6" w14:textId="77777777" w:rsidR="00F17068" w:rsidRPr="008630CF" w:rsidRDefault="00F17068" w:rsidP="00EB7E49">
            <w:pPr>
              <w:rPr>
                <w:rFonts w:eastAsia="Arial"/>
                <w:sz w:val="19"/>
                <w:szCs w:val="19"/>
              </w:rPr>
            </w:pPr>
            <w:r w:rsidRPr="008630CF">
              <w:rPr>
                <w:rFonts w:eastAsia="Arial"/>
                <w:sz w:val="19"/>
                <w:szCs w:val="19"/>
              </w:rPr>
              <w:t>Peter Barker</w:t>
            </w:r>
          </w:p>
          <w:p w14:paraId="39D141C0" w14:textId="77777777" w:rsidR="0084507F" w:rsidRPr="008630CF" w:rsidRDefault="00F17068" w:rsidP="00EB7E49">
            <w:pPr>
              <w:rPr>
                <w:rFonts w:eastAsia="Arial"/>
                <w:sz w:val="19"/>
                <w:szCs w:val="19"/>
              </w:rPr>
            </w:pPr>
            <w:r w:rsidRPr="008630CF">
              <w:rPr>
                <w:rFonts w:eastAsia="Arial"/>
                <w:sz w:val="19"/>
                <w:szCs w:val="19"/>
              </w:rPr>
              <w:t xml:space="preserve">Patrick Firth </w:t>
            </w:r>
          </w:p>
          <w:p w14:paraId="3A350310" w14:textId="2BBFF28F" w:rsidR="00F17068" w:rsidRPr="008630CF" w:rsidRDefault="0084507F" w:rsidP="00EB7E49">
            <w:pPr>
              <w:rPr>
                <w:rFonts w:eastAsia="Arial"/>
                <w:sz w:val="19"/>
                <w:szCs w:val="19"/>
              </w:rPr>
            </w:pPr>
            <w:r w:rsidRPr="008630CF">
              <w:rPr>
                <w:rFonts w:eastAsia="Arial"/>
                <w:sz w:val="19"/>
                <w:szCs w:val="19"/>
              </w:rPr>
              <w:t xml:space="preserve">Richard Hayden </w:t>
            </w:r>
          </w:p>
          <w:p w14:paraId="1EC3560E" w14:textId="7DC92FB9" w:rsidR="00F17068" w:rsidRPr="008630CF" w:rsidRDefault="00F17068" w:rsidP="00EB7E49">
            <w:pPr>
              <w:rPr>
                <w:rFonts w:eastAsia="Arial"/>
                <w:sz w:val="19"/>
                <w:szCs w:val="19"/>
              </w:rPr>
            </w:pPr>
            <w:r w:rsidRPr="008630CF">
              <w:rPr>
                <w:rFonts w:eastAsia="Arial"/>
                <w:sz w:val="19"/>
                <w:szCs w:val="19"/>
              </w:rPr>
              <w:t xml:space="preserve">Jeremy Thompson </w:t>
            </w:r>
          </w:p>
          <w:p w14:paraId="3F20330C" w14:textId="77777777" w:rsidR="00C248DC" w:rsidRPr="008630CF" w:rsidRDefault="00C248DC" w:rsidP="00EB7E49">
            <w:pPr>
              <w:pStyle w:val="Bodytext"/>
              <w:rPr>
                <w:sz w:val="19"/>
                <w:szCs w:val="19"/>
              </w:rPr>
            </w:pPr>
          </w:p>
          <w:p w14:paraId="7B637CBE" w14:textId="77777777" w:rsidR="00780840" w:rsidRPr="008630CF" w:rsidRDefault="00780840" w:rsidP="00EB7E49">
            <w:pPr>
              <w:pStyle w:val="Bodytext"/>
              <w:rPr>
                <w:b/>
                <w:sz w:val="19"/>
                <w:szCs w:val="19"/>
              </w:rPr>
            </w:pPr>
            <w:r w:rsidRPr="008630CF">
              <w:rPr>
                <w:b/>
                <w:sz w:val="19"/>
                <w:szCs w:val="19"/>
              </w:rPr>
              <w:t>Nomination Committee</w:t>
            </w:r>
          </w:p>
          <w:p w14:paraId="1EEBC407" w14:textId="2A38D79D" w:rsidR="00F17068" w:rsidRPr="008630CF" w:rsidRDefault="00F17068" w:rsidP="00EB7E49">
            <w:pPr>
              <w:rPr>
                <w:rFonts w:eastAsia="Arial"/>
                <w:sz w:val="19"/>
                <w:szCs w:val="19"/>
              </w:rPr>
            </w:pPr>
            <w:r w:rsidRPr="008630CF">
              <w:rPr>
                <w:rFonts w:eastAsia="Arial"/>
                <w:sz w:val="19"/>
                <w:szCs w:val="19"/>
              </w:rPr>
              <w:t>Richard Hayden (Chairman)</w:t>
            </w:r>
          </w:p>
          <w:p w14:paraId="55CBFB49" w14:textId="77777777" w:rsidR="00F17068" w:rsidRPr="008630CF" w:rsidRDefault="00F17068" w:rsidP="00EB7E49">
            <w:pPr>
              <w:rPr>
                <w:rFonts w:eastAsia="Arial"/>
                <w:sz w:val="19"/>
                <w:szCs w:val="19"/>
              </w:rPr>
            </w:pPr>
            <w:r w:rsidRPr="008630CF">
              <w:rPr>
                <w:rFonts w:eastAsia="Arial"/>
                <w:sz w:val="19"/>
                <w:szCs w:val="19"/>
              </w:rPr>
              <w:t>Peter Barker</w:t>
            </w:r>
          </w:p>
          <w:p w14:paraId="0D741473" w14:textId="77777777" w:rsidR="00F17068" w:rsidRPr="008630CF" w:rsidRDefault="00F17068" w:rsidP="00EB7E49">
            <w:pPr>
              <w:rPr>
                <w:rFonts w:eastAsia="Arial"/>
                <w:sz w:val="19"/>
                <w:szCs w:val="19"/>
              </w:rPr>
            </w:pPr>
            <w:r w:rsidRPr="008630CF">
              <w:rPr>
                <w:rFonts w:eastAsia="Arial"/>
                <w:sz w:val="19"/>
                <w:szCs w:val="19"/>
              </w:rPr>
              <w:t>Patrick Firth</w:t>
            </w:r>
          </w:p>
          <w:p w14:paraId="15103985" w14:textId="61B46671" w:rsidR="00F17068" w:rsidRPr="008630CF" w:rsidRDefault="00F17068" w:rsidP="00EB7E49">
            <w:pPr>
              <w:rPr>
                <w:rFonts w:eastAsia="Arial"/>
                <w:sz w:val="19"/>
                <w:szCs w:val="19"/>
              </w:rPr>
            </w:pPr>
            <w:r w:rsidRPr="008630CF">
              <w:rPr>
                <w:rFonts w:eastAsia="Arial"/>
                <w:sz w:val="19"/>
                <w:szCs w:val="19"/>
              </w:rPr>
              <w:t xml:space="preserve">Jeremy Thompson </w:t>
            </w:r>
          </w:p>
          <w:p w14:paraId="5834A075" w14:textId="77777777" w:rsidR="00AC6CD0" w:rsidRPr="008630CF" w:rsidRDefault="00AC6CD0" w:rsidP="00AC6CD0">
            <w:pPr>
              <w:rPr>
                <w:rFonts w:eastAsia="Arial"/>
                <w:sz w:val="19"/>
                <w:szCs w:val="19"/>
              </w:rPr>
            </w:pPr>
            <w:r w:rsidRPr="008630CF">
              <w:rPr>
                <w:rFonts w:eastAsia="Arial"/>
                <w:sz w:val="19"/>
                <w:szCs w:val="19"/>
              </w:rPr>
              <w:t xml:space="preserve">Claire Whittet </w:t>
            </w:r>
          </w:p>
          <w:p w14:paraId="277F7911" w14:textId="77777777" w:rsidR="00780840" w:rsidRPr="008630CF" w:rsidRDefault="00780840" w:rsidP="00EB7E49">
            <w:pPr>
              <w:pStyle w:val="Bodytext"/>
              <w:rPr>
                <w:sz w:val="19"/>
                <w:szCs w:val="19"/>
              </w:rPr>
            </w:pPr>
          </w:p>
          <w:p w14:paraId="60543FBD" w14:textId="77777777" w:rsidR="00780840" w:rsidRPr="008630CF" w:rsidRDefault="00780840" w:rsidP="00EB7E49">
            <w:pPr>
              <w:pStyle w:val="Bodytext"/>
              <w:rPr>
                <w:b/>
                <w:sz w:val="19"/>
                <w:szCs w:val="19"/>
              </w:rPr>
            </w:pPr>
            <w:r w:rsidRPr="008630CF">
              <w:rPr>
                <w:b/>
                <w:sz w:val="19"/>
                <w:szCs w:val="19"/>
              </w:rPr>
              <w:t>Investment Manager</w:t>
            </w:r>
          </w:p>
          <w:p w14:paraId="1B1E2934" w14:textId="77777777" w:rsidR="00780840" w:rsidRPr="008630CF" w:rsidRDefault="00780840" w:rsidP="00EB7E49">
            <w:pPr>
              <w:pStyle w:val="Bodytext"/>
              <w:rPr>
                <w:sz w:val="19"/>
                <w:szCs w:val="19"/>
              </w:rPr>
            </w:pPr>
            <w:r w:rsidRPr="008630CF">
              <w:rPr>
                <w:sz w:val="19"/>
                <w:szCs w:val="19"/>
              </w:rPr>
              <w:t>Riverstone International Limited</w:t>
            </w:r>
          </w:p>
          <w:p w14:paraId="6F1F66CF" w14:textId="10097F70" w:rsidR="00780840" w:rsidRPr="008630CF" w:rsidRDefault="009C544C" w:rsidP="00EB7E49">
            <w:pPr>
              <w:pStyle w:val="Bodytext"/>
              <w:rPr>
                <w:sz w:val="19"/>
                <w:szCs w:val="19"/>
              </w:rPr>
            </w:pPr>
            <w:r w:rsidRPr="008630CF">
              <w:rPr>
                <w:sz w:val="19"/>
                <w:szCs w:val="19"/>
              </w:rPr>
              <w:t>190 Elgin Avenue</w:t>
            </w:r>
          </w:p>
          <w:p w14:paraId="6D9C05C3" w14:textId="77777777" w:rsidR="00780840" w:rsidRPr="008630CF" w:rsidRDefault="00780840" w:rsidP="00EB7E49">
            <w:pPr>
              <w:pStyle w:val="Bodytext"/>
              <w:rPr>
                <w:sz w:val="19"/>
                <w:szCs w:val="19"/>
              </w:rPr>
            </w:pPr>
            <w:r w:rsidRPr="008630CF">
              <w:rPr>
                <w:sz w:val="19"/>
                <w:szCs w:val="19"/>
              </w:rPr>
              <w:t>George Town</w:t>
            </w:r>
          </w:p>
          <w:p w14:paraId="1595F36B" w14:textId="77777777" w:rsidR="00780840" w:rsidRPr="008630CF" w:rsidRDefault="00780840" w:rsidP="00EB7E49">
            <w:pPr>
              <w:pStyle w:val="Bodytext"/>
              <w:rPr>
                <w:sz w:val="19"/>
                <w:szCs w:val="19"/>
              </w:rPr>
            </w:pPr>
            <w:r w:rsidRPr="008630CF">
              <w:rPr>
                <w:sz w:val="19"/>
                <w:szCs w:val="19"/>
              </w:rPr>
              <w:t>Grand Cayman</w:t>
            </w:r>
          </w:p>
          <w:p w14:paraId="34A800CD" w14:textId="692806C4" w:rsidR="00780840" w:rsidRPr="008630CF" w:rsidRDefault="00780840" w:rsidP="00EB7E49">
            <w:pPr>
              <w:pStyle w:val="Bodytext"/>
              <w:rPr>
                <w:sz w:val="19"/>
                <w:szCs w:val="19"/>
              </w:rPr>
            </w:pPr>
            <w:r w:rsidRPr="008630CF">
              <w:rPr>
                <w:sz w:val="19"/>
                <w:szCs w:val="19"/>
              </w:rPr>
              <w:t>KY1-</w:t>
            </w:r>
            <w:r w:rsidR="009C544C" w:rsidRPr="008630CF">
              <w:rPr>
                <w:sz w:val="19"/>
                <w:szCs w:val="19"/>
              </w:rPr>
              <w:t>9005</w:t>
            </w:r>
          </w:p>
          <w:p w14:paraId="2C338367" w14:textId="503707E9" w:rsidR="00780840" w:rsidRPr="008630CF" w:rsidRDefault="00780840" w:rsidP="00EB7E49">
            <w:pPr>
              <w:pStyle w:val="Bodytext"/>
              <w:rPr>
                <w:sz w:val="19"/>
                <w:szCs w:val="19"/>
              </w:rPr>
            </w:pPr>
            <w:r w:rsidRPr="008630CF">
              <w:rPr>
                <w:sz w:val="19"/>
                <w:szCs w:val="19"/>
              </w:rPr>
              <w:t>Cayman Islands</w:t>
            </w:r>
          </w:p>
          <w:p w14:paraId="6A3767C2" w14:textId="6A946FD1" w:rsidR="00A6065B" w:rsidRPr="008630CF" w:rsidRDefault="00A6065B" w:rsidP="00EB7E49">
            <w:pPr>
              <w:pStyle w:val="Bodytext"/>
              <w:rPr>
                <w:sz w:val="19"/>
                <w:szCs w:val="19"/>
              </w:rPr>
            </w:pPr>
          </w:p>
          <w:p w14:paraId="1F242AB8" w14:textId="2F1ACB67" w:rsidR="00A6065B" w:rsidRPr="008630CF" w:rsidRDefault="00A6065B" w:rsidP="00A6065B">
            <w:pPr>
              <w:pStyle w:val="Bodytext"/>
              <w:rPr>
                <w:b/>
                <w:sz w:val="19"/>
                <w:szCs w:val="19"/>
              </w:rPr>
            </w:pPr>
            <w:r w:rsidRPr="008630CF">
              <w:rPr>
                <w:b/>
                <w:sz w:val="19"/>
                <w:szCs w:val="19"/>
              </w:rPr>
              <w:lastRenderedPageBreak/>
              <w:t>Investment Manager’s Performance Review Team</w:t>
            </w:r>
          </w:p>
          <w:p w14:paraId="31F9EA10" w14:textId="2480A327" w:rsidR="008630CF" w:rsidRPr="008630CF" w:rsidRDefault="008630CF" w:rsidP="00A6065B">
            <w:pPr>
              <w:pStyle w:val="Bodytext"/>
              <w:rPr>
                <w:sz w:val="19"/>
                <w:szCs w:val="19"/>
              </w:rPr>
            </w:pPr>
            <w:r w:rsidRPr="008630CF">
              <w:rPr>
                <w:sz w:val="19"/>
                <w:szCs w:val="19"/>
              </w:rPr>
              <w:t>James Hackett</w:t>
            </w:r>
          </w:p>
          <w:p w14:paraId="75FFC63D" w14:textId="1DA6D9CA" w:rsidR="008630CF" w:rsidRPr="008630CF" w:rsidRDefault="008630CF" w:rsidP="00A6065B">
            <w:pPr>
              <w:pStyle w:val="Bodytext"/>
              <w:rPr>
                <w:sz w:val="19"/>
                <w:szCs w:val="19"/>
              </w:rPr>
            </w:pPr>
            <w:r w:rsidRPr="008630CF">
              <w:rPr>
                <w:sz w:val="19"/>
                <w:szCs w:val="19"/>
              </w:rPr>
              <w:t>Bartow Jones</w:t>
            </w:r>
          </w:p>
          <w:p w14:paraId="4987AA7D" w14:textId="77777777" w:rsidR="00A6065B" w:rsidRPr="008630CF" w:rsidRDefault="00A6065B" w:rsidP="00A6065B">
            <w:pPr>
              <w:rPr>
                <w:sz w:val="19"/>
                <w:szCs w:val="19"/>
              </w:rPr>
            </w:pPr>
            <w:r w:rsidRPr="008630CF">
              <w:rPr>
                <w:sz w:val="19"/>
                <w:szCs w:val="19"/>
              </w:rPr>
              <w:t>Pierre Lapeyre</w:t>
            </w:r>
          </w:p>
          <w:p w14:paraId="74A4487C" w14:textId="77777777" w:rsidR="00A6065B" w:rsidRPr="008630CF" w:rsidRDefault="00A6065B" w:rsidP="00A6065B">
            <w:pPr>
              <w:rPr>
                <w:sz w:val="19"/>
                <w:szCs w:val="19"/>
              </w:rPr>
            </w:pPr>
            <w:r w:rsidRPr="008630CF">
              <w:rPr>
                <w:sz w:val="19"/>
                <w:szCs w:val="19"/>
              </w:rPr>
              <w:t>David Leuschen</w:t>
            </w:r>
          </w:p>
          <w:p w14:paraId="5D7DBD66" w14:textId="77777777" w:rsidR="00A6065B" w:rsidRPr="008630CF" w:rsidRDefault="00A6065B" w:rsidP="00A6065B">
            <w:pPr>
              <w:pStyle w:val="Bodytext"/>
              <w:rPr>
                <w:sz w:val="19"/>
                <w:szCs w:val="19"/>
              </w:rPr>
            </w:pPr>
            <w:r w:rsidRPr="008630CF">
              <w:rPr>
                <w:sz w:val="19"/>
                <w:szCs w:val="19"/>
              </w:rPr>
              <w:t>Baran Tekkora</w:t>
            </w:r>
          </w:p>
          <w:p w14:paraId="619617C6" w14:textId="77777777" w:rsidR="00A6065B" w:rsidRPr="008630CF" w:rsidRDefault="00A6065B" w:rsidP="00A6065B">
            <w:pPr>
              <w:pStyle w:val="Bodytext"/>
              <w:rPr>
                <w:sz w:val="19"/>
                <w:szCs w:val="19"/>
              </w:rPr>
            </w:pPr>
            <w:r w:rsidRPr="008630CF">
              <w:rPr>
                <w:sz w:val="19"/>
                <w:szCs w:val="19"/>
              </w:rPr>
              <w:t>Carl Williams</w:t>
            </w:r>
          </w:p>
          <w:p w14:paraId="4F44D278" w14:textId="77777777" w:rsidR="00780840" w:rsidRPr="008630CF" w:rsidRDefault="00780840" w:rsidP="00EB7E49">
            <w:pPr>
              <w:pStyle w:val="Bodytext"/>
              <w:rPr>
                <w:sz w:val="19"/>
                <w:szCs w:val="19"/>
              </w:rPr>
            </w:pPr>
          </w:p>
          <w:p w14:paraId="3B127E8A" w14:textId="77777777" w:rsidR="00D6669D" w:rsidRPr="008630CF" w:rsidRDefault="00D6669D" w:rsidP="00EB7E49">
            <w:pPr>
              <w:pStyle w:val="Bodytext"/>
              <w:rPr>
                <w:sz w:val="19"/>
                <w:szCs w:val="19"/>
              </w:rPr>
            </w:pPr>
            <w:r w:rsidRPr="008630CF">
              <w:rPr>
                <w:b/>
                <w:sz w:val="19"/>
                <w:szCs w:val="19"/>
              </w:rPr>
              <w:t>Website:</w:t>
            </w:r>
            <w:r w:rsidRPr="008630CF">
              <w:rPr>
                <w:sz w:val="19"/>
                <w:szCs w:val="19"/>
              </w:rPr>
              <w:t xml:space="preserve"> www.RiverstoneREL.com</w:t>
            </w:r>
          </w:p>
          <w:p w14:paraId="4F8D39D1" w14:textId="77777777" w:rsidR="00D6669D" w:rsidRPr="008630CF" w:rsidRDefault="00D6669D" w:rsidP="00EB7E49">
            <w:pPr>
              <w:pStyle w:val="Bodytext"/>
              <w:rPr>
                <w:sz w:val="19"/>
                <w:szCs w:val="19"/>
              </w:rPr>
            </w:pPr>
            <w:r w:rsidRPr="008630CF">
              <w:rPr>
                <w:b/>
                <w:sz w:val="19"/>
                <w:szCs w:val="19"/>
              </w:rPr>
              <w:t>ISIN:</w:t>
            </w:r>
            <w:r w:rsidRPr="008630CF">
              <w:rPr>
                <w:sz w:val="19"/>
                <w:szCs w:val="19"/>
              </w:rPr>
              <w:t xml:space="preserve"> GG00BBHXCL35</w:t>
            </w:r>
          </w:p>
          <w:p w14:paraId="77EFDDEA" w14:textId="77777777" w:rsidR="00D6669D" w:rsidRPr="008630CF" w:rsidRDefault="00D6669D" w:rsidP="00EB7E49">
            <w:pPr>
              <w:pStyle w:val="Bodytext"/>
              <w:rPr>
                <w:sz w:val="19"/>
                <w:szCs w:val="19"/>
              </w:rPr>
            </w:pPr>
            <w:r w:rsidRPr="008630CF">
              <w:rPr>
                <w:b/>
                <w:sz w:val="19"/>
                <w:szCs w:val="19"/>
              </w:rPr>
              <w:t>Ticker:</w:t>
            </w:r>
            <w:r w:rsidRPr="008630CF">
              <w:rPr>
                <w:sz w:val="19"/>
                <w:szCs w:val="19"/>
              </w:rPr>
              <w:t xml:space="preserve"> RSE</w:t>
            </w:r>
          </w:p>
          <w:p w14:paraId="6D32D295" w14:textId="77777777" w:rsidR="000F52A5" w:rsidRPr="008630CF" w:rsidRDefault="000F52A5" w:rsidP="00EB7E49">
            <w:pPr>
              <w:pStyle w:val="Bodytext"/>
              <w:rPr>
                <w:b/>
                <w:sz w:val="19"/>
                <w:szCs w:val="19"/>
              </w:rPr>
            </w:pPr>
          </w:p>
          <w:p w14:paraId="6FC8BB46" w14:textId="38586D4F" w:rsidR="004C2086" w:rsidRPr="008630CF" w:rsidRDefault="004C2086" w:rsidP="002F0961">
            <w:pPr>
              <w:rPr>
                <w:sz w:val="19"/>
                <w:szCs w:val="19"/>
              </w:rPr>
            </w:pPr>
          </w:p>
        </w:tc>
        <w:tc>
          <w:tcPr>
            <w:tcW w:w="3288" w:type="dxa"/>
          </w:tcPr>
          <w:p w14:paraId="6ED22032" w14:textId="77777777" w:rsidR="000F52A5" w:rsidRPr="008630CF" w:rsidRDefault="000F52A5" w:rsidP="008630CF">
            <w:pPr>
              <w:pStyle w:val="Bodytext"/>
              <w:rPr>
                <w:b/>
                <w:sz w:val="19"/>
                <w:szCs w:val="19"/>
              </w:rPr>
            </w:pPr>
            <w:r w:rsidRPr="008630CF">
              <w:rPr>
                <w:b/>
                <w:sz w:val="19"/>
                <w:szCs w:val="19"/>
              </w:rPr>
              <w:lastRenderedPageBreak/>
              <w:t>Administrator and Company Secretary</w:t>
            </w:r>
          </w:p>
          <w:p w14:paraId="0E2A202B" w14:textId="5F82BCE7" w:rsidR="000F52A5" w:rsidRPr="008630CF" w:rsidRDefault="00165E47" w:rsidP="008630CF">
            <w:pPr>
              <w:pStyle w:val="Bodytext"/>
              <w:rPr>
                <w:sz w:val="19"/>
                <w:szCs w:val="19"/>
              </w:rPr>
            </w:pPr>
            <w:r>
              <w:t>Ocorian</w:t>
            </w:r>
            <w:r w:rsidRPr="001C4226">
              <w:t xml:space="preserve"> </w:t>
            </w:r>
            <w:r>
              <w:t>Administration</w:t>
            </w:r>
            <w:r w:rsidR="000B4179">
              <w:t xml:space="preserve"> </w:t>
            </w:r>
            <w:r w:rsidR="00EB2F83" w:rsidRPr="008630CF">
              <w:rPr>
                <w:sz w:val="19"/>
                <w:szCs w:val="19"/>
              </w:rPr>
              <w:t>(Guernsey)</w:t>
            </w:r>
            <w:r w:rsidR="000F52A5" w:rsidRPr="008630CF">
              <w:rPr>
                <w:sz w:val="19"/>
                <w:szCs w:val="19"/>
              </w:rPr>
              <w:t xml:space="preserve"> Limited</w:t>
            </w:r>
            <w:r w:rsidR="0041345C" w:rsidRPr="008630CF">
              <w:rPr>
                <w:sz w:val="19"/>
                <w:szCs w:val="19"/>
              </w:rPr>
              <w:t xml:space="preserve"> </w:t>
            </w:r>
          </w:p>
          <w:p w14:paraId="77A2FCCD" w14:textId="77777777" w:rsidR="008630CF" w:rsidRPr="008630CF" w:rsidRDefault="008630CF" w:rsidP="008630CF">
            <w:pPr>
              <w:pStyle w:val="Bodytext"/>
              <w:rPr>
                <w:sz w:val="19"/>
                <w:szCs w:val="19"/>
              </w:rPr>
            </w:pPr>
            <w:r w:rsidRPr="008630CF">
              <w:rPr>
                <w:sz w:val="19"/>
                <w:szCs w:val="19"/>
              </w:rPr>
              <w:t>PO Box 286</w:t>
            </w:r>
          </w:p>
          <w:p w14:paraId="42C93D55" w14:textId="77777777" w:rsidR="008630CF" w:rsidRPr="008630CF" w:rsidRDefault="008630CF" w:rsidP="008630CF">
            <w:pPr>
              <w:pStyle w:val="Bodytext"/>
              <w:rPr>
                <w:sz w:val="19"/>
                <w:szCs w:val="19"/>
              </w:rPr>
            </w:pPr>
            <w:r w:rsidRPr="008630CF">
              <w:rPr>
                <w:sz w:val="19"/>
                <w:szCs w:val="19"/>
              </w:rPr>
              <w:t>Floor 2</w:t>
            </w:r>
          </w:p>
          <w:p w14:paraId="3D42BF45" w14:textId="77777777" w:rsidR="008630CF" w:rsidRPr="008630CF" w:rsidRDefault="008630CF" w:rsidP="008630CF">
            <w:pPr>
              <w:pStyle w:val="Bodytext"/>
              <w:rPr>
                <w:sz w:val="19"/>
                <w:szCs w:val="19"/>
              </w:rPr>
            </w:pPr>
            <w:r w:rsidRPr="008630CF">
              <w:rPr>
                <w:sz w:val="19"/>
                <w:szCs w:val="19"/>
              </w:rPr>
              <w:t xml:space="preserve">Trafalgar Court </w:t>
            </w:r>
          </w:p>
          <w:p w14:paraId="44B0884B" w14:textId="77777777" w:rsidR="008630CF" w:rsidRPr="008630CF" w:rsidRDefault="008630CF" w:rsidP="008630CF">
            <w:pPr>
              <w:pStyle w:val="Bodytext"/>
              <w:rPr>
                <w:sz w:val="19"/>
                <w:szCs w:val="19"/>
              </w:rPr>
            </w:pPr>
            <w:r w:rsidRPr="008630CF">
              <w:rPr>
                <w:sz w:val="19"/>
                <w:szCs w:val="19"/>
              </w:rPr>
              <w:t>Les Banques</w:t>
            </w:r>
          </w:p>
          <w:p w14:paraId="43697100" w14:textId="77777777" w:rsidR="008630CF" w:rsidRPr="008630CF" w:rsidRDefault="008630CF" w:rsidP="008630CF">
            <w:pPr>
              <w:pStyle w:val="Bodytext"/>
              <w:rPr>
                <w:sz w:val="19"/>
                <w:szCs w:val="19"/>
              </w:rPr>
            </w:pPr>
            <w:r w:rsidRPr="008630CF">
              <w:rPr>
                <w:sz w:val="19"/>
                <w:szCs w:val="19"/>
              </w:rPr>
              <w:t xml:space="preserve">St Peter Port </w:t>
            </w:r>
          </w:p>
          <w:p w14:paraId="3F20D8FA" w14:textId="77777777" w:rsidR="008630CF" w:rsidRPr="008630CF" w:rsidRDefault="008630CF" w:rsidP="008630CF">
            <w:pPr>
              <w:pStyle w:val="Bodytext"/>
              <w:rPr>
                <w:sz w:val="19"/>
                <w:szCs w:val="19"/>
              </w:rPr>
            </w:pPr>
            <w:r w:rsidRPr="008630CF">
              <w:rPr>
                <w:sz w:val="19"/>
                <w:szCs w:val="19"/>
              </w:rPr>
              <w:t>Guernsey</w:t>
            </w:r>
          </w:p>
          <w:p w14:paraId="6A30CFB3" w14:textId="77777777" w:rsidR="008630CF" w:rsidRPr="008630CF" w:rsidRDefault="008630CF" w:rsidP="008630CF">
            <w:pPr>
              <w:pStyle w:val="Bodytext"/>
              <w:rPr>
                <w:sz w:val="19"/>
                <w:szCs w:val="19"/>
              </w:rPr>
            </w:pPr>
            <w:r w:rsidRPr="008630CF">
              <w:rPr>
                <w:sz w:val="19"/>
                <w:szCs w:val="19"/>
              </w:rPr>
              <w:t>GY1 4LY</w:t>
            </w:r>
          </w:p>
          <w:p w14:paraId="1818CED2" w14:textId="6D9D00E8" w:rsidR="008630CF" w:rsidRPr="008630CF" w:rsidRDefault="008630CF" w:rsidP="008630CF">
            <w:pPr>
              <w:pStyle w:val="Bodytext"/>
              <w:rPr>
                <w:b/>
                <w:sz w:val="19"/>
                <w:szCs w:val="19"/>
              </w:rPr>
            </w:pPr>
            <w:r w:rsidRPr="008630CF">
              <w:rPr>
                <w:sz w:val="19"/>
                <w:szCs w:val="19"/>
              </w:rPr>
              <w:t>Channel Islands</w:t>
            </w:r>
          </w:p>
          <w:p w14:paraId="539FA2CB" w14:textId="77777777" w:rsidR="000F52A5" w:rsidRPr="008630CF" w:rsidRDefault="000F52A5" w:rsidP="008630CF">
            <w:pPr>
              <w:pStyle w:val="Bodytext"/>
              <w:rPr>
                <w:b/>
                <w:sz w:val="19"/>
                <w:szCs w:val="19"/>
              </w:rPr>
            </w:pPr>
          </w:p>
          <w:p w14:paraId="02C56465" w14:textId="409FF5A5" w:rsidR="00780840" w:rsidRPr="008630CF" w:rsidRDefault="00780840" w:rsidP="008630CF">
            <w:pPr>
              <w:pStyle w:val="Bodytext"/>
              <w:rPr>
                <w:b/>
                <w:sz w:val="19"/>
                <w:szCs w:val="19"/>
              </w:rPr>
            </w:pPr>
            <w:r w:rsidRPr="008630CF">
              <w:rPr>
                <w:b/>
                <w:sz w:val="19"/>
                <w:szCs w:val="19"/>
              </w:rPr>
              <w:t>Registered office</w:t>
            </w:r>
          </w:p>
          <w:p w14:paraId="3E14C58F" w14:textId="77777777" w:rsidR="008630CF" w:rsidRPr="00660677" w:rsidRDefault="008630CF" w:rsidP="008630CF">
            <w:pPr>
              <w:pStyle w:val="Bodytext"/>
              <w:rPr>
                <w:sz w:val="19"/>
                <w:szCs w:val="19"/>
              </w:rPr>
            </w:pPr>
            <w:r w:rsidRPr="00660677">
              <w:rPr>
                <w:sz w:val="19"/>
                <w:szCs w:val="19"/>
              </w:rPr>
              <w:t>PO Box 286</w:t>
            </w:r>
          </w:p>
          <w:p w14:paraId="3DEBDB30" w14:textId="77777777" w:rsidR="008630CF" w:rsidRPr="00660677" w:rsidRDefault="008630CF" w:rsidP="008630CF">
            <w:pPr>
              <w:pStyle w:val="Bodytext"/>
              <w:rPr>
                <w:sz w:val="19"/>
                <w:szCs w:val="19"/>
              </w:rPr>
            </w:pPr>
            <w:r w:rsidRPr="00660677">
              <w:rPr>
                <w:sz w:val="19"/>
                <w:szCs w:val="19"/>
              </w:rPr>
              <w:t>Floor 2</w:t>
            </w:r>
          </w:p>
          <w:p w14:paraId="1C448AEB" w14:textId="77777777" w:rsidR="008630CF" w:rsidRDefault="008630CF" w:rsidP="008630CF">
            <w:pPr>
              <w:pStyle w:val="Bodytext"/>
              <w:rPr>
                <w:sz w:val="19"/>
                <w:szCs w:val="19"/>
              </w:rPr>
            </w:pPr>
            <w:r w:rsidRPr="00660677">
              <w:rPr>
                <w:sz w:val="19"/>
                <w:szCs w:val="19"/>
              </w:rPr>
              <w:t xml:space="preserve">Trafalgar Court </w:t>
            </w:r>
          </w:p>
          <w:p w14:paraId="0C9221FB" w14:textId="77777777" w:rsidR="008630CF" w:rsidRPr="00660677" w:rsidRDefault="008630CF" w:rsidP="008630CF">
            <w:pPr>
              <w:pStyle w:val="Bodytext"/>
              <w:rPr>
                <w:sz w:val="19"/>
                <w:szCs w:val="19"/>
              </w:rPr>
            </w:pPr>
            <w:r>
              <w:rPr>
                <w:sz w:val="19"/>
                <w:szCs w:val="19"/>
              </w:rPr>
              <w:t>Les Banques</w:t>
            </w:r>
          </w:p>
          <w:p w14:paraId="5D2E4E08" w14:textId="77777777" w:rsidR="008630CF" w:rsidRPr="00660677" w:rsidRDefault="008630CF" w:rsidP="008630CF">
            <w:pPr>
              <w:pStyle w:val="Bodytext"/>
              <w:rPr>
                <w:sz w:val="19"/>
                <w:szCs w:val="19"/>
              </w:rPr>
            </w:pPr>
            <w:r w:rsidRPr="00660677">
              <w:rPr>
                <w:sz w:val="19"/>
                <w:szCs w:val="19"/>
              </w:rPr>
              <w:t xml:space="preserve">St Peter Port </w:t>
            </w:r>
          </w:p>
          <w:p w14:paraId="54747D6B" w14:textId="77777777" w:rsidR="008630CF" w:rsidRPr="00660677" w:rsidRDefault="008630CF" w:rsidP="008630CF">
            <w:pPr>
              <w:pStyle w:val="Bodytext"/>
              <w:rPr>
                <w:sz w:val="19"/>
                <w:szCs w:val="19"/>
              </w:rPr>
            </w:pPr>
            <w:r w:rsidRPr="00660677">
              <w:rPr>
                <w:sz w:val="19"/>
                <w:szCs w:val="19"/>
              </w:rPr>
              <w:t>Guernsey</w:t>
            </w:r>
          </w:p>
          <w:p w14:paraId="13FC5D06" w14:textId="77777777" w:rsidR="008630CF" w:rsidRPr="00660677" w:rsidRDefault="008630CF" w:rsidP="008630CF">
            <w:pPr>
              <w:pStyle w:val="Bodytext"/>
              <w:rPr>
                <w:sz w:val="19"/>
                <w:szCs w:val="19"/>
              </w:rPr>
            </w:pPr>
            <w:r w:rsidRPr="00660677">
              <w:rPr>
                <w:sz w:val="19"/>
                <w:szCs w:val="19"/>
              </w:rPr>
              <w:t>GY1 4LY</w:t>
            </w:r>
          </w:p>
          <w:p w14:paraId="24EC338D" w14:textId="4A2595AC" w:rsidR="008630CF" w:rsidRPr="008630CF" w:rsidRDefault="008630CF" w:rsidP="008630CF">
            <w:pPr>
              <w:pStyle w:val="Bodytext"/>
              <w:rPr>
                <w:sz w:val="19"/>
                <w:szCs w:val="19"/>
              </w:rPr>
            </w:pPr>
            <w:r w:rsidRPr="00660677">
              <w:rPr>
                <w:sz w:val="19"/>
                <w:szCs w:val="19"/>
              </w:rPr>
              <w:t xml:space="preserve">Channel Islands </w:t>
            </w:r>
          </w:p>
          <w:p w14:paraId="47F5F1BF" w14:textId="77777777" w:rsidR="00780840" w:rsidRPr="008630CF" w:rsidRDefault="00780840" w:rsidP="008630CF">
            <w:pPr>
              <w:pStyle w:val="Bodytext"/>
              <w:rPr>
                <w:sz w:val="19"/>
                <w:szCs w:val="19"/>
              </w:rPr>
            </w:pPr>
          </w:p>
          <w:p w14:paraId="414808C6" w14:textId="77777777" w:rsidR="00780840" w:rsidRPr="008630CF" w:rsidRDefault="00780840" w:rsidP="008630CF">
            <w:pPr>
              <w:pStyle w:val="Bodytext"/>
              <w:rPr>
                <w:b/>
                <w:sz w:val="19"/>
                <w:szCs w:val="19"/>
              </w:rPr>
            </w:pPr>
            <w:r w:rsidRPr="008630CF">
              <w:rPr>
                <w:b/>
                <w:sz w:val="19"/>
                <w:szCs w:val="19"/>
              </w:rPr>
              <w:t>Registrar</w:t>
            </w:r>
          </w:p>
          <w:p w14:paraId="03856C59" w14:textId="1D669584" w:rsidR="00780840" w:rsidRPr="008630CF" w:rsidRDefault="00470CA3" w:rsidP="008630CF">
            <w:pPr>
              <w:pStyle w:val="Bodytext"/>
              <w:rPr>
                <w:sz w:val="19"/>
                <w:szCs w:val="19"/>
              </w:rPr>
            </w:pPr>
            <w:r w:rsidRPr="008630CF">
              <w:rPr>
                <w:sz w:val="19"/>
                <w:szCs w:val="19"/>
              </w:rPr>
              <w:t xml:space="preserve">Link Asset Services </w:t>
            </w:r>
          </w:p>
          <w:p w14:paraId="544EF2E8" w14:textId="613D3F4D" w:rsidR="00470CA3" w:rsidRPr="008630CF" w:rsidRDefault="00470CA3" w:rsidP="008630CF">
            <w:pPr>
              <w:pStyle w:val="Bodytext"/>
              <w:rPr>
                <w:sz w:val="19"/>
                <w:szCs w:val="19"/>
              </w:rPr>
            </w:pPr>
            <w:r w:rsidRPr="008630CF">
              <w:rPr>
                <w:sz w:val="19"/>
                <w:szCs w:val="19"/>
              </w:rPr>
              <w:t>65 Gresham Street</w:t>
            </w:r>
          </w:p>
          <w:p w14:paraId="05B252A7" w14:textId="77777777" w:rsidR="00470CA3" w:rsidRPr="008630CF" w:rsidRDefault="00470CA3" w:rsidP="008630CF">
            <w:pPr>
              <w:pStyle w:val="Bodytext"/>
              <w:rPr>
                <w:sz w:val="19"/>
                <w:szCs w:val="19"/>
              </w:rPr>
            </w:pPr>
            <w:r w:rsidRPr="008630CF">
              <w:rPr>
                <w:sz w:val="19"/>
                <w:szCs w:val="19"/>
              </w:rPr>
              <w:t>London</w:t>
            </w:r>
          </w:p>
          <w:p w14:paraId="251996CE" w14:textId="77777777" w:rsidR="00470CA3" w:rsidRPr="008630CF" w:rsidRDefault="00470CA3" w:rsidP="008630CF">
            <w:pPr>
              <w:pStyle w:val="Bodytext"/>
              <w:rPr>
                <w:sz w:val="19"/>
                <w:szCs w:val="19"/>
              </w:rPr>
            </w:pPr>
            <w:r w:rsidRPr="008630CF">
              <w:rPr>
                <w:sz w:val="19"/>
                <w:szCs w:val="19"/>
              </w:rPr>
              <w:t xml:space="preserve">EC2V 7NQ </w:t>
            </w:r>
          </w:p>
          <w:p w14:paraId="6116E651" w14:textId="468EA14B" w:rsidR="00E514A3" w:rsidRPr="008630CF" w:rsidRDefault="00E514A3" w:rsidP="008630CF">
            <w:pPr>
              <w:pStyle w:val="Bodytext"/>
              <w:rPr>
                <w:sz w:val="19"/>
                <w:szCs w:val="19"/>
              </w:rPr>
            </w:pPr>
            <w:r w:rsidRPr="008630CF">
              <w:rPr>
                <w:sz w:val="19"/>
                <w:szCs w:val="19"/>
              </w:rPr>
              <w:t>United Kingdom</w:t>
            </w:r>
          </w:p>
          <w:p w14:paraId="60849DB3" w14:textId="77777777" w:rsidR="00470CA3" w:rsidRPr="008630CF" w:rsidRDefault="00470CA3" w:rsidP="008630CF">
            <w:pPr>
              <w:pStyle w:val="Bodytext"/>
              <w:rPr>
                <w:sz w:val="19"/>
                <w:szCs w:val="19"/>
              </w:rPr>
            </w:pPr>
          </w:p>
          <w:p w14:paraId="2E182407" w14:textId="1928FF2F" w:rsidR="00780840" w:rsidRPr="008630CF" w:rsidRDefault="00780840" w:rsidP="008630CF">
            <w:pPr>
              <w:pStyle w:val="Bodytext"/>
              <w:rPr>
                <w:b/>
                <w:sz w:val="19"/>
                <w:szCs w:val="19"/>
              </w:rPr>
            </w:pPr>
            <w:r w:rsidRPr="008630CF">
              <w:rPr>
                <w:b/>
                <w:sz w:val="19"/>
                <w:szCs w:val="19"/>
              </w:rPr>
              <w:t>Principal banker</w:t>
            </w:r>
            <w:r w:rsidR="003C2192" w:rsidRPr="008630CF">
              <w:rPr>
                <w:b/>
                <w:sz w:val="19"/>
                <w:szCs w:val="19"/>
              </w:rPr>
              <w:t xml:space="preserve"> and custodian</w:t>
            </w:r>
          </w:p>
          <w:p w14:paraId="1CE80DB9" w14:textId="77777777" w:rsidR="008630CF" w:rsidRPr="00660677" w:rsidRDefault="008630CF" w:rsidP="008630CF">
            <w:pPr>
              <w:rPr>
                <w:sz w:val="19"/>
                <w:szCs w:val="19"/>
              </w:rPr>
            </w:pPr>
            <w:r w:rsidRPr="00660677">
              <w:rPr>
                <w:sz w:val="19"/>
                <w:szCs w:val="19"/>
              </w:rPr>
              <w:t xml:space="preserve">Barclays Bank PLC </w:t>
            </w:r>
          </w:p>
          <w:p w14:paraId="0D633472" w14:textId="7D1DED0A" w:rsidR="008630CF" w:rsidRDefault="008630CF" w:rsidP="008630CF">
            <w:pPr>
              <w:rPr>
                <w:sz w:val="19"/>
                <w:szCs w:val="19"/>
              </w:rPr>
            </w:pPr>
            <w:r w:rsidRPr="00660677">
              <w:rPr>
                <w:sz w:val="19"/>
                <w:szCs w:val="19"/>
              </w:rPr>
              <w:t>PO Box 41</w:t>
            </w:r>
            <w:r w:rsidRPr="00660677">
              <w:rPr>
                <w:sz w:val="19"/>
                <w:szCs w:val="19"/>
              </w:rPr>
              <w:br/>
              <w:t>Le Marchant House</w:t>
            </w:r>
          </w:p>
          <w:p w14:paraId="727CADDB" w14:textId="77777777" w:rsidR="004F66DF" w:rsidRPr="00660677" w:rsidRDefault="004F66DF" w:rsidP="004F66DF">
            <w:pPr>
              <w:rPr>
                <w:sz w:val="19"/>
                <w:szCs w:val="19"/>
              </w:rPr>
            </w:pPr>
            <w:r w:rsidRPr="00660677">
              <w:rPr>
                <w:sz w:val="19"/>
                <w:szCs w:val="19"/>
              </w:rPr>
              <w:t>Le Truchot</w:t>
            </w:r>
            <w:r w:rsidRPr="00660677">
              <w:rPr>
                <w:sz w:val="19"/>
                <w:szCs w:val="19"/>
              </w:rPr>
              <w:br/>
              <w:t>St Peter Port</w:t>
            </w:r>
            <w:r w:rsidRPr="00660677">
              <w:rPr>
                <w:sz w:val="19"/>
                <w:szCs w:val="19"/>
              </w:rPr>
              <w:br/>
              <w:t>Guernsey</w:t>
            </w:r>
            <w:r w:rsidRPr="00660677">
              <w:rPr>
                <w:sz w:val="19"/>
                <w:szCs w:val="19"/>
              </w:rPr>
              <w:br/>
              <w:t>GY1 3BE</w:t>
            </w:r>
          </w:p>
          <w:p w14:paraId="34268F43" w14:textId="77777777" w:rsidR="004F66DF" w:rsidRPr="008630CF" w:rsidRDefault="004F66DF" w:rsidP="004F66DF">
            <w:pPr>
              <w:rPr>
                <w:sz w:val="19"/>
                <w:szCs w:val="19"/>
              </w:rPr>
            </w:pPr>
            <w:r w:rsidRPr="00660677">
              <w:rPr>
                <w:sz w:val="19"/>
                <w:szCs w:val="19"/>
              </w:rPr>
              <w:t>Channel Islands</w:t>
            </w:r>
          </w:p>
          <w:p w14:paraId="001B87E8" w14:textId="77777777" w:rsidR="008630CF" w:rsidRPr="00660677" w:rsidRDefault="008630CF" w:rsidP="008630CF">
            <w:pPr>
              <w:rPr>
                <w:rFonts w:ascii="Verdana" w:hAnsi="Verdana"/>
                <w:color w:val="44546A"/>
                <w:sz w:val="19"/>
                <w:szCs w:val="19"/>
              </w:rPr>
            </w:pPr>
          </w:p>
          <w:p w14:paraId="169FCCE6" w14:textId="3126DD24" w:rsidR="00CB3660" w:rsidRPr="008630CF" w:rsidRDefault="00CB3660" w:rsidP="008630CF">
            <w:pPr>
              <w:pStyle w:val="Bodytext"/>
              <w:rPr>
                <w:sz w:val="19"/>
                <w:szCs w:val="19"/>
              </w:rPr>
            </w:pPr>
          </w:p>
        </w:tc>
        <w:tc>
          <w:tcPr>
            <w:tcW w:w="3189" w:type="dxa"/>
          </w:tcPr>
          <w:p w14:paraId="4EA4208A" w14:textId="77777777" w:rsidR="008630CF" w:rsidRPr="008630CF" w:rsidRDefault="008630CF" w:rsidP="008630CF">
            <w:pPr>
              <w:pStyle w:val="Bodytext"/>
              <w:rPr>
                <w:b/>
                <w:sz w:val="19"/>
                <w:szCs w:val="19"/>
              </w:rPr>
            </w:pPr>
            <w:r w:rsidRPr="008630CF">
              <w:rPr>
                <w:b/>
                <w:sz w:val="19"/>
                <w:szCs w:val="19"/>
              </w:rPr>
              <w:t>English solicitors to the Company</w:t>
            </w:r>
          </w:p>
          <w:p w14:paraId="09812773" w14:textId="77777777" w:rsidR="008630CF" w:rsidRPr="008630CF" w:rsidRDefault="008630CF" w:rsidP="008630CF">
            <w:pPr>
              <w:pStyle w:val="Bodytext"/>
              <w:rPr>
                <w:sz w:val="19"/>
                <w:szCs w:val="19"/>
              </w:rPr>
            </w:pPr>
            <w:r w:rsidRPr="008630CF">
              <w:rPr>
                <w:sz w:val="19"/>
                <w:szCs w:val="19"/>
              </w:rPr>
              <w:t>Hogan Lovells International LLP</w:t>
            </w:r>
            <w:r w:rsidRPr="008630CF">
              <w:rPr>
                <w:sz w:val="19"/>
                <w:szCs w:val="19"/>
              </w:rPr>
              <w:br/>
              <w:t>Atlantic House</w:t>
            </w:r>
            <w:r w:rsidRPr="008630CF">
              <w:rPr>
                <w:sz w:val="19"/>
                <w:szCs w:val="19"/>
              </w:rPr>
              <w:br/>
              <w:t>Holborn Viaduct</w:t>
            </w:r>
            <w:r w:rsidRPr="008630CF">
              <w:rPr>
                <w:sz w:val="19"/>
                <w:szCs w:val="19"/>
              </w:rPr>
              <w:br/>
              <w:t xml:space="preserve">London </w:t>
            </w:r>
          </w:p>
          <w:p w14:paraId="3AD32E09" w14:textId="77777777" w:rsidR="008630CF" w:rsidRPr="008630CF" w:rsidRDefault="008630CF" w:rsidP="008630CF">
            <w:pPr>
              <w:pStyle w:val="Bodytext"/>
              <w:rPr>
                <w:sz w:val="19"/>
                <w:szCs w:val="19"/>
              </w:rPr>
            </w:pPr>
            <w:r w:rsidRPr="008630CF">
              <w:rPr>
                <w:sz w:val="19"/>
                <w:szCs w:val="19"/>
              </w:rPr>
              <w:t>EC1A 2FG</w:t>
            </w:r>
          </w:p>
          <w:p w14:paraId="63534AA2" w14:textId="5299DF24" w:rsidR="008630CF" w:rsidRDefault="008630CF" w:rsidP="008630CF">
            <w:pPr>
              <w:pStyle w:val="Bodytext"/>
              <w:rPr>
                <w:b/>
                <w:sz w:val="19"/>
                <w:szCs w:val="19"/>
              </w:rPr>
            </w:pPr>
            <w:r w:rsidRPr="008630CF">
              <w:rPr>
                <w:sz w:val="19"/>
                <w:szCs w:val="19"/>
              </w:rPr>
              <w:t>United Kingdom</w:t>
            </w:r>
          </w:p>
          <w:p w14:paraId="5D830955" w14:textId="1BEDD407" w:rsidR="008630CF" w:rsidRDefault="008630CF" w:rsidP="00EB7E49">
            <w:pPr>
              <w:pStyle w:val="Bodytext"/>
              <w:rPr>
                <w:b/>
                <w:sz w:val="19"/>
                <w:szCs w:val="19"/>
              </w:rPr>
            </w:pPr>
          </w:p>
          <w:p w14:paraId="4A19E25D" w14:textId="36F48445" w:rsidR="00C15ADC" w:rsidRPr="008630CF" w:rsidRDefault="00C15ADC" w:rsidP="00EB7E49">
            <w:pPr>
              <w:pStyle w:val="Bodytext"/>
              <w:rPr>
                <w:b/>
                <w:sz w:val="19"/>
                <w:szCs w:val="19"/>
              </w:rPr>
            </w:pPr>
            <w:r w:rsidRPr="008630CF">
              <w:rPr>
                <w:b/>
                <w:sz w:val="19"/>
                <w:szCs w:val="19"/>
              </w:rPr>
              <w:t>Guernsey advocates to the Company</w:t>
            </w:r>
          </w:p>
          <w:p w14:paraId="5E0DF4DB" w14:textId="77777777" w:rsidR="00C15ADC" w:rsidRPr="008630CF" w:rsidRDefault="00C15ADC" w:rsidP="00EB7E49">
            <w:pPr>
              <w:pStyle w:val="Bodytext"/>
              <w:rPr>
                <w:sz w:val="19"/>
                <w:szCs w:val="19"/>
              </w:rPr>
            </w:pPr>
            <w:r w:rsidRPr="008630CF">
              <w:rPr>
                <w:sz w:val="19"/>
                <w:szCs w:val="19"/>
              </w:rPr>
              <w:t>Carey Olsen</w:t>
            </w:r>
          </w:p>
          <w:p w14:paraId="5877650D" w14:textId="77777777" w:rsidR="00C15ADC" w:rsidRPr="008630CF" w:rsidRDefault="00C15ADC" w:rsidP="00EB7E49">
            <w:pPr>
              <w:pStyle w:val="Bodytext"/>
              <w:rPr>
                <w:sz w:val="19"/>
                <w:szCs w:val="19"/>
              </w:rPr>
            </w:pPr>
            <w:r w:rsidRPr="008630CF">
              <w:rPr>
                <w:sz w:val="19"/>
                <w:szCs w:val="19"/>
              </w:rPr>
              <w:t>Carey House</w:t>
            </w:r>
          </w:p>
          <w:p w14:paraId="776C8859" w14:textId="77777777" w:rsidR="00C15ADC" w:rsidRPr="008630CF" w:rsidRDefault="00C15ADC" w:rsidP="00EB7E49">
            <w:pPr>
              <w:pStyle w:val="Bodytext"/>
              <w:rPr>
                <w:sz w:val="19"/>
                <w:szCs w:val="19"/>
              </w:rPr>
            </w:pPr>
            <w:r w:rsidRPr="008630CF">
              <w:rPr>
                <w:sz w:val="19"/>
                <w:szCs w:val="19"/>
              </w:rPr>
              <w:t>PO Box 98</w:t>
            </w:r>
          </w:p>
          <w:p w14:paraId="19B7BC5D" w14:textId="77777777" w:rsidR="00C15ADC" w:rsidRPr="008630CF" w:rsidRDefault="00C15ADC" w:rsidP="00EB7E49">
            <w:pPr>
              <w:pStyle w:val="Bodytext"/>
              <w:rPr>
                <w:sz w:val="19"/>
                <w:szCs w:val="19"/>
              </w:rPr>
            </w:pPr>
            <w:r w:rsidRPr="008630CF">
              <w:rPr>
                <w:sz w:val="19"/>
                <w:szCs w:val="19"/>
              </w:rPr>
              <w:t>Les Banques</w:t>
            </w:r>
          </w:p>
          <w:p w14:paraId="38C20331" w14:textId="77777777" w:rsidR="00C15ADC" w:rsidRPr="008630CF" w:rsidRDefault="00C15ADC" w:rsidP="00EB7E49">
            <w:pPr>
              <w:pStyle w:val="Bodytext"/>
              <w:rPr>
                <w:sz w:val="19"/>
                <w:szCs w:val="19"/>
              </w:rPr>
            </w:pPr>
            <w:r w:rsidRPr="008630CF">
              <w:rPr>
                <w:sz w:val="19"/>
                <w:szCs w:val="19"/>
              </w:rPr>
              <w:t>St Peter Port</w:t>
            </w:r>
          </w:p>
          <w:p w14:paraId="06014C9D" w14:textId="77777777" w:rsidR="00C15ADC" w:rsidRPr="008630CF" w:rsidRDefault="00C15ADC" w:rsidP="00EB7E49">
            <w:pPr>
              <w:pStyle w:val="Bodytext"/>
              <w:rPr>
                <w:sz w:val="19"/>
                <w:szCs w:val="19"/>
              </w:rPr>
            </w:pPr>
            <w:r w:rsidRPr="008630CF">
              <w:rPr>
                <w:sz w:val="19"/>
                <w:szCs w:val="19"/>
              </w:rPr>
              <w:t xml:space="preserve">Guernsey </w:t>
            </w:r>
          </w:p>
          <w:p w14:paraId="7AE4E664" w14:textId="77777777" w:rsidR="00C15ADC" w:rsidRPr="008630CF" w:rsidRDefault="00C15ADC" w:rsidP="00EB7E49">
            <w:pPr>
              <w:pStyle w:val="Bodytext"/>
              <w:rPr>
                <w:sz w:val="19"/>
                <w:szCs w:val="19"/>
              </w:rPr>
            </w:pPr>
            <w:r w:rsidRPr="008630CF">
              <w:rPr>
                <w:sz w:val="19"/>
                <w:szCs w:val="19"/>
              </w:rPr>
              <w:t>GY1 4BZ</w:t>
            </w:r>
          </w:p>
          <w:p w14:paraId="3BD1D219" w14:textId="3A6795D8" w:rsidR="00C15ADC" w:rsidRPr="008630CF" w:rsidRDefault="00C15ADC" w:rsidP="00EB7E49">
            <w:pPr>
              <w:pStyle w:val="Bodytext"/>
              <w:rPr>
                <w:b/>
                <w:sz w:val="19"/>
                <w:szCs w:val="19"/>
              </w:rPr>
            </w:pPr>
            <w:r w:rsidRPr="008630CF">
              <w:rPr>
                <w:sz w:val="19"/>
                <w:szCs w:val="19"/>
              </w:rPr>
              <w:t>Channel Islands</w:t>
            </w:r>
          </w:p>
          <w:p w14:paraId="7B75EDC8" w14:textId="77777777" w:rsidR="00C15ADC" w:rsidRPr="008630CF" w:rsidRDefault="00C15ADC" w:rsidP="00EB7E49">
            <w:pPr>
              <w:pStyle w:val="Bodytext"/>
              <w:rPr>
                <w:b/>
                <w:sz w:val="19"/>
                <w:szCs w:val="19"/>
              </w:rPr>
            </w:pPr>
          </w:p>
          <w:p w14:paraId="0B8461DC" w14:textId="77777777" w:rsidR="00780840" w:rsidRPr="008630CF" w:rsidRDefault="00780840" w:rsidP="00EB7E49">
            <w:pPr>
              <w:pStyle w:val="Bodytext"/>
              <w:rPr>
                <w:b/>
                <w:sz w:val="19"/>
                <w:szCs w:val="19"/>
              </w:rPr>
            </w:pPr>
            <w:r w:rsidRPr="008630CF">
              <w:rPr>
                <w:b/>
                <w:sz w:val="19"/>
                <w:szCs w:val="19"/>
              </w:rPr>
              <w:t>U.S. legal advisors to the Company</w:t>
            </w:r>
          </w:p>
          <w:p w14:paraId="70AAE147" w14:textId="77777777" w:rsidR="00780840" w:rsidRPr="008630CF" w:rsidRDefault="00780840" w:rsidP="00EB7E49">
            <w:pPr>
              <w:pStyle w:val="Bodytext"/>
              <w:rPr>
                <w:sz w:val="19"/>
                <w:szCs w:val="19"/>
              </w:rPr>
            </w:pPr>
            <w:r w:rsidRPr="008630CF">
              <w:rPr>
                <w:sz w:val="19"/>
                <w:szCs w:val="19"/>
              </w:rPr>
              <w:t>Vinson &amp; Elkins LLP</w:t>
            </w:r>
          </w:p>
          <w:p w14:paraId="66914F03" w14:textId="77777777" w:rsidR="00780840" w:rsidRPr="008630CF" w:rsidRDefault="00780840" w:rsidP="00EB7E49">
            <w:pPr>
              <w:pStyle w:val="Bodytext"/>
              <w:rPr>
                <w:sz w:val="19"/>
                <w:szCs w:val="19"/>
              </w:rPr>
            </w:pPr>
            <w:r w:rsidRPr="008630CF">
              <w:rPr>
                <w:sz w:val="19"/>
                <w:szCs w:val="19"/>
              </w:rPr>
              <w:t>1001 Fannin Street</w:t>
            </w:r>
          </w:p>
          <w:p w14:paraId="6F91076B" w14:textId="77777777" w:rsidR="00780840" w:rsidRPr="008630CF" w:rsidRDefault="00780840" w:rsidP="00EB7E49">
            <w:pPr>
              <w:pStyle w:val="Bodytext"/>
              <w:rPr>
                <w:sz w:val="19"/>
                <w:szCs w:val="19"/>
              </w:rPr>
            </w:pPr>
            <w:r w:rsidRPr="008630CF">
              <w:rPr>
                <w:sz w:val="19"/>
                <w:szCs w:val="19"/>
              </w:rPr>
              <w:t>Suite 2500</w:t>
            </w:r>
          </w:p>
          <w:p w14:paraId="29D69234" w14:textId="77777777" w:rsidR="00780840" w:rsidRPr="008630CF" w:rsidRDefault="00780840" w:rsidP="00EB7E49">
            <w:pPr>
              <w:pStyle w:val="Bodytext"/>
              <w:rPr>
                <w:sz w:val="19"/>
                <w:szCs w:val="19"/>
              </w:rPr>
            </w:pPr>
            <w:r w:rsidRPr="008630CF">
              <w:rPr>
                <w:sz w:val="19"/>
                <w:szCs w:val="19"/>
              </w:rPr>
              <w:t>Houston, Texas</w:t>
            </w:r>
          </w:p>
          <w:p w14:paraId="27B391F6" w14:textId="77777777" w:rsidR="00780840" w:rsidRPr="008630CF" w:rsidRDefault="00780840" w:rsidP="00EB7E49">
            <w:pPr>
              <w:pStyle w:val="Bodytext"/>
              <w:rPr>
                <w:sz w:val="19"/>
                <w:szCs w:val="19"/>
              </w:rPr>
            </w:pPr>
            <w:r w:rsidRPr="008630CF">
              <w:rPr>
                <w:sz w:val="19"/>
                <w:szCs w:val="19"/>
              </w:rPr>
              <w:t>TX 77002</w:t>
            </w:r>
          </w:p>
          <w:p w14:paraId="2EF33F45" w14:textId="77777777" w:rsidR="00780840" w:rsidRPr="008630CF" w:rsidRDefault="00780840" w:rsidP="00EB7E49">
            <w:pPr>
              <w:pStyle w:val="Bodytext"/>
              <w:rPr>
                <w:sz w:val="19"/>
                <w:szCs w:val="19"/>
              </w:rPr>
            </w:pPr>
            <w:r w:rsidRPr="008630CF">
              <w:rPr>
                <w:sz w:val="19"/>
                <w:szCs w:val="19"/>
              </w:rPr>
              <w:t>United States of America</w:t>
            </w:r>
          </w:p>
          <w:p w14:paraId="44CEF6AF" w14:textId="77777777" w:rsidR="00780840" w:rsidRPr="008630CF" w:rsidRDefault="00780840" w:rsidP="00EB7E49">
            <w:pPr>
              <w:pStyle w:val="Bodytext"/>
              <w:rPr>
                <w:sz w:val="19"/>
                <w:szCs w:val="19"/>
              </w:rPr>
            </w:pPr>
          </w:p>
          <w:p w14:paraId="52DA6F64" w14:textId="77777777" w:rsidR="00780840" w:rsidRPr="008630CF" w:rsidRDefault="00780840" w:rsidP="00EB7E49">
            <w:pPr>
              <w:pStyle w:val="Bodytext"/>
              <w:rPr>
                <w:b/>
                <w:sz w:val="19"/>
                <w:szCs w:val="19"/>
              </w:rPr>
            </w:pPr>
            <w:r w:rsidRPr="008630CF">
              <w:rPr>
                <w:b/>
                <w:sz w:val="19"/>
                <w:szCs w:val="19"/>
              </w:rPr>
              <w:t>Independent auditor</w:t>
            </w:r>
          </w:p>
          <w:p w14:paraId="20F024AC" w14:textId="77777777" w:rsidR="00780840" w:rsidRPr="008630CF" w:rsidRDefault="00780840" w:rsidP="00EB7E49">
            <w:pPr>
              <w:pStyle w:val="Bodytext"/>
              <w:rPr>
                <w:sz w:val="19"/>
                <w:szCs w:val="19"/>
              </w:rPr>
            </w:pPr>
            <w:r w:rsidRPr="008630CF">
              <w:rPr>
                <w:sz w:val="19"/>
                <w:szCs w:val="19"/>
              </w:rPr>
              <w:t>Ernst &amp; Young LLP</w:t>
            </w:r>
          </w:p>
          <w:p w14:paraId="37BBB00E" w14:textId="77777777" w:rsidR="00780840" w:rsidRPr="008630CF" w:rsidRDefault="00780840" w:rsidP="00EB7E49">
            <w:pPr>
              <w:pStyle w:val="Bodytext"/>
              <w:rPr>
                <w:sz w:val="19"/>
                <w:szCs w:val="19"/>
              </w:rPr>
            </w:pPr>
            <w:r w:rsidRPr="008630CF">
              <w:rPr>
                <w:sz w:val="19"/>
                <w:szCs w:val="19"/>
              </w:rPr>
              <w:t>PO Box 9, Royal Chambers</w:t>
            </w:r>
          </w:p>
          <w:p w14:paraId="365DCD32" w14:textId="77777777" w:rsidR="00780840" w:rsidRPr="008630CF" w:rsidRDefault="00780840" w:rsidP="00EB7E49">
            <w:pPr>
              <w:pStyle w:val="Bodytext"/>
              <w:rPr>
                <w:sz w:val="19"/>
                <w:szCs w:val="19"/>
              </w:rPr>
            </w:pPr>
            <w:r w:rsidRPr="008630CF">
              <w:rPr>
                <w:sz w:val="19"/>
                <w:szCs w:val="19"/>
              </w:rPr>
              <w:t>St Julian’s Avenue</w:t>
            </w:r>
          </w:p>
          <w:p w14:paraId="4795D546" w14:textId="77777777" w:rsidR="00780840" w:rsidRPr="008630CF" w:rsidRDefault="00780840" w:rsidP="00EB7E49">
            <w:pPr>
              <w:pStyle w:val="Bodytext"/>
              <w:rPr>
                <w:sz w:val="19"/>
                <w:szCs w:val="19"/>
              </w:rPr>
            </w:pPr>
            <w:r w:rsidRPr="008630CF">
              <w:rPr>
                <w:sz w:val="19"/>
                <w:szCs w:val="19"/>
              </w:rPr>
              <w:t>St Peter Port</w:t>
            </w:r>
          </w:p>
          <w:p w14:paraId="5A23BDAA" w14:textId="77777777" w:rsidR="00780840" w:rsidRPr="008630CF" w:rsidRDefault="00780840" w:rsidP="00EB7E49">
            <w:pPr>
              <w:pStyle w:val="Bodytext"/>
              <w:rPr>
                <w:sz w:val="19"/>
                <w:szCs w:val="19"/>
              </w:rPr>
            </w:pPr>
            <w:r w:rsidRPr="008630CF">
              <w:rPr>
                <w:sz w:val="19"/>
                <w:szCs w:val="19"/>
              </w:rPr>
              <w:t>Guernsey</w:t>
            </w:r>
          </w:p>
          <w:p w14:paraId="282FF76E" w14:textId="77777777" w:rsidR="00780840" w:rsidRPr="008630CF" w:rsidRDefault="00780840" w:rsidP="00EB7E49">
            <w:pPr>
              <w:pStyle w:val="Bodytext"/>
              <w:rPr>
                <w:sz w:val="19"/>
                <w:szCs w:val="19"/>
              </w:rPr>
            </w:pPr>
            <w:r w:rsidRPr="008630CF">
              <w:rPr>
                <w:sz w:val="19"/>
                <w:szCs w:val="19"/>
              </w:rPr>
              <w:t>GY1 4AF</w:t>
            </w:r>
          </w:p>
          <w:p w14:paraId="5333F42D" w14:textId="77777777" w:rsidR="00780840" w:rsidRPr="008630CF" w:rsidRDefault="00780840" w:rsidP="00EB7E49">
            <w:pPr>
              <w:pStyle w:val="Bodytext"/>
              <w:rPr>
                <w:sz w:val="19"/>
                <w:szCs w:val="19"/>
              </w:rPr>
            </w:pPr>
            <w:r w:rsidRPr="008630CF">
              <w:rPr>
                <w:sz w:val="19"/>
                <w:szCs w:val="19"/>
              </w:rPr>
              <w:t>Channel Islands</w:t>
            </w:r>
          </w:p>
          <w:p w14:paraId="10A43888" w14:textId="77777777" w:rsidR="00780840" w:rsidRPr="008630CF" w:rsidRDefault="00780840" w:rsidP="00EB7E49">
            <w:pPr>
              <w:pStyle w:val="Bodytext"/>
              <w:rPr>
                <w:sz w:val="19"/>
                <w:szCs w:val="19"/>
              </w:rPr>
            </w:pPr>
          </w:p>
          <w:p w14:paraId="66CF2E6B" w14:textId="4F1F4C0E" w:rsidR="00780840" w:rsidRPr="008630CF" w:rsidRDefault="00780840" w:rsidP="00EB7E49">
            <w:pPr>
              <w:pStyle w:val="Bodytext"/>
              <w:rPr>
                <w:b/>
                <w:sz w:val="19"/>
                <w:szCs w:val="19"/>
              </w:rPr>
            </w:pPr>
            <w:r w:rsidRPr="008630CF">
              <w:rPr>
                <w:b/>
                <w:sz w:val="19"/>
                <w:szCs w:val="19"/>
              </w:rPr>
              <w:t>Corporate Brokers</w:t>
            </w:r>
          </w:p>
          <w:p w14:paraId="66072517" w14:textId="4741EE5C" w:rsidR="00E2503A" w:rsidRPr="008630CF" w:rsidRDefault="00E2503A" w:rsidP="00E2503A">
            <w:pPr>
              <w:pStyle w:val="Bodytext"/>
              <w:rPr>
                <w:sz w:val="19"/>
                <w:szCs w:val="19"/>
              </w:rPr>
            </w:pPr>
            <w:r w:rsidRPr="008630CF">
              <w:rPr>
                <w:sz w:val="19"/>
                <w:szCs w:val="19"/>
              </w:rPr>
              <w:t>JP Morgan Cazenove</w:t>
            </w:r>
          </w:p>
          <w:p w14:paraId="3B26DCE4" w14:textId="47620AE0" w:rsidR="00E2503A" w:rsidRPr="008630CF" w:rsidRDefault="00E2503A" w:rsidP="00E2503A">
            <w:pPr>
              <w:pStyle w:val="Bodytext"/>
              <w:rPr>
                <w:sz w:val="19"/>
                <w:szCs w:val="19"/>
              </w:rPr>
            </w:pPr>
            <w:r w:rsidRPr="008630CF">
              <w:rPr>
                <w:sz w:val="19"/>
                <w:szCs w:val="19"/>
              </w:rPr>
              <w:t>25 Bank Street</w:t>
            </w:r>
          </w:p>
          <w:p w14:paraId="5CF4E221" w14:textId="174809D8" w:rsidR="00E2503A" w:rsidRPr="008630CF" w:rsidRDefault="00E2503A" w:rsidP="00E2503A">
            <w:pPr>
              <w:pStyle w:val="Bodytext"/>
              <w:rPr>
                <w:sz w:val="19"/>
                <w:szCs w:val="19"/>
              </w:rPr>
            </w:pPr>
            <w:r w:rsidRPr="008630CF">
              <w:rPr>
                <w:sz w:val="19"/>
                <w:szCs w:val="19"/>
              </w:rPr>
              <w:lastRenderedPageBreak/>
              <w:t>Canary Wharf</w:t>
            </w:r>
          </w:p>
          <w:p w14:paraId="3993FAE2" w14:textId="41AE6E79" w:rsidR="00E2503A" w:rsidRPr="008630CF" w:rsidRDefault="00E2503A" w:rsidP="00E2503A">
            <w:pPr>
              <w:pStyle w:val="Bodytext"/>
              <w:rPr>
                <w:sz w:val="19"/>
                <w:szCs w:val="19"/>
              </w:rPr>
            </w:pPr>
            <w:r w:rsidRPr="008630CF">
              <w:rPr>
                <w:sz w:val="19"/>
                <w:szCs w:val="19"/>
              </w:rPr>
              <w:t xml:space="preserve">London </w:t>
            </w:r>
          </w:p>
          <w:p w14:paraId="7D0C8358" w14:textId="5BD0EAFA" w:rsidR="00E2503A" w:rsidRPr="008630CF" w:rsidRDefault="00E2503A" w:rsidP="00E2503A">
            <w:pPr>
              <w:pStyle w:val="Bodytext"/>
              <w:rPr>
                <w:sz w:val="19"/>
                <w:szCs w:val="19"/>
              </w:rPr>
            </w:pPr>
            <w:r w:rsidRPr="008630CF">
              <w:rPr>
                <w:sz w:val="19"/>
                <w:szCs w:val="19"/>
              </w:rPr>
              <w:t>E15 5JP</w:t>
            </w:r>
          </w:p>
          <w:p w14:paraId="6417BF9A" w14:textId="78D35C8C" w:rsidR="00E2503A" w:rsidRPr="008630CF" w:rsidRDefault="00E2503A" w:rsidP="00E2503A">
            <w:pPr>
              <w:pStyle w:val="Bodytext"/>
              <w:rPr>
                <w:sz w:val="19"/>
                <w:szCs w:val="19"/>
              </w:rPr>
            </w:pPr>
            <w:r w:rsidRPr="008630CF">
              <w:rPr>
                <w:sz w:val="19"/>
                <w:szCs w:val="19"/>
              </w:rPr>
              <w:t>United Kingdom</w:t>
            </w:r>
          </w:p>
          <w:p w14:paraId="45AD50F0" w14:textId="77777777" w:rsidR="004F66DF" w:rsidRDefault="004F66DF" w:rsidP="00E2503A">
            <w:pPr>
              <w:pStyle w:val="Bodytext"/>
              <w:rPr>
                <w:sz w:val="19"/>
                <w:szCs w:val="19"/>
              </w:rPr>
            </w:pPr>
          </w:p>
          <w:p w14:paraId="31392B23" w14:textId="3661169D" w:rsidR="00E2503A" w:rsidRPr="008630CF" w:rsidRDefault="00E2503A" w:rsidP="00E2503A">
            <w:pPr>
              <w:pStyle w:val="Bodytext"/>
              <w:rPr>
                <w:sz w:val="19"/>
                <w:szCs w:val="19"/>
              </w:rPr>
            </w:pPr>
            <w:r w:rsidRPr="008630CF">
              <w:rPr>
                <w:sz w:val="19"/>
                <w:szCs w:val="19"/>
              </w:rPr>
              <w:t>Numis Securities Limited</w:t>
            </w:r>
          </w:p>
          <w:p w14:paraId="7938AE1C" w14:textId="2ED16143" w:rsidR="00E2503A" w:rsidRPr="008630CF" w:rsidRDefault="00E2503A" w:rsidP="00E2503A">
            <w:pPr>
              <w:pStyle w:val="Bodytext"/>
              <w:rPr>
                <w:sz w:val="19"/>
                <w:szCs w:val="19"/>
              </w:rPr>
            </w:pPr>
            <w:r w:rsidRPr="008630CF">
              <w:rPr>
                <w:sz w:val="19"/>
                <w:szCs w:val="19"/>
              </w:rPr>
              <w:t>The London Stock Exchange Building</w:t>
            </w:r>
          </w:p>
          <w:p w14:paraId="0E7C648E" w14:textId="08B44060" w:rsidR="00E2503A" w:rsidRPr="008630CF" w:rsidRDefault="00E2503A" w:rsidP="00E2503A">
            <w:pPr>
              <w:pStyle w:val="Bodytext"/>
              <w:rPr>
                <w:sz w:val="19"/>
                <w:szCs w:val="19"/>
              </w:rPr>
            </w:pPr>
            <w:r w:rsidRPr="008630CF">
              <w:rPr>
                <w:sz w:val="19"/>
                <w:szCs w:val="19"/>
              </w:rPr>
              <w:t>10 Paternoster Square</w:t>
            </w:r>
          </w:p>
          <w:p w14:paraId="552A6324" w14:textId="77777777" w:rsidR="00E2503A" w:rsidRPr="008630CF" w:rsidRDefault="00E2503A" w:rsidP="00E2503A">
            <w:pPr>
              <w:pStyle w:val="Bodytext"/>
              <w:rPr>
                <w:sz w:val="19"/>
                <w:szCs w:val="19"/>
              </w:rPr>
            </w:pPr>
            <w:r w:rsidRPr="008630CF">
              <w:rPr>
                <w:sz w:val="19"/>
                <w:szCs w:val="19"/>
              </w:rPr>
              <w:t xml:space="preserve">London </w:t>
            </w:r>
          </w:p>
          <w:p w14:paraId="562A47D3" w14:textId="7C813469" w:rsidR="00E2503A" w:rsidRPr="008630CF" w:rsidRDefault="00E2503A" w:rsidP="00E2503A">
            <w:pPr>
              <w:pStyle w:val="Bodytext"/>
              <w:rPr>
                <w:sz w:val="19"/>
                <w:szCs w:val="19"/>
              </w:rPr>
            </w:pPr>
            <w:r w:rsidRPr="008630CF">
              <w:rPr>
                <w:sz w:val="19"/>
                <w:szCs w:val="19"/>
              </w:rPr>
              <w:t>EC4M 7LT</w:t>
            </w:r>
          </w:p>
          <w:p w14:paraId="2F124B23" w14:textId="77777777" w:rsidR="00E2503A" w:rsidRPr="008630CF" w:rsidRDefault="00E2503A" w:rsidP="00E2503A">
            <w:pPr>
              <w:pStyle w:val="Bodytext"/>
              <w:rPr>
                <w:sz w:val="19"/>
                <w:szCs w:val="19"/>
              </w:rPr>
            </w:pPr>
            <w:r w:rsidRPr="008630CF">
              <w:rPr>
                <w:sz w:val="19"/>
                <w:szCs w:val="19"/>
              </w:rPr>
              <w:t>United Kingdom</w:t>
            </w:r>
          </w:p>
          <w:p w14:paraId="26886562" w14:textId="77777777" w:rsidR="00E2503A" w:rsidRPr="008630CF" w:rsidRDefault="00E2503A" w:rsidP="00EB7E49">
            <w:pPr>
              <w:pStyle w:val="Bodytext"/>
              <w:rPr>
                <w:i/>
                <w:sz w:val="19"/>
                <w:szCs w:val="19"/>
              </w:rPr>
            </w:pPr>
          </w:p>
          <w:p w14:paraId="383E2DAF" w14:textId="77777777" w:rsidR="00780840" w:rsidRPr="008630CF" w:rsidRDefault="00780840" w:rsidP="00EB7E49">
            <w:pPr>
              <w:pStyle w:val="Bodytext"/>
              <w:rPr>
                <w:sz w:val="19"/>
                <w:szCs w:val="19"/>
              </w:rPr>
            </w:pPr>
          </w:p>
          <w:p w14:paraId="52883FE2" w14:textId="77777777" w:rsidR="00D6669D" w:rsidRPr="008630CF" w:rsidRDefault="00D6669D" w:rsidP="00EB7E49">
            <w:pPr>
              <w:pStyle w:val="Bodytext"/>
              <w:rPr>
                <w:b/>
                <w:sz w:val="19"/>
                <w:szCs w:val="19"/>
              </w:rPr>
            </w:pPr>
          </w:p>
          <w:p w14:paraId="7BB2FC1F" w14:textId="29071849" w:rsidR="00780840" w:rsidRPr="008630CF" w:rsidRDefault="00780840" w:rsidP="00EB7E49">
            <w:pPr>
              <w:pStyle w:val="Bodytext"/>
              <w:rPr>
                <w:sz w:val="19"/>
                <w:szCs w:val="19"/>
              </w:rPr>
            </w:pPr>
          </w:p>
        </w:tc>
      </w:tr>
    </w:tbl>
    <w:p w14:paraId="72ABB1D3" w14:textId="5DCC3272" w:rsidR="008630CF" w:rsidRDefault="008630CF" w:rsidP="00EB7E49">
      <w:pPr>
        <w:pStyle w:val="Bodytext"/>
        <w:rPr>
          <w:b/>
        </w:rPr>
      </w:pPr>
    </w:p>
    <w:p w14:paraId="7DB8264A" w14:textId="77777777" w:rsidR="008630CF" w:rsidRDefault="008630CF" w:rsidP="00EB7E49">
      <w:pPr>
        <w:pStyle w:val="Bodytext"/>
        <w:rPr>
          <w:b/>
        </w:rPr>
      </w:pPr>
    </w:p>
    <w:p w14:paraId="58A18F95" w14:textId="1CAB416B" w:rsidR="00780840" w:rsidRPr="00811BA1" w:rsidRDefault="00780840" w:rsidP="00EB7E49">
      <w:pPr>
        <w:pStyle w:val="Bodytext"/>
        <w:rPr>
          <w:b/>
        </w:rPr>
      </w:pPr>
      <w:r w:rsidRPr="00811BA1">
        <w:rPr>
          <w:b/>
        </w:rPr>
        <w:t>Cautionary Statement</w:t>
      </w:r>
    </w:p>
    <w:p w14:paraId="490E2CCE" w14:textId="332A47DE" w:rsidR="00780840" w:rsidRPr="00811BA1" w:rsidRDefault="00780840" w:rsidP="00EB7E49">
      <w:pPr>
        <w:pStyle w:val="Bodytext"/>
      </w:pPr>
      <w:r w:rsidRPr="00811BA1">
        <w:t>The Chairman’s Statement</w:t>
      </w:r>
      <w:r w:rsidR="003C3047">
        <w:t xml:space="preserve">, the </w:t>
      </w:r>
      <w:r w:rsidRPr="00811BA1">
        <w:t>Investment Manager</w:t>
      </w:r>
      <w:r w:rsidR="00735E9E">
        <w:t>’s</w:t>
      </w:r>
      <w:r w:rsidRPr="00811BA1">
        <w:t xml:space="preserve"> Report </w:t>
      </w:r>
      <w:r w:rsidR="003C3047">
        <w:t xml:space="preserve">and the Report of the Directors </w:t>
      </w:r>
      <w:r w:rsidRPr="00811BA1">
        <w:t xml:space="preserve">have been prepared solely to provide additional information for </w:t>
      </w:r>
      <w:r w:rsidR="00735E9E">
        <w:t>S</w:t>
      </w:r>
      <w:r w:rsidR="00735E9E" w:rsidRPr="00811BA1">
        <w:t xml:space="preserve">hareholders </w:t>
      </w:r>
      <w:r w:rsidRPr="00811BA1">
        <w:t>to assess the Company’s strategies and the potential for those strategies to succeed. These should not be relied on by any other party or for any other purpose.</w:t>
      </w:r>
    </w:p>
    <w:p w14:paraId="3FD9C755" w14:textId="77777777" w:rsidR="00780840" w:rsidRPr="00811BA1" w:rsidRDefault="00780840" w:rsidP="00EB7E49">
      <w:pPr>
        <w:pStyle w:val="Bodytext"/>
      </w:pPr>
    </w:p>
    <w:p w14:paraId="20C0E252" w14:textId="7813D614" w:rsidR="00780840" w:rsidRPr="00811BA1" w:rsidRDefault="00780840" w:rsidP="00EB7E49">
      <w:pPr>
        <w:pStyle w:val="Bodytext"/>
      </w:pPr>
      <w:r w:rsidRPr="00811BA1">
        <w:t>The Chairman’s Statement</w:t>
      </w:r>
      <w:r w:rsidR="003C3047">
        <w:t>, the</w:t>
      </w:r>
      <w:r w:rsidRPr="00811BA1">
        <w:t xml:space="preserve"> Investment Manager</w:t>
      </w:r>
      <w:r w:rsidR="00735E9E">
        <w:t>’s</w:t>
      </w:r>
      <w:r w:rsidRPr="00811BA1">
        <w:t xml:space="preserve"> Report </w:t>
      </w:r>
      <w:r w:rsidR="003C3047">
        <w:t xml:space="preserve">and the Report of the Directors </w:t>
      </w:r>
      <w:r w:rsidRPr="00811BA1">
        <w:t>may include statements that are, or may be deemed to be, “forward-looking statements”. These forward-looking statements can be identified by the use of forward-looking terminology, including the terms “believes”, “estimates”, “anticipates”, “expects”, “intends”, “may”, “will” or “should” or, in each case, their negative or other variations or comparable terminology.</w:t>
      </w:r>
    </w:p>
    <w:p w14:paraId="22B7207C" w14:textId="77777777" w:rsidR="00780840" w:rsidRPr="00811BA1" w:rsidRDefault="00780840" w:rsidP="00EB7E49">
      <w:pPr>
        <w:pStyle w:val="Bodytext"/>
      </w:pPr>
    </w:p>
    <w:p w14:paraId="6665ED77" w14:textId="2C08B394" w:rsidR="00780840" w:rsidRPr="00811BA1" w:rsidRDefault="00780840" w:rsidP="00EB7E49">
      <w:pPr>
        <w:pStyle w:val="Bodytext"/>
      </w:pPr>
      <w:r w:rsidRPr="00811BA1">
        <w:t xml:space="preserve">These forward-looking statements include all matters that are not historical facts. They appear in a number of places throughout this document and include statements regarding the intentions, beliefs or current expectations of the Directors and the Investment </w:t>
      </w:r>
      <w:r w:rsidR="003C3047">
        <w:t>Adviser</w:t>
      </w:r>
      <w:r w:rsidRPr="00811BA1">
        <w:t>, concerning, amongst other things, the investment objectives and investment policy, financing strategies, investment performance, results of operations, financial condition, liquidity, prospects, and distribution policy of the Company and t</w:t>
      </w:r>
      <w:r w:rsidR="00873618" w:rsidRPr="00811BA1">
        <w:t>he markets in which it invests.</w:t>
      </w:r>
    </w:p>
    <w:p w14:paraId="6F53E5D0" w14:textId="77777777" w:rsidR="00780840" w:rsidRPr="00811BA1" w:rsidRDefault="00780840" w:rsidP="00EB7E49">
      <w:pPr>
        <w:pStyle w:val="Bodytext"/>
      </w:pPr>
    </w:p>
    <w:p w14:paraId="00A458DF" w14:textId="77777777" w:rsidR="00780840" w:rsidRPr="00AD7CED" w:rsidRDefault="00780840" w:rsidP="00EB7E49">
      <w:pPr>
        <w:pStyle w:val="Bodytext"/>
        <w:rPr>
          <w:rStyle w:val="fq"/>
        </w:rPr>
      </w:pPr>
      <w:r w:rsidRPr="00811BA1">
        <w:t>By their nature, forward-looking statements involve risks and uncertainties because they relate to events and depend on circumstances that may or may not occur in the future. Forward-looking statements are not gu</w:t>
      </w:r>
      <w:r w:rsidR="00873618" w:rsidRPr="00811BA1">
        <w:t>arantees of future performance.</w:t>
      </w:r>
    </w:p>
    <w:p w14:paraId="3BF223AD" w14:textId="77777777" w:rsidR="00780840" w:rsidRPr="00811BA1" w:rsidRDefault="00780840" w:rsidP="00EB7E49">
      <w:pPr>
        <w:pStyle w:val="Bodytext"/>
      </w:pPr>
    </w:p>
    <w:p w14:paraId="534F7452" w14:textId="77777777" w:rsidR="00780840" w:rsidRPr="00811BA1" w:rsidRDefault="00780840" w:rsidP="00EB7E49">
      <w:pPr>
        <w:pStyle w:val="Bodytext"/>
      </w:pPr>
      <w:r w:rsidRPr="00811BA1">
        <w:t>The Company’s actual investment performance, results of operations, financial condition, liquidity, distribution policy and the development of its financing strategies may differ materially from the impression created by the forward-looking statements contained in th</w:t>
      </w:r>
      <w:r w:rsidR="00873618" w:rsidRPr="00811BA1">
        <w:t>is document.</w:t>
      </w:r>
    </w:p>
    <w:p w14:paraId="2A2E563E" w14:textId="77777777" w:rsidR="00780840" w:rsidRPr="00811BA1" w:rsidRDefault="00780840" w:rsidP="00EB7E49">
      <w:pPr>
        <w:pStyle w:val="Bodytext"/>
      </w:pPr>
    </w:p>
    <w:p w14:paraId="4EAF43F1" w14:textId="3D209F7E" w:rsidR="00215EB8" w:rsidRPr="00811BA1" w:rsidRDefault="00780840" w:rsidP="00EB7E49">
      <w:pPr>
        <w:pStyle w:val="Bodytext"/>
      </w:pPr>
      <w:r w:rsidRPr="00811BA1">
        <w:t xml:space="preserve">Subject to their legal and regulatory obligations, the Directors and the Investment </w:t>
      </w:r>
      <w:r w:rsidR="008305D4" w:rsidRPr="00811BA1">
        <w:t>Manager</w:t>
      </w:r>
      <w:r w:rsidRPr="00811BA1">
        <w:t xml:space="preserve"> expressly disclaim any obligations to update or revise any forward-looking statement contained herein to reflect any change in expectations with regard thereto or any change in events, conditions or circumstances on which any statement is based.</w:t>
      </w:r>
    </w:p>
    <w:p w14:paraId="34CE4FF7" w14:textId="77777777" w:rsidR="00215EB8" w:rsidRPr="00811BA1" w:rsidRDefault="00215EB8" w:rsidP="00EB7E49">
      <w:pPr>
        <w:pStyle w:val="Bodytext"/>
      </w:pPr>
    </w:p>
    <w:p w14:paraId="3A97D0BB" w14:textId="77777777" w:rsidR="00215EB8" w:rsidRPr="00811BA1" w:rsidRDefault="00215EB8" w:rsidP="00EB7E49">
      <w:pPr>
        <w:pStyle w:val="Bodytext"/>
        <w:rPr>
          <w:b/>
        </w:rPr>
      </w:pPr>
      <w:r w:rsidRPr="00811BA1">
        <w:rPr>
          <w:b/>
        </w:rPr>
        <w:t>Riverstone Energy Limited</w:t>
      </w:r>
    </w:p>
    <w:p w14:paraId="036B058C" w14:textId="77777777" w:rsidR="00D22603" w:rsidRDefault="00D22603" w:rsidP="00D22603">
      <w:pPr>
        <w:pStyle w:val="Bodytext"/>
      </w:pPr>
      <w:r w:rsidRPr="006A4CA2">
        <w:t xml:space="preserve">PO Box 286, Floor 2, </w:t>
      </w:r>
    </w:p>
    <w:p w14:paraId="3BC08734" w14:textId="77777777" w:rsidR="00D22603" w:rsidRPr="00811BA1" w:rsidRDefault="00D22603" w:rsidP="00D22603">
      <w:pPr>
        <w:pStyle w:val="Bodytext"/>
      </w:pPr>
      <w:r w:rsidRPr="006A4CA2">
        <w:t>Trafalgar Court, Les Banques, St Peter Port, Guernsey, GY1 4LY</w:t>
      </w:r>
      <w:r>
        <w:t xml:space="preserve">, Channel Islands. </w:t>
      </w:r>
    </w:p>
    <w:p w14:paraId="663E4B64" w14:textId="06FBF416" w:rsidR="00215EB8" w:rsidRPr="00811BA1" w:rsidRDefault="00125618" w:rsidP="00EB7E49">
      <w:pPr>
        <w:pStyle w:val="Bodytext"/>
      </w:pPr>
      <w:r>
        <w:t>T</w:t>
      </w:r>
      <w:r w:rsidRPr="00811BA1">
        <w:t xml:space="preserve"> </w:t>
      </w:r>
      <w:r w:rsidR="00215EB8" w:rsidRPr="00811BA1">
        <w:t xml:space="preserve">44 (0) </w:t>
      </w:r>
      <w:r w:rsidR="00747904">
        <w:t>1481</w:t>
      </w:r>
      <w:r w:rsidR="00747904" w:rsidRPr="00811BA1">
        <w:t xml:space="preserve"> </w:t>
      </w:r>
      <w:r w:rsidR="00747904">
        <w:t>7</w:t>
      </w:r>
      <w:r w:rsidR="00D9780A">
        <w:t>42742</w:t>
      </w:r>
    </w:p>
    <w:p w14:paraId="7EDF1B88" w14:textId="00779804" w:rsidR="00215EB8" w:rsidRPr="00811BA1" w:rsidRDefault="00215EB8" w:rsidP="00EB7E49">
      <w:pPr>
        <w:pStyle w:val="Bodytext"/>
      </w:pPr>
      <w:r w:rsidRPr="00811BA1">
        <w:t xml:space="preserve">F 44 (0) </w:t>
      </w:r>
      <w:r w:rsidR="00747904">
        <w:t>1481</w:t>
      </w:r>
      <w:r w:rsidR="00747904" w:rsidRPr="00811BA1">
        <w:t xml:space="preserve"> </w:t>
      </w:r>
      <w:r w:rsidR="0079744A">
        <w:t>742698</w:t>
      </w:r>
    </w:p>
    <w:p w14:paraId="5030394D" w14:textId="77777777" w:rsidR="00215EB8" w:rsidRDefault="00215EB8" w:rsidP="00EB7E49">
      <w:pPr>
        <w:pStyle w:val="Bodytext"/>
      </w:pPr>
    </w:p>
    <w:p w14:paraId="47915322" w14:textId="77777777" w:rsidR="00806111" w:rsidRPr="00811BA1" w:rsidRDefault="00806111" w:rsidP="00EB7E49">
      <w:pPr>
        <w:pStyle w:val="Bodytext"/>
      </w:pPr>
    </w:p>
    <w:p w14:paraId="6513136A" w14:textId="77777777" w:rsidR="00215EB8" w:rsidRPr="00811BA1" w:rsidRDefault="00215EB8" w:rsidP="00EB7E49">
      <w:pPr>
        <w:pStyle w:val="Bodytext"/>
      </w:pPr>
    </w:p>
    <w:p w14:paraId="27DCBE8C" w14:textId="77777777" w:rsidR="00215EB8" w:rsidRPr="00811BA1" w:rsidRDefault="00215EB8" w:rsidP="00EB7E49">
      <w:pPr>
        <w:pStyle w:val="Bodytext"/>
      </w:pPr>
      <w:r w:rsidRPr="00811BA1">
        <w:t>Further information available online:</w:t>
      </w:r>
    </w:p>
    <w:p w14:paraId="00E8A911" w14:textId="5E6F78D6" w:rsidR="00637CA9" w:rsidRDefault="00215EB8" w:rsidP="00EB7E49">
      <w:pPr>
        <w:pStyle w:val="Bodytext"/>
      </w:pPr>
      <w:r w:rsidRPr="00CF64AD">
        <w:t>www.RiverstoneREL.com</w:t>
      </w:r>
    </w:p>
    <w:sectPr w:rsidR="00637CA9" w:rsidSect="008A5082">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BC2C9" w14:textId="77777777" w:rsidR="000E682E" w:rsidRDefault="000E682E" w:rsidP="0019417E">
      <w:r>
        <w:separator/>
      </w:r>
    </w:p>
  </w:endnote>
  <w:endnote w:type="continuationSeparator" w:id="0">
    <w:p w14:paraId="2AFFC087" w14:textId="77777777" w:rsidR="000E682E" w:rsidRDefault="000E682E" w:rsidP="0019417E">
      <w:r>
        <w:continuationSeparator/>
      </w:r>
    </w:p>
  </w:endnote>
  <w:endnote w:type="continuationNotice" w:id="1">
    <w:p w14:paraId="312C059F" w14:textId="77777777" w:rsidR="000E682E" w:rsidRDefault="000E682E"/>
  </w:endnote>
  <w:endnote w:id="2">
    <w:p w14:paraId="42B1EBE0" w14:textId="140B4291" w:rsidR="000E682E" w:rsidRPr="002B3182" w:rsidRDefault="000E682E" w:rsidP="00F1041C"/>
  </w:endnote>
  <w:endnote w:id="3">
    <w:p w14:paraId="3EB2DAEC" w14:textId="0F05768B" w:rsidR="000E682E" w:rsidRPr="002B3182" w:rsidRDefault="000E682E" w:rsidP="00F1041C">
      <w:r w:rsidRPr="002B3182">
        <w:t xml:space="preserve"> </w:t>
      </w:r>
    </w:p>
  </w:endnote>
  <w:endnote w:id="4">
    <w:p w14:paraId="6E8574CF" w14:textId="4BE08980" w:rsidR="000E682E" w:rsidRPr="002B3182" w:rsidRDefault="000E682E" w:rsidP="00F1041C">
      <w:pPr>
        <w:rPr>
          <w:sz w:val="18"/>
        </w:rPr>
      </w:pPr>
    </w:p>
    <w:p w14:paraId="10DF2AAE" w14:textId="49A78E62" w:rsidR="000E682E" w:rsidRPr="002B3182" w:rsidRDefault="000E682E" w:rsidP="00F1041C">
      <w:pPr>
        <w:rPr>
          <w:sz w:val="18"/>
          <w:szCs w:val="18"/>
        </w:rPr>
      </w:pPr>
    </w:p>
  </w:endnote>
  <w:endnote w:id="5">
    <w:p w14:paraId="5C7503E4" w14:textId="3C0E3326" w:rsidR="000E682E" w:rsidRPr="002B3182" w:rsidRDefault="000E682E" w:rsidP="00F1041C">
      <w:r w:rsidRPr="002B3182">
        <w:t xml:space="preserve"> </w:t>
      </w:r>
    </w:p>
  </w:endnote>
  <w:endnote w:id="6">
    <w:p w14:paraId="102321E4" w14:textId="07CD0F5A" w:rsidR="000E682E" w:rsidRPr="002B3182" w:rsidRDefault="000E682E" w:rsidP="00F1041C">
      <w:r w:rsidRPr="002B3182">
        <w:t xml:space="preserve"> </w:t>
      </w:r>
    </w:p>
  </w:endnote>
  <w:endnote w:id="7">
    <w:p w14:paraId="388C220A" w14:textId="77777777" w:rsidR="000E682E" w:rsidRDefault="000E682E" w:rsidP="00F10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YInterstate">
    <w:altName w:val="Calibri"/>
    <w:charset w:val="00"/>
    <w:family w:val="auto"/>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YInterstate Light">
    <w:altName w:val="Franklin Gothic Medium Cond"/>
    <w:charset w:val="00"/>
    <w:family w:val="auto"/>
    <w:pitch w:val="variable"/>
    <w:sig w:usb0="A00002AF" w:usb1="5000206A" w:usb2="00000000" w:usb3="00000000" w:csb0="0000009F" w:csb1="00000000"/>
  </w:font>
  <w:font w:name="BT Font">
    <w:altName w:val="BT Fon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DINCLS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NeueLT-Light">
    <w:altName w:val="Arial"/>
    <w:panose1 w:val="00000000000000000000"/>
    <w:charset w:val="00"/>
    <w:family w:val="swiss"/>
    <w:notTrueType/>
    <w:pitch w:val="default"/>
    <w:sig w:usb0="00000003" w:usb1="00000000" w:usb2="00000000" w:usb3="00000000" w:csb0="00000001" w:csb1="00000000"/>
  </w:font>
  <w:font w:name="DINO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INOT-Light">
    <w:altName w:val="Calibri"/>
    <w:panose1 w:val="00000000000000000000"/>
    <w:charset w:val="00"/>
    <w:family w:val="swiss"/>
    <w:notTrueType/>
    <w:pitch w:val="default"/>
    <w:sig w:usb0="00000003" w:usb1="00000000" w:usb2="00000000" w:usb3="00000000" w:csb0="00000001" w:csb1="00000000"/>
  </w:font>
  <w:font w:name="Swiss721BT-Roman">
    <w:altName w:val="MS Mincho"/>
    <w:panose1 w:val="00000000000000000000"/>
    <w:charset w:val="80"/>
    <w:family w:val="auto"/>
    <w:notTrueType/>
    <w:pitch w:val="default"/>
    <w:sig w:usb0="00000001" w:usb1="08070000" w:usb2="00000010" w:usb3="00000000" w:csb0="00020000" w:csb1="00000000"/>
  </w:font>
  <w:font w:name="Swiss721BT-Italic">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082F4" w14:textId="77777777" w:rsidR="000E682E" w:rsidRDefault="000E682E" w:rsidP="0019417E">
      <w:r>
        <w:separator/>
      </w:r>
    </w:p>
  </w:footnote>
  <w:footnote w:type="continuationSeparator" w:id="0">
    <w:p w14:paraId="68D4B987" w14:textId="77777777" w:rsidR="000E682E" w:rsidRDefault="000E682E" w:rsidP="0019417E">
      <w:r>
        <w:continuationSeparator/>
      </w:r>
    </w:p>
  </w:footnote>
  <w:footnote w:type="continuationNotice" w:id="1">
    <w:p w14:paraId="46851E12" w14:textId="77777777" w:rsidR="000E682E" w:rsidRDefault="000E68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92A"/>
    <w:multiLevelType w:val="hybridMultilevel"/>
    <w:tmpl w:val="B4A2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54906"/>
    <w:multiLevelType w:val="hybridMultilevel"/>
    <w:tmpl w:val="80829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77EAC"/>
    <w:multiLevelType w:val="hybridMultilevel"/>
    <w:tmpl w:val="2D301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B32D3"/>
    <w:multiLevelType w:val="hybridMultilevel"/>
    <w:tmpl w:val="1B14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340A4"/>
    <w:multiLevelType w:val="hybridMultilevel"/>
    <w:tmpl w:val="2F18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632A2"/>
    <w:multiLevelType w:val="hybridMultilevel"/>
    <w:tmpl w:val="73F4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426C81"/>
    <w:multiLevelType w:val="hybridMultilevel"/>
    <w:tmpl w:val="6132492A"/>
    <w:lvl w:ilvl="0" w:tplc="464AE4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4302B42"/>
    <w:multiLevelType w:val="hybridMultilevel"/>
    <w:tmpl w:val="9428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87C6C"/>
    <w:multiLevelType w:val="hybridMultilevel"/>
    <w:tmpl w:val="B6847214"/>
    <w:lvl w:ilvl="0" w:tplc="06006D46">
      <w:start w:val="1"/>
      <w:numFmt w:val="lowerRoman"/>
      <w:lvlText w:val="(%1)"/>
      <w:lvlJc w:val="left"/>
      <w:pPr>
        <w:ind w:left="1080" w:hanging="72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D44A8"/>
    <w:multiLevelType w:val="hybridMultilevel"/>
    <w:tmpl w:val="FF9A3E22"/>
    <w:lvl w:ilvl="0" w:tplc="06006D46">
      <w:start w:val="1"/>
      <w:numFmt w:val="lowerRoman"/>
      <w:lvlText w:val="(%1)"/>
      <w:lvlJc w:val="left"/>
      <w:pPr>
        <w:ind w:left="1080" w:hanging="72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33B04"/>
    <w:multiLevelType w:val="hybridMultilevel"/>
    <w:tmpl w:val="DA7077B0"/>
    <w:lvl w:ilvl="0" w:tplc="22F20C9E">
      <w:start w:val="1"/>
      <w:numFmt w:val="bullet"/>
      <w:lvlText w:val="•"/>
      <w:lvlJc w:val="left"/>
      <w:pPr>
        <w:ind w:left="720" w:hanging="360"/>
      </w:pPr>
      <w:rPr>
        <w:rFonts w:ascii="EYInterstate" w:hAnsi="EYInterstate" w:hint="default"/>
        <w:color w:val="auto"/>
        <w:sz w:val="24"/>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840C7"/>
    <w:multiLevelType w:val="hybridMultilevel"/>
    <w:tmpl w:val="C1C8D1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774C90"/>
    <w:multiLevelType w:val="hybridMultilevel"/>
    <w:tmpl w:val="D840C29C"/>
    <w:lvl w:ilvl="0" w:tplc="7B444C38">
      <w:start w:val="1"/>
      <w:numFmt w:val="lowerRoman"/>
      <w:lvlText w:val="(%1)"/>
      <w:lvlJc w:val="left"/>
      <w:pPr>
        <w:ind w:left="720" w:hanging="720"/>
      </w:pPr>
      <w:rPr>
        <w:rFonts w:ascii="Arial" w:eastAsia="Times New Roman" w:hAnsi="Arial" w:cs="Arial"/>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7C5718D"/>
    <w:multiLevelType w:val="hybridMultilevel"/>
    <w:tmpl w:val="DB06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F654B"/>
    <w:multiLevelType w:val="hybridMultilevel"/>
    <w:tmpl w:val="5DAA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A7362"/>
    <w:multiLevelType w:val="hybridMultilevel"/>
    <w:tmpl w:val="80C4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A1DDD"/>
    <w:multiLevelType w:val="hybridMultilevel"/>
    <w:tmpl w:val="DAF0D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A25D78"/>
    <w:multiLevelType w:val="hybridMultilevel"/>
    <w:tmpl w:val="FF3E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8141E"/>
    <w:multiLevelType w:val="hybridMultilevel"/>
    <w:tmpl w:val="E14A7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C2F42"/>
    <w:multiLevelType w:val="hybridMultilevel"/>
    <w:tmpl w:val="B4FC9966"/>
    <w:lvl w:ilvl="0" w:tplc="8A0EA4DA">
      <w:start w:val="1"/>
      <w:numFmt w:val="decimal"/>
      <w:lvlText w:val="%1.)"/>
      <w:lvlJc w:val="left"/>
      <w:pPr>
        <w:ind w:left="1440" w:hanging="360"/>
      </w:pPr>
      <w:rPr>
        <w:rFonts w:ascii="Arial" w:eastAsiaTheme="minorHAns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F0410C"/>
    <w:multiLevelType w:val="hybridMultilevel"/>
    <w:tmpl w:val="361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D7C82"/>
    <w:multiLevelType w:val="multilevel"/>
    <w:tmpl w:val="B1D27864"/>
    <w:lvl w:ilvl="0">
      <w:start w:val="1"/>
      <w:numFmt w:val="bullet"/>
      <w:pStyle w:val="EYBulletedtext1"/>
      <w:lvlText w:val=""/>
      <w:lvlJc w:val="left"/>
      <w:pPr>
        <w:tabs>
          <w:tab w:val="num" w:pos="425"/>
        </w:tabs>
        <w:ind w:left="425" w:hanging="425"/>
      </w:pPr>
      <w:rPr>
        <w:rFonts w:ascii="Wingdings 3" w:hAnsi="Wingdings 3" w:hint="default"/>
        <w:color w:val="auto"/>
        <w:szCs w:val="24"/>
      </w:rPr>
    </w:lvl>
    <w:lvl w:ilvl="1">
      <w:start w:val="1"/>
      <w:numFmt w:val="bullet"/>
      <w:pStyle w:val="EYBulletedtext2"/>
      <w:lvlText w:val=""/>
      <w:lvlJc w:val="left"/>
      <w:pPr>
        <w:tabs>
          <w:tab w:val="num" w:pos="851"/>
        </w:tabs>
        <w:ind w:left="851" w:hanging="426"/>
      </w:pPr>
      <w:rPr>
        <w:rFonts w:ascii="Wingdings 3" w:hAnsi="Wingdings 3" w:hint="default"/>
        <w:color w:val="auto"/>
        <w:szCs w:val="24"/>
      </w:rPr>
    </w:lvl>
    <w:lvl w:ilvl="2">
      <w:start w:val="1"/>
      <w:numFmt w:val="bullet"/>
      <w:pStyle w:val="EYBulletedtext3"/>
      <w:lvlText w:val="►"/>
      <w:lvlJc w:val="left"/>
      <w:pPr>
        <w:tabs>
          <w:tab w:val="num" w:pos="1276"/>
        </w:tabs>
        <w:ind w:left="1276" w:hanging="425"/>
      </w:pPr>
      <w:rPr>
        <w:rFonts w:ascii="Arial" w:hAnsi="Arial" w:hint="default"/>
        <w:color w:val="auto"/>
        <w:sz w:val="16"/>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2" w15:restartNumberingAfterBreak="0">
    <w:nsid w:val="3CE6768B"/>
    <w:multiLevelType w:val="hybridMultilevel"/>
    <w:tmpl w:val="F8FE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311E7"/>
    <w:multiLevelType w:val="multilevel"/>
    <w:tmpl w:val="928A5702"/>
    <w:lvl w:ilvl="0">
      <w:start w:val="1"/>
      <w:numFmt w:val="bullet"/>
      <w:lvlText w:val="•"/>
      <w:lvlJc w:val="left"/>
      <w:pPr>
        <w:tabs>
          <w:tab w:val="num" w:pos="425"/>
        </w:tabs>
        <w:ind w:left="425" w:hanging="425"/>
      </w:pPr>
      <w:rPr>
        <w:rFonts w:ascii="EYInterstate" w:hAnsi="EYInterstate" w:hint="default"/>
        <w:color w:val="auto"/>
        <w:sz w:val="24"/>
        <w:szCs w:val="12"/>
      </w:rPr>
    </w:lvl>
    <w:lvl w:ilvl="1">
      <w:start w:val="1"/>
      <w:numFmt w:val="bullet"/>
      <w:lvlText w:val=""/>
      <w:lvlJc w:val="left"/>
      <w:pPr>
        <w:tabs>
          <w:tab w:val="num" w:pos="851"/>
        </w:tabs>
        <w:ind w:left="851" w:hanging="426"/>
      </w:pPr>
      <w:rPr>
        <w:rFonts w:ascii="Wingdings 3" w:hAnsi="Wingdings 3" w:hint="default"/>
        <w:color w:val="auto"/>
        <w:szCs w:val="24"/>
      </w:rPr>
    </w:lvl>
    <w:lvl w:ilvl="2">
      <w:start w:val="1"/>
      <w:numFmt w:val="bullet"/>
      <w:lvlText w:val="►"/>
      <w:lvlJc w:val="left"/>
      <w:pPr>
        <w:tabs>
          <w:tab w:val="num" w:pos="1276"/>
        </w:tabs>
        <w:ind w:left="1276" w:hanging="425"/>
      </w:pPr>
      <w:rPr>
        <w:rFonts w:ascii="Arial" w:hAnsi="Arial" w:hint="default"/>
        <w:color w:val="auto"/>
        <w:sz w:val="16"/>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4" w15:restartNumberingAfterBreak="0">
    <w:nsid w:val="43972BA5"/>
    <w:multiLevelType w:val="hybridMultilevel"/>
    <w:tmpl w:val="9DAC71EC"/>
    <w:lvl w:ilvl="0" w:tplc="8B18A74C">
      <w:start w:val="2"/>
      <w:numFmt w:val="decimal"/>
      <w:lvlText w:val="(%1)"/>
      <w:lvlJc w:val="left"/>
      <w:pPr>
        <w:ind w:left="720" w:hanging="360"/>
      </w:pPr>
      <w:rPr>
        <w:rFonts w:eastAsiaTheme="minorHAnsi" w:cs="Arial" w:hint="default"/>
        <w:i/>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7732C"/>
    <w:multiLevelType w:val="hybridMultilevel"/>
    <w:tmpl w:val="C832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330A9"/>
    <w:multiLevelType w:val="hybridMultilevel"/>
    <w:tmpl w:val="042ED43A"/>
    <w:lvl w:ilvl="0" w:tplc="2320E65C">
      <w:start w:val="2"/>
      <w:numFmt w:val="decimal"/>
      <w:lvlText w:val="(%1)"/>
      <w:lvlJc w:val="left"/>
      <w:pPr>
        <w:ind w:left="720" w:hanging="360"/>
      </w:pPr>
      <w:rPr>
        <w:rFonts w:eastAsiaTheme="minorHAnsi" w:cs="Arial" w:hint="default"/>
        <w:i/>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452B9"/>
    <w:multiLevelType w:val="hybridMultilevel"/>
    <w:tmpl w:val="842C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E06CB3"/>
    <w:multiLevelType w:val="hybridMultilevel"/>
    <w:tmpl w:val="9F1A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82690A"/>
    <w:multiLevelType w:val="hybridMultilevel"/>
    <w:tmpl w:val="4D6A5E7E"/>
    <w:lvl w:ilvl="0" w:tplc="77989BA0">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C435D3"/>
    <w:multiLevelType w:val="hybridMultilevel"/>
    <w:tmpl w:val="B85C192C"/>
    <w:lvl w:ilvl="0" w:tplc="0F826B52">
      <w:start w:val="2"/>
      <w:numFmt w:val="decimal"/>
      <w:lvlText w:val="(%1)"/>
      <w:lvlJc w:val="left"/>
      <w:pPr>
        <w:ind w:left="720" w:hanging="360"/>
      </w:pPr>
      <w:rPr>
        <w:rFonts w:hint="default"/>
        <w:i/>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1A4937"/>
    <w:multiLevelType w:val="hybridMultilevel"/>
    <w:tmpl w:val="0164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35C69"/>
    <w:multiLevelType w:val="hybridMultilevel"/>
    <w:tmpl w:val="7E60BD3A"/>
    <w:lvl w:ilvl="0" w:tplc="AE6858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CB856C4"/>
    <w:multiLevelType w:val="hybridMultilevel"/>
    <w:tmpl w:val="7F38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661CC"/>
    <w:multiLevelType w:val="hybridMultilevel"/>
    <w:tmpl w:val="71FAFEB4"/>
    <w:lvl w:ilvl="0" w:tplc="E82C9262">
      <w:start w:val="1"/>
      <w:numFmt w:val="bullet"/>
      <w:lvlText w:val="•"/>
      <w:lvlJc w:val="left"/>
      <w:pPr>
        <w:ind w:left="720" w:hanging="360"/>
      </w:pPr>
      <w:rPr>
        <w:rFonts w:ascii="EYInterstate" w:hAnsi="EYInterstate" w:hint="default"/>
        <w:color w:val="auto"/>
        <w:sz w:val="24"/>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282E57"/>
    <w:multiLevelType w:val="hybridMultilevel"/>
    <w:tmpl w:val="0B7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84439"/>
    <w:multiLevelType w:val="hybridMultilevel"/>
    <w:tmpl w:val="0ED0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533882"/>
    <w:multiLevelType w:val="hybridMultilevel"/>
    <w:tmpl w:val="29C249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E9E79DA"/>
    <w:multiLevelType w:val="hybridMultilevel"/>
    <w:tmpl w:val="B6847214"/>
    <w:lvl w:ilvl="0" w:tplc="06006D46">
      <w:start w:val="1"/>
      <w:numFmt w:val="lowerRoman"/>
      <w:lvlText w:val="(%1)"/>
      <w:lvlJc w:val="left"/>
      <w:pPr>
        <w:ind w:left="1080" w:hanging="72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B11342"/>
    <w:multiLevelType w:val="multilevel"/>
    <w:tmpl w:val="329293D6"/>
    <w:lvl w:ilvl="0">
      <w:start w:val="1"/>
      <w:numFmt w:val="bullet"/>
      <w:pStyle w:val="EYBulletedText10"/>
      <w:lvlText w:val="►"/>
      <w:lvlJc w:val="left"/>
      <w:pPr>
        <w:tabs>
          <w:tab w:val="num" w:pos="425"/>
        </w:tabs>
        <w:ind w:left="425" w:hanging="425"/>
      </w:pPr>
      <w:rPr>
        <w:rFonts w:ascii="Arial" w:hAnsi="Arial" w:cs="Times New Roman" w:hint="default"/>
        <w:color w:val="auto"/>
        <w:sz w:val="17"/>
        <w:szCs w:val="24"/>
      </w:rPr>
    </w:lvl>
    <w:lvl w:ilvl="1">
      <w:start w:val="1"/>
      <w:numFmt w:val="bullet"/>
      <w:pStyle w:val="EYBulletedText20"/>
      <w:lvlText w:val="►"/>
      <w:lvlJc w:val="left"/>
      <w:pPr>
        <w:tabs>
          <w:tab w:val="num" w:pos="851"/>
        </w:tabs>
        <w:ind w:left="851" w:hanging="426"/>
      </w:pPr>
      <w:rPr>
        <w:rFonts w:ascii="Arial" w:hAnsi="Arial" w:cs="Times New Roman" w:hint="default"/>
        <w:color w:val="auto"/>
        <w:sz w:val="16"/>
        <w:szCs w:val="16"/>
      </w:rPr>
    </w:lvl>
    <w:lvl w:ilvl="2">
      <w:start w:val="1"/>
      <w:numFmt w:val="bullet"/>
      <w:pStyle w:val="EYBulletedText30"/>
      <w:lvlText w:val="►"/>
      <w:lvlJc w:val="left"/>
      <w:pPr>
        <w:tabs>
          <w:tab w:val="num" w:pos="1276"/>
        </w:tabs>
        <w:ind w:left="1276" w:hanging="425"/>
      </w:pPr>
      <w:rPr>
        <w:rFonts w:ascii="Arial" w:hAnsi="Arial" w:cs="Times New Roman" w:hint="default"/>
        <w:color w:val="auto"/>
        <w:sz w:val="16"/>
        <w:szCs w:val="24"/>
      </w:rPr>
    </w:lvl>
    <w:lvl w:ilvl="3">
      <w:start w:val="1"/>
      <w:numFmt w:val="none"/>
      <w:suff w:val="nothing"/>
      <w:lvlText w:val=""/>
      <w:lvlJc w:val="left"/>
      <w:pPr>
        <w:ind w:left="1440" w:firstLine="0"/>
      </w:pPr>
    </w:lvl>
    <w:lvl w:ilvl="4">
      <w:start w:val="1"/>
      <w:numFmt w:val="none"/>
      <w:suff w:val="nothing"/>
      <w:lvlText w:val=""/>
      <w:lvlJc w:val="left"/>
      <w:pPr>
        <w:ind w:left="1440" w:firstLine="0"/>
      </w:pPr>
    </w:lvl>
    <w:lvl w:ilvl="5">
      <w:start w:val="1"/>
      <w:numFmt w:val="none"/>
      <w:suff w:val="nothing"/>
      <w:lvlText w:val=""/>
      <w:lvlJc w:val="left"/>
      <w:pPr>
        <w:ind w:left="1440" w:firstLine="0"/>
      </w:pPr>
    </w:lvl>
    <w:lvl w:ilvl="6">
      <w:start w:val="1"/>
      <w:numFmt w:val="none"/>
      <w:suff w:val="nothing"/>
      <w:lvlText w:val=""/>
      <w:lvlJc w:val="left"/>
      <w:pPr>
        <w:ind w:left="4320" w:firstLine="0"/>
      </w:pPr>
    </w:lvl>
    <w:lvl w:ilvl="7">
      <w:start w:val="1"/>
      <w:numFmt w:val="none"/>
      <w:suff w:val="nothing"/>
      <w:lvlText w:val=""/>
      <w:lvlJc w:val="left"/>
      <w:pPr>
        <w:ind w:left="4320" w:firstLine="0"/>
      </w:pPr>
    </w:lvl>
    <w:lvl w:ilvl="8">
      <w:start w:val="1"/>
      <w:numFmt w:val="none"/>
      <w:suff w:val="nothing"/>
      <w:lvlText w:val=""/>
      <w:lvlJc w:val="left"/>
      <w:pPr>
        <w:ind w:left="4320" w:firstLine="0"/>
      </w:pPr>
    </w:lvl>
  </w:abstractNum>
  <w:abstractNum w:abstractNumId="40" w15:restartNumberingAfterBreak="0">
    <w:nsid w:val="73A37718"/>
    <w:multiLevelType w:val="multilevel"/>
    <w:tmpl w:val="B12A2EF4"/>
    <w:lvl w:ilvl="0">
      <w:start w:val="1"/>
      <w:numFmt w:val="bullet"/>
      <w:pStyle w:val="EYTablebullet1"/>
      <w:lvlText w:val="►"/>
      <w:lvlJc w:val="left"/>
      <w:pPr>
        <w:tabs>
          <w:tab w:val="num" w:pos="284"/>
        </w:tabs>
        <w:ind w:left="284" w:hanging="284"/>
      </w:pPr>
      <w:rPr>
        <w:rFonts w:ascii="Arial" w:hAnsi="Arial" w:cs="Times New Roman" w:hint="default"/>
        <w:b w:val="0"/>
        <w:bCs/>
        <w:i w:val="0"/>
        <w:color w:val="auto"/>
        <w:sz w:val="12"/>
        <w:szCs w:val="24"/>
      </w:rPr>
    </w:lvl>
    <w:lvl w:ilvl="1">
      <w:start w:val="1"/>
      <w:numFmt w:val="bullet"/>
      <w:pStyle w:val="EYTablebullet2"/>
      <w:lvlText w:val="►"/>
      <w:lvlJc w:val="left"/>
      <w:pPr>
        <w:tabs>
          <w:tab w:val="num" w:pos="567"/>
        </w:tabs>
        <w:ind w:left="567" w:hanging="283"/>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1" w15:restartNumberingAfterBreak="0">
    <w:nsid w:val="77275965"/>
    <w:multiLevelType w:val="hybridMultilevel"/>
    <w:tmpl w:val="6F5CAAB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E415ECD"/>
    <w:multiLevelType w:val="hybridMultilevel"/>
    <w:tmpl w:val="79A2A058"/>
    <w:lvl w:ilvl="0" w:tplc="F6A8170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3"/>
  </w:num>
  <w:num w:numId="3">
    <w:abstractNumId w:val="27"/>
  </w:num>
  <w:num w:numId="4">
    <w:abstractNumId w:val="20"/>
  </w:num>
  <w:num w:numId="5">
    <w:abstractNumId w:val="22"/>
  </w:num>
  <w:num w:numId="6">
    <w:abstractNumId w:val="15"/>
  </w:num>
  <w:num w:numId="7">
    <w:abstractNumId w:val="14"/>
  </w:num>
  <w:num w:numId="8">
    <w:abstractNumId w:val="4"/>
  </w:num>
  <w:num w:numId="9">
    <w:abstractNumId w:val="36"/>
  </w:num>
  <w:num w:numId="10">
    <w:abstractNumId w:val="31"/>
  </w:num>
  <w:num w:numId="11">
    <w:abstractNumId w:val="28"/>
  </w:num>
  <w:num w:numId="12">
    <w:abstractNumId w:val="0"/>
  </w:num>
  <w:num w:numId="13">
    <w:abstractNumId w:val="35"/>
  </w:num>
  <w:num w:numId="14">
    <w:abstractNumId w:val="25"/>
  </w:num>
  <w:num w:numId="15">
    <w:abstractNumId w:val="37"/>
  </w:num>
  <w:num w:numId="16">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0"/>
  </w:num>
  <w:num w:numId="19">
    <w:abstractNumId w:val="41"/>
  </w:num>
  <w:num w:numId="20">
    <w:abstractNumId w:val="9"/>
  </w:num>
  <w:num w:numId="21">
    <w:abstractNumId w:val="8"/>
  </w:num>
  <w:num w:numId="22">
    <w:abstractNumId w:val="1"/>
  </w:num>
  <w:num w:numId="23">
    <w:abstractNumId w:val="6"/>
  </w:num>
  <w:num w:numId="24">
    <w:abstractNumId w:val="12"/>
  </w:num>
  <w:num w:numId="25">
    <w:abstractNumId w:val="17"/>
  </w:num>
  <w:num w:numId="26">
    <w:abstractNumId w:val="5"/>
  </w:num>
  <w:num w:numId="27">
    <w:abstractNumId w:val="11"/>
  </w:num>
  <w:num w:numId="28">
    <w:abstractNumId w:val="33"/>
  </w:num>
  <w:num w:numId="29">
    <w:abstractNumId w:val="2"/>
  </w:num>
  <w:num w:numId="30">
    <w:abstractNumId w:val="32"/>
  </w:num>
  <w:num w:numId="31">
    <w:abstractNumId w:val="18"/>
  </w:num>
  <w:num w:numId="32">
    <w:abstractNumId w:val="29"/>
  </w:num>
  <w:num w:numId="33">
    <w:abstractNumId w:val="19"/>
  </w:num>
  <w:num w:numId="34">
    <w:abstractNumId w:val="42"/>
  </w:num>
  <w:num w:numId="35">
    <w:abstractNumId w:val="30"/>
  </w:num>
  <w:num w:numId="36">
    <w:abstractNumId w:val="26"/>
  </w:num>
  <w:num w:numId="37">
    <w:abstractNumId w:val="24"/>
  </w:num>
  <w:num w:numId="38">
    <w:abstractNumId w:val="10"/>
  </w:num>
  <w:num w:numId="39">
    <w:abstractNumId w:val="23"/>
  </w:num>
  <w:num w:numId="40">
    <w:abstractNumId w:val="34"/>
  </w:num>
  <w:num w:numId="41">
    <w:abstractNumId w:val="16"/>
  </w:num>
  <w:num w:numId="42">
    <w:abstractNumId w:val="7"/>
  </w:num>
  <w:num w:numId="43">
    <w:abstractNumId w:val="3"/>
  </w:num>
  <w:num w:numId="44">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Formatting/>
  <w:defaultTabStop w:val="720"/>
  <w:characterSpacingControl w:val="doNotCompress"/>
  <w:hdrShapeDefaults>
    <o:shapedefaults v:ext="edit" spidmax="284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82"/>
    <w:rsid w:val="00000928"/>
    <w:rsid w:val="000009D3"/>
    <w:rsid w:val="00000FC7"/>
    <w:rsid w:val="0000133B"/>
    <w:rsid w:val="00001B21"/>
    <w:rsid w:val="000034F2"/>
    <w:rsid w:val="000036A3"/>
    <w:rsid w:val="00003941"/>
    <w:rsid w:val="00003A52"/>
    <w:rsid w:val="0000430A"/>
    <w:rsid w:val="00004C21"/>
    <w:rsid w:val="00004E63"/>
    <w:rsid w:val="00005172"/>
    <w:rsid w:val="00005F47"/>
    <w:rsid w:val="000061A6"/>
    <w:rsid w:val="0000645D"/>
    <w:rsid w:val="00007710"/>
    <w:rsid w:val="00007BCA"/>
    <w:rsid w:val="00010B93"/>
    <w:rsid w:val="000111EE"/>
    <w:rsid w:val="000126A3"/>
    <w:rsid w:val="000127FE"/>
    <w:rsid w:val="00013CA6"/>
    <w:rsid w:val="00015125"/>
    <w:rsid w:val="00015A94"/>
    <w:rsid w:val="00015AC4"/>
    <w:rsid w:val="00016818"/>
    <w:rsid w:val="00016E2D"/>
    <w:rsid w:val="000174BE"/>
    <w:rsid w:val="00017AAB"/>
    <w:rsid w:val="00020043"/>
    <w:rsid w:val="000206FA"/>
    <w:rsid w:val="00021241"/>
    <w:rsid w:val="000217A4"/>
    <w:rsid w:val="0002210C"/>
    <w:rsid w:val="00023A84"/>
    <w:rsid w:val="00023CC2"/>
    <w:rsid w:val="00024354"/>
    <w:rsid w:val="000243FA"/>
    <w:rsid w:val="0002498C"/>
    <w:rsid w:val="00024FC8"/>
    <w:rsid w:val="00025D69"/>
    <w:rsid w:val="00026205"/>
    <w:rsid w:val="000266EC"/>
    <w:rsid w:val="000317FA"/>
    <w:rsid w:val="000323AB"/>
    <w:rsid w:val="00032827"/>
    <w:rsid w:val="00032F2A"/>
    <w:rsid w:val="00033B80"/>
    <w:rsid w:val="0003429F"/>
    <w:rsid w:val="000346C2"/>
    <w:rsid w:val="000357EC"/>
    <w:rsid w:val="00035B90"/>
    <w:rsid w:val="00035FAD"/>
    <w:rsid w:val="00036EF7"/>
    <w:rsid w:val="00036F7E"/>
    <w:rsid w:val="00037C2D"/>
    <w:rsid w:val="00041B82"/>
    <w:rsid w:val="000423B9"/>
    <w:rsid w:val="00043FC9"/>
    <w:rsid w:val="00045222"/>
    <w:rsid w:val="00046A55"/>
    <w:rsid w:val="00046B7F"/>
    <w:rsid w:val="0004774A"/>
    <w:rsid w:val="000477F8"/>
    <w:rsid w:val="0005021B"/>
    <w:rsid w:val="0005090E"/>
    <w:rsid w:val="00050D57"/>
    <w:rsid w:val="00051C05"/>
    <w:rsid w:val="000521FE"/>
    <w:rsid w:val="0005241C"/>
    <w:rsid w:val="000525F2"/>
    <w:rsid w:val="00052FD2"/>
    <w:rsid w:val="00052FF2"/>
    <w:rsid w:val="00053AFC"/>
    <w:rsid w:val="00053FF6"/>
    <w:rsid w:val="000545BE"/>
    <w:rsid w:val="00054C5C"/>
    <w:rsid w:val="00055B2A"/>
    <w:rsid w:val="00055C4D"/>
    <w:rsid w:val="000567DA"/>
    <w:rsid w:val="000570BC"/>
    <w:rsid w:val="00057129"/>
    <w:rsid w:val="00057867"/>
    <w:rsid w:val="00057C22"/>
    <w:rsid w:val="00060280"/>
    <w:rsid w:val="000605C6"/>
    <w:rsid w:val="00060878"/>
    <w:rsid w:val="00060B42"/>
    <w:rsid w:val="00060D86"/>
    <w:rsid w:val="00060EDB"/>
    <w:rsid w:val="00061320"/>
    <w:rsid w:val="0006307D"/>
    <w:rsid w:val="0006394A"/>
    <w:rsid w:val="0006472C"/>
    <w:rsid w:val="000663E1"/>
    <w:rsid w:val="00066FAC"/>
    <w:rsid w:val="00066FCC"/>
    <w:rsid w:val="00067DD3"/>
    <w:rsid w:val="0007020C"/>
    <w:rsid w:val="0007090C"/>
    <w:rsid w:val="00070A67"/>
    <w:rsid w:val="00070DE9"/>
    <w:rsid w:val="0007340D"/>
    <w:rsid w:val="000743E2"/>
    <w:rsid w:val="00074494"/>
    <w:rsid w:val="000745B3"/>
    <w:rsid w:val="000745DD"/>
    <w:rsid w:val="00074E4A"/>
    <w:rsid w:val="0007727C"/>
    <w:rsid w:val="000777CA"/>
    <w:rsid w:val="00077896"/>
    <w:rsid w:val="00077933"/>
    <w:rsid w:val="0008011D"/>
    <w:rsid w:val="00080410"/>
    <w:rsid w:val="00081323"/>
    <w:rsid w:val="00082857"/>
    <w:rsid w:val="00083916"/>
    <w:rsid w:val="0008403A"/>
    <w:rsid w:val="00084449"/>
    <w:rsid w:val="00087CB7"/>
    <w:rsid w:val="000906E1"/>
    <w:rsid w:val="0009216B"/>
    <w:rsid w:val="00093FD3"/>
    <w:rsid w:val="00095694"/>
    <w:rsid w:val="000963C4"/>
    <w:rsid w:val="00096DEF"/>
    <w:rsid w:val="00096E41"/>
    <w:rsid w:val="00097732"/>
    <w:rsid w:val="000A1022"/>
    <w:rsid w:val="000A2157"/>
    <w:rsid w:val="000A247F"/>
    <w:rsid w:val="000A28B9"/>
    <w:rsid w:val="000A2A6E"/>
    <w:rsid w:val="000A307F"/>
    <w:rsid w:val="000A3B35"/>
    <w:rsid w:val="000A3CF7"/>
    <w:rsid w:val="000A4548"/>
    <w:rsid w:val="000A53BA"/>
    <w:rsid w:val="000A54C5"/>
    <w:rsid w:val="000A57DD"/>
    <w:rsid w:val="000A637E"/>
    <w:rsid w:val="000A68A9"/>
    <w:rsid w:val="000A74BC"/>
    <w:rsid w:val="000A7DB0"/>
    <w:rsid w:val="000B046B"/>
    <w:rsid w:val="000B0FB0"/>
    <w:rsid w:val="000B1FE3"/>
    <w:rsid w:val="000B35BC"/>
    <w:rsid w:val="000B4179"/>
    <w:rsid w:val="000B4410"/>
    <w:rsid w:val="000B4AAF"/>
    <w:rsid w:val="000B5423"/>
    <w:rsid w:val="000B559E"/>
    <w:rsid w:val="000B5610"/>
    <w:rsid w:val="000B5965"/>
    <w:rsid w:val="000B5A14"/>
    <w:rsid w:val="000B6922"/>
    <w:rsid w:val="000B696A"/>
    <w:rsid w:val="000B69EE"/>
    <w:rsid w:val="000B7397"/>
    <w:rsid w:val="000C0849"/>
    <w:rsid w:val="000C09B8"/>
    <w:rsid w:val="000C13F2"/>
    <w:rsid w:val="000C17A2"/>
    <w:rsid w:val="000C2CBB"/>
    <w:rsid w:val="000C3553"/>
    <w:rsid w:val="000C37E7"/>
    <w:rsid w:val="000C3BF3"/>
    <w:rsid w:val="000C417B"/>
    <w:rsid w:val="000C4AB3"/>
    <w:rsid w:val="000C581C"/>
    <w:rsid w:val="000C5C73"/>
    <w:rsid w:val="000C63C1"/>
    <w:rsid w:val="000C73A9"/>
    <w:rsid w:val="000D1837"/>
    <w:rsid w:val="000D233F"/>
    <w:rsid w:val="000D2909"/>
    <w:rsid w:val="000D2AEA"/>
    <w:rsid w:val="000D303A"/>
    <w:rsid w:val="000D336C"/>
    <w:rsid w:val="000D4C99"/>
    <w:rsid w:val="000D50D5"/>
    <w:rsid w:val="000D6E4C"/>
    <w:rsid w:val="000E0773"/>
    <w:rsid w:val="000E087B"/>
    <w:rsid w:val="000E0968"/>
    <w:rsid w:val="000E0E50"/>
    <w:rsid w:val="000E1839"/>
    <w:rsid w:val="000E1D78"/>
    <w:rsid w:val="000E2106"/>
    <w:rsid w:val="000E2B17"/>
    <w:rsid w:val="000E43D4"/>
    <w:rsid w:val="000E56AA"/>
    <w:rsid w:val="000E5926"/>
    <w:rsid w:val="000E5D51"/>
    <w:rsid w:val="000E682E"/>
    <w:rsid w:val="000E6C46"/>
    <w:rsid w:val="000E6EFD"/>
    <w:rsid w:val="000E7463"/>
    <w:rsid w:val="000E7D70"/>
    <w:rsid w:val="000F04D3"/>
    <w:rsid w:val="000F0873"/>
    <w:rsid w:val="000F321E"/>
    <w:rsid w:val="000F38B7"/>
    <w:rsid w:val="000F45D8"/>
    <w:rsid w:val="000F52A5"/>
    <w:rsid w:val="000F6768"/>
    <w:rsid w:val="000F69B8"/>
    <w:rsid w:val="000F75DC"/>
    <w:rsid w:val="000F7884"/>
    <w:rsid w:val="00100DB4"/>
    <w:rsid w:val="001012C7"/>
    <w:rsid w:val="00101720"/>
    <w:rsid w:val="00101ECA"/>
    <w:rsid w:val="00101F08"/>
    <w:rsid w:val="001027E7"/>
    <w:rsid w:val="00102AC9"/>
    <w:rsid w:val="00102B51"/>
    <w:rsid w:val="001034A7"/>
    <w:rsid w:val="00103722"/>
    <w:rsid w:val="0010387D"/>
    <w:rsid w:val="001044F0"/>
    <w:rsid w:val="0010564A"/>
    <w:rsid w:val="0010567A"/>
    <w:rsid w:val="0010622F"/>
    <w:rsid w:val="001064CF"/>
    <w:rsid w:val="00106581"/>
    <w:rsid w:val="001076E8"/>
    <w:rsid w:val="00107F3D"/>
    <w:rsid w:val="00110060"/>
    <w:rsid w:val="00110349"/>
    <w:rsid w:val="00110693"/>
    <w:rsid w:val="00110B17"/>
    <w:rsid w:val="0011113C"/>
    <w:rsid w:val="001111B6"/>
    <w:rsid w:val="00111760"/>
    <w:rsid w:val="00111C9F"/>
    <w:rsid w:val="00111D7C"/>
    <w:rsid w:val="001121AF"/>
    <w:rsid w:val="00113191"/>
    <w:rsid w:val="00113687"/>
    <w:rsid w:val="0011378B"/>
    <w:rsid w:val="00114685"/>
    <w:rsid w:val="00115B19"/>
    <w:rsid w:val="00115F1A"/>
    <w:rsid w:val="001200E8"/>
    <w:rsid w:val="001204FB"/>
    <w:rsid w:val="001209A8"/>
    <w:rsid w:val="001217F0"/>
    <w:rsid w:val="00121D02"/>
    <w:rsid w:val="00122196"/>
    <w:rsid w:val="00122CDB"/>
    <w:rsid w:val="00124518"/>
    <w:rsid w:val="00124FC9"/>
    <w:rsid w:val="00125618"/>
    <w:rsid w:val="00127B56"/>
    <w:rsid w:val="0013087F"/>
    <w:rsid w:val="00130D9C"/>
    <w:rsid w:val="001310F8"/>
    <w:rsid w:val="001311E5"/>
    <w:rsid w:val="001319AD"/>
    <w:rsid w:val="00131F81"/>
    <w:rsid w:val="001320DB"/>
    <w:rsid w:val="0013278D"/>
    <w:rsid w:val="00132D48"/>
    <w:rsid w:val="00133611"/>
    <w:rsid w:val="001357EC"/>
    <w:rsid w:val="00135A2F"/>
    <w:rsid w:val="00135ED4"/>
    <w:rsid w:val="001365A7"/>
    <w:rsid w:val="001366D9"/>
    <w:rsid w:val="001405F8"/>
    <w:rsid w:val="00141BF4"/>
    <w:rsid w:val="0014207B"/>
    <w:rsid w:val="001423A9"/>
    <w:rsid w:val="001428A6"/>
    <w:rsid w:val="001429A8"/>
    <w:rsid w:val="0014349B"/>
    <w:rsid w:val="001450D9"/>
    <w:rsid w:val="001460DE"/>
    <w:rsid w:val="00146241"/>
    <w:rsid w:val="00146E9C"/>
    <w:rsid w:val="0014708F"/>
    <w:rsid w:val="00147248"/>
    <w:rsid w:val="00147639"/>
    <w:rsid w:val="001500E2"/>
    <w:rsid w:val="001502C5"/>
    <w:rsid w:val="00150F6F"/>
    <w:rsid w:val="00152131"/>
    <w:rsid w:val="00152D91"/>
    <w:rsid w:val="00152EF0"/>
    <w:rsid w:val="001536E8"/>
    <w:rsid w:val="0015393C"/>
    <w:rsid w:val="001552E6"/>
    <w:rsid w:val="00155586"/>
    <w:rsid w:val="00155844"/>
    <w:rsid w:val="00155A2D"/>
    <w:rsid w:val="00155DC5"/>
    <w:rsid w:val="00156455"/>
    <w:rsid w:val="001565D4"/>
    <w:rsid w:val="00156D22"/>
    <w:rsid w:val="0016098F"/>
    <w:rsid w:val="001623DD"/>
    <w:rsid w:val="00162DB4"/>
    <w:rsid w:val="001634FA"/>
    <w:rsid w:val="00163C55"/>
    <w:rsid w:val="00163D67"/>
    <w:rsid w:val="00164128"/>
    <w:rsid w:val="0016440C"/>
    <w:rsid w:val="00164B68"/>
    <w:rsid w:val="0016505A"/>
    <w:rsid w:val="00165484"/>
    <w:rsid w:val="00165E47"/>
    <w:rsid w:val="00166A73"/>
    <w:rsid w:val="00170245"/>
    <w:rsid w:val="00170540"/>
    <w:rsid w:val="001708AA"/>
    <w:rsid w:val="00170ECB"/>
    <w:rsid w:val="00171ED8"/>
    <w:rsid w:val="001720C7"/>
    <w:rsid w:val="0017236F"/>
    <w:rsid w:val="001728D0"/>
    <w:rsid w:val="00172BD8"/>
    <w:rsid w:val="001741AF"/>
    <w:rsid w:val="0017437B"/>
    <w:rsid w:val="00175CCC"/>
    <w:rsid w:val="00177CE3"/>
    <w:rsid w:val="00180218"/>
    <w:rsid w:val="00181293"/>
    <w:rsid w:val="001816AC"/>
    <w:rsid w:val="00181DCA"/>
    <w:rsid w:val="00182128"/>
    <w:rsid w:val="001822B6"/>
    <w:rsid w:val="00182BAD"/>
    <w:rsid w:val="001835C1"/>
    <w:rsid w:val="0018389C"/>
    <w:rsid w:val="00183FC1"/>
    <w:rsid w:val="00184565"/>
    <w:rsid w:val="00184957"/>
    <w:rsid w:val="00185404"/>
    <w:rsid w:val="001855A1"/>
    <w:rsid w:val="00185C05"/>
    <w:rsid w:val="00185F14"/>
    <w:rsid w:val="00186539"/>
    <w:rsid w:val="00186541"/>
    <w:rsid w:val="001866EB"/>
    <w:rsid w:val="00186C1D"/>
    <w:rsid w:val="00187252"/>
    <w:rsid w:val="00187517"/>
    <w:rsid w:val="0018779F"/>
    <w:rsid w:val="00190656"/>
    <w:rsid w:val="00191C21"/>
    <w:rsid w:val="00193B16"/>
    <w:rsid w:val="0019417E"/>
    <w:rsid w:val="0019422E"/>
    <w:rsid w:val="00194385"/>
    <w:rsid w:val="0019458D"/>
    <w:rsid w:val="00194779"/>
    <w:rsid w:val="001949E2"/>
    <w:rsid w:val="00196B6D"/>
    <w:rsid w:val="00196E67"/>
    <w:rsid w:val="0019728E"/>
    <w:rsid w:val="001A046A"/>
    <w:rsid w:val="001A13C6"/>
    <w:rsid w:val="001A15A1"/>
    <w:rsid w:val="001A1DFA"/>
    <w:rsid w:val="001A230B"/>
    <w:rsid w:val="001A2957"/>
    <w:rsid w:val="001A2C64"/>
    <w:rsid w:val="001A3637"/>
    <w:rsid w:val="001A4213"/>
    <w:rsid w:val="001A43CE"/>
    <w:rsid w:val="001A52FD"/>
    <w:rsid w:val="001A54BE"/>
    <w:rsid w:val="001A5E07"/>
    <w:rsid w:val="001A627D"/>
    <w:rsid w:val="001A70CF"/>
    <w:rsid w:val="001A7D42"/>
    <w:rsid w:val="001B09BE"/>
    <w:rsid w:val="001B0FA5"/>
    <w:rsid w:val="001B0FFF"/>
    <w:rsid w:val="001B1128"/>
    <w:rsid w:val="001B1331"/>
    <w:rsid w:val="001B1353"/>
    <w:rsid w:val="001B2331"/>
    <w:rsid w:val="001B2829"/>
    <w:rsid w:val="001B2A92"/>
    <w:rsid w:val="001B2C50"/>
    <w:rsid w:val="001B3661"/>
    <w:rsid w:val="001B44B4"/>
    <w:rsid w:val="001B4C1B"/>
    <w:rsid w:val="001B4EFE"/>
    <w:rsid w:val="001B55BC"/>
    <w:rsid w:val="001B573B"/>
    <w:rsid w:val="001B579F"/>
    <w:rsid w:val="001B77C8"/>
    <w:rsid w:val="001B7BDE"/>
    <w:rsid w:val="001C0896"/>
    <w:rsid w:val="001C0DF3"/>
    <w:rsid w:val="001C14D7"/>
    <w:rsid w:val="001C2A75"/>
    <w:rsid w:val="001C2AE0"/>
    <w:rsid w:val="001C2ECA"/>
    <w:rsid w:val="001C36EF"/>
    <w:rsid w:val="001C3FCC"/>
    <w:rsid w:val="001C4226"/>
    <w:rsid w:val="001C4264"/>
    <w:rsid w:val="001C45E7"/>
    <w:rsid w:val="001C47CF"/>
    <w:rsid w:val="001C4BC9"/>
    <w:rsid w:val="001C51AF"/>
    <w:rsid w:val="001C51CB"/>
    <w:rsid w:val="001C5C59"/>
    <w:rsid w:val="001C5D7E"/>
    <w:rsid w:val="001C67EC"/>
    <w:rsid w:val="001C680E"/>
    <w:rsid w:val="001D0017"/>
    <w:rsid w:val="001D00C6"/>
    <w:rsid w:val="001D2340"/>
    <w:rsid w:val="001D237A"/>
    <w:rsid w:val="001D254C"/>
    <w:rsid w:val="001D2844"/>
    <w:rsid w:val="001D2E6E"/>
    <w:rsid w:val="001D3FB2"/>
    <w:rsid w:val="001D3FCE"/>
    <w:rsid w:val="001D4363"/>
    <w:rsid w:val="001D440E"/>
    <w:rsid w:val="001D4EDD"/>
    <w:rsid w:val="001D5326"/>
    <w:rsid w:val="001D5B65"/>
    <w:rsid w:val="001D6000"/>
    <w:rsid w:val="001D6337"/>
    <w:rsid w:val="001D636F"/>
    <w:rsid w:val="001D6AFC"/>
    <w:rsid w:val="001D7651"/>
    <w:rsid w:val="001D7DF7"/>
    <w:rsid w:val="001E093A"/>
    <w:rsid w:val="001E098D"/>
    <w:rsid w:val="001E1206"/>
    <w:rsid w:val="001E2510"/>
    <w:rsid w:val="001E2C26"/>
    <w:rsid w:val="001E3B35"/>
    <w:rsid w:val="001E4BCC"/>
    <w:rsid w:val="001E4E0B"/>
    <w:rsid w:val="001E5A15"/>
    <w:rsid w:val="001E62A5"/>
    <w:rsid w:val="001F1C5B"/>
    <w:rsid w:val="001F2F91"/>
    <w:rsid w:val="001F3A6B"/>
    <w:rsid w:val="001F3EF9"/>
    <w:rsid w:val="001F4472"/>
    <w:rsid w:val="001F467B"/>
    <w:rsid w:val="001F46C2"/>
    <w:rsid w:val="001F46F0"/>
    <w:rsid w:val="001F4A30"/>
    <w:rsid w:val="001F5046"/>
    <w:rsid w:val="001F56C5"/>
    <w:rsid w:val="001F60AA"/>
    <w:rsid w:val="001F7295"/>
    <w:rsid w:val="001F791D"/>
    <w:rsid w:val="002000EA"/>
    <w:rsid w:val="002000FA"/>
    <w:rsid w:val="00200297"/>
    <w:rsid w:val="002003C4"/>
    <w:rsid w:val="00200423"/>
    <w:rsid w:val="00200AAA"/>
    <w:rsid w:val="00202F6C"/>
    <w:rsid w:val="002030BB"/>
    <w:rsid w:val="002031AE"/>
    <w:rsid w:val="00204169"/>
    <w:rsid w:val="00204893"/>
    <w:rsid w:val="00205A92"/>
    <w:rsid w:val="00205F72"/>
    <w:rsid w:val="0020675E"/>
    <w:rsid w:val="00206EC3"/>
    <w:rsid w:val="002113D4"/>
    <w:rsid w:val="002123DD"/>
    <w:rsid w:val="0021240E"/>
    <w:rsid w:val="00213846"/>
    <w:rsid w:val="00213C3D"/>
    <w:rsid w:val="00214354"/>
    <w:rsid w:val="00214B91"/>
    <w:rsid w:val="00214BDB"/>
    <w:rsid w:val="00214DDB"/>
    <w:rsid w:val="00215199"/>
    <w:rsid w:val="00215DFE"/>
    <w:rsid w:val="00215EB8"/>
    <w:rsid w:val="0021631B"/>
    <w:rsid w:val="002164DA"/>
    <w:rsid w:val="00216A45"/>
    <w:rsid w:val="002174F2"/>
    <w:rsid w:val="0022023F"/>
    <w:rsid w:val="0022066C"/>
    <w:rsid w:val="00220AF0"/>
    <w:rsid w:val="00221DDA"/>
    <w:rsid w:val="002237C3"/>
    <w:rsid w:val="00223827"/>
    <w:rsid w:val="00223868"/>
    <w:rsid w:val="00223B86"/>
    <w:rsid w:val="00224413"/>
    <w:rsid w:val="0022478A"/>
    <w:rsid w:val="00224886"/>
    <w:rsid w:val="002248AA"/>
    <w:rsid w:val="00224993"/>
    <w:rsid w:val="00225A3D"/>
    <w:rsid w:val="00225B15"/>
    <w:rsid w:val="00225C31"/>
    <w:rsid w:val="002301E3"/>
    <w:rsid w:val="00230674"/>
    <w:rsid w:val="00230C76"/>
    <w:rsid w:val="00230E8B"/>
    <w:rsid w:val="00232FBD"/>
    <w:rsid w:val="002337A8"/>
    <w:rsid w:val="002338C6"/>
    <w:rsid w:val="00233FA9"/>
    <w:rsid w:val="00234224"/>
    <w:rsid w:val="00234DF1"/>
    <w:rsid w:val="002362FF"/>
    <w:rsid w:val="00236329"/>
    <w:rsid w:val="0023639C"/>
    <w:rsid w:val="002375A7"/>
    <w:rsid w:val="00237601"/>
    <w:rsid w:val="00240068"/>
    <w:rsid w:val="002406D6"/>
    <w:rsid w:val="00240EC2"/>
    <w:rsid w:val="002427EE"/>
    <w:rsid w:val="00242A77"/>
    <w:rsid w:val="002434C8"/>
    <w:rsid w:val="00243AF4"/>
    <w:rsid w:val="00243B3E"/>
    <w:rsid w:val="00246B8C"/>
    <w:rsid w:val="00247359"/>
    <w:rsid w:val="00250DB8"/>
    <w:rsid w:val="00251298"/>
    <w:rsid w:val="002528A2"/>
    <w:rsid w:val="00252C38"/>
    <w:rsid w:val="002535C1"/>
    <w:rsid w:val="00253764"/>
    <w:rsid w:val="00253BBB"/>
    <w:rsid w:val="00255B41"/>
    <w:rsid w:val="00255BB9"/>
    <w:rsid w:val="0025611C"/>
    <w:rsid w:val="00257588"/>
    <w:rsid w:val="0026259C"/>
    <w:rsid w:val="002628AB"/>
    <w:rsid w:val="00262C24"/>
    <w:rsid w:val="00263DD5"/>
    <w:rsid w:val="002646F2"/>
    <w:rsid w:val="00265122"/>
    <w:rsid w:val="00265C68"/>
    <w:rsid w:val="00266090"/>
    <w:rsid w:val="00266E26"/>
    <w:rsid w:val="00267157"/>
    <w:rsid w:val="00267236"/>
    <w:rsid w:val="002708A4"/>
    <w:rsid w:val="00272A76"/>
    <w:rsid w:val="002731BC"/>
    <w:rsid w:val="002737EA"/>
    <w:rsid w:val="00273B8A"/>
    <w:rsid w:val="00273BEE"/>
    <w:rsid w:val="00274AFD"/>
    <w:rsid w:val="00274F01"/>
    <w:rsid w:val="00275B3C"/>
    <w:rsid w:val="00275B80"/>
    <w:rsid w:val="002763CF"/>
    <w:rsid w:val="002770ED"/>
    <w:rsid w:val="00277324"/>
    <w:rsid w:val="0028027F"/>
    <w:rsid w:val="00280F94"/>
    <w:rsid w:val="00282286"/>
    <w:rsid w:val="00282EDB"/>
    <w:rsid w:val="00283524"/>
    <w:rsid w:val="00283734"/>
    <w:rsid w:val="00284291"/>
    <w:rsid w:val="0028466E"/>
    <w:rsid w:val="0028468D"/>
    <w:rsid w:val="002858F0"/>
    <w:rsid w:val="002861FB"/>
    <w:rsid w:val="00286DCA"/>
    <w:rsid w:val="0029024E"/>
    <w:rsid w:val="002904AB"/>
    <w:rsid w:val="00290587"/>
    <w:rsid w:val="00291D26"/>
    <w:rsid w:val="002923F3"/>
    <w:rsid w:val="002926B9"/>
    <w:rsid w:val="00292712"/>
    <w:rsid w:val="002947AA"/>
    <w:rsid w:val="00294BA4"/>
    <w:rsid w:val="002957CC"/>
    <w:rsid w:val="00295BCD"/>
    <w:rsid w:val="00296175"/>
    <w:rsid w:val="0029676A"/>
    <w:rsid w:val="002969DF"/>
    <w:rsid w:val="002A0ECF"/>
    <w:rsid w:val="002A142F"/>
    <w:rsid w:val="002A153D"/>
    <w:rsid w:val="002A2463"/>
    <w:rsid w:val="002A2679"/>
    <w:rsid w:val="002A2BCF"/>
    <w:rsid w:val="002A32ED"/>
    <w:rsid w:val="002A3F4A"/>
    <w:rsid w:val="002A46C8"/>
    <w:rsid w:val="002A5378"/>
    <w:rsid w:val="002A57C4"/>
    <w:rsid w:val="002A6068"/>
    <w:rsid w:val="002A6A55"/>
    <w:rsid w:val="002A6B68"/>
    <w:rsid w:val="002B0187"/>
    <w:rsid w:val="002B1A71"/>
    <w:rsid w:val="002B1FF1"/>
    <w:rsid w:val="002B2882"/>
    <w:rsid w:val="002B2C9F"/>
    <w:rsid w:val="002B3574"/>
    <w:rsid w:val="002B35C5"/>
    <w:rsid w:val="002B5539"/>
    <w:rsid w:val="002B55A2"/>
    <w:rsid w:val="002B58B4"/>
    <w:rsid w:val="002B5B4D"/>
    <w:rsid w:val="002B620E"/>
    <w:rsid w:val="002B7348"/>
    <w:rsid w:val="002B75DD"/>
    <w:rsid w:val="002C03D1"/>
    <w:rsid w:val="002C0B16"/>
    <w:rsid w:val="002C1336"/>
    <w:rsid w:val="002C2322"/>
    <w:rsid w:val="002C2B2C"/>
    <w:rsid w:val="002C2C72"/>
    <w:rsid w:val="002C2DF9"/>
    <w:rsid w:val="002C2EFA"/>
    <w:rsid w:val="002C381B"/>
    <w:rsid w:val="002C41F8"/>
    <w:rsid w:val="002C4573"/>
    <w:rsid w:val="002C4CB6"/>
    <w:rsid w:val="002C580A"/>
    <w:rsid w:val="002C5F0C"/>
    <w:rsid w:val="002C6313"/>
    <w:rsid w:val="002D15AD"/>
    <w:rsid w:val="002D26D3"/>
    <w:rsid w:val="002D2CEC"/>
    <w:rsid w:val="002D3575"/>
    <w:rsid w:val="002D51B0"/>
    <w:rsid w:val="002E0A95"/>
    <w:rsid w:val="002E0CF1"/>
    <w:rsid w:val="002E10B4"/>
    <w:rsid w:val="002E23DE"/>
    <w:rsid w:val="002E2642"/>
    <w:rsid w:val="002E29FA"/>
    <w:rsid w:val="002E3397"/>
    <w:rsid w:val="002E385C"/>
    <w:rsid w:val="002E3C3C"/>
    <w:rsid w:val="002E407D"/>
    <w:rsid w:val="002E4628"/>
    <w:rsid w:val="002E46E3"/>
    <w:rsid w:val="002E4D02"/>
    <w:rsid w:val="002E6C12"/>
    <w:rsid w:val="002E7393"/>
    <w:rsid w:val="002E7F47"/>
    <w:rsid w:val="002E7F76"/>
    <w:rsid w:val="002F0961"/>
    <w:rsid w:val="002F0B89"/>
    <w:rsid w:val="002F161A"/>
    <w:rsid w:val="002F1C98"/>
    <w:rsid w:val="002F1D58"/>
    <w:rsid w:val="002F261F"/>
    <w:rsid w:val="002F274B"/>
    <w:rsid w:val="002F2CEF"/>
    <w:rsid w:val="002F306B"/>
    <w:rsid w:val="002F3B90"/>
    <w:rsid w:val="002F3F9C"/>
    <w:rsid w:val="002F494D"/>
    <w:rsid w:val="002F63E2"/>
    <w:rsid w:val="002F6F5D"/>
    <w:rsid w:val="002F6F92"/>
    <w:rsid w:val="002F744D"/>
    <w:rsid w:val="002F75DD"/>
    <w:rsid w:val="00300080"/>
    <w:rsid w:val="003013A3"/>
    <w:rsid w:val="00301881"/>
    <w:rsid w:val="00301A4B"/>
    <w:rsid w:val="00301DF4"/>
    <w:rsid w:val="0030223E"/>
    <w:rsid w:val="003023A6"/>
    <w:rsid w:val="00302E31"/>
    <w:rsid w:val="0030337F"/>
    <w:rsid w:val="003035C5"/>
    <w:rsid w:val="0030475F"/>
    <w:rsid w:val="003057FA"/>
    <w:rsid w:val="00305FCD"/>
    <w:rsid w:val="00306C91"/>
    <w:rsid w:val="003078B9"/>
    <w:rsid w:val="00307A3A"/>
    <w:rsid w:val="00307B35"/>
    <w:rsid w:val="00307E17"/>
    <w:rsid w:val="003103F0"/>
    <w:rsid w:val="0031063E"/>
    <w:rsid w:val="00311180"/>
    <w:rsid w:val="00311914"/>
    <w:rsid w:val="00312ADD"/>
    <w:rsid w:val="00312C1A"/>
    <w:rsid w:val="003130E2"/>
    <w:rsid w:val="0031324C"/>
    <w:rsid w:val="00314710"/>
    <w:rsid w:val="00314FC9"/>
    <w:rsid w:val="003151F3"/>
    <w:rsid w:val="003172CB"/>
    <w:rsid w:val="003202FF"/>
    <w:rsid w:val="003223CC"/>
    <w:rsid w:val="00322878"/>
    <w:rsid w:val="00322A6F"/>
    <w:rsid w:val="00322AE9"/>
    <w:rsid w:val="00322B6E"/>
    <w:rsid w:val="00325534"/>
    <w:rsid w:val="00325932"/>
    <w:rsid w:val="00326264"/>
    <w:rsid w:val="00326B73"/>
    <w:rsid w:val="00327293"/>
    <w:rsid w:val="00327892"/>
    <w:rsid w:val="003278F7"/>
    <w:rsid w:val="00331349"/>
    <w:rsid w:val="003314D5"/>
    <w:rsid w:val="003314EB"/>
    <w:rsid w:val="003319FC"/>
    <w:rsid w:val="00331B08"/>
    <w:rsid w:val="00331F8C"/>
    <w:rsid w:val="00332065"/>
    <w:rsid w:val="00332454"/>
    <w:rsid w:val="00332E89"/>
    <w:rsid w:val="00333F22"/>
    <w:rsid w:val="0033432C"/>
    <w:rsid w:val="00334AFA"/>
    <w:rsid w:val="003354FE"/>
    <w:rsid w:val="00335B35"/>
    <w:rsid w:val="003361E1"/>
    <w:rsid w:val="00336A54"/>
    <w:rsid w:val="00336ABC"/>
    <w:rsid w:val="00336B92"/>
    <w:rsid w:val="00337278"/>
    <w:rsid w:val="00337F40"/>
    <w:rsid w:val="00343583"/>
    <w:rsid w:val="003438EF"/>
    <w:rsid w:val="00343DAD"/>
    <w:rsid w:val="00343DF0"/>
    <w:rsid w:val="003445D2"/>
    <w:rsid w:val="0034554D"/>
    <w:rsid w:val="0034577E"/>
    <w:rsid w:val="0034601B"/>
    <w:rsid w:val="003462F5"/>
    <w:rsid w:val="0034673D"/>
    <w:rsid w:val="00347203"/>
    <w:rsid w:val="003504F5"/>
    <w:rsid w:val="0035073B"/>
    <w:rsid w:val="00351C12"/>
    <w:rsid w:val="0035352A"/>
    <w:rsid w:val="00353FC9"/>
    <w:rsid w:val="003554E8"/>
    <w:rsid w:val="00355861"/>
    <w:rsid w:val="003574B2"/>
    <w:rsid w:val="0035758F"/>
    <w:rsid w:val="003614AE"/>
    <w:rsid w:val="0036188A"/>
    <w:rsid w:val="00361C2B"/>
    <w:rsid w:val="003629DC"/>
    <w:rsid w:val="0036395F"/>
    <w:rsid w:val="00363D67"/>
    <w:rsid w:val="003644CE"/>
    <w:rsid w:val="00364E5E"/>
    <w:rsid w:val="0036626C"/>
    <w:rsid w:val="003675AD"/>
    <w:rsid w:val="003677FC"/>
    <w:rsid w:val="00367C90"/>
    <w:rsid w:val="0037044D"/>
    <w:rsid w:val="0037044E"/>
    <w:rsid w:val="00371414"/>
    <w:rsid w:val="00371490"/>
    <w:rsid w:val="00371A35"/>
    <w:rsid w:val="00371ABE"/>
    <w:rsid w:val="003724DE"/>
    <w:rsid w:val="00372925"/>
    <w:rsid w:val="00372C06"/>
    <w:rsid w:val="00373738"/>
    <w:rsid w:val="00373A46"/>
    <w:rsid w:val="0037422E"/>
    <w:rsid w:val="00374956"/>
    <w:rsid w:val="00374A6A"/>
    <w:rsid w:val="00374C75"/>
    <w:rsid w:val="00376322"/>
    <w:rsid w:val="00376DC1"/>
    <w:rsid w:val="00377198"/>
    <w:rsid w:val="00382790"/>
    <w:rsid w:val="00383111"/>
    <w:rsid w:val="0038441B"/>
    <w:rsid w:val="003846A7"/>
    <w:rsid w:val="00384AF7"/>
    <w:rsid w:val="00384F1D"/>
    <w:rsid w:val="00385058"/>
    <w:rsid w:val="00385CED"/>
    <w:rsid w:val="00385F6E"/>
    <w:rsid w:val="003868DF"/>
    <w:rsid w:val="00386C5B"/>
    <w:rsid w:val="00387A2B"/>
    <w:rsid w:val="00390025"/>
    <w:rsid w:val="00390C26"/>
    <w:rsid w:val="003911F5"/>
    <w:rsid w:val="00391CCF"/>
    <w:rsid w:val="00392676"/>
    <w:rsid w:val="003927A7"/>
    <w:rsid w:val="00393402"/>
    <w:rsid w:val="00393AAE"/>
    <w:rsid w:val="003946E0"/>
    <w:rsid w:val="003949A4"/>
    <w:rsid w:val="00395226"/>
    <w:rsid w:val="00395634"/>
    <w:rsid w:val="003962CF"/>
    <w:rsid w:val="003962F4"/>
    <w:rsid w:val="0039677C"/>
    <w:rsid w:val="00397967"/>
    <w:rsid w:val="003A023A"/>
    <w:rsid w:val="003A06AE"/>
    <w:rsid w:val="003A097B"/>
    <w:rsid w:val="003A1220"/>
    <w:rsid w:val="003A1EDC"/>
    <w:rsid w:val="003A253E"/>
    <w:rsid w:val="003A26D5"/>
    <w:rsid w:val="003A381C"/>
    <w:rsid w:val="003A3ED1"/>
    <w:rsid w:val="003A46A7"/>
    <w:rsid w:val="003A4D6D"/>
    <w:rsid w:val="003A4F14"/>
    <w:rsid w:val="003A555D"/>
    <w:rsid w:val="003A56AD"/>
    <w:rsid w:val="003A5847"/>
    <w:rsid w:val="003A5F95"/>
    <w:rsid w:val="003A6002"/>
    <w:rsid w:val="003A6332"/>
    <w:rsid w:val="003A689D"/>
    <w:rsid w:val="003A6D34"/>
    <w:rsid w:val="003A7E74"/>
    <w:rsid w:val="003B008B"/>
    <w:rsid w:val="003B0208"/>
    <w:rsid w:val="003B050C"/>
    <w:rsid w:val="003B2017"/>
    <w:rsid w:val="003B34A1"/>
    <w:rsid w:val="003B3CE4"/>
    <w:rsid w:val="003B5189"/>
    <w:rsid w:val="003B534E"/>
    <w:rsid w:val="003B6A80"/>
    <w:rsid w:val="003B6BB9"/>
    <w:rsid w:val="003B7842"/>
    <w:rsid w:val="003B7F26"/>
    <w:rsid w:val="003C12BD"/>
    <w:rsid w:val="003C1653"/>
    <w:rsid w:val="003C1661"/>
    <w:rsid w:val="003C1D53"/>
    <w:rsid w:val="003C2183"/>
    <w:rsid w:val="003C2192"/>
    <w:rsid w:val="003C2C8B"/>
    <w:rsid w:val="003C3047"/>
    <w:rsid w:val="003C3612"/>
    <w:rsid w:val="003C4DEE"/>
    <w:rsid w:val="003C5274"/>
    <w:rsid w:val="003C5483"/>
    <w:rsid w:val="003C54FD"/>
    <w:rsid w:val="003C5543"/>
    <w:rsid w:val="003C6765"/>
    <w:rsid w:val="003C733D"/>
    <w:rsid w:val="003C79E4"/>
    <w:rsid w:val="003C7A69"/>
    <w:rsid w:val="003D0A8A"/>
    <w:rsid w:val="003D1984"/>
    <w:rsid w:val="003D1B71"/>
    <w:rsid w:val="003D2EB2"/>
    <w:rsid w:val="003D2FAD"/>
    <w:rsid w:val="003D46D9"/>
    <w:rsid w:val="003D6281"/>
    <w:rsid w:val="003D6525"/>
    <w:rsid w:val="003E0A70"/>
    <w:rsid w:val="003E0AFB"/>
    <w:rsid w:val="003E158F"/>
    <w:rsid w:val="003E19B5"/>
    <w:rsid w:val="003E1B08"/>
    <w:rsid w:val="003E2C1E"/>
    <w:rsid w:val="003E3977"/>
    <w:rsid w:val="003E4298"/>
    <w:rsid w:val="003E45C9"/>
    <w:rsid w:val="003E464D"/>
    <w:rsid w:val="003E4D01"/>
    <w:rsid w:val="003E5504"/>
    <w:rsid w:val="003E5B30"/>
    <w:rsid w:val="003E69B9"/>
    <w:rsid w:val="003E7E7B"/>
    <w:rsid w:val="003F0039"/>
    <w:rsid w:val="003F2ABD"/>
    <w:rsid w:val="003F3185"/>
    <w:rsid w:val="003F3CC3"/>
    <w:rsid w:val="003F5018"/>
    <w:rsid w:val="003F506F"/>
    <w:rsid w:val="003F5074"/>
    <w:rsid w:val="003F6E2A"/>
    <w:rsid w:val="003F7D93"/>
    <w:rsid w:val="00400060"/>
    <w:rsid w:val="004007EB"/>
    <w:rsid w:val="00400EEA"/>
    <w:rsid w:val="00401B00"/>
    <w:rsid w:val="00401F67"/>
    <w:rsid w:val="00402519"/>
    <w:rsid w:val="00403123"/>
    <w:rsid w:val="00406FB6"/>
    <w:rsid w:val="00407D9F"/>
    <w:rsid w:val="004102B3"/>
    <w:rsid w:val="00410B82"/>
    <w:rsid w:val="00410BA4"/>
    <w:rsid w:val="00411058"/>
    <w:rsid w:val="00411D2E"/>
    <w:rsid w:val="004129F1"/>
    <w:rsid w:val="0041345C"/>
    <w:rsid w:val="00414104"/>
    <w:rsid w:val="00414DCB"/>
    <w:rsid w:val="00415E3E"/>
    <w:rsid w:val="0041667D"/>
    <w:rsid w:val="00416D92"/>
    <w:rsid w:val="004170A5"/>
    <w:rsid w:val="00417263"/>
    <w:rsid w:val="0042068A"/>
    <w:rsid w:val="00420B22"/>
    <w:rsid w:val="00420D55"/>
    <w:rsid w:val="004213ED"/>
    <w:rsid w:val="00421DAF"/>
    <w:rsid w:val="0042260B"/>
    <w:rsid w:val="004228FB"/>
    <w:rsid w:val="00423143"/>
    <w:rsid w:val="0042328C"/>
    <w:rsid w:val="0042343A"/>
    <w:rsid w:val="00424584"/>
    <w:rsid w:val="00424650"/>
    <w:rsid w:val="00424B73"/>
    <w:rsid w:val="0042546E"/>
    <w:rsid w:val="0042579F"/>
    <w:rsid w:val="00425FC3"/>
    <w:rsid w:val="00430333"/>
    <w:rsid w:val="004315A0"/>
    <w:rsid w:val="0043453E"/>
    <w:rsid w:val="00434FA6"/>
    <w:rsid w:val="00436234"/>
    <w:rsid w:val="004366A1"/>
    <w:rsid w:val="00440B83"/>
    <w:rsid w:val="0044221F"/>
    <w:rsid w:val="00442345"/>
    <w:rsid w:val="00443CB2"/>
    <w:rsid w:val="00444E65"/>
    <w:rsid w:val="00446565"/>
    <w:rsid w:val="00446EF8"/>
    <w:rsid w:val="004506DE"/>
    <w:rsid w:val="00451395"/>
    <w:rsid w:val="00451A00"/>
    <w:rsid w:val="00451EDF"/>
    <w:rsid w:val="0045229B"/>
    <w:rsid w:val="00452BDE"/>
    <w:rsid w:val="0045422B"/>
    <w:rsid w:val="004553BB"/>
    <w:rsid w:val="00455865"/>
    <w:rsid w:val="00455D84"/>
    <w:rsid w:val="004600F0"/>
    <w:rsid w:val="00460844"/>
    <w:rsid w:val="00460C19"/>
    <w:rsid w:val="00460CBF"/>
    <w:rsid w:val="00460F42"/>
    <w:rsid w:val="00461E24"/>
    <w:rsid w:val="004622D9"/>
    <w:rsid w:val="00462A47"/>
    <w:rsid w:val="00463B99"/>
    <w:rsid w:val="0046613C"/>
    <w:rsid w:val="00467B39"/>
    <w:rsid w:val="004709B6"/>
    <w:rsid w:val="00470CA3"/>
    <w:rsid w:val="00472859"/>
    <w:rsid w:val="00472B5B"/>
    <w:rsid w:val="004730EF"/>
    <w:rsid w:val="00473585"/>
    <w:rsid w:val="004758B2"/>
    <w:rsid w:val="004761F3"/>
    <w:rsid w:val="0047683B"/>
    <w:rsid w:val="004779EF"/>
    <w:rsid w:val="0048047D"/>
    <w:rsid w:val="00481B35"/>
    <w:rsid w:val="004820E4"/>
    <w:rsid w:val="0048293F"/>
    <w:rsid w:val="00482B7C"/>
    <w:rsid w:val="00482E1D"/>
    <w:rsid w:val="00483220"/>
    <w:rsid w:val="00483239"/>
    <w:rsid w:val="00484AF4"/>
    <w:rsid w:val="00484E7B"/>
    <w:rsid w:val="00485255"/>
    <w:rsid w:val="00485482"/>
    <w:rsid w:val="0048778E"/>
    <w:rsid w:val="00487914"/>
    <w:rsid w:val="0049052F"/>
    <w:rsid w:val="0049104A"/>
    <w:rsid w:val="00491D0F"/>
    <w:rsid w:val="00493CFC"/>
    <w:rsid w:val="004950DE"/>
    <w:rsid w:val="00495510"/>
    <w:rsid w:val="00496765"/>
    <w:rsid w:val="00496939"/>
    <w:rsid w:val="00496D51"/>
    <w:rsid w:val="00497515"/>
    <w:rsid w:val="00497707"/>
    <w:rsid w:val="00497A59"/>
    <w:rsid w:val="004A0363"/>
    <w:rsid w:val="004A08A9"/>
    <w:rsid w:val="004A0A08"/>
    <w:rsid w:val="004A11D4"/>
    <w:rsid w:val="004A1B58"/>
    <w:rsid w:val="004A295B"/>
    <w:rsid w:val="004A4132"/>
    <w:rsid w:val="004A417D"/>
    <w:rsid w:val="004A42C2"/>
    <w:rsid w:val="004A4C8F"/>
    <w:rsid w:val="004A7423"/>
    <w:rsid w:val="004A7FB8"/>
    <w:rsid w:val="004B1208"/>
    <w:rsid w:val="004B201C"/>
    <w:rsid w:val="004B209C"/>
    <w:rsid w:val="004B296F"/>
    <w:rsid w:val="004B37ED"/>
    <w:rsid w:val="004B388D"/>
    <w:rsid w:val="004B4566"/>
    <w:rsid w:val="004B6C16"/>
    <w:rsid w:val="004B6C6C"/>
    <w:rsid w:val="004B6FE9"/>
    <w:rsid w:val="004B709E"/>
    <w:rsid w:val="004B72F2"/>
    <w:rsid w:val="004C00F6"/>
    <w:rsid w:val="004C0FF3"/>
    <w:rsid w:val="004C1A1C"/>
    <w:rsid w:val="004C1DEE"/>
    <w:rsid w:val="004C2086"/>
    <w:rsid w:val="004C2A67"/>
    <w:rsid w:val="004C3145"/>
    <w:rsid w:val="004C40B6"/>
    <w:rsid w:val="004C4A89"/>
    <w:rsid w:val="004C4FB0"/>
    <w:rsid w:val="004C5479"/>
    <w:rsid w:val="004C58DE"/>
    <w:rsid w:val="004C6E6F"/>
    <w:rsid w:val="004C7088"/>
    <w:rsid w:val="004C7BCA"/>
    <w:rsid w:val="004D05C1"/>
    <w:rsid w:val="004D1B6D"/>
    <w:rsid w:val="004D295C"/>
    <w:rsid w:val="004D3364"/>
    <w:rsid w:val="004D44DB"/>
    <w:rsid w:val="004D463C"/>
    <w:rsid w:val="004D4736"/>
    <w:rsid w:val="004D47CF"/>
    <w:rsid w:val="004D48F4"/>
    <w:rsid w:val="004D4D54"/>
    <w:rsid w:val="004D5131"/>
    <w:rsid w:val="004D5A07"/>
    <w:rsid w:val="004D6061"/>
    <w:rsid w:val="004D70A4"/>
    <w:rsid w:val="004D7780"/>
    <w:rsid w:val="004E01CE"/>
    <w:rsid w:val="004E028B"/>
    <w:rsid w:val="004E045A"/>
    <w:rsid w:val="004E203C"/>
    <w:rsid w:val="004E29B7"/>
    <w:rsid w:val="004E3CA2"/>
    <w:rsid w:val="004E4054"/>
    <w:rsid w:val="004E41CD"/>
    <w:rsid w:val="004E4684"/>
    <w:rsid w:val="004E4F51"/>
    <w:rsid w:val="004E676E"/>
    <w:rsid w:val="004F0716"/>
    <w:rsid w:val="004F100E"/>
    <w:rsid w:val="004F1696"/>
    <w:rsid w:val="004F21C8"/>
    <w:rsid w:val="004F29D0"/>
    <w:rsid w:val="004F2ABC"/>
    <w:rsid w:val="004F2DD5"/>
    <w:rsid w:val="004F3E53"/>
    <w:rsid w:val="004F4C11"/>
    <w:rsid w:val="004F4EC4"/>
    <w:rsid w:val="004F575E"/>
    <w:rsid w:val="004F6432"/>
    <w:rsid w:val="004F66DF"/>
    <w:rsid w:val="004F6BC0"/>
    <w:rsid w:val="004F6DDF"/>
    <w:rsid w:val="004F78F6"/>
    <w:rsid w:val="004F7D54"/>
    <w:rsid w:val="005007FD"/>
    <w:rsid w:val="00500ACC"/>
    <w:rsid w:val="00501AD3"/>
    <w:rsid w:val="0050262E"/>
    <w:rsid w:val="0050266B"/>
    <w:rsid w:val="00503354"/>
    <w:rsid w:val="00503D09"/>
    <w:rsid w:val="00504BA5"/>
    <w:rsid w:val="00504C9F"/>
    <w:rsid w:val="00504D87"/>
    <w:rsid w:val="00504E5E"/>
    <w:rsid w:val="00505043"/>
    <w:rsid w:val="0050508A"/>
    <w:rsid w:val="00505218"/>
    <w:rsid w:val="00505DA6"/>
    <w:rsid w:val="0050627A"/>
    <w:rsid w:val="00506545"/>
    <w:rsid w:val="00506888"/>
    <w:rsid w:val="0050707A"/>
    <w:rsid w:val="00507496"/>
    <w:rsid w:val="005078C9"/>
    <w:rsid w:val="00510B2E"/>
    <w:rsid w:val="00512101"/>
    <w:rsid w:val="00512820"/>
    <w:rsid w:val="00512FEA"/>
    <w:rsid w:val="00514EED"/>
    <w:rsid w:val="00515EE8"/>
    <w:rsid w:val="00515F5D"/>
    <w:rsid w:val="0051653F"/>
    <w:rsid w:val="005169AD"/>
    <w:rsid w:val="00517D8F"/>
    <w:rsid w:val="005201B9"/>
    <w:rsid w:val="005201DB"/>
    <w:rsid w:val="00520240"/>
    <w:rsid w:val="0052029E"/>
    <w:rsid w:val="005222C9"/>
    <w:rsid w:val="00523A8C"/>
    <w:rsid w:val="00523B17"/>
    <w:rsid w:val="00524E51"/>
    <w:rsid w:val="0052553D"/>
    <w:rsid w:val="00525AEA"/>
    <w:rsid w:val="00525C1D"/>
    <w:rsid w:val="0052604A"/>
    <w:rsid w:val="005261C0"/>
    <w:rsid w:val="00526582"/>
    <w:rsid w:val="00526D54"/>
    <w:rsid w:val="00527074"/>
    <w:rsid w:val="00527E4F"/>
    <w:rsid w:val="005304C4"/>
    <w:rsid w:val="0053062D"/>
    <w:rsid w:val="00530C4C"/>
    <w:rsid w:val="005321AC"/>
    <w:rsid w:val="0053228B"/>
    <w:rsid w:val="005326A9"/>
    <w:rsid w:val="0053379A"/>
    <w:rsid w:val="00533BAF"/>
    <w:rsid w:val="0053559F"/>
    <w:rsid w:val="00536AB2"/>
    <w:rsid w:val="00536DCE"/>
    <w:rsid w:val="00536F8F"/>
    <w:rsid w:val="005401C4"/>
    <w:rsid w:val="00540770"/>
    <w:rsid w:val="00541E92"/>
    <w:rsid w:val="00542A63"/>
    <w:rsid w:val="00542ABB"/>
    <w:rsid w:val="00542FD3"/>
    <w:rsid w:val="00544144"/>
    <w:rsid w:val="005448A1"/>
    <w:rsid w:val="00544D90"/>
    <w:rsid w:val="00544FB2"/>
    <w:rsid w:val="00545002"/>
    <w:rsid w:val="005463E7"/>
    <w:rsid w:val="00546CC0"/>
    <w:rsid w:val="00547B82"/>
    <w:rsid w:val="00547D3A"/>
    <w:rsid w:val="00551C86"/>
    <w:rsid w:val="0055245B"/>
    <w:rsid w:val="005524E7"/>
    <w:rsid w:val="00552CA0"/>
    <w:rsid w:val="00553469"/>
    <w:rsid w:val="005546CA"/>
    <w:rsid w:val="00554A37"/>
    <w:rsid w:val="00554C89"/>
    <w:rsid w:val="00556D45"/>
    <w:rsid w:val="005575CC"/>
    <w:rsid w:val="005602D4"/>
    <w:rsid w:val="0056035A"/>
    <w:rsid w:val="00560B69"/>
    <w:rsid w:val="00561794"/>
    <w:rsid w:val="00561AA1"/>
    <w:rsid w:val="00561C2D"/>
    <w:rsid w:val="00561E7A"/>
    <w:rsid w:val="0056293D"/>
    <w:rsid w:val="00562A14"/>
    <w:rsid w:val="0056343F"/>
    <w:rsid w:val="00563C51"/>
    <w:rsid w:val="00563DF3"/>
    <w:rsid w:val="005650F5"/>
    <w:rsid w:val="005656E3"/>
    <w:rsid w:val="00565C51"/>
    <w:rsid w:val="00566A1E"/>
    <w:rsid w:val="00566DAB"/>
    <w:rsid w:val="00567258"/>
    <w:rsid w:val="00567C20"/>
    <w:rsid w:val="00567CFE"/>
    <w:rsid w:val="00567E6F"/>
    <w:rsid w:val="005701A3"/>
    <w:rsid w:val="00570801"/>
    <w:rsid w:val="00571510"/>
    <w:rsid w:val="0057313F"/>
    <w:rsid w:val="0057403F"/>
    <w:rsid w:val="0057528D"/>
    <w:rsid w:val="00576A31"/>
    <w:rsid w:val="00576CD4"/>
    <w:rsid w:val="0057715C"/>
    <w:rsid w:val="00577C7D"/>
    <w:rsid w:val="005803AF"/>
    <w:rsid w:val="00580577"/>
    <w:rsid w:val="005805C3"/>
    <w:rsid w:val="005808E2"/>
    <w:rsid w:val="005819E9"/>
    <w:rsid w:val="00581A60"/>
    <w:rsid w:val="00581B09"/>
    <w:rsid w:val="005825E1"/>
    <w:rsid w:val="0058418E"/>
    <w:rsid w:val="00584A79"/>
    <w:rsid w:val="0058522D"/>
    <w:rsid w:val="005858B2"/>
    <w:rsid w:val="005859A3"/>
    <w:rsid w:val="00586B9B"/>
    <w:rsid w:val="00586C0B"/>
    <w:rsid w:val="00586EDA"/>
    <w:rsid w:val="005870C1"/>
    <w:rsid w:val="00587FB8"/>
    <w:rsid w:val="005903D4"/>
    <w:rsid w:val="005911C7"/>
    <w:rsid w:val="00591944"/>
    <w:rsid w:val="00591EFF"/>
    <w:rsid w:val="005920FA"/>
    <w:rsid w:val="00592C92"/>
    <w:rsid w:val="00593306"/>
    <w:rsid w:val="005943AA"/>
    <w:rsid w:val="0059449A"/>
    <w:rsid w:val="00594667"/>
    <w:rsid w:val="0059529B"/>
    <w:rsid w:val="0059532C"/>
    <w:rsid w:val="0059668A"/>
    <w:rsid w:val="00596E42"/>
    <w:rsid w:val="00597581"/>
    <w:rsid w:val="00597D70"/>
    <w:rsid w:val="00597EC8"/>
    <w:rsid w:val="00597EDF"/>
    <w:rsid w:val="005A0426"/>
    <w:rsid w:val="005A057B"/>
    <w:rsid w:val="005A1972"/>
    <w:rsid w:val="005A19CC"/>
    <w:rsid w:val="005A23E3"/>
    <w:rsid w:val="005A2BAC"/>
    <w:rsid w:val="005A4EAC"/>
    <w:rsid w:val="005A5088"/>
    <w:rsid w:val="005B02A7"/>
    <w:rsid w:val="005B06E5"/>
    <w:rsid w:val="005B0A09"/>
    <w:rsid w:val="005B0D2A"/>
    <w:rsid w:val="005B1317"/>
    <w:rsid w:val="005B1414"/>
    <w:rsid w:val="005B19A8"/>
    <w:rsid w:val="005B2A19"/>
    <w:rsid w:val="005B3BE9"/>
    <w:rsid w:val="005B46A4"/>
    <w:rsid w:val="005B4735"/>
    <w:rsid w:val="005B4773"/>
    <w:rsid w:val="005B5211"/>
    <w:rsid w:val="005B56A6"/>
    <w:rsid w:val="005B5A06"/>
    <w:rsid w:val="005B5E6E"/>
    <w:rsid w:val="005B6284"/>
    <w:rsid w:val="005B797F"/>
    <w:rsid w:val="005B7FE7"/>
    <w:rsid w:val="005C0E43"/>
    <w:rsid w:val="005C11BE"/>
    <w:rsid w:val="005C138C"/>
    <w:rsid w:val="005C20CE"/>
    <w:rsid w:val="005C285C"/>
    <w:rsid w:val="005C285E"/>
    <w:rsid w:val="005C2DA0"/>
    <w:rsid w:val="005C3B76"/>
    <w:rsid w:val="005C487E"/>
    <w:rsid w:val="005C587D"/>
    <w:rsid w:val="005C5F05"/>
    <w:rsid w:val="005C5FF9"/>
    <w:rsid w:val="005C61C0"/>
    <w:rsid w:val="005C633A"/>
    <w:rsid w:val="005C7C08"/>
    <w:rsid w:val="005C7E74"/>
    <w:rsid w:val="005D058C"/>
    <w:rsid w:val="005D07ED"/>
    <w:rsid w:val="005D0CF0"/>
    <w:rsid w:val="005D126B"/>
    <w:rsid w:val="005D13B4"/>
    <w:rsid w:val="005D36AA"/>
    <w:rsid w:val="005D4821"/>
    <w:rsid w:val="005D4AA3"/>
    <w:rsid w:val="005D5995"/>
    <w:rsid w:val="005D6270"/>
    <w:rsid w:val="005D729D"/>
    <w:rsid w:val="005E018B"/>
    <w:rsid w:val="005E0673"/>
    <w:rsid w:val="005E12D9"/>
    <w:rsid w:val="005E1C93"/>
    <w:rsid w:val="005E1FD7"/>
    <w:rsid w:val="005E4708"/>
    <w:rsid w:val="005E4E68"/>
    <w:rsid w:val="005E501E"/>
    <w:rsid w:val="005E515E"/>
    <w:rsid w:val="005E5457"/>
    <w:rsid w:val="005E5D6F"/>
    <w:rsid w:val="005E7352"/>
    <w:rsid w:val="005F0171"/>
    <w:rsid w:val="005F09D8"/>
    <w:rsid w:val="005F1179"/>
    <w:rsid w:val="005F13F7"/>
    <w:rsid w:val="005F1758"/>
    <w:rsid w:val="005F2757"/>
    <w:rsid w:val="005F3474"/>
    <w:rsid w:val="005F3DC2"/>
    <w:rsid w:val="005F4492"/>
    <w:rsid w:val="005F4790"/>
    <w:rsid w:val="005F4B93"/>
    <w:rsid w:val="005F50D6"/>
    <w:rsid w:val="005F5461"/>
    <w:rsid w:val="005F56F1"/>
    <w:rsid w:val="005F5DC4"/>
    <w:rsid w:val="005F6CB7"/>
    <w:rsid w:val="005F6D13"/>
    <w:rsid w:val="005F6E3D"/>
    <w:rsid w:val="005F6E9D"/>
    <w:rsid w:val="006003A0"/>
    <w:rsid w:val="00600BFC"/>
    <w:rsid w:val="00600C70"/>
    <w:rsid w:val="006017A4"/>
    <w:rsid w:val="00601A71"/>
    <w:rsid w:val="00602B6E"/>
    <w:rsid w:val="006040C4"/>
    <w:rsid w:val="006041DA"/>
    <w:rsid w:val="006049D8"/>
    <w:rsid w:val="00606051"/>
    <w:rsid w:val="00607167"/>
    <w:rsid w:val="00607E5D"/>
    <w:rsid w:val="00610281"/>
    <w:rsid w:val="00610498"/>
    <w:rsid w:val="0061109E"/>
    <w:rsid w:val="0061189B"/>
    <w:rsid w:val="00611A79"/>
    <w:rsid w:val="006128EF"/>
    <w:rsid w:val="00612BBF"/>
    <w:rsid w:val="00613712"/>
    <w:rsid w:val="0061484F"/>
    <w:rsid w:val="00615B9D"/>
    <w:rsid w:val="006169AC"/>
    <w:rsid w:val="00616F8D"/>
    <w:rsid w:val="00617489"/>
    <w:rsid w:val="00617876"/>
    <w:rsid w:val="0061790C"/>
    <w:rsid w:val="00617CBD"/>
    <w:rsid w:val="00620175"/>
    <w:rsid w:val="0062095D"/>
    <w:rsid w:val="00620ACE"/>
    <w:rsid w:val="0062187A"/>
    <w:rsid w:val="00621A24"/>
    <w:rsid w:val="00621A81"/>
    <w:rsid w:val="00621AE9"/>
    <w:rsid w:val="00621B4A"/>
    <w:rsid w:val="00621B6C"/>
    <w:rsid w:val="00624303"/>
    <w:rsid w:val="00624408"/>
    <w:rsid w:val="00626576"/>
    <w:rsid w:val="006278C2"/>
    <w:rsid w:val="00627A0C"/>
    <w:rsid w:val="00627F01"/>
    <w:rsid w:val="006300F7"/>
    <w:rsid w:val="00631154"/>
    <w:rsid w:val="00631348"/>
    <w:rsid w:val="006319D4"/>
    <w:rsid w:val="00632010"/>
    <w:rsid w:val="00632558"/>
    <w:rsid w:val="00632634"/>
    <w:rsid w:val="00634259"/>
    <w:rsid w:val="00635377"/>
    <w:rsid w:val="006356DE"/>
    <w:rsid w:val="00635915"/>
    <w:rsid w:val="00635E83"/>
    <w:rsid w:val="00637472"/>
    <w:rsid w:val="00637582"/>
    <w:rsid w:val="00637CA9"/>
    <w:rsid w:val="00640A5E"/>
    <w:rsid w:val="00641CE6"/>
    <w:rsid w:val="00641E1E"/>
    <w:rsid w:val="00642769"/>
    <w:rsid w:val="0064299C"/>
    <w:rsid w:val="00642D1F"/>
    <w:rsid w:val="00642EF5"/>
    <w:rsid w:val="0064337E"/>
    <w:rsid w:val="006436E5"/>
    <w:rsid w:val="00643B3C"/>
    <w:rsid w:val="00644A55"/>
    <w:rsid w:val="00644C77"/>
    <w:rsid w:val="00646022"/>
    <w:rsid w:val="00646AAC"/>
    <w:rsid w:val="00646F1E"/>
    <w:rsid w:val="006475DD"/>
    <w:rsid w:val="00647B73"/>
    <w:rsid w:val="00650D75"/>
    <w:rsid w:val="00651AF6"/>
    <w:rsid w:val="00651C17"/>
    <w:rsid w:val="00653E10"/>
    <w:rsid w:val="00654123"/>
    <w:rsid w:val="00654151"/>
    <w:rsid w:val="0065415E"/>
    <w:rsid w:val="006547D1"/>
    <w:rsid w:val="00654DF1"/>
    <w:rsid w:val="00654FA1"/>
    <w:rsid w:val="00655AF9"/>
    <w:rsid w:val="00656CE9"/>
    <w:rsid w:val="00657511"/>
    <w:rsid w:val="00660A63"/>
    <w:rsid w:val="00660FD2"/>
    <w:rsid w:val="00661CB7"/>
    <w:rsid w:val="00661D1B"/>
    <w:rsid w:val="006620DF"/>
    <w:rsid w:val="00662B07"/>
    <w:rsid w:val="00663ACA"/>
    <w:rsid w:val="00663D01"/>
    <w:rsid w:val="00664202"/>
    <w:rsid w:val="00664585"/>
    <w:rsid w:val="0066509F"/>
    <w:rsid w:val="00665548"/>
    <w:rsid w:val="00665E0D"/>
    <w:rsid w:val="006664DB"/>
    <w:rsid w:val="006705D6"/>
    <w:rsid w:val="006706DF"/>
    <w:rsid w:val="00671F68"/>
    <w:rsid w:val="006721D5"/>
    <w:rsid w:val="006744D0"/>
    <w:rsid w:val="00674E36"/>
    <w:rsid w:val="00677643"/>
    <w:rsid w:val="006779FC"/>
    <w:rsid w:val="0068004F"/>
    <w:rsid w:val="00680615"/>
    <w:rsid w:val="0068265E"/>
    <w:rsid w:val="00682C6B"/>
    <w:rsid w:val="006834B7"/>
    <w:rsid w:val="00683F8A"/>
    <w:rsid w:val="00686040"/>
    <w:rsid w:val="00686147"/>
    <w:rsid w:val="00686DD3"/>
    <w:rsid w:val="006874D8"/>
    <w:rsid w:val="00690D9C"/>
    <w:rsid w:val="00691329"/>
    <w:rsid w:val="00692216"/>
    <w:rsid w:val="006923A8"/>
    <w:rsid w:val="006938EB"/>
    <w:rsid w:val="0069408B"/>
    <w:rsid w:val="00694104"/>
    <w:rsid w:val="00694774"/>
    <w:rsid w:val="00695CA1"/>
    <w:rsid w:val="00696D05"/>
    <w:rsid w:val="006A02C8"/>
    <w:rsid w:val="006A09DA"/>
    <w:rsid w:val="006A1F82"/>
    <w:rsid w:val="006A200B"/>
    <w:rsid w:val="006A20C7"/>
    <w:rsid w:val="006A2EF9"/>
    <w:rsid w:val="006A2FB6"/>
    <w:rsid w:val="006A35BF"/>
    <w:rsid w:val="006A43FA"/>
    <w:rsid w:val="006A6A8D"/>
    <w:rsid w:val="006A738B"/>
    <w:rsid w:val="006A766E"/>
    <w:rsid w:val="006B13F2"/>
    <w:rsid w:val="006B20FF"/>
    <w:rsid w:val="006B2210"/>
    <w:rsid w:val="006B486F"/>
    <w:rsid w:val="006B539B"/>
    <w:rsid w:val="006B5C92"/>
    <w:rsid w:val="006B6DD5"/>
    <w:rsid w:val="006B6E85"/>
    <w:rsid w:val="006B763A"/>
    <w:rsid w:val="006B7772"/>
    <w:rsid w:val="006C0035"/>
    <w:rsid w:val="006C0E66"/>
    <w:rsid w:val="006C1102"/>
    <w:rsid w:val="006C207B"/>
    <w:rsid w:val="006C23F5"/>
    <w:rsid w:val="006C27D1"/>
    <w:rsid w:val="006C2813"/>
    <w:rsid w:val="006C3281"/>
    <w:rsid w:val="006C4245"/>
    <w:rsid w:val="006C46E8"/>
    <w:rsid w:val="006C5856"/>
    <w:rsid w:val="006C599D"/>
    <w:rsid w:val="006C5B06"/>
    <w:rsid w:val="006C5D7A"/>
    <w:rsid w:val="006C6933"/>
    <w:rsid w:val="006C7217"/>
    <w:rsid w:val="006C7B5A"/>
    <w:rsid w:val="006C7E2D"/>
    <w:rsid w:val="006D0394"/>
    <w:rsid w:val="006D10BB"/>
    <w:rsid w:val="006D17F4"/>
    <w:rsid w:val="006D30F3"/>
    <w:rsid w:val="006D3E0A"/>
    <w:rsid w:val="006D5F71"/>
    <w:rsid w:val="006D65E1"/>
    <w:rsid w:val="006D6C8D"/>
    <w:rsid w:val="006D7BA8"/>
    <w:rsid w:val="006E1177"/>
    <w:rsid w:val="006E1A17"/>
    <w:rsid w:val="006E1D24"/>
    <w:rsid w:val="006E1FD7"/>
    <w:rsid w:val="006E22EC"/>
    <w:rsid w:val="006E3DC6"/>
    <w:rsid w:val="006E4469"/>
    <w:rsid w:val="006E44EE"/>
    <w:rsid w:val="006E5B84"/>
    <w:rsid w:val="006E6735"/>
    <w:rsid w:val="006E6E9E"/>
    <w:rsid w:val="006F03DE"/>
    <w:rsid w:val="006F0918"/>
    <w:rsid w:val="006F0F97"/>
    <w:rsid w:val="006F1E88"/>
    <w:rsid w:val="006F2AF8"/>
    <w:rsid w:val="006F33BC"/>
    <w:rsid w:val="006F42B4"/>
    <w:rsid w:val="006F4A06"/>
    <w:rsid w:val="006F4D53"/>
    <w:rsid w:val="006F5E55"/>
    <w:rsid w:val="006F5EA6"/>
    <w:rsid w:val="006F68BF"/>
    <w:rsid w:val="006F7F29"/>
    <w:rsid w:val="00700305"/>
    <w:rsid w:val="00700BB0"/>
    <w:rsid w:val="007010E1"/>
    <w:rsid w:val="00701912"/>
    <w:rsid w:val="00702132"/>
    <w:rsid w:val="0070239A"/>
    <w:rsid w:val="00702889"/>
    <w:rsid w:val="00703BFB"/>
    <w:rsid w:val="00705454"/>
    <w:rsid w:val="007055EB"/>
    <w:rsid w:val="007059C6"/>
    <w:rsid w:val="00705BA3"/>
    <w:rsid w:val="00710844"/>
    <w:rsid w:val="007108B0"/>
    <w:rsid w:val="007108EB"/>
    <w:rsid w:val="00710FB8"/>
    <w:rsid w:val="007116D1"/>
    <w:rsid w:val="007126BF"/>
    <w:rsid w:val="00712BA7"/>
    <w:rsid w:val="007134AE"/>
    <w:rsid w:val="00713CA8"/>
    <w:rsid w:val="00715242"/>
    <w:rsid w:val="00715B34"/>
    <w:rsid w:val="00715DF1"/>
    <w:rsid w:val="0071762C"/>
    <w:rsid w:val="00717AAA"/>
    <w:rsid w:val="00717B01"/>
    <w:rsid w:val="0072066E"/>
    <w:rsid w:val="00720BA7"/>
    <w:rsid w:val="00720C0D"/>
    <w:rsid w:val="0072189C"/>
    <w:rsid w:val="00721FA9"/>
    <w:rsid w:val="007221DE"/>
    <w:rsid w:val="00723A7B"/>
    <w:rsid w:val="0072436D"/>
    <w:rsid w:val="00726958"/>
    <w:rsid w:val="00726EFB"/>
    <w:rsid w:val="00727072"/>
    <w:rsid w:val="00727186"/>
    <w:rsid w:val="0072745F"/>
    <w:rsid w:val="00727492"/>
    <w:rsid w:val="00727D88"/>
    <w:rsid w:val="00730956"/>
    <w:rsid w:val="00730FD8"/>
    <w:rsid w:val="007311F5"/>
    <w:rsid w:val="007314FC"/>
    <w:rsid w:val="007321AC"/>
    <w:rsid w:val="00732AD7"/>
    <w:rsid w:val="00732CBA"/>
    <w:rsid w:val="007345F1"/>
    <w:rsid w:val="0073560F"/>
    <w:rsid w:val="00735E9E"/>
    <w:rsid w:val="00736466"/>
    <w:rsid w:val="00736B11"/>
    <w:rsid w:val="00740DEB"/>
    <w:rsid w:val="00742097"/>
    <w:rsid w:val="00742595"/>
    <w:rsid w:val="00742C6E"/>
    <w:rsid w:val="007432FB"/>
    <w:rsid w:val="00743980"/>
    <w:rsid w:val="00743A19"/>
    <w:rsid w:val="00743BA5"/>
    <w:rsid w:val="00744D72"/>
    <w:rsid w:val="007461E3"/>
    <w:rsid w:val="00746AB2"/>
    <w:rsid w:val="00747418"/>
    <w:rsid w:val="00747904"/>
    <w:rsid w:val="007502A7"/>
    <w:rsid w:val="007506DC"/>
    <w:rsid w:val="00751816"/>
    <w:rsid w:val="00751DBE"/>
    <w:rsid w:val="00751EC7"/>
    <w:rsid w:val="007522CF"/>
    <w:rsid w:val="00752C1B"/>
    <w:rsid w:val="00752D99"/>
    <w:rsid w:val="007548CE"/>
    <w:rsid w:val="00754D2F"/>
    <w:rsid w:val="0075581D"/>
    <w:rsid w:val="0075599A"/>
    <w:rsid w:val="007579DF"/>
    <w:rsid w:val="007613A5"/>
    <w:rsid w:val="007625EF"/>
    <w:rsid w:val="007626AD"/>
    <w:rsid w:val="00763048"/>
    <w:rsid w:val="0076392F"/>
    <w:rsid w:val="00765749"/>
    <w:rsid w:val="007664F1"/>
    <w:rsid w:val="00767743"/>
    <w:rsid w:val="00767901"/>
    <w:rsid w:val="00767FB1"/>
    <w:rsid w:val="00770498"/>
    <w:rsid w:val="00771E44"/>
    <w:rsid w:val="007732E5"/>
    <w:rsid w:val="00773A54"/>
    <w:rsid w:val="00773EC3"/>
    <w:rsid w:val="00774450"/>
    <w:rsid w:val="00776BD1"/>
    <w:rsid w:val="00777488"/>
    <w:rsid w:val="00780582"/>
    <w:rsid w:val="0078078B"/>
    <w:rsid w:val="00780840"/>
    <w:rsid w:val="0078149D"/>
    <w:rsid w:val="007826CA"/>
    <w:rsid w:val="00783080"/>
    <w:rsid w:val="00783DF2"/>
    <w:rsid w:val="00783E46"/>
    <w:rsid w:val="00783E99"/>
    <w:rsid w:val="007845B0"/>
    <w:rsid w:val="00785D0F"/>
    <w:rsid w:val="00785EDA"/>
    <w:rsid w:val="00787513"/>
    <w:rsid w:val="00790B04"/>
    <w:rsid w:val="00790E82"/>
    <w:rsid w:val="00791227"/>
    <w:rsid w:val="00791412"/>
    <w:rsid w:val="007923CE"/>
    <w:rsid w:val="00792400"/>
    <w:rsid w:val="007924CE"/>
    <w:rsid w:val="00792E2F"/>
    <w:rsid w:val="0079337C"/>
    <w:rsid w:val="00793DB8"/>
    <w:rsid w:val="0079462E"/>
    <w:rsid w:val="007949A1"/>
    <w:rsid w:val="00797250"/>
    <w:rsid w:val="0079744A"/>
    <w:rsid w:val="00797541"/>
    <w:rsid w:val="00797EF9"/>
    <w:rsid w:val="007A00BC"/>
    <w:rsid w:val="007A0936"/>
    <w:rsid w:val="007A0F68"/>
    <w:rsid w:val="007A152E"/>
    <w:rsid w:val="007A1E18"/>
    <w:rsid w:val="007A225F"/>
    <w:rsid w:val="007A4F0B"/>
    <w:rsid w:val="007A5BB1"/>
    <w:rsid w:val="007A5BED"/>
    <w:rsid w:val="007A5DD7"/>
    <w:rsid w:val="007A5FA5"/>
    <w:rsid w:val="007A644B"/>
    <w:rsid w:val="007A6CE1"/>
    <w:rsid w:val="007A6F82"/>
    <w:rsid w:val="007A7D65"/>
    <w:rsid w:val="007B066C"/>
    <w:rsid w:val="007B1217"/>
    <w:rsid w:val="007B23DD"/>
    <w:rsid w:val="007B2872"/>
    <w:rsid w:val="007B38A2"/>
    <w:rsid w:val="007B4D24"/>
    <w:rsid w:val="007B4FFE"/>
    <w:rsid w:val="007B53FA"/>
    <w:rsid w:val="007B5927"/>
    <w:rsid w:val="007B5C51"/>
    <w:rsid w:val="007B606F"/>
    <w:rsid w:val="007B6A6B"/>
    <w:rsid w:val="007B72E1"/>
    <w:rsid w:val="007B7920"/>
    <w:rsid w:val="007C0364"/>
    <w:rsid w:val="007C18FD"/>
    <w:rsid w:val="007C2368"/>
    <w:rsid w:val="007C2449"/>
    <w:rsid w:val="007C371F"/>
    <w:rsid w:val="007C3F43"/>
    <w:rsid w:val="007C408F"/>
    <w:rsid w:val="007C4CC7"/>
    <w:rsid w:val="007C525D"/>
    <w:rsid w:val="007C672A"/>
    <w:rsid w:val="007C6866"/>
    <w:rsid w:val="007C6D61"/>
    <w:rsid w:val="007C7025"/>
    <w:rsid w:val="007C7393"/>
    <w:rsid w:val="007C7415"/>
    <w:rsid w:val="007D0343"/>
    <w:rsid w:val="007D0590"/>
    <w:rsid w:val="007D0674"/>
    <w:rsid w:val="007D07FA"/>
    <w:rsid w:val="007D0826"/>
    <w:rsid w:val="007D2D5D"/>
    <w:rsid w:val="007D3138"/>
    <w:rsid w:val="007D4672"/>
    <w:rsid w:val="007D521D"/>
    <w:rsid w:val="007D5EEA"/>
    <w:rsid w:val="007D613D"/>
    <w:rsid w:val="007D67F7"/>
    <w:rsid w:val="007D6952"/>
    <w:rsid w:val="007D6959"/>
    <w:rsid w:val="007D79EB"/>
    <w:rsid w:val="007D7A5B"/>
    <w:rsid w:val="007D7BE5"/>
    <w:rsid w:val="007E010D"/>
    <w:rsid w:val="007E158A"/>
    <w:rsid w:val="007E16C8"/>
    <w:rsid w:val="007E1A94"/>
    <w:rsid w:val="007E2A6A"/>
    <w:rsid w:val="007E2A89"/>
    <w:rsid w:val="007E2B30"/>
    <w:rsid w:val="007E361D"/>
    <w:rsid w:val="007E409F"/>
    <w:rsid w:val="007E4702"/>
    <w:rsid w:val="007E6117"/>
    <w:rsid w:val="007E61F2"/>
    <w:rsid w:val="007E6842"/>
    <w:rsid w:val="007E6EF5"/>
    <w:rsid w:val="007E6F57"/>
    <w:rsid w:val="007E7DF4"/>
    <w:rsid w:val="007F0974"/>
    <w:rsid w:val="007F09D2"/>
    <w:rsid w:val="007F0E8A"/>
    <w:rsid w:val="007F0F7B"/>
    <w:rsid w:val="007F2404"/>
    <w:rsid w:val="007F38C0"/>
    <w:rsid w:val="007F4FA3"/>
    <w:rsid w:val="007F5B63"/>
    <w:rsid w:val="007F611C"/>
    <w:rsid w:val="007F641A"/>
    <w:rsid w:val="007F6490"/>
    <w:rsid w:val="007F6D2D"/>
    <w:rsid w:val="007F708B"/>
    <w:rsid w:val="0080042F"/>
    <w:rsid w:val="00800B37"/>
    <w:rsid w:val="00800CEC"/>
    <w:rsid w:val="00801526"/>
    <w:rsid w:val="00801B84"/>
    <w:rsid w:val="00802429"/>
    <w:rsid w:val="008027BB"/>
    <w:rsid w:val="008034AD"/>
    <w:rsid w:val="008039A9"/>
    <w:rsid w:val="00803F0D"/>
    <w:rsid w:val="0080599A"/>
    <w:rsid w:val="00805BA6"/>
    <w:rsid w:val="00806111"/>
    <w:rsid w:val="00806D4E"/>
    <w:rsid w:val="008112E5"/>
    <w:rsid w:val="00811BA1"/>
    <w:rsid w:val="00812396"/>
    <w:rsid w:val="008124AF"/>
    <w:rsid w:val="00813024"/>
    <w:rsid w:val="0081360C"/>
    <w:rsid w:val="008138DC"/>
    <w:rsid w:val="00813DC2"/>
    <w:rsid w:val="008146E4"/>
    <w:rsid w:val="008159FF"/>
    <w:rsid w:val="008169B7"/>
    <w:rsid w:val="008169BB"/>
    <w:rsid w:val="00816F03"/>
    <w:rsid w:val="00817530"/>
    <w:rsid w:val="00817E39"/>
    <w:rsid w:val="00820566"/>
    <w:rsid w:val="00820B9A"/>
    <w:rsid w:val="00821A99"/>
    <w:rsid w:val="00822390"/>
    <w:rsid w:val="00823086"/>
    <w:rsid w:val="008233D6"/>
    <w:rsid w:val="008233DF"/>
    <w:rsid w:val="0082414B"/>
    <w:rsid w:val="00824EBA"/>
    <w:rsid w:val="00825421"/>
    <w:rsid w:val="00825EA0"/>
    <w:rsid w:val="00826133"/>
    <w:rsid w:val="0082620B"/>
    <w:rsid w:val="008270AF"/>
    <w:rsid w:val="0083023F"/>
    <w:rsid w:val="008305D4"/>
    <w:rsid w:val="00830E61"/>
    <w:rsid w:val="00832E69"/>
    <w:rsid w:val="00832F5A"/>
    <w:rsid w:val="008336D1"/>
    <w:rsid w:val="00834202"/>
    <w:rsid w:val="008342BE"/>
    <w:rsid w:val="00834444"/>
    <w:rsid w:val="008349CF"/>
    <w:rsid w:val="00834C4F"/>
    <w:rsid w:val="00835278"/>
    <w:rsid w:val="00835D4E"/>
    <w:rsid w:val="00835D77"/>
    <w:rsid w:val="00835F17"/>
    <w:rsid w:val="00840631"/>
    <w:rsid w:val="008407B3"/>
    <w:rsid w:val="008415A0"/>
    <w:rsid w:val="0084507F"/>
    <w:rsid w:val="008458A1"/>
    <w:rsid w:val="00845CEB"/>
    <w:rsid w:val="00846EFC"/>
    <w:rsid w:val="008500F8"/>
    <w:rsid w:val="00850430"/>
    <w:rsid w:val="0085052A"/>
    <w:rsid w:val="00850B6D"/>
    <w:rsid w:val="00850C97"/>
    <w:rsid w:val="0085149A"/>
    <w:rsid w:val="008532A3"/>
    <w:rsid w:val="008532E7"/>
    <w:rsid w:val="00853B10"/>
    <w:rsid w:val="00853C39"/>
    <w:rsid w:val="00854D2F"/>
    <w:rsid w:val="00856994"/>
    <w:rsid w:val="00857F68"/>
    <w:rsid w:val="00860A81"/>
    <w:rsid w:val="00861FE7"/>
    <w:rsid w:val="00862159"/>
    <w:rsid w:val="008630CF"/>
    <w:rsid w:val="0086406F"/>
    <w:rsid w:val="00864298"/>
    <w:rsid w:val="008667E8"/>
    <w:rsid w:val="0086763A"/>
    <w:rsid w:val="00867BD2"/>
    <w:rsid w:val="00867BE1"/>
    <w:rsid w:val="00867EBB"/>
    <w:rsid w:val="00870321"/>
    <w:rsid w:val="008705EF"/>
    <w:rsid w:val="00870DFC"/>
    <w:rsid w:val="00871053"/>
    <w:rsid w:val="008713CE"/>
    <w:rsid w:val="0087142E"/>
    <w:rsid w:val="0087230E"/>
    <w:rsid w:val="0087238A"/>
    <w:rsid w:val="00872A60"/>
    <w:rsid w:val="00872B43"/>
    <w:rsid w:val="00872E29"/>
    <w:rsid w:val="00873300"/>
    <w:rsid w:val="00873618"/>
    <w:rsid w:val="00874EE4"/>
    <w:rsid w:val="00876DCC"/>
    <w:rsid w:val="008771BE"/>
    <w:rsid w:val="008772A9"/>
    <w:rsid w:val="0088075C"/>
    <w:rsid w:val="00880A95"/>
    <w:rsid w:val="00880B55"/>
    <w:rsid w:val="008813E2"/>
    <w:rsid w:val="00881689"/>
    <w:rsid w:val="0088451E"/>
    <w:rsid w:val="00884EE3"/>
    <w:rsid w:val="008860BC"/>
    <w:rsid w:val="008867CC"/>
    <w:rsid w:val="0088717C"/>
    <w:rsid w:val="00887612"/>
    <w:rsid w:val="00887DFD"/>
    <w:rsid w:val="008903D5"/>
    <w:rsid w:val="008911F9"/>
    <w:rsid w:val="00891C3A"/>
    <w:rsid w:val="00891E22"/>
    <w:rsid w:val="00892B4E"/>
    <w:rsid w:val="008934A9"/>
    <w:rsid w:val="00893569"/>
    <w:rsid w:val="00893B6A"/>
    <w:rsid w:val="00893ED5"/>
    <w:rsid w:val="008944A1"/>
    <w:rsid w:val="00894E75"/>
    <w:rsid w:val="00894F3A"/>
    <w:rsid w:val="0089504D"/>
    <w:rsid w:val="008966B3"/>
    <w:rsid w:val="008972EB"/>
    <w:rsid w:val="00897948"/>
    <w:rsid w:val="008A0676"/>
    <w:rsid w:val="008A06A0"/>
    <w:rsid w:val="008A0F39"/>
    <w:rsid w:val="008A1161"/>
    <w:rsid w:val="008A190D"/>
    <w:rsid w:val="008A1970"/>
    <w:rsid w:val="008A2DA8"/>
    <w:rsid w:val="008A3505"/>
    <w:rsid w:val="008A4AB3"/>
    <w:rsid w:val="008A5082"/>
    <w:rsid w:val="008A5EF0"/>
    <w:rsid w:val="008B0216"/>
    <w:rsid w:val="008B05B6"/>
    <w:rsid w:val="008B07CF"/>
    <w:rsid w:val="008B0813"/>
    <w:rsid w:val="008B1170"/>
    <w:rsid w:val="008B26D1"/>
    <w:rsid w:val="008B31A8"/>
    <w:rsid w:val="008B36D1"/>
    <w:rsid w:val="008B48AF"/>
    <w:rsid w:val="008B56BB"/>
    <w:rsid w:val="008B5B87"/>
    <w:rsid w:val="008C06EA"/>
    <w:rsid w:val="008C091D"/>
    <w:rsid w:val="008C0F02"/>
    <w:rsid w:val="008C17A1"/>
    <w:rsid w:val="008C19FF"/>
    <w:rsid w:val="008C1AEC"/>
    <w:rsid w:val="008C1D70"/>
    <w:rsid w:val="008C22F1"/>
    <w:rsid w:val="008C28AA"/>
    <w:rsid w:val="008C42E4"/>
    <w:rsid w:val="008C43E9"/>
    <w:rsid w:val="008C464B"/>
    <w:rsid w:val="008C46FE"/>
    <w:rsid w:val="008C47A8"/>
    <w:rsid w:val="008C4C81"/>
    <w:rsid w:val="008C4D3B"/>
    <w:rsid w:val="008C4E5C"/>
    <w:rsid w:val="008C5E51"/>
    <w:rsid w:val="008C6458"/>
    <w:rsid w:val="008C734B"/>
    <w:rsid w:val="008C75B2"/>
    <w:rsid w:val="008D01CC"/>
    <w:rsid w:val="008D0B12"/>
    <w:rsid w:val="008D0E34"/>
    <w:rsid w:val="008D292E"/>
    <w:rsid w:val="008D2C1E"/>
    <w:rsid w:val="008D2CB4"/>
    <w:rsid w:val="008D2DB6"/>
    <w:rsid w:val="008D2EB3"/>
    <w:rsid w:val="008D3D15"/>
    <w:rsid w:val="008D498F"/>
    <w:rsid w:val="008D4D0E"/>
    <w:rsid w:val="008D6905"/>
    <w:rsid w:val="008D7174"/>
    <w:rsid w:val="008D7306"/>
    <w:rsid w:val="008E2F1F"/>
    <w:rsid w:val="008E3433"/>
    <w:rsid w:val="008E34F3"/>
    <w:rsid w:val="008E412B"/>
    <w:rsid w:val="008E5745"/>
    <w:rsid w:val="008E6347"/>
    <w:rsid w:val="008E66B2"/>
    <w:rsid w:val="008E674F"/>
    <w:rsid w:val="008F01A6"/>
    <w:rsid w:val="008F05A5"/>
    <w:rsid w:val="008F17B8"/>
    <w:rsid w:val="008F1CE5"/>
    <w:rsid w:val="008F27A8"/>
    <w:rsid w:val="008F2FB2"/>
    <w:rsid w:val="008F3134"/>
    <w:rsid w:val="008F3390"/>
    <w:rsid w:val="008F487F"/>
    <w:rsid w:val="008F597A"/>
    <w:rsid w:val="008F6BB5"/>
    <w:rsid w:val="0090070C"/>
    <w:rsid w:val="00900843"/>
    <w:rsid w:val="009027B8"/>
    <w:rsid w:val="00902F90"/>
    <w:rsid w:val="009038ED"/>
    <w:rsid w:val="009047B2"/>
    <w:rsid w:val="00906A32"/>
    <w:rsid w:val="00907AAD"/>
    <w:rsid w:val="00910BA2"/>
    <w:rsid w:val="00911679"/>
    <w:rsid w:val="0091219B"/>
    <w:rsid w:val="0091348B"/>
    <w:rsid w:val="00913682"/>
    <w:rsid w:val="00913FBB"/>
    <w:rsid w:val="00914136"/>
    <w:rsid w:val="009145B0"/>
    <w:rsid w:val="00914DD3"/>
    <w:rsid w:val="00915B2D"/>
    <w:rsid w:val="00915E95"/>
    <w:rsid w:val="0091646B"/>
    <w:rsid w:val="00916EE9"/>
    <w:rsid w:val="00917837"/>
    <w:rsid w:val="00917C9F"/>
    <w:rsid w:val="0092004B"/>
    <w:rsid w:val="0092056B"/>
    <w:rsid w:val="00920AEB"/>
    <w:rsid w:val="00922020"/>
    <w:rsid w:val="009233DF"/>
    <w:rsid w:val="00923C28"/>
    <w:rsid w:val="00924704"/>
    <w:rsid w:val="00924FD4"/>
    <w:rsid w:val="009258C8"/>
    <w:rsid w:val="00925FAF"/>
    <w:rsid w:val="009260D2"/>
    <w:rsid w:val="00926940"/>
    <w:rsid w:val="009277D5"/>
    <w:rsid w:val="00927F27"/>
    <w:rsid w:val="00930246"/>
    <w:rsid w:val="00930676"/>
    <w:rsid w:val="00931173"/>
    <w:rsid w:val="00932035"/>
    <w:rsid w:val="009324F1"/>
    <w:rsid w:val="00932558"/>
    <w:rsid w:val="00932F70"/>
    <w:rsid w:val="0093481A"/>
    <w:rsid w:val="00934D43"/>
    <w:rsid w:val="00934D8F"/>
    <w:rsid w:val="00934E90"/>
    <w:rsid w:val="0093528D"/>
    <w:rsid w:val="00935C2B"/>
    <w:rsid w:val="0093602C"/>
    <w:rsid w:val="0093611B"/>
    <w:rsid w:val="00936268"/>
    <w:rsid w:val="009368E7"/>
    <w:rsid w:val="00937017"/>
    <w:rsid w:val="00937039"/>
    <w:rsid w:val="00937739"/>
    <w:rsid w:val="00940120"/>
    <w:rsid w:val="00940B14"/>
    <w:rsid w:val="00940B5B"/>
    <w:rsid w:val="009411FA"/>
    <w:rsid w:val="00941774"/>
    <w:rsid w:val="009419CC"/>
    <w:rsid w:val="00944120"/>
    <w:rsid w:val="009445B7"/>
    <w:rsid w:val="0094466A"/>
    <w:rsid w:val="00944A5E"/>
    <w:rsid w:val="00944F15"/>
    <w:rsid w:val="009459AE"/>
    <w:rsid w:val="009467D2"/>
    <w:rsid w:val="00950A1E"/>
    <w:rsid w:val="00950B58"/>
    <w:rsid w:val="0095106D"/>
    <w:rsid w:val="0095148A"/>
    <w:rsid w:val="00951FCE"/>
    <w:rsid w:val="00952461"/>
    <w:rsid w:val="00952551"/>
    <w:rsid w:val="00952A71"/>
    <w:rsid w:val="00952BE3"/>
    <w:rsid w:val="00952F35"/>
    <w:rsid w:val="009530B2"/>
    <w:rsid w:val="00954CB8"/>
    <w:rsid w:val="00955238"/>
    <w:rsid w:val="00955678"/>
    <w:rsid w:val="00956209"/>
    <w:rsid w:val="009563AB"/>
    <w:rsid w:val="00956D90"/>
    <w:rsid w:val="00957ED8"/>
    <w:rsid w:val="00960A5A"/>
    <w:rsid w:val="00960E93"/>
    <w:rsid w:val="00961547"/>
    <w:rsid w:val="00961A70"/>
    <w:rsid w:val="00961FCE"/>
    <w:rsid w:val="00962797"/>
    <w:rsid w:val="00963863"/>
    <w:rsid w:val="009640A2"/>
    <w:rsid w:val="00964765"/>
    <w:rsid w:val="00964B16"/>
    <w:rsid w:val="00964B3F"/>
    <w:rsid w:val="00965AD1"/>
    <w:rsid w:val="0096649A"/>
    <w:rsid w:val="009706DE"/>
    <w:rsid w:val="00971316"/>
    <w:rsid w:val="00971D23"/>
    <w:rsid w:val="0097292D"/>
    <w:rsid w:val="009736C6"/>
    <w:rsid w:val="00973A20"/>
    <w:rsid w:val="00974F5B"/>
    <w:rsid w:val="0097528B"/>
    <w:rsid w:val="00976ECA"/>
    <w:rsid w:val="0098059A"/>
    <w:rsid w:val="00980B81"/>
    <w:rsid w:val="0098109B"/>
    <w:rsid w:val="00981BBE"/>
    <w:rsid w:val="00981FCC"/>
    <w:rsid w:val="009829A1"/>
    <w:rsid w:val="00982ACF"/>
    <w:rsid w:val="009832A1"/>
    <w:rsid w:val="00983A15"/>
    <w:rsid w:val="0098400E"/>
    <w:rsid w:val="009841F9"/>
    <w:rsid w:val="00984369"/>
    <w:rsid w:val="00985E68"/>
    <w:rsid w:val="009867C0"/>
    <w:rsid w:val="00986B39"/>
    <w:rsid w:val="00987286"/>
    <w:rsid w:val="00987595"/>
    <w:rsid w:val="00987A59"/>
    <w:rsid w:val="00990F85"/>
    <w:rsid w:val="00991539"/>
    <w:rsid w:val="00991809"/>
    <w:rsid w:val="00992C62"/>
    <w:rsid w:val="00994340"/>
    <w:rsid w:val="009949AB"/>
    <w:rsid w:val="00994BB8"/>
    <w:rsid w:val="00994BE4"/>
    <w:rsid w:val="00994E85"/>
    <w:rsid w:val="00994F9F"/>
    <w:rsid w:val="00994FCC"/>
    <w:rsid w:val="00995252"/>
    <w:rsid w:val="00995A92"/>
    <w:rsid w:val="00996262"/>
    <w:rsid w:val="00996C39"/>
    <w:rsid w:val="009972B7"/>
    <w:rsid w:val="0099773D"/>
    <w:rsid w:val="00997D8E"/>
    <w:rsid w:val="00997FD0"/>
    <w:rsid w:val="009A02CC"/>
    <w:rsid w:val="009A187B"/>
    <w:rsid w:val="009A2BEA"/>
    <w:rsid w:val="009A3AA0"/>
    <w:rsid w:val="009A3CE2"/>
    <w:rsid w:val="009A5F44"/>
    <w:rsid w:val="009A7B83"/>
    <w:rsid w:val="009B0902"/>
    <w:rsid w:val="009B1082"/>
    <w:rsid w:val="009B2445"/>
    <w:rsid w:val="009B3215"/>
    <w:rsid w:val="009B39A2"/>
    <w:rsid w:val="009B432D"/>
    <w:rsid w:val="009B49AE"/>
    <w:rsid w:val="009B52C9"/>
    <w:rsid w:val="009B5C0C"/>
    <w:rsid w:val="009B7D5D"/>
    <w:rsid w:val="009B7E12"/>
    <w:rsid w:val="009B7F3B"/>
    <w:rsid w:val="009C0367"/>
    <w:rsid w:val="009C0964"/>
    <w:rsid w:val="009C0973"/>
    <w:rsid w:val="009C0C17"/>
    <w:rsid w:val="009C12FC"/>
    <w:rsid w:val="009C1AFC"/>
    <w:rsid w:val="009C20F7"/>
    <w:rsid w:val="009C2206"/>
    <w:rsid w:val="009C26CF"/>
    <w:rsid w:val="009C2B2B"/>
    <w:rsid w:val="009C2D0F"/>
    <w:rsid w:val="009C36F2"/>
    <w:rsid w:val="009C41BD"/>
    <w:rsid w:val="009C4261"/>
    <w:rsid w:val="009C43C5"/>
    <w:rsid w:val="009C4AF8"/>
    <w:rsid w:val="009C4C2D"/>
    <w:rsid w:val="009C544C"/>
    <w:rsid w:val="009C5C4A"/>
    <w:rsid w:val="009C5C71"/>
    <w:rsid w:val="009C5D23"/>
    <w:rsid w:val="009C6E36"/>
    <w:rsid w:val="009C7F0F"/>
    <w:rsid w:val="009D184A"/>
    <w:rsid w:val="009D1DAA"/>
    <w:rsid w:val="009D268B"/>
    <w:rsid w:val="009D2F35"/>
    <w:rsid w:val="009D4A2B"/>
    <w:rsid w:val="009D5570"/>
    <w:rsid w:val="009D56EF"/>
    <w:rsid w:val="009D5EED"/>
    <w:rsid w:val="009D6389"/>
    <w:rsid w:val="009D675C"/>
    <w:rsid w:val="009D6C03"/>
    <w:rsid w:val="009D6C82"/>
    <w:rsid w:val="009D6FFF"/>
    <w:rsid w:val="009D74FB"/>
    <w:rsid w:val="009D7BBC"/>
    <w:rsid w:val="009E0748"/>
    <w:rsid w:val="009E0965"/>
    <w:rsid w:val="009E15F8"/>
    <w:rsid w:val="009E2306"/>
    <w:rsid w:val="009E23E4"/>
    <w:rsid w:val="009E266A"/>
    <w:rsid w:val="009E4467"/>
    <w:rsid w:val="009E453C"/>
    <w:rsid w:val="009E549A"/>
    <w:rsid w:val="009E596F"/>
    <w:rsid w:val="009E61D7"/>
    <w:rsid w:val="009E66F2"/>
    <w:rsid w:val="009E6DC4"/>
    <w:rsid w:val="009E7154"/>
    <w:rsid w:val="009E7248"/>
    <w:rsid w:val="009E7D05"/>
    <w:rsid w:val="009F0D73"/>
    <w:rsid w:val="009F16DE"/>
    <w:rsid w:val="009F1C39"/>
    <w:rsid w:val="009F2451"/>
    <w:rsid w:val="009F27C6"/>
    <w:rsid w:val="009F3324"/>
    <w:rsid w:val="009F41F3"/>
    <w:rsid w:val="009F48EB"/>
    <w:rsid w:val="009F4E94"/>
    <w:rsid w:val="009F54A6"/>
    <w:rsid w:val="009F6066"/>
    <w:rsid w:val="009F65A9"/>
    <w:rsid w:val="009F66CD"/>
    <w:rsid w:val="009F7856"/>
    <w:rsid w:val="00A000EF"/>
    <w:rsid w:val="00A00F3A"/>
    <w:rsid w:val="00A011FD"/>
    <w:rsid w:val="00A01515"/>
    <w:rsid w:val="00A0192A"/>
    <w:rsid w:val="00A01AA5"/>
    <w:rsid w:val="00A02487"/>
    <w:rsid w:val="00A03C5B"/>
    <w:rsid w:val="00A04AA7"/>
    <w:rsid w:val="00A05ABA"/>
    <w:rsid w:val="00A05C85"/>
    <w:rsid w:val="00A067A8"/>
    <w:rsid w:val="00A06B1A"/>
    <w:rsid w:val="00A06D5C"/>
    <w:rsid w:val="00A07739"/>
    <w:rsid w:val="00A10E99"/>
    <w:rsid w:val="00A11451"/>
    <w:rsid w:val="00A11CF8"/>
    <w:rsid w:val="00A134E0"/>
    <w:rsid w:val="00A13767"/>
    <w:rsid w:val="00A14077"/>
    <w:rsid w:val="00A1450B"/>
    <w:rsid w:val="00A1471A"/>
    <w:rsid w:val="00A15994"/>
    <w:rsid w:val="00A15A2D"/>
    <w:rsid w:val="00A16580"/>
    <w:rsid w:val="00A16878"/>
    <w:rsid w:val="00A16B89"/>
    <w:rsid w:val="00A174E7"/>
    <w:rsid w:val="00A17FE5"/>
    <w:rsid w:val="00A20EF9"/>
    <w:rsid w:val="00A2207B"/>
    <w:rsid w:val="00A22882"/>
    <w:rsid w:val="00A241BC"/>
    <w:rsid w:val="00A242A0"/>
    <w:rsid w:val="00A2549A"/>
    <w:rsid w:val="00A255E1"/>
    <w:rsid w:val="00A25F8D"/>
    <w:rsid w:val="00A27D05"/>
    <w:rsid w:val="00A302AA"/>
    <w:rsid w:val="00A31189"/>
    <w:rsid w:val="00A31ABE"/>
    <w:rsid w:val="00A31F2B"/>
    <w:rsid w:val="00A34D97"/>
    <w:rsid w:val="00A34DFF"/>
    <w:rsid w:val="00A3539B"/>
    <w:rsid w:val="00A3575D"/>
    <w:rsid w:val="00A35E5C"/>
    <w:rsid w:val="00A361E8"/>
    <w:rsid w:val="00A36774"/>
    <w:rsid w:val="00A36FB4"/>
    <w:rsid w:val="00A378D2"/>
    <w:rsid w:val="00A378F7"/>
    <w:rsid w:val="00A379D4"/>
    <w:rsid w:val="00A404D4"/>
    <w:rsid w:val="00A43380"/>
    <w:rsid w:val="00A43BCB"/>
    <w:rsid w:val="00A44669"/>
    <w:rsid w:val="00A447B9"/>
    <w:rsid w:val="00A45331"/>
    <w:rsid w:val="00A462DB"/>
    <w:rsid w:val="00A46B06"/>
    <w:rsid w:val="00A46F74"/>
    <w:rsid w:val="00A47FC5"/>
    <w:rsid w:val="00A510D7"/>
    <w:rsid w:val="00A51778"/>
    <w:rsid w:val="00A52203"/>
    <w:rsid w:val="00A52410"/>
    <w:rsid w:val="00A53241"/>
    <w:rsid w:val="00A53CA4"/>
    <w:rsid w:val="00A54A26"/>
    <w:rsid w:val="00A54C49"/>
    <w:rsid w:val="00A557A6"/>
    <w:rsid w:val="00A55ED6"/>
    <w:rsid w:val="00A56544"/>
    <w:rsid w:val="00A56774"/>
    <w:rsid w:val="00A56AE2"/>
    <w:rsid w:val="00A5711E"/>
    <w:rsid w:val="00A57349"/>
    <w:rsid w:val="00A573B5"/>
    <w:rsid w:val="00A601CA"/>
    <w:rsid w:val="00A6065B"/>
    <w:rsid w:val="00A61EFC"/>
    <w:rsid w:val="00A62382"/>
    <w:rsid w:val="00A62DD5"/>
    <w:rsid w:val="00A63F49"/>
    <w:rsid w:val="00A64160"/>
    <w:rsid w:val="00A64984"/>
    <w:rsid w:val="00A65036"/>
    <w:rsid w:val="00A6622A"/>
    <w:rsid w:val="00A67A25"/>
    <w:rsid w:val="00A67A51"/>
    <w:rsid w:val="00A67B3C"/>
    <w:rsid w:val="00A67C59"/>
    <w:rsid w:val="00A706E5"/>
    <w:rsid w:val="00A70D45"/>
    <w:rsid w:val="00A70F0C"/>
    <w:rsid w:val="00A719C9"/>
    <w:rsid w:val="00A71B37"/>
    <w:rsid w:val="00A71B6D"/>
    <w:rsid w:val="00A72C74"/>
    <w:rsid w:val="00A73B27"/>
    <w:rsid w:val="00A73D63"/>
    <w:rsid w:val="00A74038"/>
    <w:rsid w:val="00A76D40"/>
    <w:rsid w:val="00A8054B"/>
    <w:rsid w:val="00A80E48"/>
    <w:rsid w:val="00A81962"/>
    <w:rsid w:val="00A8270D"/>
    <w:rsid w:val="00A8281A"/>
    <w:rsid w:val="00A83236"/>
    <w:rsid w:val="00A8395C"/>
    <w:rsid w:val="00A8421F"/>
    <w:rsid w:val="00A856A4"/>
    <w:rsid w:val="00A85E57"/>
    <w:rsid w:val="00A862E7"/>
    <w:rsid w:val="00A87411"/>
    <w:rsid w:val="00A903C0"/>
    <w:rsid w:val="00A908AC"/>
    <w:rsid w:val="00A90F41"/>
    <w:rsid w:val="00A9133A"/>
    <w:rsid w:val="00A921AB"/>
    <w:rsid w:val="00A92341"/>
    <w:rsid w:val="00A92554"/>
    <w:rsid w:val="00A932EC"/>
    <w:rsid w:val="00A943BB"/>
    <w:rsid w:val="00A94486"/>
    <w:rsid w:val="00A94A8D"/>
    <w:rsid w:val="00A94CA6"/>
    <w:rsid w:val="00A9617D"/>
    <w:rsid w:val="00A965DC"/>
    <w:rsid w:val="00A965F3"/>
    <w:rsid w:val="00A9661A"/>
    <w:rsid w:val="00A9673C"/>
    <w:rsid w:val="00A96D33"/>
    <w:rsid w:val="00A97AD3"/>
    <w:rsid w:val="00AA08D6"/>
    <w:rsid w:val="00AA0D1D"/>
    <w:rsid w:val="00AA151D"/>
    <w:rsid w:val="00AA159F"/>
    <w:rsid w:val="00AA16BD"/>
    <w:rsid w:val="00AA1743"/>
    <w:rsid w:val="00AA3532"/>
    <w:rsid w:val="00AA366A"/>
    <w:rsid w:val="00AA376F"/>
    <w:rsid w:val="00AA3DB7"/>
    <w:rsid w:val="00AA523F"/>
    <w:rsid w:val="00AA652C"/>
    <w:rsid w:val="00AA71E9"/>
    <w:rsid w:val="00AA74A7"/>
    <w:rsid w:val="00AA7F71"/>
    <w:rsid w:val="00AB0BE5"/>
    <w:rsid w:val="00AB0E3C"/>
    <w:rsid w:val="00AB11B6"/>
    <w:rsid w:val="00AB1D92"/>
    <w:rsid w:val="00AB1E50"/>
    <w:rsid w:val="00AB2236"/>
    <w:rsid w:val="00AB304A"/>
    <w:rsid w:val="00AB454E"/>
    <w:rsid w:val="00AB45BF"/>
    <w:rsid w:val="00AB579C"/>
    <w:rsid w:val="00AB6834"/>
    <w:rsid w:val="00AC00CB"/>
    <w:rsid w:val="00AC031C"/>
    <w:rsid w:val="00AC0E8E"/>
    <w:rsid w:val="00AC1E56"/>
    <w:rsid w:val="00AC3DF7"/>
    <w:rsid w:val="00AC4118"/>
    <w:rsid w:val="00AC5678"/>
    <w:rsid w:val="00AC570E"/>
    <w:rsid w:val="00AC5834"/>
    <w:rsid w:val="00AC5883"/>
    <w:rsid w:val="00AC5AA5"/>
    <w:rsid w:val="00AC66F9"/>
    <w:rsid w:val="00AC6CD0"/>
    <w:rsid w:val="00AC795D"/>
    <w:rsid w:val="00AC7C95"/>
    <w:rsid w:val="00AD0946"/>
    <w:rsid w:val="00AD145D"/>
    <w:rsid w:val="00AD266D"/>
    <w:rsid w:val="00AD2C0A"/>
    <w:rsid w:val="00AD3429"/>
    <w:rsid w:val="00AD3B5D"/>
    <w:rsid w:val="00AD3FEB"/>
    <w:rsid w:val="00AD5A10"/>
    <w:rsid w:val="00AD5E09"/>
    <w:rsid w:val="00AD5FB6"/>
    <w:rsid w:val="00AD7CED"/>
    <w:rsid w:val="00AE0DAB"/>
    <w:rsid w:val="00AE1CAF"/>
    <w:rsid w:val="00AE2128"/>
    <w:rsid w:val="00AE2D96"/>
    <w:rsid w:val="00AE3809"/>
    <w:rsid w:val="00AE424E"/>
    <w:rsid w:val="00AE4C16"/>
    <w:rsid w:val="00AE5171"/>
    <w:rsid w:val="00AE5445"/>
    <w:rsid w:val="00AE58D3"/>
    <w:rsid w:val="00AE59E9"/>
    <w:rsid w:val="00AE64C9"/>
    <w:rsid w:val="00AE72E9"/>
    <w:rsid w:val="00AE76AC"/>
    <w:rsid w:val="00AE7D79"/>
    <w:rsid w:val="00AF037E"/>
    <w:rsid w:val="00AF0E48"/>
    <w:rsid w:val="00AF0F30"/>
    <w:rsid w:val="00AF11A0"/>
    <w:rsid w:val="00AF23B0"/>
    <w:rsid w:val="00AF29EA"/>
    <w:rsid w:val="00AF3111"/>
    <w:rsid w:val="00AF42A1"/>
    <w:rsid w:val="00AF5D0D"/>
    <w:rsid w:val="00AF67E4"/>
    <w:rsid w:val="00B00589"/>
    <w:rsid w:val="00B00B57"/>
    <w:rsid w:val="00B00F78"/>
    <w:rsid w:val="00B013EE"/>
    <w:rsid w:val="00B01FB4"/>
    <w:rsid w:val="00B02154"/>
    <w:rsid w:val="00B03856"/>
    <w:rsid w:val="00B04397"/>
    <w:rsid w:val="00B04443"/>
    <w:rsid w:val="00B04478"/>
    <w:rsid w:val="00B0535E"/>
    <w:rsid w:val="00B057B0"/>
    <w:rsid w:val="00B06018"/>
    <w:rsid w:val="00B064AB"/>
    <w:rsid w:val="00B06E78"/>
    <w:rsid w:val="00B0741B"/>
    <w:rsid w:val="00B07B83"/>
    <w:rsid w:val="00B102EF"/>
    <w:rsid w:val="00B1088B"/>
    <w:rsid w:val="00B10921"/>
    <w:rsid w:val="00B10C8A"/>
    <w:rsid w:val="00B111AF"/>
    <w:rsid w:val="00B11841"/>
    <w:rsid w:val="00B131A0"/>
    <w:rsid w:val="00B14F7B"/>
    <w:rsid w:val="00B15A57"/>
    <w:rsid w:val="00B161F8"/>
    <w:rsid w:val="00B16293"/>
    <w:rsid w:val="00B165B0"/>
    <w:rsid w:val="00B16C8A"/>
    <w:rsid w:val="00B179F9"/>
    <w:rsid w:val="00B201C2"/>
    <w:rsid w:val="00B215E6"/>
    <w:rsid w:val="00B2247D"/>
    <w:rsid w:val="00B229FD"/>
    <w:rsid w:val="00B22A0C"/>
    <w:rsid w:val="00B23BA8"/>
    <w:rsid w:val="00B24145"/>
    <w:rsid w:val="00B26467"/>
    <w:rsid w:val="00B26A04"/>
    <w:rsid w:val="00B26C96"/>
    <w:rsid w:val="00B30F53"/>
    <w:rsid w:val="00B3136C"/>
    <w:rsid w:val="00B32430"/>
    <w:rsid w:val="00B32CCE"/>
    <w:rsid w:val="00B335A6"/>
    <w:rsid w:val="00B33809"/>
    <w:rsid w:val="00B33C5D"/>
    <w:rsid w:val="00B350B9"/>
    <w:rsid w:val="00B353E4"/>
    <w:rsid w:val="00B35AEA"/>
    <w:rsid w:val="00B35BD4"/>
    <w:rsid w:val="00B37581"/>
    <w:rsid w:val="00B40498"/>
    <w:rsid w:val="00B40608"/>
    <w:rsid w:val="00B40DF1"/>
    <w:rsid w:val="00B4108A"/>
    <w:rsid w:val="00B413B4"/>
    <w:rsid w:val="00B41853"/>
    <w:rsid w:val="00B41A11"/>
    <w:rsid w:val="00B42896"/>
    <w:rsid w:val="00B42AB3"/>
    <w:rsid w:val="00B42E23"/>
    <w:rsid w:val="00B43393"/>
    <w:rsid w:val="00B43780"/>
    <w:rsid w:val="00B44234"/>
    <w:rsid w:val="00B4488F"/>
    <w:rsid w:val="00B44EC4"/>
    <w:rsid w:val="00B45158"/>
    <w:rsid w:val="00B45895"/>
    <w:rsid w:val="00B475A8"/>
    <w:rsid w:val="00B47927"/>
    <w:rsid w:val="00B47AD9"/>
    <w:rsid w:val="00B47E0B"/>
    <w:rsid w:val="00B514F9"/>
    <w:rsid w:val="00B516D3"/>
    <w:rsid w:val="00B51B76"/>
    <w:rsid w:val="00B5201B"/>
    <w:rsid w:val="00B5323A"/>
    <w:rsid w:val="00B5429F"/>
    <w:rsid w:val="00B54FEF"/>
    <w:rsid w:val="00B55465"/>
    <w:rsid w:val="00B55610"/>
    <w:rsid w:val="00B57082"/>
    <w:rsid w:val="00B572B4"/>
    <w:rsid w:val="00B57A29"/>
    <w:rsid w:val="00B60CF9"/>
    <w:rsid w:val="00B6143B"/>
    <w:rsid w:val="00B61D41"/>
    <w:rsid w:val="00B63E39"/>
    <w:rsid w:val="00B6458B"/>
    <w:rsid w:val="00B653F6"/>
    <w:rsid w:val="00B6592E"/>
    <w:rsid w:val="00B65934"/>
    <w:rsid w:val="00B66E80"/>
    <w:rsid w:val="00B6713D"/>
    <w:rsid w:val="00B67B60"/>
    <w:rsid w:val="00B67D0D"/>
    <w:rsid w:val="00B70A70"/>
    <w:rsid w:val="00B70AB3"/>
    <w:rsid w:val="00B70D39"/>
    <w:rsid w:val="00B70E0D"/>
    <w:rsid w:val="00B71A1B"/>
    <w:rsid w:val="00B72208"/>
    <w:rsid w:val="00B72956"/>
    <w:rsid w:val="00B73437"/>
    <w:rsid w:val="00B73F1F"/>
    <w:rsid w:val="00B7463B"/>
    <w:rsid w:val="00B75B0B"/>
    <w:rsid w:val="00B77AF2"/>
    <w:rsid w:val="00B77E81"/>
    <w:rsid w:val="00B80746"/>
    <w:rsid w:val="00B84138"/>
    <w:rsid w:val="00B841B1"/>
    <w:rsid w:val="00B84347"/>
    <w:rsid w:val="00B84416"/>
    <w:rsid w:val="00B85380"/>
    <w:rsid w:val="00B85F07"/>
    <w:rsid w:val="00B860F4"/>
    <w:rsid w:val="00B867BD"/>
    <w:rsid w:val="00B86960"/>
    <w:rsid w:val="00B875C7"/>
    <w:rsid w:val="00B90A3F"/>
    <w:rsid w:val="00B911BD"/>
    <w:rsid w:val="00B91B29"/>
    <w:rsid w:val="00B925BF"/>
    <w:rsid w:val="00B92A20"/>
    <w:rsid w:val="00B92D0E"/>
    <w:rsid w:val="00B92EBA"/>
    <w:rsid w:val="00B93A12"/>
    <w:rsid w:val="00B93A82"/>
    <w:rsid w:val="00B93B39"/>
    <w:rsid w:val="00B93CF3"/>
    <w:rsid w:val="00B95427"/>
    <w:rsid w:val="00B95603"/>
    <w:rsid w:val="00B9572B"/>
    <w:rsid w:val="00B97032"/>
    <w:rsid w:val="00BA0BD9"/>
    <w:rsid w:val="00BA0DB5"/>
    <w:rsid w:val="00BA108E"/>
    <w:rsid w:val="00BA1312"/>
    <w:rsid w:val="00BA29B1"/>
    <w:rsid w:val="00BA2FCD"/>
    <w:rsid w:val="00BA37EC"/>
    <w:rsid w:val="00BA3803"/>
    <w:rsid w:val="00BA68B9"/>
    <w:rsid w:val="00BA7FC4"/>
    <w:rsid w:val="00BA7FC5"/>
    <w:rsid w:val="00BB0778"/>
    <w:rsid w:val="00BB084E"/>
    <w:rsid w:val="00BB097D"/>
    <w:rsid w:val="00BB14D3"/>
    <w:rsid w:val="00BB2EBD"/>
    <w:rsid w:val="00BB3620"/>
    <w:rsid w:val="00BB37E5"/>
    <w:rsid w:val="00BB419E"/>
    <w:rsid w:val="00BB4DD7"/>
    <w:rsid w:val="00BB52A1"/>
    <w:rsid w:val="00BB5E6A"/>
    <w:rsid w:val="00BB7343"/>
    <w:rsid w:val="00BB7624"/>
    <w:rsid w:val="00BB7FB9"/>
    <w:rsid w:val="00BC0FCF"/>
    <w:rsid w:val="00BC1ADD"/>
    <w:rsid w:val="00BC1D5A"/>
    <w:rsid w:val="00BC3255"/>
    <w:rsid w:val="00BC4179"/>
    <w:rsid w:val="00BC4819"/>
    <w:rsid w:val="00BC4CED"/>
    <w:rsid w:val="00BC4EEF"/>
    <w:rsid w:val="00BC5A90"/>
    <w:rsid w:val="00BC71AE"/>
    <w:rsid w:val="00BC7A9E"/>
    <w:rsid w:val="00BD0A24"/>
    <w:rsid w:val="00BD1F7B"/>
    <w:rsid w:val="00BD250A"/>
    <w:rsid w:val="00BD264A"/>
    <w:rsid w:val="00BD3016"/>
    <w:rsid w:val="00BD3F3D"/>
    <w:rsid w:val="00BD3FC7"/>
    <w:rsid w:val="00BD5447"/>
    <w:rsid w:val="00BD5594"/>
    <w:rsid w:val="00BD5FF4"/>
    <w:rsid w:val="00BD62BC"/>
    <w:rsid w:val="00BD648C"/>
    <w:rsid w:val="00BD7EF9"/>
    <w:rsid w:val="00BE1838"/>
    <w:rsid w:val="00BE275F"/>
    <w:rsid w:val="00BE31CE"/>
    <w:rsid w:val="00BE4F6E"/>
    <w:rsid w:val="00BE55C7"/>
    <w:rsid w:val="00BE6121"/>
    <w:rsid w:val="00BE6151"/>
    <w:rsid w:val="00BE7220"/>
    <w:rsid w:val="00BE7243"/>
    <w:rsid w:val="00BE7C6E"/>
    <w:rsid w:val="00BE7FF7"/>
    <w:rsid w:val="00BF0AF7"/>
    <w:rsid w:val="00BF0C19"/>
    <w:rsid w:val="00BF0F78"/>
    <w:rsid w:val="00BF1AFA"/>
    <w:rsid w:val="00BF1DBE"/>
    <w:rsid w:val="00BF2468"/>
    <w:rsid w:val="00BF2C48"/>
    <w:rsid w:val="00BF3639"/>
    <w:rsid w:val="00BF3AFF"/>
    <w:rsid w:val="00BF3C6A"/>
    <w:rsid w:val="00BF4955"/>
    <w:rsid w:val="00BF4E59"/>
    <w:rsid w:val="00BF5295"/>
    <w:rsid w:val="00BF5B8F"/>
    <w:rsid w:val="00BF6A7E"/>
    <w:rsid w:val="00BF74E8"/>
    <w:rsid w:val="00C0005B"/>
    <w:rsid w:val="00C002E5"/>
    <w:rsid w:val="00C002EF"/>
    <w:rsid w:val="00C009FD"/>
    <w:rsid w:val="00C00C3E"/>
    <w:rsid w:val="00C00EAF"/>
    <w:rsid w:val="00C012A8"/>
    <w:rsid w:val="00C02BB9"/>
    <w:rsid w:val="00C03351"/>
    <w:rsid w:val="00C0339B"/>
    <w:rsid w:val="00C0375D"/>
    <w:rsid w:val="00C043C9"/>
    <w:rsid w:val="00C047C8"/>
    <w:rsid w:val="00C049DF"/>
    <w:rsid w:val="00C04D11"/>
    <w:rsid w:val="00C05630"/>
    <w:rsid w:val="00C059C3"/>
    <w:rsid w:val="00C05F03"/>
    <w:rsid w:val="00C07A23"/>
    <w:rsid w:val="00C07F6F"/>
    <w:rsid w:val="00C1002F"/>
    <w:rsid w:val="00C109C2"/>
    <w:rsid w:val="00C12124"/>
    <w:rsid w:val="00C126FE"/>
    <w:rsid w:val="00C14592"/>
    <w:rsid w:val="00C149D1"/>
    <w:rsid w:val="00C14AAA"/>
    <w:rsid w:val="00C14D88"/>
    <w:rsid w:val="00C15904"/>
    <w:rsid w:val="00C15ADC"/>
    <w:rsid w:val="00C170F4"/>
    <w:rsid w:val="00C2020A"/>
    <w:rsid w:val="00C20E68"/>
    <w:rsid w:val="00C21764"/>
    <w:rsid w:val="00C21B7C"/>
    <w:rsid w:val="00C238D0"/>
    <w:rsid w:val="00C248DC"/>
    <w:rsid w:val="00C250FF"/>
    <w:rsid w:val="00C25A61"/>
    <w:rsid w:val="00C27B3B"/>
    <w:rsid w:val="00C306CA"/>
    <w:rsid w:val="00C31155"/>
    <w:rsid w:val="00C3156B"/>
    <w:rsid w:val="00C32021"/>
    <w:rsid w:val="00C3220B"/>
    <w:rsid w:val="00C32AE5"/>
    <w:rsid w:val="00C331F4"/>
    <w:rsid w:val="00C33BF0"/>
    <w:rsid w:val="00C33DFF"/>
    <w:rsid w:val="00C344BF"/>
    <w:rsid w:val="00C34ADB"/>
    <w:rsid w:val="00C34F9F"/>
    <w:rsid w:val="00C352D2"/>
    <w:rsid w:val="00C36332"/>
    <w:rsid w:val="00C37661"/>
    <w:rsid w:val="00C37938"/>
    <w:rsid w:val="00C40013"/>
    <w:rsid w:val="00C40902"/>
    <w:rsid w:val="00C40AA4"/>
    <w:rsid w:val="00C41179"/>
    <w:rsid w:val="00C41324"/>
    <w:rsid w:val="00C415A3"/>
    <w:rsid w:val="00C427C8"/>
    <w:rsid w:val="00C42B18"/>
    <w:rsid w:val="00C4322A"/>
    <w:rsid w:val="00C450C0"/>
    <w:rsid w:val="00C45DA3"/>
    <w:rsid w:val="00C45F20"/>
    <w:rsid w:val="00C4619E"/>
    <w:rsid w:val="00C46448"/>
    <w:rsid w:val="00C4690A"/>
    <w:rsid w:val="00C46EC3"/>
    <w:rsid w:val="00C47188"/>
    <w:rsid w:val="00C47304"/>
    <w:rsid w:val="00C47C8F"/>
    <w:rsid w:val="00C5007C"/>
    <w:rsid w:val="00C504FC"/>
    <w:rsid w:val="00C50AB9"/>
    <w:rsid w:val="00C51149"/>
    <w:rsid w:val="00C5135D"/>
    <w:rsid w:val="00C513FE"/>
    <w:rsid w:val="00C53C73"/>
    <w:rsid w:val="00C53CE2"/>
    <w:rsid w:val="00C543A1"/>
    <w:rsid w:val="00C54F24"/>
    <w:rsid w:val="00C55B1D"/>
    <w:rsid w:val="00C55FE5"/>
    <w:rsid w:val="00C57862"/>
    <w:rsid w:val="00C57DC7"/>
    <w:rsid w:val="00C60385"/>
    <w:rsid w:val="00C6044E"/>
    <w:rsid w:val="00C6116F"/>
    <w:rsid w:val="00C62D4E"/>
    <w:rsid w:val="00C63156"/>
    <w:rsid w:val="00C63184"/>
    <w:rsid w:val="00C63C73"/>
    <w:rsid w:val="00C63E96"/>
    <w:rsid w:val="00C64109"/>
    <w:rsid w:val="00C6411E"/>
    <w:rsid w:val="00C64671"/>
    <w:rsid w:val="00C64F1C"/>
    <w:rsid w:val="00C64F5C"/>
    <w:rsid w:val="00C66EAC"/>
    <w:rsid w:val="00C70D03"/>
    <w:rsid w:val="00C70D4D"/>
    <w:rsid w:val="00C71049"/>
    <w:rsid w:val="00C72243"/>
    <w:rsid w:val="00C725A1"/>
    <w:rsid w:val="00C74B02"/>
    <w:rsid w:val="00C74F2A"/>
    <w:rsid w:val="00C75D9A"/>
    <w:rsid w:val="00C7614B"/>
    <w:rsid w:val="00C77E35"/>
    <w:rsid w:val="00C80328"/>
    <w:rsid w:val="00C81A2A"/>
    <w:rsid w:val="00C8363C"/>
    <w:rsid w:val="00C83EDE"/>
    <w:rsid w:val="00C85486"/>
    <w:rsid w:val="00C861E5"/>
    <w:rsid w:val="00C87AC3"/>
    <w:rsid w:val="00C900F2"/>
    <w:rsid w:val="00C90375"/>
    <w:rsid w:val="00C90392"/>
    <w:rsid w:val="00C90558"/>
    <w:rsid w:val="00C90F33"/>
    <w:rsid w:val="00C9151D"/>
    <w:rsid w:val="00C915DE"/>
    <w:rsid w:val="00C9364D"/>
    <w:rsid w:val="00C948BC"/>
    <w:rsid w:val="00C95290"/>
    <w:rsid w:val="00C95568"/>
    <w:rsid w:val="00C9627D"/>
    <w:rsid w:val="00C96DB8"/>
    <w:rsid w:val="00C97312"/>
    <w:rsid w:val="00C97F47"/>
    <w:rsid w:val="00CA0373"/>
    <w:rsid w:val="00CA3047"/>
    <w:rsid w:val="00CA3A16"/>
    <w:rsid w:val="00CA3DA0"/>
    <w:rsid w:val="00CA6103"/>
    <w:rsid w:val="00CA6573"/>
    <w:rsid w:val="00CA6600"/>
    <w:rsid w:val="00CB0444"/>
    <w:rsid w:val="00CB10B4"/>
    <w:rsid w:val="00CB136F"/>
    <w:rsid w:val="00CB138A"/>
    <w:rsid w:val="00CB1C51"/>
    <w:rsid w:val="00CB22B9"/>
    <w:rsid w:val="00CB3660"/>
    <w:rsid w:val="00CB595E"/>
    <w:rsid w:val="00CB650C"/>
    <w:rsid w:val="00CB79EA"/>
    <w:rsid w:val="00CC0FC1"/>
    <w:rsid w:val="00CC1FB0"/>
    <w:rsid w:val="00CC22B7"/>
    <w:rsid w:val="00CC27BE"/>
    <w:rsid w:val="00CC3A25"/>
    <w:rsid w:val="00CC498C"/>
    <w:rsid w:val="00CC50B8"/>
    <w:rsid w:val="00CC5480"/>
    <w:rsid w:val="00CC6044"/>
    <w:rsid w:val="00CC6768"/>
    <w:rsid w:val="00CC687B"/>
    <w:rsid w:val="00CC6AAC"/>
    <w:rsid w:val="00CC76E3"/>
    <w:rsid w:val="00CD0028"/>
    <w:rsid w:val="00CD04C6"/>
    <w:rsid w:val="00CD19B7"/>
    <w:rsid w:val="00CD1D93"/>
    <w:rsid w:val="00CD2A8B"/>
    <w:rsid w:val="00CD2E43"/>
    <w:rsid w:val="00CD3613"/>
    <w:rsid w:val="00CD3765"/>
    <w:rsid w:val="00CD493A"/>
    <w:rsid w:val="00CD4B73"/>
    <w:rsid w:val="00CD5413"/>
    <w:rsid w:val="00CD550D"/>
    <w:rsid w:val="00CD5AB7"/>
    <w:rsid w:val="00CD60CC"/>
    <w:rsid w:val="00CD6C3D"/>
    <w:rsid w:val="00CD73D3"/>
    <w:rsid w:val="00CD7D82"/>
    <w:rsid w:val="00CD7FBA"/>
    <w:rsid w:val="00CE1CDB"/>
    <w:rsid w:val="00CE20FE"/>
    <w:rsid w:val="00CE25C4"/>
    <w:rsid w:val="00CE2C17"/>
    <w:rsid w:val="00CE2D5A"/>
    <w:rsid w:val="00CE34A8"/>
    <w:rsid w:val="00CE3678"/>
    <w:rsid w:val="00CE3765"/>
    <w:rsid w:val="00CE3BD4"/>
    <w:rsid w:val="00CE4641"/>
    <w:rsid w:val="00CE5418"/>
    <w:rsid w:val="00CE568B"/>
    <w:rsid w:val="00CE597A"/>
    <w:rsid w:val="00CE6C29"/>
    <w:rsid w:val="00CE6EDE"/>
    <w:rsid w:val="00CE7AB1"/>
    <w:rsid w:val="00CE7DED"/>
    <w:rsid w:val="00CF01F3"/>
    <w:rsid w:val="00CF04C2"/>
    <w:rsid w:val="00CF09BD"/>
    <w:rsid w:val="00CF0D37"/>
    <w:rsid w:val="00CF0FB0"/>
    <w:rsid w:val="00CF205D"/>
    <w:rsid w:val="00CF22DD"/>
    <w:rsid w:val="00CF354F"/>
    <w:rsid w:val="00CF3D2C"/>
    <w:rsid w:val="00CF4673"/>
    <w:rsid w:val="00CF487B"/>
    <w:rsid w:val="00CF520F"/>
    <w:rsid w:val="00CF55AC"/>
    <w:rsid w:val="00CF588A"/>
    <w:rsid w:val="00CF5C68"/>
    <w:rsid w:val="00CF64AD"/>
    <w:rsid w:val="00CF6BED"/>
    <w:rsid w:val="00CF7EBA"/>
    <w:rsid w:val="00D012F9"/>
    <w:rsid w:val="00D014B4"/>
    <w:rsid w:val="00D0221A"/>
    <w:rsid w:val="00D02CFB"/>
    <w:rsid w:val="00D040E1"/>
    <w:rsid w:val="00D0453E"/>
    <w:rsid w:val="00D05906"/>
    <w:rsid w:val="00D07E64"/>
    <w:rsid w:val="00D10860"/>
    <w:rsid w:val="00D11B4E"/>
    <w:rsid w:val="00D11E27"/>
    <w:rsid w:val="00D11E9E"/>
    <w:rsid w:val="00D12B62"/>
    <w:rsid w:val="00D14DB3"/>
    <w:rsid w:val="00D15581"/>
    <w:rsid w:val="00D156B3"/>
    <w:rsid w:val="00D15FFE"/>
    <w:rsid w:val="00D16295"/>
    <w:rsid w:val="00D16933"/>
    <w:rsid w:val="00D16A5B"/>
    <w:rsid w:val="00D17C06"/>
    <w:rsid w:val="00D17FBB"/>
    <w:rsid w:val="00D20065"/>
    <w:rsid w:val="00D20BCC"/>
    <w:rsid w:val="00D2123D"/>
    <w:rsid w:val="00D2172B"/>
    <w:rsid w:val="00D21DC8"/>
    <w:rsid w:val="00D22603"/>
    <w:rsid w:val="00D23218"/>
    <w:rsid w:val="00D23655"/>
    <w:rsid w:val="00D23BF0"/>
    <w:rsid w:val="00D23BFA"/>
    <w:rsid w:val="00D24854"/>
    <w:rsid w:val="00D24C65"/>
    <w:rsid w:val="00D25651"/>
    <w:rsid w:val="00D26083"/>
    <w:rsid w:val="00D2638B"/>
    <w:rsid w:val="00D26745"/>
    <w:rsid w:val="00D269D0"/>
    <w:rsid w:val="00D26E3C"/>
    <w:rsid w:val="00D27476"/>
    <w:rsid w:val="00D2772F"/>
    <w:rsid w:val="00D27E02"/>
    <w:rsid w:val="00D31230"/>
    <w:rsid w:val="00D3278F"/>
    <w:rsid w:val="00D331AD"/>
    <w:rsid w:val="00D34348"/>
    <w:rsid w:val="00D348C1"/>
    <w:rsid w:val="00D357D5"/>
    <w:rsid w:val="00D35BB3"/>
    <w:rsid w:val="00D35F85"/>
    <w:rsid w:val="00D36E0B"/>
    <w:rsid w:val="00D36FBC"/>
    <w:rsid w:val="00D37482"/>
    <w:rsid w:val="00D376BA"/>
    <w:rsid w:val="00D37912"/>
    <w:rsid w:val="00D40193"/>
    <w:rsid w:val="00D42033"/>
    <w:rsid w:val="00D423D6"/>
    <w:rsid w:val="00D426F6"/>
    <w:rsid w:val="00D42DC8"/>
    <w:rsid w:val="00D43624"/>
    <w:rsid w:val="00D44135"/>
    <w:rsid w:val="00D44E66"/>
    <w:rsid w:val="00D4565C"/>
    <w:rsid w:val="00D458DF"/>
    <w:rsid w:val="00D45A5F"/>
    <w:rsid w:val="00D47CCE"/>
    <w:rsid w:val="00D506D1"/>
    <w:rsid w:val="00D515D4"/>
    <w:rsid w:val="00D5167C"/>
    <w:rsid w:val="00D519B3"/>
    <w:rsid w:val="00D51B8F"/>
    <w:rsid w:val="00D52AD6"/>
    <w:rsid w:val="00D5320E"/>
    <w:rsid w:val="00D5333A"/>
    <w:rsid w:val="00D53E2C"/>
    <w:rsid w:val="00D54DCE"/>
    <w:rsid w:val="00D5715F"/>
    <w:rsid w:val="00D571C2"/>
    <w:rsid w:val="00D60974"/>
    <w:rsid w:val="00D61273"/>
    <w:rsid w:val="00D616B6"/>
    <w:rsid w:val="00D61F33"/>
    <w:rsid w:val="00D6215E"/>
    <w:rsid w:val="00D62E5A"/>
    <w:rsid w:val="00D6375E"/>
    <w:rsid w:val="00D64016"/>
    <w:rsid w:val="00D6669D"/>
    <w:rsid w:val="00D66781"/>
    <w:rsid w:val="00D66B76"/>
    <w:rsid w:val="00D66FD2"/>
    <w:rsid w:val="00D671FB"/>
    <w:rsid w:val="00D675A6"/>
    <w:rsid w:val="00D67658"/>
    <w:rsid w:val="00D70BE5"/>
    <w:rsid w:val="00D70DAB"/>
    <w:rsid w:val="00D71302"/>
    <w:rsid w:val="00D717CF"/>
    <w:rsid w:val="00D71AC2"/>
    <w:rsid w:val="00D71DE3"/>
    <w:rsid w:val="00D72828"/>
    <w:rsid w:val="00D72AE3"/>
    <w:rsid w:val="00D732E2"/>
    <w:rsid w:val="00D7695A"/>
    <w:rsid w:val="00D80211"/>
    <w:rsid w:val="00D82567"/>
    <w:rsid w:val="00D828FD"/>
    <w:rsid w:val="00D82DDD"/>
    <w:rsid w:val="00D838F2"/>
    <w:rsid w:val="00D83DA0"/>
    <w:rsid w:val="00D8581E"/>
    <w:rsid w:val="00D85BB2"/>
    <w:rsid w:val="00D85D52"/>
    <w:rsid w:val="00D8785F"/>
    <w:rsid w:val="00D9042F"/>
    <w:rsid w:val="00D9126A"/>
    <w:rsid w:val="00D91473"/>
    <w:rsid w:val="00D92227"/>
    <w:rsid w:val="00D92641"/>
    <w:rsid w:val="00D92AC6"/>
    <w:rsid w:val="00D92B67"/>
    <w:rsid w:val="00D93B30"/>
    <w:rsid w:val="00D9457E"/>
    <w:rsid w:val="00D952F4"/>
    <w:rsid w:val="00D957A2"/>
    <w:rsid w:val="00D958AF"/>
    <w:rsid w:val="00D95D5F"/>
    <w:rsid w:val="00D96C83"/>
    <w:rsid w:val="00D9780A"/>
    <w:rsid w:val="00DA0955"/>
    <w:rsid w:val="00DA0EAC"/>
    <w:rsid w:val="00DA1357"/>
    <w:rsid w:val="00DA1A8C"/>
    <w:rsid w:val="00DA2802"/>
    <w:rsid w:val="00DA2C04"/>
    <w:rsid w:val="00DA2C99"/>
    <w:rsid w:val="00DA4217"/>
    <w:rsid w:val="00DA4763"/>
    <w:rsid w:val="00DA4AA9"/>
    <w:rsid w:val="00DA5CFA"/>
    <w:rsid w:val="00DA5F7F"/>
    <w:rsid w:val="00DA6094"/>
    <w:rsid w:val="00DA6168"/>
    <w:rsid w:val="00DA65D1"/>
    <w:rsid w:val="00DA746A"/>
    <w:rsid w:val="00DA75D5"/>
    <w:rsid w:val="00DA7BC5"/>
    <w:rsid w:val="00DA7F28"/>
    <w:rsid w:val="00DB0335"/>
    <w:rsid w:val="00DB157C"/>
    <w:rsid w:val="00DB16B1"/>
    <w:rsid w:val="00DB2271"/>
    <w:rsid w:val="00DB2706"/>
    <w:rsid w:val="00DB2A5B"/>
    <w:rsid w:val="00DB2C2F"/>
    <w:rsid w:val="00DB49AC"/>
    <w:rsid w:val="00DB4F9B"/>
    <w:rsid w:val="00DB526C"/>
    <w:rsid w:val="00DB52C1"/>
    <w:rsid w:val="00DB5718"/>
    <w:rsid w:val="00DB58D5"/>
    <w:rsid w:val="00DB6815"/>
    <w:rsid w:val="00DB6D73"/>
    <w:rsid w:val="00DB6E9D"/>
    <w:rsid w:val="00DC1EA7"/>
    <w:rsid w:val="00DC3008"/>
    <w:rsid w:val="00DC3212"/>
    <w:rsid w:val="00DC3834"/>
    <w:rsid w:val="00DC3908"/>
    <w:rsid w:val="00DC3D5C"/>
    <w:rsid w:val="00DC3E60"/>
    <w:rsid w:val="00DC4019"/>
    <w:rsid w:val="00DC4096"/>
    <w:rsid w:val="00DC4925"/>
    <w:rsid w:val="00DC4AE3"/>
    <w:rsid w:val="00DC507F"/>
    <w:rsid w:val="00DC5BD3"/>
    <w:rsid w:val="00DC64E2"/>
    <w:rsid w:val="00DC697D"/>
    <w:rsid w:val="00DC70E7"/>
    <w:rsid w:val="00DC7BCD"/>
    <w:rsid w:val="00DD0715"/>
    <w:rsid w:val="00DD1E67"/>
    <w:rsid w:val="00DD1F7C"/>
    <w:rsid w:val="00DD22ED"/>
    <w:rsid w:val="00DD24E6"/>
    <w:rsid w:val="00DD3616"/>
    <w:rsid w:val="00DD404A"/>
    <w:rsid w:val="00DD4E48"/>
    <w:rsid w:val="00DD53B6"/>
    <w:rsid w:val="00DD5BDB"/>
    <w:rsid w:val="00DD5CB5"/>
    <w:rsid w:val="00DD60AD"/>
    <w:rsid w:val="00DD740B"/>
    <w:rsid w:val="00DD7AE7"/>
    <w:rsid w:val="00DD7D3C"/>
    <w:rsid w:val="00DE0963"/>
    <w:rsid w:val="00DE1DBB"/>
    <w:rsid w:val="00DE1FE4"/>
    <w:rsid w:val="00DE24D8"/>
    <w:rsid w:val="00DE2E8D"/>
    <w:rsid w:val="00DE39FC"/>
    <w:rsid w:val="00DE4728"/>
    <w:rsid w:val="00DE476F"/>
    <w:rsid w:val="00DE5182"/>
    <w:rsid w:val="00DE54BA"/>
    <w:rsid w:val="00DE61B2"/>
    <w:rsid w:val="00DE61C5"/>
    <w:rsid w:val="00DE7E44"/>
    <w:rsid w:val="00DF0125"/>
    <w:rsid w:val="00DF0C4C"/>
    <w:rsid w:val="00DF2C66"/>
    <w:rsid w:val="00DF3879"/>
    <w:rsid w:val="00DF399F"/>
    <w:rsid w:val="00DF3FD2"/>
    <w:rsid w:val="00DF4585"/>
    <w:rsid w:val="00DF4A5E"/>
    <w:rsid w:val="00DF585F"/>
    <w:rsid w:val="00DF6108"/>
    <w:rsid w:val="00DF68E3"/>
    <w:rsid w:val="00DF789A"/>
    <w:rsid w:val="00DF78DB"/>
    <w:rsid w:val="00E0068A"/>
    <w:rsid w:val="00E01E90"/>
    <w:rsid w:val="00E02573"/>
    <w:rsid w:val="00E02773"/>
    <w:rsid w:val="00E02E33"/>
    <w:rsid w:val="00E03140"/>
    <w:rsid w:val="00E03167"/>
    <w:rsid w:val="00E033F5"/>
    <w:rsid w:val="00E0460A"/>
    <w:rsid w:val="00E052B6"/>
    <w:rsid w:val="00E06022"/>
    <w:rsid w:val="00E066CF"/>
    <w:rsid w:val="00E07229"/>
    <w:rsid w:val="00E07470"/>
    <w:rsid w:val="00E077BD"/>
    <w:rsid w:val="00E07C8A"/>
    <w:rsid w:val="00E1047E"/>
    <w:rsid w:val="00E106B1"/>
    <w:rsid w:val="00E10813"/>
    <w:rsid w:val="00E121CD"/>
    <w:rsid w:val="00E12976"/>
    <w:rsid w:val="00E15D62"/>
    <w:rsid w:val="00E17A44"/>
    <w:rsid w:val="00E20DFF"/>
    <w:rsid w:val="00E215DF"/>
    <w:rsid w:val="00E224EB"/>
    <w:rsid w:val="00E23070"/>
    <w:rsid w:val="00E235A1"/>
    <w:rsid w:val="00E23B2D"/>
    <w:rsid w:val="00E23F13"/>
    <w:rsid w:val="00E24056"/>
    <w:rsid w:val="00E24636"/>
    <w:rsid w:val="00E24872"/>
    <w:rsid w:val="00E2503A"/>
    <w:rsid w:val="00E25376"/>
    <w:rsid w:val="00E26134"/>
    <w:rsid w:val="00E26776"/>
    <w:rsid w:val="00E303FE"/>
    <w:rsid w:val="00E30869"/>
    <w:rsid w:val="00E313A4"/>
    <w:rsid w:val="00E319C6"/>
    <w:rsid w:val="00E32A24"/>
    <w:rsid w:val="00E32B1B"/>
    <w:rsid w:val="00E32BE5"/>
    <w:rsid w:val="00E33567"/>
    <w:rsid w:val="00E33AAF"/>
    <w:rsid w:val="00E33B5B"/>
    <w:rsid w:val="00E34466"/>
    <w:rsid w:val="00E348B2"/>
    <w:rsid w:val="00E3492F"/>
    <w:rsid w:val="00E35561"/>
    <w:rsid w:val="00E365D2"/>
    <w:rsid w:val="00E36F5F"/>
    <w:rsid w:val="00E37D19"/>
    <w:rsid w:val="00E37D21"/>
    <w:rsid w:val="00E4098E"/>
    <w:rsid w:val="00E4174F"/>
    <w:rsid w:val="00E422C8"/>
    <w:rsid w:val="00E43422"/>
    <w:rsid w:val="00E43933"/>
    <w:rsid w:val="00E442B7"/>
    <w:rsid w:val="00E44A69"/>
    <w:rsid w:val="00E44C23"/>
    <w:rsid w:val="00E45AEF"/>
    <w:rsid w:val="00E463F1"/>
    <w:rsid w:val="00E4684C"/>
    <w:rsid w:val="00E46A17"/>
    <w:rsid w:val="00E4713D"/>
    <w:rsid w:val="00E47321"/>
    <w:rsid w:val="00E4755B"/>
    <w:rsid w:val="00E47DB4"/>
    <w:rsid w:val="00E50563"/>
    <w:rsid w:val="00E50CC2"/>
    <w:rsid w:val="00E51118"/>
    <w:rsid w:val="00E514A3"/>
    <w:rsid w:val="00E51548"/>
    <w:rsid w:val="00E51F4C"/>
    <w:rsid w:val="00E52666"/>
    <w:rsid w:val="00E528D2"/>
    <w:rsid w:val="00E54290"/>
    <w:rsid w:val="00E54E3E"/>
    <w:rsid w:val="00E55455"/>
    <w:rsid w:val="00E556C4"/>
    <w:rsid w:val="00E557C1"/>
    <w:rsid w:val="00E561D3"/>
    <w:rsid w:val="00E563A5"/>
    <w:rsid w:val="00E57675"/>
    <w:rsid w:val="00E60A1A"/>
    <w:rsid w:val="00E6116F"/>
    <w:rsid w:val="00E61357"/>
    <w:rsid w:val="00E61F54"/>
    <w:rsid w:val="00E62157"/>
    <w:rsid w:val="00E629F2"/>
    <w:rsid w:val="00E63655"/>
    <w:rsid w:val="00E637AE"/>
    <w:rsid w:val="00E63B90"/>
    <w:rsid w:val="00E64913"/>
    <w:rsid w:val="00E65203"/>
    <w:rsid w:val="00E65834"/>
    <w:rsid w:val="00E658B2"/>
    <w:rsid w:val="00E65F7B"/>
    <w:rsid w:val="00E7104F"/>
    <w:rsid w:val="00E7105D"/>
    <w:rsid w:val="00E72B0F"/>
    <w:rsid w:val="00E72D25"/>
    <w:rsid w:val="00E73516"/>
    <w:rsid w:val="00E73716"/>
    <w:rsid w:val="00E73A24"/>
    <w:rsid w:val="00E7444A"/>
    <w:rsid w:val="00E74740"/>
    <w:rsid w:val="00E75256"/>
    <w:rsid w:val="00E75B3E"/>
    <w:rsid w:val="00E76677"/>
    <w:rsid w:val="00E76F2C"/>
    <w:rsid w:val="00E7767D"/>
    <w:rsid w:val="00E80328"/>
    <w:rsid w:val="00E80941"/>
    <w:rsid w:val="00E80D62"/>
    <w:rsid w:val="00E80D9B"/>
    <w:rsid w:val="00E80ECE"/>
    <w:rsid w:val="00E81C05"/>
    <w:rsid w:val="00E82400"/>
    <w:rsid w:val="00E83602"/>
    <w:rsid w:val="00E83D8E"/>
    <w:rsid w:val="00E84089"/>
    <w:rsid w:val="00E847A2"/>
    <w:rsid w:val="00E84C77"/>
    <w:rsid w:val="00E852F9"/>
    <w:rsid w:val="00E865F8"/>
    <w:rsid w:val="00E86A7F"/>
    <w:rsid w:val="00E86BA8"/>
    <w:rsid w:val="00E90781"/>
    <w:rsid w:val="00E90BA6"/>
    <w:rsid w:val="00E912F4"/>
    <w:rsid w:val="00E9171E"/>
    <w:rsid w:val="00E929C9"/>
    <w:rsid w:val="00E938D4"/>
    <w:rsid w:val="00E93F05"/>
    <w:rsid w:val="00E949EB"/>
    <w:rsid w:val="00E94E67"/>
    <w:rsid w:val="00E951D0"/>
    <w:rsid w:val="00E95420"/>
    <w:rsid w:val="00E95637"/>
    <w:rsid w:val="00E95C13"/>
    <w:rsid w:val="00E95C76"/>
    <w:rsid w:val="00E9646F"/>
    <w:rsid w:val="00E96541"/>
    <w:rsid w:val="00E970E8"/>
    <w:rsid w:val="00E97106"/>
    <w:rsid w:val="00EA04D1"/>
    <w:rsid w:val="00EA0D19"/>
    <w:rsid w:val="00EA1655"/>
    <w:rsid w:val="00EA2C4F"/>
    <w:rsid w:val="00EA2C73"/>
    <w:rsid w:val="00EA3CCC"/>
    <w:rsid w:val="00EA5136"/>
    <w:rsid w:val="00EA5464"/>
    <w:rsid w:val="00EA718C"/>
    <w:rsid w:val="00EA71CD"/>
    <w:rsid w:val="00EB0066"/>
    <w:rsid w:val="00EB14C7"/>
    <w:rsid w:val="00EB181F"/>
    <w:rsid w:val="00EB2007"/>
    <w:rsid w:val="00EB29C6"/>
    <w:rsid w:val="00EB2F83"/>
    <w:rsid w:val="00EB34F6"/>
    <w:rsid w:val="00EB3F7A"/>
    <w:rsid w:val="00EB470B"/>
    <w:rsid w:val="00EB524D"/>
    <w:rsid w:val="00EB5272"/>
    <w:rsid w:val="00EB56B3"/>
    <w:rsid w:val="00EB5B0D"/>
    <w:rsid w:val="00EB5FAD"/>
    <w:rsid w:val="00EB61F3"/>
    <w:rsid w:val="00EB7E49"/>
    <w:rsid w:val="00EC007B"/>
    <w:rsid w:val="00EC1300"/>
    <w:rsid w:val="00EC1472"/>
    <w:rsid w:val="00EC185C"/>
    <w:rsid w:val="00EC1CDD"/>
    <w:rsid w:val="00EC296D"/>
    <w:rsid w:val="00EC35DE"/>
    <w:rsid w:val="00EC3B86"/>
    <w:rsid w:val="00EC3F55"/>
    <w:rsid w:val="00EC5728"/>
    <w:rsid w:val="00EC6600"/>
    <w:rsid w:val="00EC6A8B"/>
    <w:rsid w:val="00EC71D9"/>
    <w:rsid w:val="00EC75E8"/>
    <w:rsid w:val="00EC7F67"/>
    <w:rsid w:val="00ED0DF0"/>
    <w:rsid w:val="00ED0F3E"/>
    <w:rsid w:val="00ED3776"/>
    <w:rsid w:val="00ED386D"/>
    <w:rsid w:val="00ED3D02"/>
    <w:rsid w:val="00ED410D"/>
    <w:rsid w:val="00ED411D"/>
    <w:rsid w:val="00ED5F78"/>
    <w:rsid w:val="00ED6551"/>
    <w:rsid w:val="00ED69A5"/>
    <w:rsid w:val="00ED6CE0"/>
    <w:rsid w:val="00ED6DEB"/>
    <w:rsid w:val="00ED7027"/>
    <w:rsid w:val="00ED72DE"/>
    <w:rsid w:val="00ED7855"/>
    <w:rsid w:val="00EE08EA"/>
    <w:rsid w:val="00EE0AF8"/>
    <w:rsid w:val="00EE1D06"/>
    <w:rsid w:val="00EE2178"/>
    <w:rsid w:val="00EE38E6"/>
    <w:rsid w:val="00EE3FD7"/>
    <w:rsid w:val="00EE49DA"/>
    <w:rsid w:val="00EE4E57"/>
    <w:rsid w:val="00EE4FAB"/>
    <w:rsid w:val="00EE5721"/>
    <w:rsid w:val="00EE5DAA"/>
    <w:rsid w:val="00EE6184"/>
    <w:rsid w:val="00EE65AA"/>
    <w:rsid w:val="00EE6CB3"/>
    <w:rsid w:val="00EE6F71"/>
    <w:rsid w:val="00EF0244"/>
    <w:rsid w:val="00EF22ED"/>
    <w:rsid w:val="00EF262B"/>
    <w:rsid w:val="00EF33BD"/>
    <w:rsid w:val="00EF3966"/>
    <w:rsid w:val="00EF4107"/>
    <w:rsid w:val="00EF562C"/>
    <w:rsid w:val="00EF5867"/>
    <w:rsid w:val="00EF5C4A"/>
    <w:rsid w:val="00F01B06"/>
    <w:rsid w:val="00F032CC"/>
    <w:rsid w:val="00F0409B"/>
    <w:rsid w:val="00F044A3"/>
    <w:rsid w:val="00F05339"/>
    <w:rsid w:val="00F0562F"/>
    <w:rsid w:val="00F05A9B"/>
    <w:rsid w:val="00F05BD3"/>
    <w:rsid w:val="00F06413"/>
    <w:rsid w:val="00F07FC8"/>
    <w:rsid w:val="00F102A2"/>
    <w:rsid w:val="00F1041C"/>
    <w:rsid w:val="00F114F0"/>
    <w:rsid w:val="00F137AA"/>
    <w:rsid w:val="00F138BF"/>
    <w:rsid w:val="00F146B6"/>
    <w:rsid w:val="00F14C5E"/>
    <w:rsid w:val="00F155EE"/>
    <w:rsid w:val="00F164B7"/>
    <w:rsid w:val="00F1658B"/>
    <w:rsid w:val="00F16BE3"/>
    <w:rsid w:val="00F16D7B"/>
    <w:rsid w:val="00F17068"/>
    <w:rsid w:val="00F21A77"/>
    <w:rsid w:val="00F231FD"/>
    <w:rsid w:val="00F2329C"/>
    <w:rsid w:val="00F235D3"/>
    <w:rsid w:val="00F236D1"/>
    <w:rsid w:val="00F238B9"/>
    <w:rsid w:val="00F24715"/>
    <w:rsid w:val="00F247C5"/>
    <w:rsid w:val="00F247C6"/>
    <w:rsid w:val="00F252F6"/>
    <w:rsid w:val="00F25468"/>
    <w:rsid w:val="00F25B55"/>
    <w:rsid w:val="00F25B8F"/>
    <w:rsid w:val="00F266BD"/>
    <w:rsid w:val="00F267C4"/>
    <w:rsid w:val="00F26E3E"/>
    <w:rsid w:val="00F27698"/>
    <w:rsid w:val="00F27B77"/>
    <w:rsid w:val="00F3022B"/>
    <w:rsid w:val="00F312B4"/>
    <w:rsid w:val="00F32158"/>
    <w:rsid w:val="00F32B23"/>
    <w:rsid w:val="00F33D2A"/>
    <w:rsid w:val="00F33E90"/>
    <w:rsid w:val="00F347F0"/>
    <w:rsid w:val="00F34F29"/>
    <w:rsid w:val="00F36942"/>
    <w:rsid w:val="00F37BBC"/>
    <w:rsid w:val="00F4021C"/>
    <w:rsid w:val="00F420DD"/>
    <w:rsid w:val="00F4384F"/>
    <w:rsid w:val="00F43B29"/>
    <w:rsid w:val="00F43CA1"/>
    <w:rsid w:val="00F43D38"/>
    <w:rsid w:val="00F445E6"/>
    <w:rsid w:val="00F45B67"/>
    <w:rsid w:val="00F46F0B"/>
    <w:rsid w:val="00F4734B"/>
    <w:rsid w:val="00F47630"/>
    <w:rsid w:val="00F47850"/>
    <w:rsid w:val="00F47A5B"/>
    <w:rsid w:val="00F50220"/>
    <w:rsid w:val="00F5067D"/>
    <w:rsid w:val="00F50AF1"/>
    <w:rsid w:val="00F50D20"/>
    <w:rsid w:val="00F52DA5"/>
    <w:rsid w:val="00F53545"/>
    <w:rsid w:val="00F53F83"/>
    <w:rsid w:val="00F546B6"/>
    <w:rsid w:val="00F54F58"/>
    <w:rsid w:val="00F559A5"/>
    <w:rsid w:val="00F55C6B"/>
    <w:rsid w:val="00F573BD"/>
    <w:rsid w:val="00F579AC"/>
    <w:rsid w:val="00F57DE1"/>
    <w:rsid w:val="00F601A7"/>
    <w:rsid w:val="00F60BD9"/>
    <w:rsid w:val="00F61EE9"/>
    <w:rsid w:val="00F62C2E"/>
    <w:rsid w:val="00F63A41"/>
    <w:rsid w:val="00F63F29"/>
    <w:rsid w:val="00F64172"/>
    <w:rsid w:val="00F649F0"/>
    <w:rsid w:val="00F64F30"/>
    <w:rsid w:val="00F65B81"/>
    <w:rsid w:val="00F65EEC"/>
    <w:rsid w:val="00F669FF"/>
    <w:rsid w:val="00F671AE"/>
    <w:rsid w:val="00F6773D"/>
    <w:rsid w:val="00F6788E"/>
    <w:rsid w:val="00F67B3D"/>
    <w:rsid w:val="00F7024C"/>
    <w:rsid w:val="00F705B7"/>
    <w:rsid w:val="00F72570"/>
    <w:rsid w:val="00F72C7E"/>
    <w:rsid w:val="00F736A8"/>
    <w:rsid w:val="00F7449D"/>
    <w:rsid w:val="00F744CB"/>
    <w:rsid w:val="00F74A0D"/>
    <w:rsid w:val="00F75528"/>
    <w:rsid w:val="00F7568F"/>
    <w:rsid w:val="00F75F17"/>
    <w:rsid w:val="00F76842"/>
    <w:rsid w:val="00F77900"/>
    <w:rsid w:val="00F779F6"/>
    <w:rsid w:val="00F77A9C"/>
    <w:rsid w:val="00F77C54"/>
    <w:rsid w:val="00F80E5B"/>
    <w:rsid w:val="00F80F95"/>
    <w:rsid w:val="00F81717"/>
    <w:rsid w:val="00F82B00"/>
    <w:rsid w:val="00F83FA5"/>
    <w:rsid w:val="00F84F81"/>
    <w:rsid w:val="00F8529F"/>
    <w:rsid w:val="00F85C5E"/>
    <w:rsid w:val="00F86461"/>
    <w:rsid w:val="00F86AE7"/>
    <w:rsid w:val="00F86C9E"/>
    <w:rsid w:val="00F87CE0"/>
    <w:rsid w:val="00F91E1D"/>
    <w:rsid w:val="00F91EC0"/>
    <w:rsid w:val="00F92C80"/>
    <w:rsid w:val="00F9328E"/>
    <w:rsid w:val="00F9344F"/>
    <w:rsid w:val="00F94775"/>
    <w:rsid w:val="00F94F46"/>
    <w:rsid w:val="00F95C5C"/>
    <w:rsid w:val="00F962FC"/>
    <w:rsid w:val="00F972E7"/>
    <w:rsid w:val="00F97C21"/>
    <w:rsid w:val="00F97D79"/>
    <w:rsid w:val="00FA03DB"/>
    <w:rsid w:val="00FA06D1"/>
    <w:rsid w:val="00FA09F1"/>
    <w:rsid w:val="00FA0F64"/>
    <w:rsid w:val="00FA25B8"/>
    <w:rsid w:val="00FA4BC9"/>
    <w:rsid w:val="00FA5CB8"/>
    <w:rsid w:val="00FA5F83"/>
    <w:rsid w:val="00FA7E87"/>
    <w:rsid w:val="00FB073F"/>
    <w:rsid w:val="00FB07B2"/>
    <w:rsid w:val="00FB086B"/>
    <w:rsid w:val="00FB0944"/>
    <w:rsid w:val="00FB0BDB"/>
    <w:rsid w:val="00FB1D79"/>
    <w:rsid w:val="00FB3445"/>
    <w:rsid w:val="00FB3B91"/>
    <w:rsid w:val="00FB3E12"/>
    <w:rsid w:val="00FB4506"/>
    <w:rsid w:val="00FB64F8"/>
    <w:rsid w:val="00FC173E"/>
    <w:rsid w:val="00FC19DC"/>
    <w:rsid w:val="00FC1AE7"/>
    <w:rsid w:val="00FC1D04"/>
    <w:rsid w:val="00FC2234"/>
    <w:rsid w:val="00FC22DE"/>
    <w:rsid w:val="00FC24FC"/>
    <w:rsid w:val="00FC2DA5"/>
    <w:rsid w:val="00FC3EA5"/>
    <w:rsid w:val="00FC4FAA"/>
    <w:rsid w:val="00FC60D1"/>
    <w:rsid w:val="00FD0072"/>
    <w:rsid w:val="00FD060F"/>
    <w:rsid w:val="00FD119D"/>
    <w:rsid w:val="00FD1774"/>
    <w:rsid w:val="00FD22FE"/>
    <w:rsid w:val="00FD2B9D"/>
    <w:rsid w:val="00FD2BB9"/>
    <w:rsid w:val="00FD3282"/>
    <w:rsid w:val="00FD4034"/>
    <w:rsid w:val="00FD4C73"/>
    <w:rsid w:val="00FD57D9"/>
    <w:rsid w:val="00FD6142"/>
    <w:rsid w:val="00FD6F65"/>
    <w:rsid w:val="00FD7B8B"/>
    <w:rsid w:val="00FD7EC3"/>
    <w:rsid w:val="00FE0139"/>
    <w:rsid w:val="00FE0515"/>
    <w:rsid w:val="00FE1D35"/>
    <w:rsid w:val="00FE210C"/>
    <w:rsid w:val="00FE2743"/>
    <w:rsid w:val="00FE2AA4"/>
    <w:rsid w:val="00FE3763"/>
    <w:rsid w:val="00FE3829"/>
    <w:rsid w:val="00FE4BD4"/>
    <w:rsid w:val="00FE5A74"/>
    <w:rsid w:val="00FE5B0E"/>
    <w:rsid w:val="00FE6BE0"/>
    <w:rsid w:val="00FE6BEA"/>
    <w:rsid w:val="00FE6FD0"/>
    <w:rsid w:val="00FF01DC"/>
    <w:rsid w:val="00FF0927"/>
    <w:rsid w:val="00FF095C"/>
    <w:rsid w:val="00FF1A17"/>
    <w:rsid w:val="00FF2071"/>
    <w:rsid w:val="00FF2347"/>
    <w:rsid w:val="00FF274B"/>
    <w:rsid w:val="00FF324E"/>
    <w:rsid w:val="00FF34F3"/>
    <w:rsid w:val="00FF43E8"/>
    <w:rsid w:val="00FF5084"/>
    <w:rsid w:val="00FF5EAA"/>
    <w:rsid w:val="00FF6D54"/>
    <w:rsid w:val="00FF779C"/>
    <w:rsid w:val="00FF7C6E"/>
    <w:rsid w:val="00FF7D3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4673"/>
    <o:shapelayout v:ext="edit">
      <o:idmap v:ext="edit" data="1"/>
    </o:shapelayout>
  </w:shapeDefaults>
  <w:decimalSymbol w:val="."/>
  <w:listSeparator w:val=","/>
  <w14:docId w14:val="267B7017"/>
  <w15:docId w15:val="{EC3B01EA-204B-4669-8D2B-8E2ED049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082"/>
  </w:style>
  <w:style w:type="paragraph" w:styleId="Heading1">
    <w:name w:val="heading 1"/>
    <w:basedOn w:val="Normal"/>
    <w:next w:val="Normal"/>
    <w:link w:val="Heading1Char"/>
    <w:uiPriority w:val="9"/>
    <w:qFormat/>
    <w:rsid w:val="001E62A5"/>
    <w:pPr>
      <w:keepNext/>
      <w:keepLines/>
      <w:spacing w:before="480"/>
      <w:outlineLvl w:val="0"/>
    </w:pPr>
    <w:rPr>
      <w:rFonts w:eastAsiaTheme="majorEastAsia" w:cstheme="majorBidi"/>
      <w:b/>
      <w:bCs/>
      <w:caps/>
      <w:sz w:val="30"/>
      <w:szCs w:val="32"/>
    </w:rPr>
  </w:style>
  <w:style w:type="paragraph" w:styleId="Heading2">
    <w:name w:val="heading 2"/>
    <w:basedOn w:val="Normal"/>
    <w:next w:val="Normal"/>
    <w:link w:val="Heading2Char"/>
    <w:rsid w:val="00924704"/>
    <w:pPr>
      <w:ind w:left="567" w:hanging="567"/>
      <w:outlineLvl w:val="1"/>
    </w:pPr>
    <w:rPr>
      <w:b/>
      <w:sz w:val="28"/>
    </w:rPr>
  </w:style>
  <w:style w:type="paragraph" w:styleId="Heading3">
    <w:name w:val="heading 3"/>
    <w:basedOn w:val="Normal"/>
    <w:next w:val="Normal"/>
    <w:link w:val="Heading3Char"/>
    <w:uiPriority w:val="9"/>
    <w:unhideWhenUsed/>
    <w:qFormat/>
    <w:rsid w:val="006C0035"/>
    <w:pPr>
      <w:keepNext/>
      <w:keepLines/>
      <w:outlineLvl w:val="2"/>
    </w:pPr>
    <w:rPr>
      <w:rFonts w:eastAsiaTheme="majorEastAsia" w:cstheme="majorBidi"/>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B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2B9D"/>
    <w:rPr>
      <w:rFonts w:ascii="Lucida Grande" w:hAnsi="Lucida Grande" w:cs="Lucida Grande"/>
      <w:sz w:val="18"/>
      <w:szCs w:val="18"/>
    </w:rPr>
  </w:style>
  <w:style w:type="character" w:customStyle="1" w:styleId="Heading2Char">
    <w:name w:val="Heading 2 Char"/>
    <w:basedOn w:val="DefaultParagraphFont"/>
    <w:link w:val="Heading2"/>
    <w:rsid w:val="00924704"/>
    <w:rPr>
      <w:rFonts w:ascii="Arial" w:hAnsi="Arial"/>
      <w:b/>
      <w:sz w:val="28"/>
    </w:rPr>
  </w:style>
  <w:style w:type="paragraph" w:customStyle="1" w:styleId="Pulloutcaption">
    <w:name w:val="Pull out caption_"/>
    <w:basedOn w:val="Normal"/>
    <w:next w:val="Normal"/>
    <w:qFormat/>
    <w:rsid w:val="008A5082"/>
    <w:rPr>
      <w:i/>
      <w:sz w:val="28"/>
    </w:rPr>
  </w:style>
  <w:style w:type="table" w:customStyle="1" w:styleId="TableRangedleft">
    <w:name w:val="Table_Ranged left_"/>
    <w:basedOn w:val="TableNormal"/>
    <w:qFormat/>
    <w:rsid w:val="008A5082"/>
    <w:tblPr/>
    <w:tcPr>
      <w:tcMar>
        <w:top w:w="108" w:type="dxa"/>
        <w:bottom w:w="108" w:type="dxa"/>
      </w:tcMar>
    </w:tcPr>
  </w:style>
  <w:style w:type="character" w:customStyle="1" w:styleId="Heading1Char">
    <w:name w:val="Heading 1 Char"/>
    <w:basedOn w:val="DefaultParagraphFont"/>
    <w:link w:val="Heading1"/>
    <w:uiPriority w:val="9"/>
    <w:rsid w:val="001E62A5"/>
    <w:rPr>
      <w:rFonts w:ascii="Arial" w:eastAsiaTheme="majorEastAsia" w:hAnsi="Arial" w:cstheme="majorBidi"/>
      <w:b/>
      <w:bCs/>
      <w:caps/>
      <w:sz w:val="30"/>
      <w:szCs w:val="32"/>
    </w:rPr>
  </w:style>
  <w:style w:type="character" w:customStyle="1" w:styleId="Heading3Char">
    <w:name w:val="Heading 3 Char"/>
    <w:basedOn w:val="DefaultParagraphFont"/>
    <w:link w:val="Heading3"/>
    <w:uiPriority w:val="9"/>
    <w:rsid w:val="006C0035"/>
    <w:rPr>
      <w:rFonts w:ascii="Arial" w:eastAsiaTheme="majorEastAsia" w:hAnsi="Arial" w:cstheme="majorBidi"/>
      <w:bCs/>
      <w:sz w:val="26"/>
    </w:rPr>
  </w:style>
  <w:style w:type="paragraph" w:customStyle="1" w:styleId="Footnote">
    <w:name w:val="Footnote"/>
    <w:basedOn w:val="Heading3"/>
    <w:qFormat/>
    <w:rsid w:val="00C27B3B"/>
    <w:pPr>
      <w:spacing w:after="40"/>
      <w:ind w:left="340" w:hanging="340"/>
    </w:pPr>
    <w:rPr>
      <w:sz w:val="16"/>
    </w:rPr>
  </w:style>
  <w:style w:type="paragraph" w:customStyle="1" w:styleId="Bodytext">
    <w:name w:val="Bodytext"/>
    <w:basedOn w:val="Normal"/>
    <w:qFormat/>
    <w:rsid w:val="00097732"/>
  </w:style>
  <w:style w:type="table" w:styleId="TableGrid">
    <w:name w:val="Table Grid"/>
    <w:aliases w:val="Table Grid_General,CV table,none"/>
    <w:basedOn w:val="TableNormal"/>
    <w:rsid w:val="00E72B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72B0F"/>
    <w:pPr>
      <w:ind w:left="720"/>
      <w:contextualSpacing/>
    </w:pPr>
  </w:style>
  <w:style w:type="character" w:styleId="Hyperlink">
    <w:name w:val="Hyperlink"/>
    <w:basedOn w:val="DefaultParagraphFont"/>
    <w:uiPriority w:val="99"/>
    <w:rsid w:val="00215EB8"/>
    <w:rPr>
      <w:color w:val="0000FF" w:themeColor="hyperlink"/>
      <w:u w:val="single"/>
    </w:rPr>
  </w:style>
  <w:style w:type="paragraph" w:customStyle="1" w:styleId="Notestext">
    <w:name w:val="Notes_text_"/>
    <w:basedOn w:val="Normal"/>
    <w:qFormat/>
    <w:rsid w:val="00163C55"/>
    <w:pPr>
      <w:ind w:left="567"/>
    </w:pPr>
  </w:style>
  <w:style w:type="character" w:styleId="CommentReference">
    <w:name w:val="annotation reference"/>
    <w:basedOn w:val="DefaultParagraphFont"/>
    <w:uiPriority w:val="99"/>
    <w:rsid w:val="00D5167C"/>
    <w:rPr>
      <w:sz w:val="16"/>
      <w:szCs w:val="16"/>
    </w:rPr>
  </w:style>
  <w:style w:type="paragraph" w:styleId="CommentText">
    <w:name w:val="annotation text"/>
    <w:basedOn w:val="Normal"/>
    <w:link w:val="CommentTextChar"/>
    <w:uiPriority w:val="99"/>
    <w:rsid w:val="00D5167C"/>
  </w:style>
  <w:style w:type="character" w:customStyle="1" w:styleId="CommentTextChar">
    <w:name w:val="Comment Text Char"/>
    <w:basedOn w:val="DefaultParagraphFont"/>
    <w:link w:val="CommentText"/>
    <w:uiPriority w:val="99"/>
    <w:rsid w:val="00D5167C"/>
    <w:rPr>
      <w:sz w:val="20"/>
      <w:szCs w:val="20"/>
    </w:rPr>
  </w:style>
  <w:style w:type="paragraph" w:styleId="CommentSubject">
    <w:name w:val="annotation subject"/>
    <w:basedOn w:val="CommentText"/>
    <w:next w:val="CommentText"/>
    <w:link w:val="CommentSubjectChar"/>
    <w:rsid w:val="00D5167C"/>
    <w:rPr>
      <w:b/>
      <w:bCs/>
    </w:rPr>
  </w:style>
  <w:style w:type="character" w:customStyle="1" w:styleId="CommentSubjectChar">
    <w:name w:val="Comment Subject Char"/>
    <w:basedOn w:val="CommentTextChar"/>
    <w:link w:val="CommentSubject"/>
    <w:rsid w:val="00D5167C"/>
    <w:rPr>
      <w:b/>
      <w:bCs/>
      <w:sz w:val="20"/>
      <w:szCs w:val="20"/>
    </w:rPr>
  </w:style>
  <w:style w:type="paragraph" w:styleId="Revision">
    <w:name w:val="Revision"/>
    <w:hidden/>
    <w:rsid w:val="00D5167C"/>
    <w:rPr>
      <w:sz w:val="22"/>
    </w:rPr>
  </w:style>
  <w:style w:type="paragraph" w:styleId="BodyText0">
    <w:name w:val="Body Text"/>
    <w:basedOn w:val="Normal"/>
    <w:link w:val="BodyTextChar"/>
    <w:uiPriority w:val="1"/>
    <w:qFormat/>
    <w:rsid w:val="00563C51"/>
    <w:pPr>
      <w:widowControl w:val="0"/>
      <w:ind w:left="178"/>
    </w:pPr>
    <w:rPr>
      <w:rFonts w:eastAsia="Arial"/>
      <w:sz w:val="14"/>
      <w:szCs w:val="14"/>
      <w:lang w:val="en-US"/>
    </w:rPr>
  </w:style>
  <w:style w:type="character" w:customStyle="1" w:styleId="BodyTextChar">
    <w:name w:val="Body Text Char"/>
    <w:basedOn w:val="DefaultParagraphFont"/>
    <w:link w:val="BodyText0"/>
    <w:uiPriority w:val="1"/>
    <w:rsid w:val="00563C51"/>
    <w:rPr>
      <w:rFonts w:ascii="Arial" w:eastAsia="Arial" w:hAnsi="Arial"/>
      <w:sz w:val="14"/>
      <w:szCs w:val="14"/>
      <w:lang w:val="en-US"/>
    </w:rPr>
  </w:style>
  <w:style w:type="paragraph" w:styleId="NormalWeb">
    <w:name w:val="Normal (Web)"/>
    <w:basedOn w:val="Normal"/>
    <w:uiPriority w:val="99"/>
    <w:unhideWhenUsed/>
    <w:rsid w:val="001405F8"/>
    <w:pPr>
      <w:spacing w:before="100" w:beforeAutospacing="1" w:after="100" w:afterAutospacing="1"/>
    </w:pPr>
    <w:rPr>
      <w:rFonts w:ascii="Times New Roman" w:eastAsia="Times New Roman" w:hAnsi="Times New Roman" w:cs="Times New Roman"/>
      <w:sz w:val="24"/>
      <w:lang w:val="en-US"/>
    </w:rPr>
  </w:style>
  <w:style w:type="paragraph" w:styleId="FootnoteText">
    <w:name w:val="footnote text"/>
    <w:basedOn w:val="Normal"/>
    <w:link w:val="FootnoteTextChar"/>
    <w:rsid w:val="00E73516"/>
    <w:rPr>
      <w:sz w:val="16"/>
    </w:rPr>
  </w:style>
  <w:style w:type="character" w:customStyle="1" w:styleId="FootnoteTextChar">
    <w:name w:val="Footnote Text Char"/>
    <w:basedOn w:val="DefaultParagraphFont"/>
    <w:link w:val="FootnoteText"/>
    <w:rsid w:val="00E73516"/>
    <w:rPr>
      <w:sz w:val="16"/>
    </w:rPr>
  </w:style>
  <w:style w:type="table" w:customStyle="1" w:styleId="TableGrid1">
    <w:name w:val="Table Grid1"/>
    <w:basedOn w:val="TableNormal"/>
    <w:next w:val="TableGrid"/>
    <w:rsid w:val="00B475A8"/>
    <w:rPr>
      <w:rFonts w:ascii="Cambria" w:eastAsia="Cambria" w:hAnsi="Cambr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B475A8"/>
    <w:rPr>
      <w:rFonts w:ascii="Cambria" w:eastAsia="Cambria" w:hAnsi="Cambr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YBulletedText1Char">
    <w:name w:val="EY Bulleted Text 1 Char"/>
    <w:basedOn w:val="DefaultParagraphFont"/>
    <w:link w:val="EYBulletedText10"/>
    <w:locked/>
    <w:rsid w:val="00057C22"/>
    <w:rPr>
      <w:rFonts w:ascii="EYInterstate Light" w:eastAsia="Times New Roman" w:hAnsi="EYInterstate Light"/>
      <w:kern w:val="12"/>
      <w:sz w:val="24"/>
    </w:rPr>
  </w:style>
  <w:style w:type="paragraph" w:customStyle="1" w:styleId="EYBulletedText10">
    <w:name w:val="EY Bulleted Text 1"/>
    <w:basedOn w:val="Normal"/>
    <w:link w:val="EYBulletedText1Char"/>
    <w:rsid w:val="00057C22"/>
    <w:pPr>
      <w:numPr>
        <w:numId w:val="16"/>
      </w:numPr>
      <w:suppressAutoHyphens/>
      <w:spacing w:after="240"/>
    </w:pPr>
    <w:rPr>
      <w:rFonts w:ascii="EYInterstate Light" w:eastAsia="Times New Roman" w:hAnsi="EYInterstate Light"/>
      <w:kern w:val="12"/>
      <w:sz w:val="24"/>
    </w:rPr>
  </w:style>
  <w:style w:type="paragraph" w:customStyle="1" w:styleId="EYBulletedText20">
    <w:name w:val="EY Bulleted Text 2"/>
    <w:basedOn w:val="Normal"/>
    <w:rsid w:val="00057C22"/>
    <w:pPr>
      <w:numPr>
        <w:ilvl w:val="1"/>
        <w:numId w:val="16"/>
      </w:numPr>
      <w:suppressAutoHyphens/>
      <w:spacing w:after="240"/>
    </w:pPr>
    <w:rPr>
      <w:rFonts w:ascii="EYInterstate Light" w:eastAsia="Times New Roman" w:hAnsi="EYInterstate Light" w:cs="Times New Roman"/>
      <w:kern w:val="12"/>
    </w:rPr>
  </w:style>
  <w:style w:type="paragraph" w:customStyle="1" w:styleId="EYSubheading">
    <w:name w:val="EY Subheading"/>
    <w:basedOn w:val="Normal"/>
    <w:next w:val="BodyText0"/>
    <w:rsid w:val="00057C22"/>
    <w:pPr>
      <w:keepNext/>
      <w:spacing w:after="120"/>
      <w:outlineLvl w:val="0"/>
    </w:pPr>
    <w:rPr>
      <w:rFonts w:ascii="EYInterstate Light" w:eastAsia="Times New Roman" w:hAnsi="EYInterstate Light"/>
      <w:b/>
      <w:kern w:val="12"/>
    </w:rPr>
  </w:style>
  <w:style w:type="paragraph" w:customStyle="1" w:styleId="EYAppendiceBodytext">
    <w:name w:val="EY Appendice Body text"/>
    <w:basedOn w:val="Normal"/>
    <w:rsid w:val="00057C22"/>
    <w:pPr>
      <w:spacing w:after="240"/>
      <w:outlineLvl w:val="0"/>
    </w:pPr>
    <w:rPr>
      <w:rFonts w:ascii="EYInterstate Light" w:eastAsia="Times New Roman" w:hAnsi="EYInterstate Light"/>
      <w:kern w:val="12"/>
    </w:rPr>
  </w:style>
  <w:style w:type="paragraph" w:customStyle="1" w:styleId="EYBulletedText30">
    <w:name w:val="EY Bulleted Text 3"/>
    <w:basedOn w:val="EYBulletedText10"/>
    <w:rsid w:val="00057C22"/>
    <w:pPr>
      <w:numPr>
        <w:ilvl w:val="2"/>
      </w:numPr>
      <w:tabs>
        <w:tab w:val="clear" w:pos="1276"/>
        <w:tab w:val="num" w:pos="360"/>
        <w:tab w:val="num" w:pos="2520"/>
      </w:tabs>
      <w:ind w:left="2520" w:hanging="1080"/>
    </w:pPr>
  </w:style>
  <w:style w:type="paragraph" w:customStyle="1" w:styleId="EYAppendixHeading2">
    <w:name w:val="EY Appendix Heading 2"/>
    <w:basedOn w:val="Normal"/>
    <w:next w:val="EYAppendiceBodytext"/>
    <w:rsid w:val="00057C22"/>
    <w:pPr>
      <w:keepNext/>
      <w:spacing w:after="120"/>
      <w:outlineLvl w:val="0"/>
    </w:pPr>
    <w:rPr>
      <w:rFonts w:ascii="EYInterstate Light" w:eastAsia="Times New Roman" w:hAnsi="EYInterstate Light"/>
      <w:b/>
      <w:kern w:val="12"/>
      <w:sz w:val="28"/>
    </w:rPr>
  </w:style>
  <w:style w:type="paragraph" w:customStyle="1" w:styleId="EYSecondarysubheading">
    <w:name w:val="EY Secondary subheading"/>
    <w:basedOn w:val="EYSubheading"/>
    <w:next w:val="E-mailSignature"/>
    <w:rsid w:val="00057C22"/>
    <w:rPr>
      <w:i/>
    </w:rPr>
  </w:style>
  <w:style w:type="paragraph" w:customStyle="1" w:styleId="EYBodytextwithparaspace">
    <w:name w:val="EY Body text (with para space)"/>
    <w:basedOn w:val="Normal"/>
    <w:link w:val="EYBodytextwithparaspaceChar"/>
    <w:qFormat/>
    <w:rsid w:val="00057C22"/>
    <w:pPr>
      <w:suppressAutoHyphens/>
      <w:spacing w:after="240"/>
    </w:pPr>
    <w:rPr>
      <w:rFonts w:eastAsia="Times New Roman" w:cs="Times New Roman"/>
      <w:kern w:val="12"/>
    </w:rPr>
  </w:style>
  <w:style w:type="character" w:customStyle="1" w:styleId="EYBodytextwithparaspaceChar">
    <w:name w:val="EY Body text (with para space) Char"/>
    <w:basedOn w:val="DefaultParagraphFont"/>
    <w:link w:val="EYBodytextwithparaspace"/>
    <w:rsid w:val="00057C22"/>
    <w:rPr>
      <w:rFonts w:ascii="Arial" w:eastAsia="Times New Roman" w:hAnsi="Arial" w:cs="Times New Roman"/>
      <w:kern w:val="12"/>
      <w:sz w:val="20"/>
    </w:rPr>
  </w:style>
  <w:style w:type="paragraph" w:customStyle="1" w:styleId="EYBulletedtext1">
    <w:name w:val="EY Bulleted text 1"/>
    <w:basedOn w:val="EYBodytextwithparaspace"/>
    <w:rsid w:val="00057C22"/>
    <w:pPr>
      <w:numPr>
        <w:numId w:val="17"/>
      </w:numPr>
      <w:tabs>
        <w:tab w:val="clear" w:pos="425"/>
      </w:tabs>
      <w:ind w:left="720" w:hanging="360"/>
    </w:pPr>
  </w:style>
  <w:style w:type="paragraph" w:customStyle="1" w:styleId="EYBulletedtext2">
    <w:name w:val="EY Bulleted text 2"/>
    <w:basedOn w:val="EYBodytextwithparaspace"/>
    <w:rsid w:val="00057C22"/>
    <w:pPr>
      <w:numPr>
        <w:ilvl w:val="1"/>
        <w:numId w:val="17"/>
      </w:numPr>
      <w:tabs>
        <w:tab w:val="clear" w:pos="851"/>
      </w:tabs>
      <w:ind w:left="1440" w:hanging="360"/>
    </w:pPr>
  </w:style>
  <w:style w:type="paragraph" w:customStyle="1" w:styleId="EYBulletedtext3">
    <w:name w:val="EY Bulleted text 3"/>
    <w:basedOn w:val="EYBulletedtext1"/>
    <w:qFormat/>
    <w:rsid w:val="00057C22"/>
    <w:pPr>
      <w:numPr>
        <w:ilvl w:val="2"/>
      </w:numPr>
      <w:tabs>
        <w:tab w:val="clear" w:pos="1276"/>
      </w:tabs>
      <w:ind w:left="2160" w:hanging="360"/>
    </w:pPr>
  </w:style>
  <w:style w:type="paragraph" w:styleId="E-mailSignature">
    <w:name w:val="E-mail Signature"/>
    <w:basedOn w:val="Normal"/>
    <w:link w:val="E-mailSignatureChar"/>
    <w:rsid w:val="00057C22"/>
  </w:style>
  <w:style w:type="character" w:customStyle="1" w:styleId="E-mailSignatureChar">
    <w:name w:val="E-mail Signature Char"/>
    <w:basedOn w:val="DefaultParagraphFont"/>
    <w:link w:val="E-mailSignature"/>
    <w:rsid w:val="00057C22"/>
    <w:rPr>
      <w:sz w:val="22"/>
    </w:rPr>
  </w:style>
  <w:style w:type="paragraph" w:customStyle="1" w:styleId="EYTablebullet1">
    <w:name w:val="EY Table bullet 1"/>
    <w:basedOn w:val="Normal"/>
    <w:link w:val="EYTablebullet1Char"/>
    <w:rsid w:val="00295BCD"/>
    <w:pPr>
      <w:numPr>
        <w:numId w:val="18"/>
      </w:numPr>
      <w:spacing w:before="60" w:after="60"/>
      <w:outlineLvl w:val="0"/>
    </w:pPr>
    <w:rPr>
      <w:rFonts w:eastAsia="Times New Roman"/>
    </w:rPr>
  </w:style>
  <w:style w:type="paragraph" w:customStyle="1" w:styleId="EYTablebullet2">
    <w:name w:val="EY Table bullet 2"/>
    <w:basedOn w:val="EYTablebullet1"/>
    <w:rsid w:val="00295BCD"/>
    <w:pPr>
      <w:numPr>
        <w:ilvl w:val="1"/>
      </w:numPr>
      <w:tabs>
        <w:tab w:val="clear" w:pos="567"/>
      </w:tabs>
      <w:ind w:left="1440" w:hanging="360"/>
    </w:pPr>
  </w:style>
  <w:style w:type="character" w:customStyle="1" w:styleId="EYTablebullet1Char">
    <w:name w:val="EY Table bullet 1 Char"/>
    <w:basedOn w:val="DefaultParagraphFont"/>
    <w:link w:val="EYTablebullet1"/>
    <w:rsid w:val="00295BCD"/>
    <w:rPr>
      <w:rFonts w:eastAsia="Times New Roman"/>
    </w:rPr>
  </w:style>
  <w:style w:type="paragraph" w:customStyle="1" w:styleId="wordsection1">
    <w:name w:val="wordsection1"/>
    <w:basedOn w:val="Normal"/>
    <w:uiPriority w:val="99"/>
    <w:rsid w:val="009A02CC"/>
    <w:rPr>
      <w:rFonts w:ascii="Times New Roman" w:hAnsi="Times New Roman" w:cs="Times New Roman"/>
      <w:sz w:val="24"/>
      <w:lang w:eastAsia="en-GB"/>
    </w:rPr>
  </w:style>
  <w:style w:type="paragraph" w:customStyle="1" w:styleId="Pa38">
    <w:name w:val="Pa38"/>
    <w:basedOn w:val="Normal"/>
    <w:next w:val="Normal"/>
    <w:uiPriority w:val="99"/>
    <w:rsid w:val="005F5461"/>
    <w:pPr>
      <w:autoSpaceDE w:val="0"/>
      <w:autoSpaceDN w:val="0"/>
      <w:adjustRightInd w:val="0"/>
      <w:spacing w:line="191" w:lineRule="atLeast"/>
    </w:pPr>
    <w:rPr>
      <w:rFonts w:ascii="BT Font" w:hAnsi="BT Font"/>
      <w:sz w:val="24"/>
    </w:rPr>
  </w:style>
  <w:style w:type="table" w:customStyle="1" w:styleId="TableRangedleft1">
    <w:name w:val="Table_Ranged left_1"/>
    <w:basedOn w:val="TableNormal"/>
    <w:qFormat/>
    <w:rsid w:val="00730956"/>
    <w:tblPr/>
    <w:tcPr>
      <w:tcMar>
        <w:top w:w="108" w:type="dxa"/>
        <w:bottom w:w="108" w:type="dxa"/>
      </w:tcMar>
    </w:tcPr>
  </w:style>
  <w:style w:type="paragraph" w:customStyle="1" w:styleId="StandardText">
    <w:name w:val="Standard Text"/>
    <w:basedOn w:val="Normal"/>
    <w:uiPriority w:val="99"/>
    <w:rsid w:val="00FC173E"/>
    <w:pPr>
      <w:overflowPunct w:val="0"/>
      <w:autoSpaceDE w:val="0"/>
      <w:autoSpaceDN w:val="0"/>
      <w:spacing w:before="200" w:line="280" w:lineRule="atLeast"/>
      <w:jc w:val="both"/>
    </w:pPr>
    <w:rPr>
      <w:lang w:eastAsia="en-GB"/>
    </w:rPr>
  </w:style>
  <w:style w:type="table" w:customStyle="1" w:styleId="TableGrid3">
    <w:name w:val="Table Grid3"/>
    <w:basedOn w:val="TableNormal"/>
    <w:next w:val="TableGrid"/>
    <w:rsid w:val="00C915DE"/>
    <w:rPr>
      <w:rFonts w:eastAsia="Cambr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19417E"/>
    <w:pPr>
      <w:tabs>
        <w:tab w:val="center" w:pos="4513"/>
        <w:tab w:val="right" w:pos="9026"/>
      </w:tabs>
    </w:pPr>
  </w:style>
  <w:style w:type="character" w:customStyle="1" w:styleId="HeaderChar">
    <w:name w:val="Header Char"/>
    <w:basedOn w:val="DefaultParagraphFont"/>
    <w:link w:val="Header"/>
    <w:rsid w:val="0019417E"/>
  </w:style>
  <w:style w:type="paragraph" w:styleId="Footer">
    <w:name w:val="footer"/>
    <w:basedOn w:val="Normal"/>
    <w:link w:val="FooterChar"/>
    <w:rsid w:val="0019417E"/>
    <w:pPr>
      <w:tabs>
        <w:tab w:val="center" w:pos="4513"/>
        <w:tab w:val="right" w:pos="9026"/>
      </w:tabs>
    </w:pPr>
  </w:style>
  <w:style w:type="character" w:customStyle="1" w:styleId="FooterChar">
    <w:name w:val="Footer Char"/>
    <w:basedOn w:val="DefaultParagraphFont"/>
    <w:link w:val="Footer"/>
    <w:rsid w:val="0019417E"/>
  </w:style>
  <w:style w:type="paragraph" w:styleId="EndnoteText">
    <w:name w:val="endnote text"/>
    <w:basedOn w:val="Normal"/>
    <w:link w:val="EndnoteTextChar"/>
    <w:uiPriority w:val="99"/>
    <w:unhideWhenUsed/>
    <w:rsid w:val="002248AA"/>
  </w:style>
  <w:style w:type="character" w:customStyle="1" w:styleId="EndnoteTextChar">
    <w:name w:val="Endnote Text Char"/>
    <w:basedOn w:val="DefaultParagraphFont"/>
    <w:link w:val="EndnoteText"/>
    <w:uiPriority w:val="99"/>
    <w:rsid w:val="00EE6CB3"/>
  </w:style>
  <w:style w:type="character" w:styleId="EndnoteReference">
    <w:name w:val="endnote reference"/>
    <w:basedOn w:val="DefaultParagraphFont"/>
    <w:uiPriority w:val="99"/>
    <w:unhideWhenUsed/>
    <w:rsid w:val="00EE6CB3"/>
    <w:rPr>
      <w:vertAlign w:val="superscript"/>
    </w:rPr>
  </w:style>
  <w:style w:type="paragraph" w:customStyle="1" w:styleId="Default">
    <w:name w:val="Default"/>
    <w:rsid w:val="004F4C11"/>
    <w:pPr>
      <w:autoSpaceDE w:val="0"/>
      <w:autoSpaceDN w:val="0"/>
      <w:adjustRightInd w:val="0"/>
    </w:pPr>
    <w:rPr>
      <w:color w:val="000000"/>
      <w:sz w:val="24"/>
      <w:szCs w:val="24"/>
    </w:rPr>
  </w:style>
  <w:style w:type="character" w:customStyle="1" w:styleId="EYHeading2Char">
    <w:name w:val="EY Heading 2 Char"/>
    <w:basedOn w:val="DefaultParagraphFont"/>
    <w:link w:val="EYHeading2"/>
    <w:locked/>
    <w:rsid w:val="004F4C11"/>
    <w:rPr>
      <w:rFonts w:eastAsia="Times New Roman" w:cs="Times New Roman"/>
      <w:b/>
      <w:kern w:val="12"/>
      <w:sz w:val="26"/>
      <w:szCs w:val="24"/>
    </w:rPr>
  </w:style>
  <w:style w:type="paragraph" w:customStyle="1" w:styleId="EYHeading2">
    <w:name w:val="EY Heading 2"/>
    <w:basedOn w:val="Normal"/>
    <w:next w:val="EYBodytextwithparaspace"/>
    <w:link w:val="EYHeading2Char"/>
    <w:rsid w:val="004F4C11"/>
    <w:pPr>
      <w:keepNext/>
      <w:suppressAutoHyphens/>
      <w:spacing w:before="120" w:after="120"/>
    </w:pPr>
    <w:rPr>
      <w:rFonts w:eastAsia="Times New Roman" w:cs="Times New Roman"/>
      <w:b/>
      <w:kern w:val="12"/>
      <w:sz w:val="26"/>
      <w:szCs w:val="24"/>
    </w:rPr>
  </w:style>
  <w:style w:type="paragraph" w:styleId="PlainText">
    <w:name w:val="Plain Text"/>
    <w:basedOn w:val="Normal"/>
    <w:link w:val="PlainTextChar"/>
    <w:uiPriority w:val="99"/>
    <w:unhideWhenUsed/>
    <w:rsid w:val="00AD145D"/>
    <w:rPr>
      <w:rFonts w:ascii="Calibri" w:hAnsi="Calibri" w:cstheme="minorBidi"/>
      <w:sz w:val="22"/>
      <w:szCs w:val="21"/>
      <w:lang w:val="en-US"/>
    </w:rPr>
  </w:style>
  <w:style w:type="character" w:customStyle="1" w:styleId="PlainTextChar">
    <w:name w:val="Plain Text Char"/>
    <w:basedOn w:val="DefaultParagraphFont"/>
    <w:link w:val="PlainText"/>
    <w:uiPriority w:val="99"/>
    <w:rsid w:val="00AD145D"/>
    <w:rPr>
      <w:rFonts w:ascii="Calibri" w:hAnsi="Calibri" w:cstheme="minorBidi"/>
      <w:sz w:val="22"/>
      <w:szCs w:val="21"/>
      <w:lang w:val="en-US"/>
    </w:rPr>
  </w:style>
  <w:style w:type="paragraph" w:customStyle="1" w:styleId="Body1">
    <w:name w:val="Body 1"/>
    <w:basedOn w:val="Normal"/>
    <w:link w:val="Body1Char"/>
    <w:qFormat/>
    <w:rsid w:val="00D36E0B"/>
    <w:pPr>
      <w:spacing w:after="210" w:line="264" w:lineRule="auto"/>
      <w:jc w:val="both"/>
    </w:pPr>
    <w:rPr>
      <w:rFonts w:eastAsia="Arial Unicode MS" w:cs="Times New Roman"/>
      <w:sz w:val="21"/>
      <w:szCs w:val="21"/>
      <w:lang w:eastAsia="en-GB"/>
    </w:rPr>
  </w:style>
  <w:style w:type="character" w:customStyle="1" w:styleId="Body1Char">
    <w:name w:val="Body 1 Char"/>
    <w:basedOn w:val="DefaultParagraphFont"/>
    <w:link w:val="Body1"/>
    <w:rsid w:val="00D36E0B"/>
    <w:rPr>
      <w:rFonts w:eastAsia="Arial Unicode MS" w:cs="Times New Roman"/>
      <w:sz w:val="21"/>
      <w:szCs w:val="21"/>
      <w:lang w:eastAsia="en-GB"/>
    </w:rPr>
  </w:style>
  <w:style w:type="paragraph" w:customStyle="1" w:styleId="fy">
    <w:name w:val="fy"/>
    <w:basedOn w:val="Normal"/>
    <w:rsid w:val="00A404D4"/>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fs">
    <w:name w:val="fs"/>
    <w:basedOn w:val="DefaultParagraphFont"/>
    <w:rsid w:val="00A404D4"/>
  </w:style>
  <w:style w:type="character" w:customStyle="1" w:styleId="fq">
    <w:name w:val="fq"/>
    <w:basedOn w:val="DefaultParagraphFont"/>
    <w:rsid w:val="00A404D4"/>
  </w:style>
  <w:style w:type="character" w:customStyle="1" w:styleId="fp">
    <w:name w:val="fp"/>
    <w:basedOn w:val="DefaultParagraphFont"/>
    <w:rsid w:val="00A404D4"/>
  </w:style>
  <w:style w:type="character" w:customStyle="1" w:styleId="fo">
    <w:name w:val="fo"/>
    <w:basedOn w:val="DefaultParagraphFont"/>
    <w:rsid w:val="00A404D4"/>
  </w:style>
  <w:style w:type="character" w:customStyle="1" w:styleId="fn">
    <w:name w:val="fn"/>
    <w:basedOn w:val="DefaultParagraphFont"/>
    <w:rsid w:val="00A404D4"/>
  </w:style>
  <w:style w:type="paragraph" w:customStyle="1" w:styleId="cb">
    <w:name w:val="cb"/>
    <w:basedOn w:val="Normal"/>
    <w:rsid w:val="00DF68E3"/>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fx">
    <w:name w:val="fx"/>
    <w:basedOn w:val="Normal"/>
    <w:rsid w:val="00DF68E3"/>
    <w:pPr>
      <w:spacing w:before="100" w:beforeAutospacing="1" w:after="100" w:afterAutospacing="1"/>
    </w:pPr>
    <w:rPr>
      <w:rFonts w:ascii="Times New Roman" w:eastAsia="Times New Roman" w:hAnsi="Times New Roman" w:cs="Times New Roman"/>
      <w:sz w:val="24"/>
      <w:szCs w:val="24"/>
      <w:lang w:eastAsia="zh-CN"/>
    </w:rPr>
  </w:style>
  <w:style w:type="numbering" w:customStyle="1" w:styleId="NoList1">
    <w:name w:val="No List1"/>
    <w:next w:val="NoList"/>
    <w:uiPriority w:val="99"/>
    <w:semiHidden/>
    <w:unhideWhenUsed/>
    <w:rsid w:val="00F1041C"/>
  </w:style>
  <w:style w:type="paragraph" w:customStyle="1" w:styleId="ni">
    <w:name w:val="ni"/>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ne">
    <w:name w:val="ne"/>
    <w:basedOn w:val="DefaultParagraphFont"/>
    <w:rsid w:val="00F1041C"/>
  </w:style>
  <w:style w:type="paragraph" w:customStyle="1" w:styleId="g">
    <w:name w:val="g"/>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ng">
    <w:name w:val="ng"/>
    <w:basedOn w:val="DefaultParagraphFont"/>
    <w:rsid w:val="00F1041C"/>
  </w:style>
  <w:style w:type="paragraph" w:customStyle="1" w:styleId="nj">
    <w:name w:val="nj"/>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nd">
    <w:name w:val="nd"/>
    <w:basedOn w:val="DefaultParagraphFont"/>
    <w:rsid w:val="00F1041C"/>
  </w:style>
  <w:style w:type="character" w:customStyle="1" w:styleId="nc">
    <w:name w:val="nc"/>
    <w:basedOn w:val="DefaultParagraphFont"/>
    <w:rsid w:val="00F1041C"/>
  </w:style>
  <w:style w:type="paragraph" w:customStyle="1" w:styleId="nl">
    <w:name w:val="nl"/>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nn">
    <w:name w:val="nn"/>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no">
    <w:name w:val="no"/>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np">
    <w:name w:val="np"/>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nq">
    <w:name w:val="nq"/>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nr">
    <w:name w:val="nr"/>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mb">
    <w:name w:val="mb"/>
    <w:basedOn w:val="DefaultParagraphFont"/>
    <w:rsid w:val="00F1041C"/>
  </w:style>
  <w:style w:type="paragraph" w:customStyle="1" w:styleId="ns">
    <w:name w:val="ns"/>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lz">
    <w:name w:val="lz"/>
    <w:basedOn w:val="DefaultParagraphFont"/>
    <w:rsid w:val="00F1041C"/>
  </w:style>
  <w:style w:type="paragraph" w:customStyle="1" w:styleId="nv">
    <w:name w:val="nv"/>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lv">
    <w:name w:val="lv"/>
    <w:basedOn w:val="DefaultParagraphFont"/>
    <w:rsid w:val="00F1041C"/>
  </w:style>
  <w:style w:type="character" w:customStyle="1" w:styleId="lt">
    <w:name w:val="lt"/>
    <w:basedOn w:val="DefaultParagraphFont"/>
    <w:rsid w:val="00F1041C"/>
  </w:style>
  <w:style w:type="character" w:customStyle="1" w:styleId="lu">
    <w:name w:val="lu"/>
    <w:basedOn w:val="DefaultParagraphFont"/>
    <w:rsid w:val="00F1041C"/>
  </w:style>
  <w:style w:type="paragraph" w:customStyle="1" w:styleId="ny">
    <w:name w:val="ny"/>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nz">
    <w:name w:val="nz"/>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oa">
    <w:name w:val="oa"/>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ob">
    <w:name w:val="ob"/>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ln">
    <w:name w:val="ln"/>
    <w:basedOn w:val="DefaultParagraphFont"/>
    <w:rsid w:val="00F1041C"/>
  </w:style>
  <w:style w:type="paragraph" w:customStyle="1" w:styleId="oc">
    <w:name w:val="oc"/>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ll">
    <w:name w:val="ll"/>
    <w:basedOn w:val="DefaultParagraphFont"/>
    <w:rsid w:val="00F1041C"/>
  </w:style>
  <w:style w:type="paragraph" w:customStyle="1" w:styleId="od">
    <w:name w:val="od"/>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lh">
    <w:name w:val="lh"/>
    <w:basedOn w:val="DefaultParagraphFont"/>
    <w:rsid w:val="00F1041C"/>
  </w:style>
  <w:style w:type="paragraph" w:customStyle="1" w:styleId="of">
    <w:name w:val="of"/>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og">
    <w:name w:val="og"/>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le">
    <w:name w:val="le"/>
    <w:basedOn w:val="DefaultParagraphFont"/>
    <w:rsid w:val="00F1041C"/>
  </w:style>
  <w:style w:type="paragraph" w:customStyle="1" w:styleId="oh">
    <w:name w:val="oh"/>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oi">
    <w:name w:val="oi"/>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ok">
    <w:name w:val="ok"/>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ko">
    <w:name w:val="ko"/>
    <w:basedOn w:val="DefaultParagraphFont"/>
    <w:rsid w:val="00F1041C"/>
  </w:style>
  <w:style w:type="paragraph" w:customStyle="1" w:styleId="ol">
    <w:name w:val="ol"/>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kn">
    <w:name w:val="kn"/>
    <w:basedOn w:val="DefaultParagraphFont"/>
    <w:rsid w:val="00F1041C"/>
  </w:style>
  <w:style w:type="character" w:customStyle="1" w:styleId="kj">
    <w:name w:val="kj"/>
    <w:basedOn w:val="DefaultParagraphFont"/>
    <w:rsid w:val="00F1041C"/>
  </w:style>
  <w:style w:type="paragraph" w:customStyle="1" w:styleId="a">
    <w:name w:val="a"/>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v">
    <w:name w:val="v"/>
    <w:basedOn w:val="DefaultParagraphFont"/>
    <w:rsid w:val="00F1041C"/>
  </w:style>
  <w:style w:type="character" w:styleId="Strong">
    <w:name w:val="Strong"/>
    <w:basedOn w:val="DefaultParagraphFont"/>
    <w:uiPriority w:val="22"/>
    <w:qFormat/>
    <w:rsid w:val="00F1041C"/>
    <w:rPr>
      <w:b/>
      <w:bCs/>
    </w:rPr>
  </w:style>
  <w:style w:type="paragraph" w:customStyle="1" w:styleId="ae">
    <w:name w:val="ae"/>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paragraph" w:customStyle="1" w:styleId="af">
    <w:name w:val="af"/>
    <w:basedOn w:val="Normal"/>
    <w:rsid w:val="00F1041C"/>
    <w:pPr>
      <w:spacing w:before="100" w:beforeAutospacing="1" w:after="100" w:afterAutospacing="1"/>
    </w:pPr>
    <w:rPr>
      <w:rFonts w:ascii="Times New Roman" w:eastAsia="Times New Roman" w:hAnsi="Times New Roman" w:cs="Times New Roman"/>
      <w:sz w:val="24"/>
      <w:szCs w:val="24"/>
      <w:lang w:val="en-US"/>
    </w:rPr>
  </w:style>
  <w:style w:type="character" w:customStyle="1" w:styleId="FollowedHyperlink1">
    <w:name w:val="FollowedHyperlink1"/>
    <w:basedOn w:val="DefaultParagraphFont"/>
    <w:uiPriority w:val="99"/>
    <w:semiHidden/>
    <w:unhideWhenUsed/>
    <w:rsid w:val="00F1041C"/>
    <w:rPr>
      <w:color w:val="800080"/>
      <w:u w:val="single"/>
    </w:rPr>
  </w:style>
  <w:style w:type="character" w:styleId="FootnoteReference">
    <w:name w:val="footnote reference"/>
    <w:basedOn w:val="DefaultParagraphFont"/>
    <w:uiPriority w:val="99"/>
    <w:semiHidden/>
    <w:unhideWhenUsed/>
    <w:rsid w:val="00F1041C"/>
    <w:rPr>
      <w:vertAlign w:val="superscript"/>
    </w:rPr>
  </w:style>
  <w:style w:type="character" w:customStyle="1" w:styleId="be">
    <w:name w:val="be"/>
    <w:basedOn w:val="DefaultParagraphFont"/>
    <w:rsid w:val="00F1041C"/>
    <w:rPr>
      <w:rFonts w:ascii="Calibri" w:hAnsi="Calibri" w:hint="default"/>
      <w:color w:val="000000"/>
      <w:sz w:val="20"/>
      <w:szCs w:val="20"/>
    </w:rPr>
  </w:style>
  <w:style w:type="character" w:styleId="FollowedHyperlink">
    <w:name w:val="FollowedHyperlink"/>
    <w:basedOn w:val="DefaultParagraphFont"/>
    <w:semiHidden/>
    <w:unhideWhenUsed/>
    <w:rsid w:val="00F1041C"/>
    <w:rPr>
      <w:color w:val="800080" w:themeColor="followedHyperlink"/>
      <w:u w:val="single"/>
    </w:rPr>
  </w:style>
  <w:style w:type="paragraph" w:customStyle="1" w:styleId="Style2">
    <w:name w:val="Style2"/>
    <w:basedOn w:val="Heading2"/>
    <w:link w:val="Style2Char"/>
    <w:qFormat/>
    <w:rsid w:val="005C285E"/>
    <w:pPr>
      <w:keepNext/>
      <w:keepLines/>
      <w:spacing w:line="276" w:lineRule="auto"/>
      <w:ind w:left="0" w:firstLine="0"/>
      <w:jc w:val="both"/>
    </w:pPr>
    <w:rPr>
      <w:rFonts w:ascii="Verdana" w:eastAsiaTheme="majorEastAsia" w:hAnsi="Verdana" w:cstheme="majorBidi"/>
      <w:caps/>
      <w:sz w:val="18"/>
      <w:szCs w:val="18"/>
      <w:lang w:eastAsia="zh-CN"/>
    </w:rPr>
  </w:style>
  <w:style w:type="character" w:customStyle="1" w:styleId="Style2Char">
    <w:name w:val="Style2 Char"/>
    <w:basedOn w:val="Heading2Char"/>
    <w:link w:val="Style2"/>
    <w:rsid w:val="005C285E"/>
    <w:rPr>
      <w:rFonts w:ascii="Verdana" w:eastAsiaTheme="majorEastAsia" w:hAnsi="Verdana" w:cstheme="majorBidi"/>
      <w:b/>
      <w:caps/>
      <w:sz w:val="18"/>
      <w:szCs w:val="18"/>
      <w:lang w:eastAsia="zh-CN"/>
    </w:rPr>
  </w:style>
  <w:style w:type="character" w:customStyle="1" w:styleId="UnresolvedMention1">
    <w:name w:val="Unresolved Mention1"/>
    <w:basedOn w:val="DefaultParagraphFont"/>
    <w:uiPriority w:val="99"/>
    <w:semiHidden/>
    <w:unhideWhenUsed/>
    <w:rsid w:val="00E24056"/>
    <w:rPr>
      <w:color w:val="605E5C"/>
      <w:shd w:val="clear" w:color="auto" w:fill="E1DFDD"/>
    </w:rPr>
  </w:style>
  <w:style w:type="character" w:customStyle="1" w:styleId="UnresolvedMention">
    <w:name w:val="Unresolved Mention"/>
    <w:basedOn w:val="DefaultParagraphFont"/>
    <w:uiPriority w:val="99"/>
    <w:semiHidden/>
    <w:unhideWhenUsed/>
    <w:rsid w:val="001E3B35"/>
    <w:rPr>
      <w:color w:val="605E5C"/>
      <w:shd w:val="clear" w:color="auto" w:fill="E1DFDD"/>
    </w:rPr>
  </w:style>
  <w:style w:type="paragraph" w:customStyle="1" w:styleId="Body">
    <w:name w:val="Body"/>
    <w:link w:val="BodyChar"/>
    <w:rsid w:val="001D00C6"/>
    <w:pPr>
      <w:spacing w:after="280"/>
      <w:jc w:val="both"/>
    </w:pPr>
    <w:rPr>
      <w:rFonts w:ascii="Times New Roman" w:eastAsia="Times New Roman" w:hAnsi="Times New Roman" w:cs="Times New Roman"/>
      <w:sz w:val="24"/>
      <w:lang w:val="en-US"/>
    </w:rPr>
  </w:style>
  <w:style w:type="character" w:customStyle="1" w:styleId="BodyChar">
    <w:name w:val="Body Char"/>
    <w:link w:val="Body"/>
    <w:locked/>
    <w:rsid w:val="001D00C6"/>
    <w:rPr>
      <w:rFonts w:ascii="Times New Roman" w:eastAsia="Times New Roman" w:hAnsi="Times New Roman" w:cs="Times New Roman"/>
      <w:sz w:val="24"/>
      <w:lang w:val="en-US"/>
    </w:rPr>
  </w:style>
  <w:style w:type="paragraph" w:customStyle="1" w:styleId="tblNormal">
    <w:name w:val="tblNormal"/>
    <w:next w:val="Body"/>
    <w:rsid w:val="00A51778"/>
    <w:pPr>
      <w:jc w:val="both"/>
    </w:pPr>
    <w:rPr>
      <w:rFonts w:ascii="Times New Roman" w:eastAsia="Times New Roman" w:hAnsi="Times New Roman" w:cs="Times New Roman"/>
      <w:sz w:val="24"/>
      <w:lang w:val="en-US"/>
    </w:rPr>
  </w:style>
  <w:style w:type="paragraph" w:customStyle="1" w:styleId="tblNormal-Heading">
    <w:name w:val="tblNormal-Heading"/>
    <w:rsid w:val="00A51778"/>
    <w:pPr>
      <w:jc w:val="center"/>
    </w:pPr>
    <w:rPr>
      <w:rFonts w:ascii="Times New Roman" w:eastAsia="Times New Roman" w:hAnsi="Times New Roman" w:cs="Times New Roman"/>
      <w:b/>
      <w:bCs/>
      <w:sz w:val="24"/>
      <w:lang w:val="en-US"/>
    </w:rPr>
  </w:style>
  <w:style w:type="paragraph" w:customStyle="1" w:styleId="indent0">
    <w:name w:val="indent0"/>
    <w:link w:val="indent0Char"/>
    <w:rsid w:val="00A51778"/>
    <w:pPr>
      <w:ind w:left="187" w:right="72" w:hanging="187"/>
    </w:pPr>
    <w:rPr>
      <w:rFonts w:ascii="Times New Roman" w:eastAsia="Times New Roman" w:hAnsi="Times New Roman" w:cs="Times New Roman"/>
      <w:sz w:val="24"/>
      <w:lang w:val="en-US"/>
    </w:rPr>
  </w:style>
  <w:style w:type="character" w:customStyle="1" w:styleId="indent0Char">
    <w:name w:val="indent0 Char"/>
    <w:link w:val="indent0"/>
    <w:locked/>
    <w:rsid w:val="00A51778"/>
    <w:rPr>
      <w:rFonts w:ascii="Times New Roman" w:eastAsia="Times New Roman" w:hAnsi="Times New Roman" w:cs="Times New Roman"/>
      <w:sz w:val="24"/>
      <w:lang w:val="en-US"/>
    </w:rPr>
  </w:style>
  <w:style w:type="paragraph" w:styleId="Date">
    <w:name w:val="Date"/>
    <w:basedOn w:val="Normal"/>
    <w:next w:val="Normal"/>
    <w:link w:val="DateChar"/>
    <w:rsid w:val="007B606F"/>
  </w:style>
  <w:style w:type="character" w:customStyle="1" w:styleId="DateChar">
    <w:name w:val="Date Char"/>
    <w:basedOn w:val="DefaultParagraphFont"/>
    <w:link w:val="Date"/>
    <w:rsid w:val="007B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6288">
      <w:bodyDiv w:val="1"/>
      <w:marLeft w:val="0"/>
      <w:marRight w:val="0"/>
      <w:marTop w:val="0"/>
      <w:marBottom w:val="0"/>
      <w:divBdr>
        <w:top w:val="none" w:sz="0" w:space="0" w:color="auto"/>
        <w:left w:val="none" w:sz="0" w:space="0" w:color="auto"/>
        <w:bottom w:val="none" w:sz="0" w:space="0" w:color="auto"/>
        <w:right w:val="none" w:sz="0" w:space="0" w:color="auto"/>
      </w:divBdr>
    </w:div>
    <w:div w:id="40516373">
      <w:bodyDiv w:val="1"/>
      <w:marLeft w:val="0"/>
      <w:marRight w:val="0"/>
      <w:marTop w:val="0"/>
      <w:marBottom w:val="0"/>
      <w:divBdr>
        <w:top w:val="none" w:sz="0" w:space="0" w:color="auto"/>
        <w:left w:val="none" w:sz="0" w:space="0" w:color="auto"/>
        <w:bottom w:val="none" w:sz="0" w:space="0" w:color="auto"/>
        <w:right w:val="none" w:sz="0" w:space="0" w:color="auto"/>
      </w:divBdr>
      <w:divsChild>
        <w:div w:id="1088189044">
          <w:marLeft w:val="0"/>
          <w:marRight w:val="0"/>
          <w:marTop w:val="0"/>
          <w:marBottom w:val="0"/>
          <w:divBdr>
            <w:top w:val="none" w:sz="0" w:space="0" w:color="auto"/>
            <w:left w:val="none" w:sz="0" w:space="0" w:color="auto"/>
            <w:bottom w:val="none" w:sz="0" w:space="0" w:color="auto"/>
            <w:right w:val="none" w:sz="0" w:space="0" w:color="auto"/>
          </w:divBdr>
          <w:divsChild>
            <w:div w:id="11895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1551">
      <w:bodyDiv w:val="1"/>
      <w:marLeft w:val="0"/>
      <w:marRight w:val="0"/>
      <w:marTop w:val="0"/>
      <w:marBottom w:val="0"/>
      <w:divBdr>
        <w:top w:val="none" w:sz="0" w:space="0" w:color="auto"/>
        <w:left w:val="none" w:sz="0" w:space="0" w:color="auto"/>
        <w:bottom w:val="none" w:sz="0" w:space="0" w:color="auto"/>
        <w:right w:val="none" w:sz="0" w:space="0" w:color="auto"/>
      </w:divBdr>
    </w:div>
    <w:div w:id="67774080">
      <w:bodyDiv w:val="1"/>
      <w:marLeft w:val="0"/>
      <w:marRight w:val="0"/>
      <w:marTop w:val="0"/>
      <w:marBottom w:val="0"/>
      <w:divBdr>
        <w:top w:val="none" w:sz="0" w:space="0" w:color="auto"/>
        <w:left w:val="none" w:sz="0" w:space="0" w:color="auto"/>
        <w:bottom w:val="none" w:sz="0" w:space="0" w:color="auto"/>
        <w:right w:val="none" w:sz="0" w:space="0" w:color="auto"/>
      </w:divBdr>
    </w:div>
    <w:div w:id="70738410">
      <w:bodyDiv w:val="1"/>
      <w:marLeft w:val="0"/>
      <w:marRight w:val="0"/>
      <w:marTop w:val="0"/>
      <w:marBottom w:val="0"/>
      <w:divBdr>
        <w:top w:val="none" w:sz="0" w:space="0" w:color="auto"/>
        <w:left w:val="none" w:sz="0" w:space="0" w:color="auto"/>
        <w:bottom w:val="none" w:sz="0" w:space="0" w:color="auto"/>
        <w:right w:val="none" w:sz="0" w:space="0" w:color="auto"/>
      </w:divBdr>
    </w:div>
    <w:div w:id="99420825">
      <w:bodyDiv w:val="1"/>
      <w:marLeft w:val="0"/>
      <w:marRight w:val="0"/>
      <w:marTop w:val="0"/>
      <w:marBottom w:val="0"/>
      <w:divBdr>
        <w:top w:val="none" w:sz="0" w:space="0" w:color="auto"/>
        <w:left w:val="none" w:sz="0" w:space="0" w:color="auto"/>
        <w:bottom w:val="none" w:sz="0" w:space="0" w:color="auto"/>
        <w:right w:val="none" w:sz="0" w:space="0" w:color="auto"/>
      </w:divBdr>
    </w:div>
    <w:div w:id="151995029">
      <w:bodyDiv w:val="1"/>
      <w:marLeft w:val="0"/>
      <w:marRight w:val="0"/>
      <w:marTop w:val="0"/>
      <w:marBottom w:val="0"/>
      <w:divBdr>
        <w:top w:val="none" w:sz="0" w:space="0" w:color="auto"/>
        <w:left w:val="none" w:sz="0" w:space="0" w:color="auto"/>
        <w:bottom w:val="none" w:sz="0" w:space="0" w:color="auto"/>
        <w:right w:val="none" w:sz="0" w:space="0" w:color="auto"/>
      </w:divBdr>
    </w:div>
    <w:div w:id="184290564">
      <w:bodyDiv w:val="1"/>
      <w:marLeft w:val="0"/>
      <w:marRight w:val="0"/>
      <w:marTop w:val="0"/>
      <w:marBottom w:val="0"/>
      <w:divBdr>
        <w:top w:val="none" w:sz="0" w:space="0" w:color="auto"/>
        <w:left w:val="none" w:sz="0" w:space="0" w:color="auto"/>
        <w:bottom w:val="none" w:sz="0" w:space="0" w:color="auto"/>
        <w:right w:val="none" w:sz="0" w:space="0" w:color="auto"/>
      </w:divBdr>
    </w:div>
    <w:div w:id="191261620">
      <w:bodyDiv w:val="1"/>
      <w:marLeft w:val="0"/>
      <w:marRight w:val="0"/>
      <w:marTop w:val="0"/>
      <w:marBottom w:val="0"/>
      <w:divBdr>
        <w:top w:val="none" w:sz="0" w:space="0" w:color="auto"/>
        <w:left w:val="none" w:sz="0" w:space="0" w:color="auto"/>
        <w:bottom w:val="none" w:sz="0" w:space="0" w:color="auto"/>
        <w:right w:val="none" w:sz="0" w:space="0" w:color="auto"/>
      </w:divBdr>
    </w:div>
    <w:div w:id="198515420">
      <w:bodyDiv w:val="1"/>
      <w:marLeft w:val="0"/>
      <w:marRight w:val="0"/>
      <w:marTop w:val="0"/>
      <w:marBottom w:val="0"/>
      <w:divBdr>
        <w:top w:val="none" w:sz="0" w:space="0" w:color="auto"/>
        <w:left w:val="none" w:sz="0" w:space="0" w:color="auto"/>
        <w:bottom w:val="none" w:sz="0" w:space="0" w:color="auto"/>
        <w:right w:val="none" w:sz="0" w:space="0" w:color="auto"/>
      </w:divBdr>
    </w:div>
    <w:div w:id="211424935">
      <w:bodyDiv w:val="1"/>
      <w:marLeft w:val="0"/>
      <w:marRight w:val="0"/>
      <w:marTop w:val="0"/>
      <w:marBottom w:val="0"/>
      <w:divBdr>
        <w:top w:val="none" w:sz="0" w:space="0" w:color="auto"/>
        <w:left w:val="none" w:sz="0" w:space="0" w:color="auto"/>
        <w:bottom w:val="none" w:sz="0" w:space="0" w:color="auto"/>
        <w:right w:val="none" w:sz="0" w:space="0" w:color="auto"/>
      </w:divBdr>
    </w:div>
    <w:div w:id="226694320">
      <w:bodyDiv w:val="1"/>
      <w:marLeft w:val="0"/>
      <w:marRight w:val="0"/>
      <w:marTop w:val="0"/>
      <w:marBottom w:val="0"/>
      <w:divBdr>
        <w:top w:val="none" w:sz="0" w:space="0" w:color="auto"/>
        <w:left w:val="none" w:sz="0" w:space="0" w:color="auto"/>
        <w:bottom w:val="none" w:sz="0" w:space="0" w:color="auto"/>
        <w:right w:val="none" w:sz="0" w:space="0" w:color="auto"/>
      </w:divBdr>
    </w:div>
    <w:div w:id="231738965">
      <w:bodyDiv w:val="1"/>
      <w:marLeft w:val="0"/>
      <w:marRight w:val="0"/>
      <w:marTop w:val="0"/>
      <w:marBottom w:val="0"/>
      <w:divBdr>
        <w:top w:val="none" w:sz="0" w:space="0" w:color="auto"/>
        <w:left w:val="none" w:sz="0" w:space="0" w:color="auto"/>
        <w:bottom w:val="none" w:sz="0" w:space="0" w:color="auto"/>
        <w:right w:val="none" w:sz="0" w:space="0" w:color="auto"/>
      </w:divBdr>
    </w:div>
    <w:div w:id="237326427">
      <w:bodyDiv w:val="1"/>
      <w:marLeft w:val="0"/>
      <w:marRight w:val="0"/>
      <w:marTop w:val="0"/>
      <w:marBottom w:val="0"/>
      <w:divBdr>
        <w:top w:val="none" w:sz="0" w:space="0" w:color="auto"/>
        <w:left w:val="none" w:sz="0" w:space="0" w:color="auto"/>
        <w:bottom w:val="none" w:sz="0" w:space="0" w:color="auto"/>
        <w:right w:val="none" w:sz="0" w:space="0" w:color="auto"/>
      </w:divBdr>
    </w:div>
    <w:div w:id="315109822">
      <w:bodyDiv w:val="1"/>
      <w:marLeft w:val="0"/>
      <w:marRight w:val="0"/>
      <w:marTop w:val="0"/>
      <w:marBottom w:val="0"/>
      <w:divBdr>
        <w:top w:val="none" w:sz="0" w:space="0" w:color="auto"/>
        <w:left w:val="none" w:sz="0" w:space="0" w:color="auto"/>
        <w:bottom w:val="none" w:sz="0" w:space="0" w:color="auto"/>
        <w:right w:val="none" w:sz="0" w:space="0" w:color="auto"/>
      </w:divBdr>
      <w:divsChild>
        <w:div w:id="101001883">
          <w:marLeft w:val="0"/>
          <w:marRight w:val="0"/>
          <w:marTop w:val="0"/>
          <w:marBottom w:val="0"/>
          <w:divBdr>
            <w:top w:val="none" w:sz="0" w:space="0" w:color="auto"/>
            <w:left w:val="none" w:sz="0" w:space="0" w:color="auto"/>
            <w:bottom w:val="none" w:sz="0" w:space="0" w:color="auto"/>
            <w:right w:val="none" w:sz="0" w:space="0" w:color="auto"/>
          </w:divBdr>
          <w:divsChild>
            <w:div w:id="13237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0473">
      <w:bodyDiv w:val="1"/>
      <w:marLeft w:val="0"/>
      <w:marRight w:val="0"/>
      <w:marTop w:val="0"/>
      <w:marBottom w:val="0"/>
      <w:divBdr>
        <w:top w:val="none" w:sz="0" w:space="0" w:color="auto"/>
        <w:left w:val="none" w:sz="0" w:space="0" w:color="auto"/>
        <w:bottom w:val="none" w:sz="0" w:space="0" w:color="auto"/>
        <w:right w:val="none" w:sz="0" w:space="0" w:color="auto"/>
      </w:divBdr>
    </w:div>
    <w:div w:id="368263321">
      <w:bodyDiv w:val="1"/>
      <w:marLeft w:val="0"/>
      <w:marRight w:val="0"/>
      <w:marTop w:val="0"/>
      <w:marBottom w:val="0"/>
      <w:divBdr>
        <w:top w:val="none" w:sz="0" w:space="0" w:color="auto"/>
        <w:left w:val="none" w:sz="0" w:space="0" w:color="auto"/>
        <w:bottom w:val="none" w:sz="0" w:space="0" w:color="auto"/>
        <w:right w:val="none" w:sz="0" w:space="0" w:color="auto"/>
      </w:divBdr>
    </w:div>
    <w:div w:id="388266909">
      <w:bodyDiv w:val="1"/>
      <w:marLeft w:val="0"/>
      <w:marRight w:val="0"/>
      <w:marTop w:val="0"/>
      <w:marBottom w:val="0"/>
      <w:divBdr>
        <w:top w:val="none" w:sz="0" w:space="0" w:color="auto"/>
        <w:left w:val="none" w:sz="0" w:space="0" w:color="auto"/>
        <w:bottom w:val="none" w:sz="0" w:space="0" w:color="auto"/>
        <w:right w:val="none" w:sz="0" w:space="0" w:color="auto"/>
      </w:divBdr>
    </w:div>
    <w:div w:id="398407618">
      <w:bodyDiv w:val="1"/>
      <w:marLeft w:val="0"/>
      <w:marRight w:val="0"/>
      <w:marTop w:val="0"/>
      <w:marBottom w:val="0"/>
      <w:divBdr>
        <w:top w:val="none" w:sz="0" w:space="0" w:color="auto"/>
        <w:left w:val="none" w:sz="0" w:space="0" w:color="auto"/>
        <w:bottom w:val="none" w:sz="0" w:space="0" w:color="auto"/>
        <w:right w:val="none" w:sz="0" w:space="0" w:color="auto"/>
      </w:divBdr>
    </w:div>
    <w:div w:id="404884350">
      <w:bodyDiv w:val="1"/>
      <w:marLeft w:val="0"/>
      <w:marRight w:val="0"/>
      <w:marTop w:val="0"/>
      <w:marBottom w:val="0"/>
      <w:divBdr>
        <w:top w:val="none" w:sz="0" w:space="0" w:color="auto"/>
        <w:left w:val="none" w:sz="0" w:space="0" w:color="auto"/>
        <w:bottom w:val="none" w:sz="0" w:space="0" w:color="auto"/>
        <w:right w:val="none" w:sz="0" w:space="0" w:color="auto"/>
      </w:divBdr>
    </w:div>
    <w:div w:id="432359195">
      <w:bodyDiv w:val="1"/>
      <w:marLeft w:val="0"/>
      <w:marRight w:val="0"/>
      <w:marTop w:val="0"/>
      <w:marBottom w:val="0"/>
      <w:divBdr>
        <w:top w:val="none" w:sz="0" w:space="0" w:color="auto"/>
        <w:left w:val="none" w:sz="0" w:space="0" w:color="auto"/>
        <w:bottom w:val="none" w:sz="0" w:space="0" w:color="auto"/>
        <w:right w:val="none" w:sz="0" w:space="0" w:color="auto"/>
      </w:divBdr>
    </w:div>
    <w:div w:id="432825186">
      <w:bodyDiv w:val="1"/>
      <w:marLeft w:val="0"/>
      <w:marRight w:val="0"/>
      <w:marTop w:val="0"/>
      <w:marBottom w:val="0"/>
      <w:divBdr>
        <w:top w:val="none" w:sz="0" w:space="0" w:color="auto"/>
        <w:left w:val="none" w:sz="0" w:space="0" w:color="auto"/>
        <w:bottom w:val="none" w:sz="0" w:space="0" w:color="auto"/>
        <w:right w:val="none" w:sz="0" w:space="0" w:color="auto"/>
      </w:divBdr>
    </w:div>
    <w:div w:id="440344512">
      <w:bodyDiv w:val="1"/>
      <w:marLeft w:val="0"/>
      <w:marRight w:val="0"/>
      <w:marTop w:val="0"/>
      <w:marBottom w:val="0"/>
      <w:divBdr>
        <w:top w:val="none" w:sz="0" w:space="0" w:color="auto"/>
        <w:left w:val="none" w:sz="0" w:space="0" w:color="auto"/>
        <w:bottom w:val="none" w:sz="0" w:space="0" w:color="auto"/>
        <w:right w:val="none" w:sz="0" w:space="0" w:color="auto"/>
      </w:divBdr>
    </w:div>
    <w:div w:id="449520397">
      <w:bodyDiv w:val="1"/>
      <w:marLeft w:val="0"/>
      <w:marRight w:val="0"/>
      <w:marTop w:val="0"/>
      <w:marBottom w:val="0"/>
      <w:divBdr>
        <w:top w:val="none" w:sz="0" w:space="0" w:color="auto"/>
        <w:left w:val="none" w:sz="0" w:space="0" w:color="auto"/>
        <w:bottom w:val="none" w:sz="0" w:space="0" w:color="auto"/>
        <w:right w:val="none" w:sz="0" w:space="0" w:color="auto"/>
      </w:divBdr>
    </w:div>
    <w:div w:id="463931394">
      <w:bodyDiv w:val="1"/>
      <w:marLeft w:val="0"/>
      <w:marRight w:val="0"/>
      <w:marTop w:val="0"/>
      <w:marBottom w:val="0"/>
      <w:divBdr>
        <w:top w:val="none" w:sz="0" w:space="0" w:color="auto"/>
        <w:left w:val="none" w:sz="0" w:space="0" w:color="auto"/>
        <w:bottom w:val="none" w:sz="0" w:space="0" w:color="auto"/>
        <w:right w:val="none" w:sz="0" w:space="0" w:color="auto"/>
      </w:divBdr>
    </w:div>
    <w:div w:id="468979570">
      <w:bodyDiv w:val="1"/>
      <w:marLeft w:val="0"/>
      <w:marRight w:val="0"/>
      <w:marTop w:val="0"/>
      <w:marBottom w:val="0"/>
      <w:divBdr>
        <w:top w:val="none" w:sz="0" w:space="0" w:color="auto"/>
        <w:left w:val="none" w:sz="0" w:space="0" w:color="auto"/>
        <w:bottom w:val="none" w:sz="0" w:space="0" w:color="auto"/>
        <w:right w:val="none" w:sz="0" w:space="0" w:color="auto"/>
      </w:divBdr>
    </w:div>
    <w:div w:id="488330755">
      <w:bodyDiv w:val="1"/>
      <w:marLeft w:val="0"/>
      <w:marRight w:val="0"/>
      <w:marTop w:val="0"/>
      <w:marBottom w:val="0"/>
      <w:divBdr>
        <w:top w:val="none" w:sz="0" w:space="0" w:color="auto"/>
        <w:left w:val="none" w:sz="0" w:space="0" w:color="auto"/>
        <w:bottom w:val="none" w:sz="0" w:space="0" w:color="auto"/>
        <w:right w:val="none" w:sz="0" w:space="0" w:color="auto"/>
      </w:divBdr>
    </w:div>
    <w:div w:id="498152643">
      <w:bodyDiv w:val="1"/>
      <w:marLeft w:val="0"/>
      <w:marRight w:val="0"/>
      <w:marTop w:val="0"/>
      <w:marBottom w:val="0"/>
      <w:divBdr>
        <w:top w:val="none" w:sz="0" w:space="0" w:color="auto"/>
        <w:left w:val="none" w:sz="0" w:space="0" w:color="auto"/>
        <w:bottom w:val="none" w:sz="0" w:space="0" w:color="auto"/>
        <w:right w:val="none" w:sz="0" w:space="0" w:color="auto"/>
      </w:divBdr>
    </w:div>
    <w:div w:id="517501822">
      <w:bodyDiv w:val="1"/>
      <w:marLeft w:val="0"/>
      <w:marRight w:val="0"/>
      <w:marTop w:val="0"/>
      <w:marBottom w:val="0"/>
      <w:divBdr>
        <w:top w:val="none" w:sz="0" w:space="0" w:color="auto"/>
        <w:left w:val="none" w:sz="0" w:space="0" w:color="auto"/>
        <w:bottom w:val="none" w:sz="0" w:space="0" w:color="auto"/>
        <w:right w:val="none" w:sz="0" w:space="0" w:color="auto"/>
      </w:divBdr>
    </w:div>
    <w:div w:id="586769297">
      <w:bodyDiv w:val="1"/>
      <w:marLeft w:val="0"/>
      <w:marRight w:val="0"/>
      <w:marTop w:val="0"/>
      <w:marBottom w:val="0"/>
      <w:divBdr>
        <w:top w:val="none" w:sz="0" w:space="0" w:color="auto"/>
        <w:left w:val="none" w:sz="0" w:space="0" w:color="auto"/>
        <w:bottom w:val="none" w:sz="0" w:space="0" w:color="auto"/>
        <w:right w:val="none" w:sz="0" w:space="0" w:color="auto"/>
      </w:divBdr>
    </w:div>
    <w:div w:id="589774648">
      <w:bodyDiv w:val="1"/>
      <w:marLeft w:val="0"/>
      <w:marRight w:val="0"/>
      <w:marTop w:val="0"/>
      <w:marBottom w:val="0"/>
      <w:divBdr>
        <w:top w:val="none" w:sz="0" w:space="0" w:color="auto"/>
        <w:left w:val="none" w:sz="0" w:space="0" w:color="auto"/>
        <w:bottom w:val="none" w:sz="0" w:space="0" w:color="auto"/>
        <w:right w:val="none" w:sz="0" w:space="0" w:color="auto"/>
      </w:divBdr>
    </w:div>
    <w:div w:id="605578108">
      <w:bodyDiv w:val="1"/>
      <w:marLeft w:val="0"/>
      <w:marRight w:val="0"/>
      <w:marTop w:val="0"/>
      <w:marBottom w:val="0"/>
      <w:divBdr>
        <w:top w:val="none" w:sz="0" w:space="0" w:color="auto"/>
        <w:left w:val="none" w:sz="0" w:space="0" w:color="auto"/>
        <w:bottom w:val="none" w:sz="0" w:space="0" w:color="auto"/>
        <w:right w:val="none" w:sz="0" w:space="0" w:color="auto"/>
      </w:divBdr>
    </w:div>
    <w:div w:id="624509502">
      <w:bodyDiv w:val="1"/>
      <w:marLeft w:val="0"/>
      <w:marRight w:val="0"/>
      <w:marTop w:val="0"/>
      <w:marBottom w:val="0"/>
      <w:divBdr>
        <w:top w:val="none" w:sz="0" w:space="0" w:color="auto"/>
        <w:left w:val="none" w:sz="0" w:space="0" w:color="auto"/>
        <w:bottom w:val="none" w:sz="0" w:space="0" w:color="auto"/>
        <w:right w:val="none" w:sz="0" w:space="0" w:color="auto"/>
      </w:divBdr>
    </w:div>
    <w:div w:id="632102418">
      <w:bodyDiv w:val="1"/>
      <w:marLeft w:val="0"/>
      <w:marRight w:val="0"/>
      <w:marTop w:val="0"/>
      <w:marBottom w:val="0"/>
      <w:divBdr>
        <w:top w:val="none" w:sz="0" w:space="0" w:color="auto"/>
        <w:left w:val="none" w:sz="0" w:space="0" w:color="auto"/>
        <w:bottom w:val="none" w:sz="0" w:space="0" w:color="auto"/>
        <w:right w:val="none" w:sz="0" w:space="0" w:color="auto"/>
      </w:divBdr>
    </w:div>
    <w:div w:id="632373006">
      <w:bodyDiv w:val="1"/>
      <w:marLeft w:val="0"/>
      <w:marRight w:val="0"/>
      <w:marTop w:val="0"/>
      <w:marBottom w:val="0"/>
      <w:divBdr>
        <w:top w:val="none" w:sz="0" w:space="0" w:color="auto"/>
        <w:left w:val="none" w:sz="0" w:space="0" w:color="auto"/>
        <w:bottom w:val="none" w:sz="0" w:space="0" w:color="auto"/>
        <w:right w:val="none" w:sz="0" w:space="0" w:color="auto"/>
      </w:divBdr>
    </w:div>
    <w:div w:id="650401398">
      <w:bodyDiv w:val="1"/>
      <w:marLeft w:val="0"/>
      <w:marRight w:val="0"/>
      <w:marTop w:val="0"/>
      <w:marBottom w:val="0"/>
      <w:divBdr>
        <w:top w:val="none" w:sz="0" w:space="0" w:color="auto"/>
        <w:left w:val="none" w:sz="0" w:space="0" w:color="auto"/>
        <w:bottom w:val="none" w:sz="0" w:space="0" w:color="auto"/>
        <w:right w:val="none" w:sz="0" w:space="0" w:color="auto"/>
      </w:divBdr>
    </w:div>
    <w:div w:id="722338417">
      <w:bodyDiv w:val="1"/>
      <w:marLeft w:val="0"/>
      <w:marRight w:val="0"/>
      <w:marTop w:val="0"/>
      <w:marBottom w:val="0"/>
      <w:divBdr>
        <w:top w:val="none" w:sz="0" w:space="0" w:color="auto"/>
        <w:left w:val="none" w:sz="0" w:space="0" w:color="auto"/>
        <w:bottom w:val="none" w:sz="0" w:space="0" w:color="auto"/>
        <w:right w:val="none" w:sz="0" w:space="0" w:color="auto"/>
      </w:divBdr>
    </w:div>
    <w:div w:id="722676693">
      <w:bodyDiv w:val="1"/>
      <w:marLeft w:val="0"/>
      <w:marRight w:val="0"/>
      <w:marTop w:val="0"/>
      <w:marBottom w:val="0"/>
      <w:divBdr>
        <w:top w:val="none" w:sz="0" w:space="0" w:color="auto"/>
        <w:left w:val="none" w:sz="0" w:space="0" w:color="auto"/>
        <w:bottom w:val="none" w:sz="0" w:space="0" w:color="auto"/>
        <w:right w:val="none" w:sz="0" w:space="0" w:color="auto"/>
      </w:divBdr>
    </w:div>
    <w:div w:id="857622655">
      <w:bodyDiv w:val="1"/>
      <w:marLeft w:val="0"/>
      <w:marRight w:val="0"/>
      <w:marTop w:val="0"/>
      <w:marBottom w:val="0"/>
      <w:divBdr>
        <w:top w:val="none" w:sz="0" w:space="0" w:color="auto"/>
        <w:left w:val="none" w:sz="0" w:space="0" w:color="auto"/>
        <w:bottom w:val="none" w:sz="0" w:space="0" w:color="auto"/>
        <w:right w:val="none" w:sz="0" w:space="0" w:color="auto"/>
      </w:divBdr>
    </w:div>
    <w:div w:id="863247465">
      <w:bodyDiv w:val="1"/>
      <w:marLeft w:val="0"/>
      <w:marRight w:val="0"/>
      <w:marTop w:val="0"/>
      <w:marBottom w:val="0"/>
      <w:divBdr>
        <w:top w:val="none" w:sz="0" w:space="0" w:color="auto"/>
        <w:left w:val="none" w:sz="0" w:space="0" w:color="auto"/>
        <w:bottom w:val="none" w:sz="0" w:space="0" w:color="auto"/>
        <w:right w:val="none" w:sz="0" w:space="0" w:color="auto"/>
      </w:divBdr>
    </w:div>
    <w:div w:id="880244201">
      <w:bodyDiv w:val="1"/>
      <w:marLeft w:val="0"/>
      <w:marRight w:val="0"/>
      <w:marTop w:val="0"/>
      <w:marBottom w:val="0"/>
      <w:divBdr>
        <w:top w:val="none" w:sz="0" w:space="0" w:color="auto"/>
        <w:left w:val="none" w:sz="0" w:space="0" w:color="auto"/>
        <w:bottom w:val="none" w:sz="0" w:space="0" w:color="auto"/>
        <w:right w:val="none" w:sz="0" w:space="0" w:color="auto"/>
      </w:divBdr>
    </w:div>
    <w:div w:id="887187965">
      <w:bodyDiv w:val="1"/>
      <w:marLeft w:val="0"/>
      <w:marRight w:val="0"/>
      <w:marTop w:val="0"/>
      <w:marBottom w:val="0"/>
      <w:divBdr>
        <w:top w:val="none" w:sz="0" w:space="0" w:color="auto"/>
        <w:left w:val="none" w:sz="0" w:space="0" w:color="auto"/>
        <w:bottom w:val="none" w:sz="0" w:space="0" w:color="auto"/>
        <w:right w:val="none" w:sz="0" w:space="0" w:color="auto"/>
      </w:divBdr>
    </w:div>
    <w:div w:id="911158324">
      <w:bodyDiv w:val="1"/>
      <w:marLeft w:val="0"/>
      <w:marRight w:val="0"/>
      <w:marTop w:val="0"/>
      <w:marBottom w:val="0"/>
      <w:divBdr>
        <w:top w:val="none" w:sz="0" w:space="0" w:color="auto"/>
        <w:left w:val="none" w:sz="0" w:space="0" w:color="auto"/>
        <w:bottom w:val="none" w:sz="0" w:space="0" w:color="auto"/>
        <w:right w:val="none" w:sz="0" w:space="0" w:color="auto"/>
      </w:divBdr>
    </w:div>
    <w:div w:id="950823311">
      <w:bodyDiv w:val="1"/>
      <w:marLeft w:val="0"/>
      <w:marRight w:val="0"/>
      <w:marTop w:val="0"/>
      <w:marBottom w:val="0"/>
      <w:divBdr>
        <w:top w:val="none" w:sz="0" w:space="0" w:color="auto"/>
        <w:left w:val="none" w:sz="0" w:space="0" w:color="auto"/>
        <w:bottom w:val="none" w:sz="0" w:space="0" w:color="auto"/>
        <w:right w:val="none" w:sz="0" w:space="0" w:color="auto"/>
      </w:divBdr>
    </w:div>
    <w:div w:id="963728049">
      <w:bodyDiv w:val="1"/>
      <w:marLeft w:val="0"/>
      <w:marRight w:val="0"/>
      <w:marTop w:val="0"/>
      <w:marBottom w:val="0"/>
      <w:divBdr>
        <w:top w:val="none" w:sz="0" w:space="0" w:color="auto"/>
        <w:left w:val="none" w:sz="0" w:space="0" w:color="auto"/>
        <w:bottom w:val="none" w:sz="0" w:space="0" w:color="auto"/>
        <w:right w:val="none" w:sz="0" w:space="0" w:color="auto"/>
      </w:divBdr>
    </w:div>
    <w:div w:id="999576054">
      <w:bodyDiv w:val="1"/>
      <w:marLeft w:val="0"/>
      <w:marRight w:val="0"/>
      <w:marTop w:val="0"/>
      <w:marBottom w:val="0"/>
      <w:divBdr>
        <w:top w:val="none" w:sz="0" w:space="0" w:color="auto"/>
        <w:left w:val="none" w:sz="0" w:space="0" w:color="auto"/>
        <w:bottom w:val="none" w:sz="0" w:space="0" w:color="auto"/>
        <w:right w:val="none" w:sz="0" w:space="0" w:color="auto"/>
      </w:divBdr>
    </w:div>
    <w:div w:id="1035155047">
      <w:bodyDiv w:val="1"/>
      <w:marLeft w:val="0"/>
      <w:marRight w:val="0"/>
      <w:marTop w:val="0"/>
      <w:marBottom w:val="0"/>
      <w:divBdr>
        <w:top w:val="none" w:sz="0" w:space="0" w:color="auto"/>
        <w:left w:val="none" w:sz="0" w:space="0" w:color="auto"/>
        <w:bottom w:val="none" w:sz="0" w:space="0" w:color="auto"/>
        <w:right w:val="none" w:sz="0" w:space="0" w:color="auto"/>
      </w:divBdr>
    </w:div>
    <w:div w:id="1126462168">
      <w:bodyDiv w:val="1"/>
      <w:marLeft w:val="0"/>
      <w:marRight w:val="0"/>
      <w:marTop w:val="0"/>
      <w:marBottom w:val="0"/>
      <w:divBdr>
        <w:top w:val="none" w:sz="0" w:space="0" w:color="auto"/>
        <w:left w:val="none" w:sz="0" w:space="0" w:color="auto"/>
        <w:bottom w:val="none" w:sz="0" w:space="0" w:color="auto"/>
        <w:right w:val="none" w:sz="0" w:space="0" w:color="auto"/>
      </w:divBdr>
    </w:div>
    <w:div w:id="1135949929">
      <w:bodyDiv w:val="1"/>
      <w:marLeft w:val="0"/>
      <w:marRight w:val="0"/>
      <w:marTop w:val="0"/>
      <w:marBottom w:val="0"/>
      <w:divBdr>
        <w:top w:val="none" w:sz="0" w:space="0" w:color="auto"/>
        <w:left w:val="none" w:sz="0" w:space="0" w:color="auto"/>
        <w:bottom w:val="none" w:sz="0" w:space="0" w:color="auto"/>
        <w:right w:val="none" w:sz="0" w:space="0" w:color="auto"/>
      </w:divBdr>
    </w:div>
    <w:div w:id="1155533688">
      <w:bodyDiv w:val="1"/>
      <w:marLeft w:val="0"/>
      <w:marRight w:val="0"/>
      <w:marTop w:val="0"/>
      <w:marBottom w:val="0"/>
      <w:divBdr>
        <w:top w:val="none" w:sz="0" w:space="0" w:color="auto"/>
        <w:left w:val="none" w:sz="0" w:space="0" w:color="auto"/>
        <w:bottom w:val="none" w:sz="0" w:space="0" w:color="auto"/>
        <w:right w:val="none" w:sz="0" w:space="0" w:color="auto"/>
      </w:divBdr>
    </w:div>
    <w:div w:id="1173763930">
      <w:bodyDiv w:val="1"/>
      <w:marLeft w:val="0"/>
      <w:marRight w:val="0"/>
      <w:marTop w:val="0"/>
      <w:marBottom w:val="0"/>
      <w:divBdr>
        <w:top w:val="none" w:sz="0" w:space="0" w:color="auto"/>
        <w:left w:val="none" w:sz="0" w:space="0" w:color="auto"/>
        <w:bottom w:val="none" w:sz="0" w:space="0" w:color="auto"/>
        <w:right w:val="none" w:sz="0" w:space="0" w:color="auto"/>
      </w:divBdr>
    </w:div>
    <w:div w:id="1198397883">
      <w:bodyDiv w:val="1"/>
      <w:marLeft w:val="0"/>
      <w:marRight w:val="0"/>
      <w:marTop w:val="0"/>
      <w:marBottom w:val="0"/>
      <w:divBdr>
        <w:top w:val="none" w:sz="0" w:space="0" w:color="auto"/>
        <w:left w:val="none" w:sz="0" w:space="0" w:color="auto"/>
        <w:bottom w:val="none" w:sz="0" w:space="0" w:color="auto"/>
        <w:right w:val="none" w:sz="0" w:space="0" w:color="auto"/>
      </w:divBdr>
    </w:div>
    <w:div w:id="1224869384">
      <w:bodyDiv w:val="1"/>
      <w:marLeft w:val="0"/>
      <w:marRight w:val="0"/>
      <w:marTop w:val="0"/>
      <w:marBottom w:val="0"/>
      <w:divBdr>
        <w:top w:val="none" w:sz="0" w:space="0" w:color="auto"/>
        <w:left w:val="none" w:sz="0" w:space="0" w:color="auto"/>
        <w:bottom w:val="none" w:sz="0" w:space="0" w:color="auto"/>
        <w:right w:val="none" w:sz="0" w:space="0" w:color="auto"/>
      </w:divBdr>
    </w:div>
    <w:div w:id="1284537802">
      <w:bodyDiv w:val="1"/>
      <w:marLeft w:val="0"/>
      <w:marRight w:val="0"/>
      <w:marTop w:val="0"/>
      <w:marBottom w:val="0"/>
      <w:divBdr>
        <w:top w:val="none" w:sz="0" w:space="0" w:color="auto"/>
        <w:left w:val="none" w:sz="0" w:space="0" w:color="auto"/>
        <w:bottom w:val="none" w:sz="0" w:space="0" w:color="auto"/>
        <w:right w:val="none" w:sz="0" w:space="0" w:color="auto"/>
      </w:divBdr>
    </w:div>
    <w:div w:id="1325662705">
      <w:bodyDiv w:val="1"/>
      <w:marLeft w:val="0"/>
      <w:marRight w:val="0"/>
      <w:marTop w:val="0"/>
      <w:marBottom w:val="0"/>
      <w:divBdr>
        <w:top w:val="none" w:sz="0" w:space="0" w:color="auto"/>
        <w:left w:val="none" w:sz="0" w:space="0" w:color="auto"/>
        <w:bottom w:val="none" w:sz="0" w:space="0" w:color="auto"/>
        <w:right w:val="none" w:sz="0" w:space="0" w:color="auto"/>
      </w:divBdr>
    </w:div>
    <w:div w:id="1372996235">
      <w:bodyDiv w:val="1"/>
      <w:marLeft w:val="0"/>
      <w:marRight w:val="0"/>
      <w:marTop w:val="0"/>
      <w:marBottom w:val="0"/>
      <w:divBdr>
        <w:top w:val="none" w:sz="0" w:space="0" w:color="auto"/>
        <w:left w:val="none" w:sz="0" w:space="0" w:color="auto"/>
        <w:bottom w:val="none" w:sz="0" w:space="0" w:color="auto"/>
        <w:right w:val="none" w:sz="0" w:space="0" w:color="auto"/>
      </w:divBdr>
    </w:div>
    <w:div w:id="1374379566">
      <w:bodyDiv w:val="1"/>
      <w:marLeft w:val="0"/>
      <w:marRight w:val="0"/>
      <w:marTop w:val="0"/>
      <w:marBottom w:val="0"/>
      <w:divBdr>
        <w:top w:val="none" w:sz="0" w:space="0" w:color="auto"/>
        <w:left w:val="none" w:sz="0" w:space="0" w:color="auto"/>
        <w:bottom w:val="none" w:sz="0" w:space="0" w:color="auto"/>
        <w:right w:val="none" w:sz="0" w:space="0" w:color="auto"/>
      </w:divBdr>
    </w:div>
    <w:div w:id="1390224578">
      <w:bodyDiv w:val="1"/>
      <w:marLeft w:val="0"/>
      <w:marRight w:val="0"/>
      <w:marTop w:val="0"/>
      <w:marBottom w:val="0"/>
      <w:divBdr>
        <w:top w:val="none" w:sz="0" w:space="0" w:color="auto"/>
        <w:left w:val="none" w:sz="0" w:space="0" w:color="auto"/>
        <w:bottom w:val="none" w:sz="0" w:space="0" w:color="auto"/>
        <w:right w:val="none" w:sz="0" w:space="0" w:color="auto"/>
      </w:divBdr>
    </w:div>
    <w:div w:id="1402875154">
      <w:bodyDiv w:val="1"/>
      <w:marLeft w:val="0"/>
      <w:marRight w:val="0"/>
      <w:marTop w:val="0"/>
      <w:marBottom w:val="0"/>
      <w:divBdr>
        <w:top w:val="none" w:sz="0" w:space="0" w:color="auto"/>
        <w:left w:val="none" w:sz="0" w:space="0" w:color="auto"/>
        <w:bottom w:val="none" w:sz="0" w:space="0" w:color="auto"/>
        <w:right w:val="none" w:sz="0" w:space="0" w:color="auto"/>
      </w:divBdr>
    </w:div>
    <w:div w:id="1437746305">
      <w:bodyDiv w:val="1"/>
      <w:marLeft w:val="0"/>
      <w:marRight w:val="0"/>
      <w:marTop w:val="0"/>
      <w:marBottom w:val="0"/>
      <w:divBdr>
        <w:top w:val="none" w:sz="0" w:space="0" w:color="auto"/>
        <w:left w:val="none" w:sz="0" w:space="0" w:color="auto"/>
        <w:bottom w:val="none" w:sz="0" w:space="0" w:color="auto"/>
        <w:right w:val="none" w:sz="0" w:space="0" w:color="auto"/>
      </w:divBdr>
    </w:div>
    <w:div w:id="1481311682">
      <w:bodyDiv w:val="1"/>
      <w:marLeft w:val="0"/>
      <w:marRight w:val="0"/>
      <w:marTop w:val="0"/>
      <w:marBottom w:val="0"/>
      <w:divBdr>
        <w:top w:val="none" w:sz="0" w:space="0" w:color="auto"/>
        <w:left w:val="none" w:sz="0" w:space="0" w:color="auto"/>
        <w:bottom w:val="none" w:sz="0" w:space="0" w:color="auto"/>
        <w:right w:val="none" w:sz="0" w:space="0" w:color="auto"/>
      </w:divBdr>
    </w:div>
    <w:div w:id="1505585439">
      <w:bodyDiv w:val="1"/>
      <w:marLeft w:val="0"/>
      <w:marRight w:val="0"/>
      <w:marTop w:val="0"/>
      <w:marBottom w:val="0"/>
      <w:divBdr>
        <w:top w:val="none" w:sz="0" w:space="0" w:color="auto"/>
        <w:left w:val="none" w:sz="0" w:space="0" w:color="auto"/>
        <w:bottom w:val="none" w:sz="0" w:space="0" w:color="auto"/>
        <w:right w:val="none" w:sz="0" w:space="0" w:color="auto"/>
      </w:divBdr>
    </w:div>
    <w:div w:id="1512915300">
      <w:bodyDiv w:val="1"/>
      <w:marLeft w:val="0"/>
      <w:marRight w:val="0"/>
      <w:marTop w:val="0"/>
      <w:marBottom w:val="0"/>
      <w:divBdr>
        <w:top w:val="none" w:sz="0" w:space="0" w:color="auto"/>
        <w:left w:val="none" w:sz="0" w:space="0" w:color="auto"/>
        <w:bottom w:val="none" w:sz="0" w:space="0" w:color="auto"/>
        <w:right w:val="none" w:sz="0" w:space="0" w:color="auto"/>
      </w:divBdr>
    </w:div>
    <w:div w:id="1558082049">
      <w:bodyDiv w:val="1"/>
      <w:marLeft w:val="0"/>
      <w:marRight w:val="0"/>
      <w:marTop w:val="0"/>
      <w:marBottom w:val="0"/>
      <w:divBdr>
        <w:top w:val="none" w:sz="0" w:space="0" w:color="auto"/>
        <w:left w:val="none" w:sz="0" w:space="0" w:color="auto"/>
        <w:bottom w:val="none" w:sz="0" w:space="0" w:color="auto"/>
        <w:right w:val="none" w:sz="0" w:space="0" w:color="auto"/>
      </w:divBdr>
    </w:div>
    <w:div w:id="1589735138">
      <w:bodyDiv w:val="1"/>
      <w:marLeft w:val="0"/>
      <w:marRight w:val="0"/>
      <w:marTop w:val="0"/>
      <w:marBottom w:val="0"/>
      <w:divBdr>
        <w:top w:val="none" w:sz="0" w:space="0" w:color="auto"/>
        <w:left w:val="none" w:sz="0" w:space="0" w:color="auto"/>
        <w:bottom w:val="none" w:sz="0" w:space="0" w:color="auto"/>
        <w:right w:val="none" w:sz="0" w:space="0" w:color="auto"/>
      </w:divBdr>
    </w:div>
    <w:div w:id="1611279829">
      <w:bodyDiv w:val="1"/>
      <w:marLeft w:val="0"/>
      <w:marRight w:val="0"/>
      <w:marTop w:val="0"/>
      <w:marBottom w:val="0"/>
      <w:divBdr>
        <w:top w:val="none" w:sz="0" w:space="0" w:color="auto"/>
        <w:left w:val="none" w:sz="0" w:space="0" w:color="auto"/>
        <w:bottom w:val="none" w:sz="0" w:space="0" w:color="auto"/>
        <w:right w:val="none" w:sz="0" w:space="0" w:color="auto"/>
      </w:divBdr>
    </w:div>
    <w:div w:id="1630748125">
      <w:bodyDiv w:val="1"/>
      <w:marLeft w:val="0"/>
      <w:marRight w:val="0"/>
      <w:marTop w:val="0"/>
      <w:marBottom w:val="0"/>
      <w:divBdr>
        <w:top w:val="none" w:sz="0" w:space="0" w:color="auto"/>
        <w:left w:val="none" w:sz="0" w:space="0" w:color="auto"/>
        <w:bottom w:val="none" w:sz="0" w:space="0" w:color="auto"/>
        <w:right w:val="none" w:sz="0" w:space="0" w:color="auto"/>
      </w:divBdr>
    </w:div>
    <w:div w:id="1636401090">
      <w:bodyDiv w:val="1"/>
      <w:marLeft w:val="0"/>
      <w:marRight w:val="0"/>
      <w:marTop w:val="0"/>
      <w:marBottom w:val="0"/>
      <w:divBdr>
        <w:top w:val="none" w:sz="0" w:space="0" w:color="auto"/>
        <w:left w:val="none" w:sz="0" w:space="0" w:color="auto"/>
        <w:bottom w:val="none" w:sz="0" w:space="0" w:color="auto"/>
        <w:right w:val="none" w:sz="0" w:space="0" w:color="auto"/>
      </w:divBdr>
    </w:div>
    <w:div w:id="1640108867">
      <w:bodyDiv w:val="1"/>
      <w:marLeft w:val="0"/>
      <w:marRight w:val="0"/>
      <w:marTop w:val="0"/>
      <w:marBottom w:val="0"/>
      <w:divBdr>
        <w:top w:val="none" w:sz="0" w:space="0" w:color="auto"/>
        <w:left w:val="none" w:sz="0" w:space="0" w:color="auto"/>
        <w:bottom w:val="none" w:sz="0" w:space="0" w:color="auto"/>
        <w:right w:val="none" w:sz="0" w:space="0" w:color="auto"/>
      </w:divBdr>
    </w:div>
    <w:div w:id="1653564055">
      <w:bodyDiv w:val="1"/>
      <w:marLeft w:val="0"/>
      <w:marRight w:val="0"/>
      <w:marTop w:val="0"/>
      <w:marBottom w:val="0"/>
      <w:divBdr>
        <w:top w:val="none" w:sz="0" w:space="0" w:color="auto"/>
        <w:left w:val="none" w:sz="0" w:space="0" w:color="auto"/>
        <w:bottom w:val="none" w:sz="0" w:space="0" w:color="auto"/>
        <w:right w:val="none" w:sz="0" w:space="0" w:color="auto"/>
      </w:divBdr>
    </w:div>
    <w:div w:id="1664048740">
      <w:bodyDiv w:val="1"/>
      <w:marLeft w:val="0"/>
      <w:marRight w:val="0"/>
      <w:marTop w:val="0"/>
      <w:marBottom w:val="0"/>
      <w:divBdr>
        <w:top w:val="none" w:sz="0" w:space="0" w:color="auto"/>
        <w:left w:val="none" w:sz="0" w:space="0" w:color="auto"/>
        <w:bottom w:val="none" w:sz="0" w:space="0" w:color="auto"/>
        <w:right w:val="none" w:sz="0" w:space="0" w:color="auto"/>
      </w:divBdr>
    </w:div>
    <w:div w:id="1678460241">
      <w:bodyDiv w:val="1"/>
      <w:marLeft w:val="0"/>
      <w:marRight w:val="0"/>
      <w:marTop w:val="0"/>
      <w:marBottom w:val="0"/>
      <w:divBdr>
        <w:top w:val="none" w:sz="0" w:space="0" w:color="auto"/>
        <w:left w:val="none" w:sz="0" w:space="0" w:color="auto"/>
        <w:bottom w:val="none" w:sz="0" w:space="0" w:color="auto"/>
        <w:right w:val="none" w:sz="0" w:space="0" w:color="auto"/>
      </w:divBdr>
    </w:div>
    <w:div w:id="1696037958">
      <w:bodyDiv w:val="1"/>
      <w:marLeft w:val="0"/>
      <w:marRight w:val="0"/>
      <w:marTop w:val="0"/>
      <w:marBottom w:val="0"/>
      <w:divBdr>
        <w:top w:val="none" w:sz="0" w:space="0" w:color="auto"/>
        <w:left w:val="none" w:sz="0" w:space="0" w:color="auto"/>
        <w:bottom w:val="none" w:sz="0" w:space="0" w:color="auto"/>
        <w:right w:val="none" w:sz="0" w:space="0" w:color="auto"/>
      </w:divBdr>
    </w:div>
    <w:div w:id="1698653953">
      <w:bodyDiv w:val="1"/>
      <w:marLeft w:val="0"/>
      <w:marRight w:val="0"/>
      <w:marTop w:val="0"/>
      <w:marBottom w:val="0"/>
      <w:divBdr>
        <w:top w:val="none" w:sz="0" w:space="0" w:color="auto"/>
        <w:left w:val="none" w:sz="0" w:space="0" w:color="auto"/>
        <w:bottom w:val="none" w:sz="0" w:space="0" w:color="auto"/>
        <w:right w:val="none" w:sz="0" w:space="0" w:color="auto"/>
      </w:divBdr>
    </w:div>
    <w:div w:id="1758401220">
      <w:bodyDiv w:val="1"/>
      <w:marLeft w:val="0"/>
      <w:marRight w:val="0"/>
      <w:marTop w:val="0"/>
      <w:marBottom w:val="0"/>
      <w:divBdr>
        <w:top w:val="none" w:sz="0" w:space="0" w:color="auto"/>
        <w:left w:val="none" w:sz="0" w:space="0" w:color="auto"/>
        <w:bottom w:val="none" w:sz="0" w:space="0" w:color="auto"/>
        <w:right w:val="none" w:sz="0" w:space="0" w:color="auto"/>
      </w:divBdr>
    </w:div>
    <w:div w:id="1766808144">
      <w:bodyDiv w:val="1"/>
      <w:marLeft w:val="0"/>
      <w:marRight w:val="0"/>
      <w:marTop w:val="0"/>
      <w:marBottom w:val="0"/>
      <w:divBdr>
        <w:top w:val="none" w:sz="0" w:space="0" w:color="auto"/>
        <w:left w:val="none" w:sz="0" w:space="0" w:color="auto"/>
        <w:bottom w:val="none" w:sz="0" w:space="0" w:color="auto"/>
        <w:right w:val="none" w:sz="0" w:space="0" w:color="auto"/>
      </w:divBdr>
    </w:div>
    <w:div w:id="1824085731">
      <w:bodyDiv w:val="1"/>
      <w:marLeft w:val="0"/>
      <w:marRight w:val="0"/>
      <w:marTop w:val="0"/>
      <w:marBottom w:val="0"/>
      <w:divBdr>
        <w:top w:val="none" w:sz="0" w:space="0" w:color="auto"/>
        <w:left w:val="none" w:sz="0" w:space="0" w:color="auto"/>
        <w:bottom w:val="none" w:sz="0" w:space="0" w:color="auto"/>
        <w:right w:val="none" w:sz="0" w:space="0" w:color="auto"/>
      </w:divBdr>
    </w:div>
    <w:div w:id="1824739577">
      <w:bodyDiv w:val="1"/>
      <w:marLeft w:val="0"/>
      <w:marRight w:val="0"/>
      <w:marTop w:val="0"/>
      <w:marBottom w:val="0"/>
      <w:divBdr>
        <w:top w:val="none" w:sz="0" w:space="0" w:color="auto"/>
        <w:left w:val="none" w:sz="0" w:space="0" w:color="auto"/>
        <w:bottom w:val="none" w:sz="0" w:space="0" w:color="auto"/>
        <w:right w:val="none" w:sz="0" w:space="0" w:color="auto"/>
      </w:divBdr>
    </w:div>
    <w:div w:id="1840735071">
      <w:bodyDiv w:val="1"/>
      <w:marLeft w:val="0"/>
      <w:marRight w:val="0"/>
      <w:marTop w:val="0"/>
      <w:marBottom w:val="0"/>
      <w:divBdr>
        <w:top w:val="none" w:sz="0" w:space="0" w:color="auto"/>
        <w:left w:val="none" w:sz="0" w:space="0" w:color="auto"/>
        <w:bottom w:val="none" w:sz="0" w:space="0" w:color="auto"/>
        <w:right w:val="none" w:sz="0" w:space="0" w:color="auto"/>
      </w:divBdr>
    </w:div>
    <w:div w:id="1866598735">
      <w:bodyDiv w:val="1"/>
      <w:marLeft w:val="0"/>
      <w:marRight w:val="0"/>
      <w:marTop w:val="0"/>
      <w:marBottom w:val="0"/>
      <w:divBdr>
        <w:top w:val="none" w:sz="0" w:space="0" w:color="auto"/>
        <w:left w:val="none" w:sz="0" w:space="0" w:color="auto"/>
        <w:bottom w:val="none" w:sz="0" w:space="0" w:color="auto"/>
        <w:right w:val="none" w:sz="0" w:space="0" w:color="auto"/>
      </w:divBdr>
    </w:div>
    <w:div w:id="1909682510">
      <w:bodyDiv w:val="1"/>
      <w:marLeft w:val="0"/>
      <w:marRight w:val="0"/>
      <w:marTop w:val="0"/>
      <w:marBottom w:val="0"/>
      <w:divBdr>
        <w:top w:val="none" w:sz="0" w:space="0" w:color="auto"/>
        <w:left w:val="none" w:sz="0" w:space="0" w:color="auto"/>
        <w:bottom w:val="none" w:sz="0" w:space="0" w:color="auto"/>
        <w:right w:val="none" w:sz="0" w:space="0" w:color="auto"/>
      </w:divBdr>
    </w:div>
    <w:div w:id="1921021081">
      <w:bodyDiv w:val="1"/>
      <w:marLeft w:val="0"/>
      <w:marRight w:val="0"/>
      <w:marTop w:val="0"/>
      <w:marBottom w:val="0"/>
      <w:divBdr>
        <w:top w:val="none" w:sz="0" w:space="0" w:color="auto"/>
        <w:left w:val="none" w:sz="0" w:space="0" w:color="auto"/>
        <w:bottom w:val="none" w:sz="0" w:space="0" w:color="auto"/>
        <w:right w:val="none" w:sz="0" w:space="0" w:color="auto"/>
      </w:divBdr>
    </w:div>
    <w:div w:id="2001881509">
      <w:bodyDiv w:val="1"/>
      <w:marLeft w:val="0"/>
      <w:marRight w:val="0"/>
      <w:marTop w:val="0"/>
      <w:marBottom w:val="0"/>
      <w:divBdr>
        <w:top w:val="none" w:sz="0" w:space="0" w:color="auto"/>
        <w:left w:val="none" w:sz="0" w:space="0" w:color="auto"/>
        <w:bottom w:val="none" w:sz="0" w:space="0" w:color="auto"/>
        <w:right w:val="none" w:sz="0" w:space="0" w:color="auto"/>
      </w:divBdr>
    </w:div>
    <w:div w:id="2010407090">
      <w:bodyDiv w:val="1"/>
      <w:marLeft w:val="0"/>
      <w:marRight w:val="0"/>
      <w:marTop w:val="0"/>
      <w:marBottom w:val="0"/>
      <w:divBdr>
        <w:top w:val="none" w:sz="0" w:space="0" w:color="auto"/>
        <w:left w:val="none" w:sz="0" w:space="0" w:color="auto"/>
        <w:bottom w:val="none" w:sz="0" w:space="0" w:color="auto"/>
        <w:right w:val="none" w:sz="0" w:space="0" w:color="auto"/>
      </w:divBdr>
    </w:div>
    <w:div w:id="2022580205">
      <w:bodyDiv w:val="1"/>
      <w:marLeft w:val="0"/>
      <w:marRight w:val="0"/>
      <w:marTop w:val="0"/>
      <w:marBottom w:val="0"/>
      <w:divBdr>
        <w:top w:val="none" w:sz="0" w:space="0" w:color="auto"/>
        <w:left w:val="none" w:sz="0" w:space="0" w:color="auto"/>
        <w:bottom w:val="none" w:sz="0" w:space="0" w:color="auto"/>
        <w:right w:val="none" w:sz="0" w:space="0" w:color="auto"/>
      </w:divBdr>
    </w:div>
    <w:div w:id="2046326376">
      <w:bodyDiv w:val="1"/>
      <w:marLeft w:val="0"/>
      <w:marRight w:val="0"/>
      <w:marTop w:val="0"/>
      <w:marBottom w:val="0"/>
      <w:divBdr>
        <w:top w:val="none" w:sz="0" w:space="0" w:color="auto"/>
        <w:left w:val="none" w:sz="0" w:space="0" w:color="auto"/>
        <w:bottom w:val="none" w:sz="0" w:space="0" w:color="auto"/>
        <w:right w:val="none" w:sz="0" w:space="0" w:color="auto"/>
      </w:divBdr>
    </w:div>
    <w:div w:id="2118213023">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 w:id="2138136005">
      <w:bodyDiv w:val="1"/>
      <w:marLeft w:val="0"/>
      <w:marRight w:val="0"/>
      <w:marTop w:val="0"/>
      <w:marBottom w:val="0"/>
      <w:divBdr>
        <w:top w:val="none" w:sz="0" w:space="0" w:color="auto"/>
        <w:left w:val="none" w:sz="0" w:space="0" w:color="auto"/>
        <w:bottom w:val="none" w:sz="0" w:space="0" w:color="auto"/>
        <w:right w:val="none" w:sz="0" w:space="0" w:color="auto"/>
      </w:divBdr>
    </w:div>
    <w:div w:id="2144494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2C495-5821-48B0-882E-A9863FC5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89</Pages>
  <Words>54025</Words>
  <Characters>307949</Characters>
  <Application>Microsoft Office Word</Application>
  <DocSecurity>0</DocSecurity>
  <Lines>2566</Lines>
  <Paragraphs>722</Paragraphs>
  <ScaleCrop>false</ScaleCrop>
  <HeadingPairs>
    <vt:vector size="2" baseType="variant">
      <vt:variant>
        <vt:lpstr>Title</vt:lpstr>
      </vt:variant>
      <vt:variant>
        <vt:i4>1</vt:i4>
      </vt:variant>
    </vt:vector>
  </HeadingPairs>
  <TitlesOfParts>
    <vt:vector size="1" baseType="lpstr">
      <vt:lpstr/>
    </vt:vector>
  </TitlesOfParts>
  <Company>Magee</Company>
  <LinksUpToDate>false</LinksUpToDate>
  <CharactersWithSpaces>361252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Magill</dc:creator>
  <cp:lastModifiedBy>Ocorian</cp:lastModifiedBy>
  <cp:revision>35</cp:revision>
  <cp:lastPrinted>2020-04-09T13:03:00Z</cp:lastPrinted>
  <dcterms:created xsi:type="dcterms:W3CDTF">2020-04-17T12:40:00Z</dcterms:created>
  <dcterms:modified xsi:type="dcterms:W3CDTF">2020-04-22T18:28:00Z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520136205</vt:i4>
  </property>
  <property fmtid="{D5CDD505-2E9C-101B-9397-08002B2CF9AE}" pid="3" name="_NewReviewCycle">
    <vt:lpwstr/>
  </property>
</Properties>
</file>