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Rangedleft"/>
        <w:tblW w:w="0" w:type="auto"/>
        <w:tblLook w:val="04A0" w:firstRow="1" w:lastRow="0" w:firstColumn="1" w:lastColumn="0" w:noHBand="0" w:noVBand="1"/>
      </w:tblPr>
      <w:tblGrid>
        <w:gridCol w:w="7424"/>
        <w:gridCol w:w="2357"/>
      </w:tblGrid>
      <w:tr w:rsidR="00D33AA7" w:rsidRPr="00BC678F" w14:paraId="171194D1" w14:textId="77777777" w:rsidTr="00B6309A">
        <w:trPr>
          <w:trHeight w:val="2728"/>
        </w:trPr>
        <w:tc>
          <w:tcPr>
            <w:tcW w:w="7479" w:type="dxa"/>
            <w:tcMar>
              <w:top w:w="108" w:type="dxa"/>
              <w:bottom w:w="108" w:type="dxa"/>
            </w:tcMar>
          </w:tcPr>
          <w:p w14:paraId="052B2E92" w14:textId="77777777" w:rsidR="00DE4F2B" w:rsidRPr="003D4F70" w:rsidRDefault="00DE4F2B" w:rsidP="00C00894">
            <w:pPr>
              <w:pStyle w:val="Bodytext"/>
              <w:rPr>
                <w:b/>
                <w:sz w:val="28"/>
                <w:szCs w:val="28"/>
              </w:rPr>
            </w:pPr>
            <w:r w:rsidRPr="003D4F70">
              <w:rPr>
                <w:b/>
                <w:sz w:val="28"/>
                <w:szCs w:val="28"/>
                <w:lang w:val="en-US"/>
              </w:rPr>
              <w:t>Interim Report and Unaudited Interim Condensed Financial Statements</w:t>
            </w:r>
          </w:p>
          <w:p w14:paraId="680EFE66" w14:textId="7D25CC35" w:rsidR="00D33AA7" w:rsidRPr="00BC678F" w:rsidRDefault="00D33AA7">
            <w:pPr>
              <w:pStyle w:val="Heading2"/>
              <w:outlineLvl w:val="1"/>
              <w:rPr>
                <w:rFonts w:cs="Arial"/>
                <w:b w:val="0"/>
                <w:szCs w:val="28"/>
                <w:lang w:val="en-US"/>
              </w:rPr>
            </w:pPr>
            <w:r w:rsidRPr="00BC678F">
              <w:rPr>
                <w:rFonts w:cs="Arial"/>
                <w:b w:val="0"/>
                <w:szCs w:val="28"/>
                <w:lang w:val="en-US"/>
              </w:rPr>
              <w:t xml:space="preserve">for </w:t>
            </w:r>
            <w:r w:rsidR="00987570">
              <w:rPr>
                <w:rFonts w:cs="Arial"/>
                <w:b w:val="0"/>
                <w:szCs w:val="28"/>
                <w:lang w:val="en-US"/>
              </w:rPr>
              <w:t>the six months ended 30 June 2020</w:t>
            </w:r>
          </w:p>
          <w:p w14:paraId="22427C61" w14:textId="77777777" w:rsidR="00D33AA7" w:rsidRPr="00CD32A0" w:rsidRDefault="00D33AA7">
            <w:pPr>
              <w:pStyle w:val="Heading2"/>
              <w:ind w:left="0" w:firstLine="0"/>
              <w:outlineLvl w:val="1"/>
              <w:rPr>
                <w:rFonts w:cs="Arial"/>
                <w:b w:val="0"/>
                <w:lang w:val="en-US"/>
              </w:rPr>
            </w:pPr>
          </w:p>
          <w:p w14:paraId="6DACA4DD" w14:textId="79561083" w:rsidR="00D33AA7" w:rsidRDefault="00D33AA7">
            <w:pPr>
              <w:rPr>
                <w:rFonts w:ascii="Arial" w:hAnsi="Arial" w:cs="Arial"/>
              </w:rPr>
            </w:pPr>
          </w:p>
          <w:p w14:paraId="75C473BD" w14:textId="0C990722" w:rsidR="00B364BB" w:rsidRDefault="00B364BB">
            <w:pPr>
              <w:rPr>
                <w:rFonts w:ascii="Arial" w:hAnsi="Arial" w:cs="Arial"/>
              </w:rPr>
            </w:pPr>
          </w:p>
          <w:p w14:paraId="65B3655D" w14:textId="77777777" w:rsidR="00B364BB" w:rsidRPr="002D1A2F" w:rsidRDefault="00B364BB">
            <w:pPr>
              <w:rPr>
                <w:rFonts w:ascii="Arial" w:hAnsi="Arial" w:cs="Arial"/>
              </w:rPr>
            </w:pPr>
          </w:p>
          <w:p w14:paraId="133DB08B" w14:textId="77777777" w:rsidR="00D33AA7" w:rsidRPr="002D1A2F" w:rsidRDefault="00D33AA7">
            <w:pPr>
              <w:pStyle w:val="Pulloutcaption"/>
              <w:rPr>
                <w:rFonts w:ascii="Arial" w:hAnsi="Arial" w:cs="Arial"/>
              </w:rPr>
            </w:pPr>
            <w:r w:rsidRPr="002D1A2F">
              <w:rPr>
                <w:rFonts w:ascii="Arial" w:hAnsi="Arial" w:cs="Arial"/>
              </w:rPr>
              <w:t>A focus on long-term capital growth</w:t>
            </w:r>
          </w:p>
        </w:tc>
        <w:tc>
          <w:tcPr>
            <w:tcW w:w="2368" w:type="dxa"/>
            <w:tcMar>
              <w:top w:w="108" w:type="dxa"/>
              <w:bottom w:w="108" w:type="dxa"/>
            </w:tcMar>
          </w:tcPr>
          <w:p w14:paraId="672B18BB" w14:textId="206FBA98" w:rsidR="00D33AA7" w:rsidRPr="002D1A2F" w:rsidRDefault="00D33AA7">
            <w:pPr>
              <w:rPr>
                <w:rFonts w:ascii="Arial" w:hAnsi="Arial" w:cs="Arial"/>
              </w:rPr>
            </w:pPr>
          </w:p>
          <w:p w14:paraId="7B60A4A8" w14:textId="77777777" w:rsidR="00D33AA7" w:rsidRPr="002D1A2F" w:rsidRDefault="00D33AA7">
            <w:pPr>
              <w:rPr>
                <w:rFonts w:ascii="Arial" w:hAnsi="Arial" w:cs="Arial"/>
              </w:rPr>
            </w:pPr>
            <w:r w:rsidRPr="002D1A2F">
              <w:rPr>
                <w:rFonts w:ascii="Arial" w:hAnsi="Arial" w:cs="Arial"/>
              </w:rPr>
              <w:t xml:space="preserve">Riverstone </w:t>
            </w:r>
          </w:p>
          <w:p w14:paraId="4599C25C" w14:textId="77777777" w:rsidR="00D33AA7" w:rsidRPr="002D1A2F" w:rsidRDefault="00D33AA7">
            <w:pPr>
              <w:rPr>
                <w:rFonts w:ascii="Arial" w:hAnsi="Arial" w:cs="Arial"/>
              </w:rPr>
            </w:pPr>
            <w:r w:rsidRPr="002D1A2F">
              <w:rPr>
                <w:rFonts w:ascii="Arial" w:hAnsi="Arial" w:cs="Arial"/>
              </w:rPr>
              <w:t xml:space="preserve">Energy </w:t>
            </w:r>
          </w:p>
          <w:p w14:paraId="36C20A88" w14:textId="77777777" w:rsidR="00D33AA7" w:rsidRPr="002D1A2F" w:rsidRDefault="00D33AA7">
            <w:pPr>
              <w:rPr>
                <w:rFonts w:ascii="Arial" w:hAnsi="Arial" w:cs="Arial"/>
              </w:rPr>
            </w:pPr>
            <w:r w:rsidRPr="002D1A2F">
              <w:rPr>
                <w:rFonts w:ascii="Arial" w:hAnsi="Arial" w:cs="Arial"/>
              </w:rPr>
              <w:t>Limited</w:t>
            </w:r>
          </w:p>
          <w:p w14:paraId="4D1AC558" w14:textId="77777777" w:rsidR="00D33AA7" w:rsidRPr="002D1A2F" w:rsidRDefault="00D33AA7">
            <w:pPr>
              <w:rPr>
                <w:rFonts w:ascii="Arial" w:hAnsi="Arial" w:cs="Arial"/>
              </w:rPr>
            </w:pPr>
            <w:r w:rsidRPr="002D1A2F">
              <w:rPr>
                <w:rFonts w:ascii="Arial" w:hAnsi="Arial" w:cs="Arial"/>
              </w:rPr>
              <w:t>(LSE: RSE)</w:t>
            </w:r>
          </w:p>
        </w:tc>
      </w:tr>
    </w:tbl>
    <w:p w14:paraId="2219AD2D" w14:textId="747B41AB" w:rsidR="00D33AA7" w:rsidRPr="00DC2064" w:rsidRDefault="00D33AA7">
      <w:pPr>
        <w:rPr>
          <w:rFonts w:ascii="Arial" w:hAnsi="Arial" w:cs="Arial"/>
          <w:b/>
          <w:caps/>
          <w:sz w:val="30"/>
          <w:szCs w:val="30"/>
        </w:rPr>
      </w:pPr>
      <w:r w:rsidRPr="00DC2064">
        <w:rPr>
          <w:rFonts w:ascii="Arial" w:hAnsi="Arial" w:cs="Arial"/>
          <w:b/>
          <w:caps/>
          <w:sz w:val="30"/>
          <w:szCs w:val="30"/>
        </w:rPr>
        <w:t>Financial and Operational Highlights</w:t>
      </w:r>
      <w:r w:rsidR="000F6051" w:rsidRPr="000F6051">
        <w:rPr>
          <w:rFonts w:ascii="Arial" w:hAnsi="Arial" w:cs="Arial"/>
          <w:b/>
          <w:caps/>
          <w:sz w:val="30"/>
          <w:szCs w:val="30"/>
          <w:vertAlign w:val="superscript"/>
        </w:rPr>
        <w:t>(1)</w:t>
      </w:r>
    </w:p>
    <w:p w14:paraId="4E156220" w14:textId="77777777" w:rsidR="00D33AA7" w:rsidRPr="002D1A2F" w:rsidRDefault="00D33AA7">
      <w:pPr>
        <w:rPr>
          <w:rFonts w:ascii="Arial" w:hAnsi="Arial" w:cs="Arial"/>
          <w:sz w:val="20"/>
          <w:szCs w:val="20"/>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9"/>
        <w:gridCol w:w="6152"/>
      </w:tblGrid>
      <w:tr w:rsidR="00A75F30" w:rsidRPr="00880B55" w14:paraId="0A16EDB9" w14:textId="77777777" w:rsidTr="002A5374">
        <w:tc>
          <w:tcPr>
            <w:tcW w:w="3629" w:type="dxa"/>
          </w:tcPr>
          <w:p w14:paraId="25624A1B" w14:textId="41AA27C6" w:rsidR="00A75F30" w:rsidRPr="00F52992" w:rsidRDefault="001B292E" w:rsidP="00A75F30">
            <w:pPr>
              <w:rPr>
                <w:rFonts w:ascii="Arial" w:hAnsi="Arial" w:cs="Arial"/>
                <w:sz w:val="20"/>
                <w:szCs w:val="20"/>
              </w:rPr>
            </w:pPr>
            <w:r w:rsidRPr="00F52992">
              <w:rPr>
                <w:rFonts w:ascii="Arial" w:hAnsi="Arial" w:cs="Arial"/>
                <w:sz w:val="20"/>
                <w:szCs w:val="20"/>
              </w:rPr>
              <w:t xml:space="preserve">Net </w:t>
            </w:r>
            <w:r w:rsidR="00A75F30" w:rsidRPr="00F52992">
              <w:rPr>
                <w:rFonts w:ascii="Arial" w:hAnsi="Arial" w:cs="Arial"/>
                <w:sz w:val="20"/>
                <w:szCs w:val="20"/>
              </w:rPr>
              <w:t xml:space="preserve">Committed Capital </w:t>
            </w:r>
            <w:r w:rsidR="006729B3">
              <w:rPr>
                <w:rFonts w:ascii="Arial" w:hAnsi="Arial" w:cs="Arial"/>
                <w:sz w:val="20"/>
                <w:szCs w:val="20"/>
              </w:rPr>
              <w:t>at 30 June 2020</w:t>
            </w:r>
          </w:p>
        </w:tc>
        <w:tc>
          <w:tcPr>
            <w:tcW w:w="6152" w:type="dxa"/>
          </w:tcPr>
          <w:p w14:paraId="46C1B78A" w14:textId="17A53351" w:rsidR="00A75F30" w:rsidRPr="005F4495" w:rsidRDefault="008B3F14" w:rsidP="00A75F30">
            <w:pPr>
              <w:rPr>
                <w:rFonts w:ascii="Arial" w:hAnsi="Arial" w:cs="Arial"/>
                <w:sz w:val="20"/>
                <w:szCs w:val="20"/>
                <w:vertAlign w:val="superscript"/>
              </w:rPr>
            </w:pPr>
            <w:r w:rsidRPr="00DE7B33">
              <w:rPr>
                <w:rFonts w:ascii="Arial" w:hAnsi="Arial" w:cs="Arial"/>
                <w:sz w:val="20"/>
                <w:szCs w:val="20"/>
              </w:rPr>
              <w:t>$</w:t>
            </w:r>
            <w:r w:rsidR="00BF6204" w:rsidRPr="00DE7B33">
              <w:rPr>
                <w:rFonts w:ascii="Arial" w:eastAsia="Calibri" w:hAnsi="Arial" w:cs="Arial"/>
                <w:sz w:val="20"/>
                <w:szCs w:val="20"/>
              </w:rPr>
              <w:t>1,087</w:t>
            </w:r>
            <w:r w:rsidR="006E26F9" w:rsidRPr="00DE7B33" w:rsidDel="00E259BD">
              <w:rPr>
                <w:rFonts w:ascii="Arial" w:eastAsia="Calibri" w:hAnsi="Arial" w:cs="Arial"/>
                <w:sz w:val="20"/>
                <w:szCs w:val="20"/>
              </w:rPr>
              <w:t xml:space="preserve"> </w:t>
            </w:r>
            <w:r w:rsidR="00A75F30" w:rsidRPr="00DE7B33">
              <w:rPr>
                <w:rFonts w:ascii="Arial" w:hAnsi="Arial" w:cs="Arial"/>
                <w:sz w:val="20"/>
                <w:szCs w:val="20"/>
              </w:rPr>
              <w:t>million</w:t>
            </w:r>
            <w:r w:rsidR="000F6051" w:rsidRPr="00DE7B33">
              <w:rPr>
                <w:rFonts w:ascii="Arial" w:hAnsi="Arial" w:cs="Arial"/>
                <w:sz w:val="20"/>
                <w:szCs w:val="20"/>
                <w:vertAlign w:val="superscript"/>
              </w:rPr>
              <w:t>(2)</w:t>
            </w:r>
            <w:r w:rsidR="00AD57E5" w:rsidRPr="00DE7B33">
              <w:rPr>
                <w:rFonts w:ascii="Arial" w:hAnsi="Arial" w:cs="Arial"/>
                <w:sz w:val="20"/>
                <w:szCs w:val="20"/>
              </w:rPr>
              <w:t xml:space="preserve"> </w:t>
            </w:r>
            <w:r w:rsidR="00A75F30" w:rsidRPr="00DE7B33">
              <w:rPr>
                <w:rFonts w:ascii="Arial" w:hAnsi="Arial" w:cs="Arial"/>
                <w:sz w:val="20"/>
                <w:szCs w:val="20"/>
              </w:rPr>
              <w:t xml:space="preserve">/ </w:t>
            </w:r>
            <w:r w:rsidR="00BF6204" w:rsidRPr="00DE7B33">
              <w:rPr>
                <w:rFonts w:ascii="Arial" w:eastAsia="Calibri" w:hAnsi="Arial" w:cs="Arial"/>
                <w:sz w:val="20"/>
                <w:szCs w:val="20"/>
              </w:rPr>
              <w:t>94</w:t>
            </w:r>
            <w:r w:rsidRPr="00DE7B33">
              <w:rPr>
                <w:rFonts w:ascii="Arial" w:hAnsi="Arial" w:cs="Arial"/>
                <w:sz w:val="20"/>
                <w:szCs w:val="20"/>
              </w:rPr>
              <w:t xml:space="preserve"> </w:t>
            </w:r>
            <w:r w:rsidR="00A75F30" w:rsidRPr="00DE7B33">
              <w:rPr>
                <w:rFonts w:ascii="Arial" w:hAnsi="Arial" w:cs="Arial"/>
                <w:sz w:val="20"/>
                <w:szCs w:val="20"/>
              </w:rPr>
              <w:t>per cent. of net capital available</w:t>
            </w:r>
            <w:r w:rsidR="00A75F30" w:rsidRPr="00DE7B33">
              <w:rPr>
                <w:rFonts w:ascii="Arial" w:hAnsi="Arial" w:cs="Arial"/>
                <w:sz w:val="20"/>
                <w:szCs w:val="20"/>
                <w:vertAlign w:val="superscript"/>
              </w:rPr>
              <w:t>(</w:t>
            </w:r>
            <w:r w:rsidR="000F6051" w:rsidRPr="00DE7B33">
              <w:rPr>
                <w:rFonts w:ascii="Arial" w:hAnsi="Arial" w:cs="Arial"/>
                <w:sz w:val="20"/>
                <w:szCs w:val="20"/>
                <w:vertAlign w:val="superscript"/>
              </w:rPr>
              <w:t>3</w:t>
            </w:r>
            <w:r w:rsidR="00A75F30" w:rsidRPr="005F4495">
              <w:rPr>
                <w:rFonts w:ascii="Arial" w:hAnsi="Arial" w:cs="Arial"/>
                <w:sz w:val="20"/>
                <w:szCs w:val="20"/>
                <w:vertAlign w:val="superscript"/>
              </w:rPr>
              <w:t>)</w:t>
            </w:r>
          </w:p>
          <w:p w14:paraId="10AAF8C9" w14:textId="77777777" w:rsidR="00A75F30" w:rsidRPr="005F4495" w:rsidRDefault="00A75F30" w:rsidP="00A75F30">
            <w:pPr>
              <w:rPr>
                <w:rFonts w:ascii="Arial" w:hAnsi="Arial" w:cs="Arial"/>
                <w:sz w:val="20"/>
                <w:szCs w:val="20"/>
              </w:rPr>
            </w:pPr>
          </w:p>
        </w:tc>
      </w:tr>
      <w:tr w:rsidR="00A75F30" w:rsidRPr="005D4821" w14:paraId="7250A684" w14:textId="77777777" w:rsidTr="006256A7">
        <w:trPr>
          <w:trHeight w:val="850"/>
        </w:trPr>
        <w:tc>
          <w:tcPr>
            <w:tcW w:w="3629" w:type="dxa"/>
          </w:tcPr>
          <w:p w14:paraId="2CAA7640" w14:textId="5E76ADA3" w:rsidR="00A75F30" w:rsidRPr="00F52992" w:rsidRDefault="000F6051" w:rsidP="00A75F30">
            <w:pPr>
              <w:rPr>
                <w:rFonts w:ascii="Arial" w:hAnsi="Arial" w:cs="Arial"/>
                <w:sz w:val="20"/>
                <w:szCs w:val="20"/>
              </w:rPr>
            </w:pPr>
            <w:r>
              <w:rPr>
                <w:rFonts w:ascii="Arial" w:hAnsi="Arial" w:cs="Arial"/>
                <w:sz w:val="20"/>
                <w:szCs w:val="20"/>
              </w:rPr>
              <w:t>C</w:t>
            </w:r>
            <w:r w:rsidR="00A75F30" w:rsidRPr="00F52992">
              <w:rPr>
                <w:rFonts w:ascii="Arial" w:hAnsi="Arial" w:cs="Arial"/>
                <w:sz w:val="20"/>
                <w:szCs w:val="20"/>
              </w:rPr>
              <w:t>ommitments</w:t>
            </w:r>
            <w:r w:rsidR="00DD38BA" w:rsidRPr="00F52992">
              <w:rPr>
                <w:rFonts w:ascii="Arial" w:hAnsi="Arial" w:cs="Arial"/>
                <w:sz w:val="20"/>
                <w:szCs w:val="20"/>
              </w:rPr>
              <w:t xml:space="preserve"> </w:t>
            </w:r>
            <w:r w:rsidR="00035261" w:rsidRPr="00F52992">
              <w:rPr>
                <w:rFonts w:ascii="Arial" w:hAnsi="Arial" w:cs="Arial"/>
                <w:sz w:val="20"/>
                <w:szCs w:val="20"/>
              </w:rPr>
              <w:t>dur</w:t>
            </w:r>
            <w:r w:rsidR="00987570">
              <w:rPr>
                <w:rFonts w:ascii="Arial" w:hAnsi="Arial" w:cs="Arial"/>
                <w:sz w:val="20"/>
                <w:szCs w:val="20"/>
              </w:rPr>
              <w:t>ing the period ended 30 June 2020</w:t>
            </w:r>
          </w:p>
          <w:p w14:paraId="228736E4" w14:textId="77777777" w:rsidR="00A75F30" w:rsidRPr="00F52992" w:rsidRDefault="00A75F30" w:rsidP="00A75F30">
            <w:pPr>
              <w:rPr>
                <w:rFonts w:ascii="Arial" w:hAnsi="Arial" w:cs="Arial"/>
                <w:sz w:val="20"/>
                <w:szCs w:val="20"/>
              </w:rPr>
            </w:pPr>
            <w:r w:rsidRPr="00F52992">
              <w:rPr>
                <w:rFonts w:ascii="Arial" w:hAnsi="Arial" w:cs="Arial"/>
                <w:sz w:val="20"/>
                <w:szCs w:val="20"/>
              </w:rPr>
              <w:t xml:space="preserve"> </w:t>
            </w:r>
          </w:p>
        </w:tc>
        <w:tc>
          <w:tcPr>
            <w:tcW w:w="6152" w:type="dxa"/>
          </w:tcPr>
          <w:p w14:paraId="385180CD" w14:textId="13501BCA" w:rsidR="00A75F30" w:rsidRPr="00F52992" w:rsidRDefault="00A75F30" w:rsidP="00A75F30">
            <w:pPr>
              <w:rPr>
                <w:rFonts w:ascii="Arial" w:hAnsi="Arial" w:cs="Arial"/>
                <w:sz w:val="20"/>
                <w:szCs w:val="20"/>
              </w:rPr>
            </w:pPr>
            <w:r w:rsidRPr="00F52992">
              <w:rPr>
                <w:rFonts w:ascii="Arial" w:hAnsi="Arial" w:cs="Arial"/>
                <w:sz w:val="20"/>
                <w:szCs w:val="20"/>
              </w:rPr>
              <w:t>Commit</w:t>
            </w:r>
            <w:r w:rsidR="00DD38BA" w:rsidRPr="00F52992">
              <w:rPr>
                <w:rFonts w:ascii="Arial" w:hAnsi="Arial" w:cs="Arial"/>
                <w:sz w:val="20"/>
                <w:szCs w:val="20"/>
              </w:rPr>
              <w:t>ments</w:t>
            </w:r>
            <w:r w:rsidRPr="00F52992">
              <w:rPr>
                <w:rFonts w:ascii="Arial" w:hAnsi="Arial" w:cs="Arial"/>
                <w:sz w:val="20"/>
                <w:szCs w:val="20"/>
              </w:rPr>
              <w:t xml:space="preserve"> </w:t>
            </w:r>
            <w:r w:rsidR="00DD38BA" w:rsidRPr="00F52992">
              <w:rPr>
                <w:rFonts w:ascii="Arial" w:hAnsi="Arial" w:cs="Arial"/>
                <w:sz w:val="20"/>
                <w:szCs w:val="20"/>
              </w:rPr>
              <w:t xml:space="preserve">reduced </w:t>
            </w:r>
            <w:r w:rsidR="00DD43E3">
              <w:rPr>
                <w:rFonts w:ascii="Arial" w:hAnsi="Arial" w:cs="Arial"/>
                <w:sz w:val="20"/>
                <w:szCs w:val="20"/>
              </w:rPr>
              <w:t xml:space="preserve">by </w:t>
            </w:r>
            <w:r w:rsidRPr="00F52992">
              <w:rPr>
                <w:rFonts w:ascii="Arial" w:hAnsi="Arial" w:cs="Arial"/>
                <w:sz w:val="20"/>
                <w:szCs w:val="20"/>
              </w:rPr>
              <w:t>a</w:t>
            </w:r>
            <w:r w:rsidR="00220B88">
              <w:rPr>
                <w:rFonts w:ascii="Arial" w:hAnsi="Arial" w:cs="Arial"/>
                <w:sz w:val="20"/>
                <w:szCs w:val="20"/>
              </w:rPr>
              <w:t xml:space="preserve"> </w:t>
            </w:r>
            <w:r w:rsidRPr="00F52992">
              <w:rPr>
                <w:rFonts w:ascii="Arial" w:hAnsi="Arial" w:cs="Arial"/>
                <w:sz w:val="20"/>
                <w:szCs w:val="20"/>
              </w:rPr>
              <w:t xml:space="preserve">total of </w:t>
            </w:r>
            <w:r w:rsidR="008B3F14" w:rsidRPr="00F52992">
              <w:rPr>
                <w:rFonts w:ascii="Arial" w:hAnsi="Arial" w:cs="Arial"/>
                <w:sz w:val="20"/>
                <w:szCs w:val="20"/>
              </w:rPr>
              <w:t>$</w:t>
            </w:r>
            <w:r w:rsidR="00164AF6" w:rsidRPr="008A149E">
              <w:rPr>
                <w:rFonts w:ascii="Arial" w:eastAsia="Calibri" w:hAnsi="Arial" w:cs="Arial"/>
                <w:sz w:val="20"/>
                <w:szCs w:val="20"/>
              </w:rPr>
              <w:t>92</w:t>
            </w:r>
            <w:r w:rsidR="008B3F14" w:rsidRPr="00F52992">
              <w:rPr>
                <w:rFonts w:ascii="Arial" w:hAnsi="Arial" w:cs="Arial"/>
                <w:sz w:val="20"/>
                <w:szCs w:val="20"/>
              </w:rPr>
              <w:t xml:space="preserve"> </w:t>
            </w:r>
            <w:r w:rsidRPr="00F52992">
              <w:rPr>
                <w:rFonts w:ascii="Arial" w:hAnsi="Arial" w:cs="Arial"/>
                <w:sz w:val="20"/>
                <w:szCs w:val="20"/>
              </w:rPr>
              <w:t>million:</w:t>
            </w:r>
          </w:p>
          <w:p w14:paraId="4AFED198" w14:textId="0346C564" w:rsidR="00220B88" w:rsidRPr="008A149E" w:rsidRDefault="00220B88" w:rsidP="0071103F">
            <w:pPr>
              <w:numPr>
                <w:ilvl w:val="0"/>
                <w:numId w:val="2"/>
              </w:numPr>
              <w:ind w:left="567" w:hanging="567"/>
              <w:contextualSpacing/>
              <w:rPr>
                <w:rFonts w:ascii="Arial" w:hAnsi="Arial" w:cs="Arial"/>
                <w:sz w:val="20"/>
              </w:rPr>
            </w:pPr>
            <w:r>
              <w:rPr>
                <w:rFonts w:ascii="Arial" w:hAnsi="Arial" w:cs="Arial"/>
                <w:sz w:val="20"/>
              </w:rPr>
              <w:t>$</w:t>
            </w:r>
            <w:r w:rsidR="00BF6204" w:rsidRPr="008A149E">
              <w:rPr>
                <w:rFonts w:ascii="Arial" w:eastAsia="Calibri" w:hAnsi="Arial" w:cs="Arial"/>
                <w:sz w:val="20"/>
                <w:szCs w:val="20"/>
              </w:rPr>
              <w:t>77</w:t>
            </w:r>
            <w:r w:rsidRPr="008A149E">
              <w:rPr>
                <w:rFonts w:ascii="Arial" w:hAnsi="Arial" w:cs="Arial"/>
                <w:sz w:val="20"/>
              </w:rPr>
              <w:t xml:space="preserve"> million in </w:t>
            </w:r>
            <w:r w:rsidR="00F05BF8" w:rsidRPr="008A149E">
              <w:rPr>
                <w:rFonts w:ascii="Arial" w:hAnsi="Arial" w:cs="Arial"/>
                <w:sz w:val="20"/>
              </w:rPr>
              <w:t>Aleph Midstream S.A.</w:t>
            </w:r>
          </w:p>
          <w:p w14:paraId="7B0E6549" w14:textId="4D0F38DC" w:rsidR="00A75F30" w:rsidRPr="00F52992" w:rsidRDefault="00F05BF8" w:rsidP="00F05BF8">
            <w:pPr>
              <w:numPr>
                <w:ilvl w:val="0"/>
                <w:numId w:val="2"/>
              </w:numPr>
              <w:ind w:left="567" w:hanging="567"/>
              <w:contextualSpacing/>
              <w:rPr>
                <w:rFonts w:ascii="Arial" w:hAnsi="Arial" w:cs="Arial"/>
                <w:sz w:val="20"/>
                <w:szCs w:val="20"/>
              </w:rPr>
            </w:pPr>
            <w:r w:rsidRPr="008A149E">
              <w:rPr>
                <w:rFonts w:ascii="Arial" w:hAnsi="Arial" w:cs="Arial"/>
                <w:sz w:val="20"/>
                <w:szCs w:val="20"/>
              </w:rPr>
              <w:t>$</w:t>
            </w:r>
            <w:r w:rsidR="00BF6204" w:rsidRPr="008A149E">
              <w:rPr>
                <w:rFonts w:ascii="Arial" w:eastAsia="Calibri" w:hAnsi="Arial" w:cs="Arial"/>
                <w:sz w:val="20"/>
                <w:szCs w:val="20"/>
              </w:rPr>
              <w:t>15</w:t>
            </w:r>
            <w:r w:rsidRPr="008A149E">
              <w:rPr>
                <w:rFonts w:ascii="Arial" w:eastAsia="Calibri" w:hAnsi="Arial" w:cs="Arial"/>
                <w:sz w:val="20"/>
                <w:szCs w:val="20"/>
              </w:rPr>
              <w:t xml:space="preserve"> million</w:t>
            </w:r>
            <w:r>
              <w:rPr>
                <w:rFonts w:ascii="Arial" w:eastAsia="Calibri" w:hAnsi="Arial" w:cs="Arial"/>
                <w:sz w:val="20"/>
                <w:szCs w:val="20"/>
              </w:rPr>
              <w:t xml:space="preserve"> in Castex Energy 2014, LLC</w:t>
            </w:r>
          </w:p>
        </w:tc>
      </w:tr>
      <w:tr w:rsidR="002A5374" w:rsidRPr="005D4821" w14:paraId="7EFB1E7E" w14:textId="77777777" w:rsidTr="006256A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50"/>
        </w:trPr>
        <w:tc>
          <w:tcPr>
            <w:tcW w:w="3629" w:type="dxa"/>
            <w:tcBorders>
              <w:top w:val="nil"/>
              <w:left w:val="nil"/>
              <w:bottom w:val="nil"/>
              <w:right w:val="nil"/>
            </w:tcBorders>
          </w:tcPr>
          <w:p w14:paraId="1FDC183F" w14:textId="215EB7CF" w:rsidR="002A5374" w:rsidRPr="00F52992" w:rsidRDefault="002A5374" w:rsidP="002A5374">
            <w:pPr>
              <w:rPr>
                <w:rFonts w:ascii="Arial" w:hAnsi="Arial" w:cs="Arial"/>
                <w:sz w:val="20"/>
                <w:szCs w:val="20"/>
              </w:rPr>
            </w:pPr>
            <w:r>
              <w:rPr>
                <w:rFonts w:ascii="Arial" w:hAnsi="Arial" w:cs="Arial"/>
                <w:sz w:val="20"/>
                <w:szCs w:val="20"/>
              </w:rPr>
              <w:t>Remaining</w:t>
            </w:r>
            <w:r w:rsidR="00F05BF8">
              <w:rPr>
                <w:rFonts w:ascii="Arial" w:hAnsi="Arial" w:cs="Arial"/>
                <w:sz w:val="20"/>
                <w:szCs w:val="20"/>
              </w:rPr>
              <w:t xml:space="preserve"> potential</w:t>
            </w:r>
            <w:r>
              <w:rPr>
                <w:rFonts w:ascii="Arial" w:hAnsi="Arial" w:cs="Arial"/>
                <w:sz w:val="20"/>
                <w:szCs w:val="20"/>
              </w:rPr>
              <w:t xml:space="preserve"> unfunded c</w:t>
            </w:r>
            <w:r w:rsidRPr="00F52992">
              <w:rPr>
                <w:rFonts w:ascii="Arial" w:hAnsi="Arial" w:cs="Arial"/>
                <w:sz w:val="20"/>
                <w:szCs w:val="20"/>
              </w:rPr>
              <w:t xml:space="preserve">ommitments </w:t>
            </w:r>
            <w:r>
              <w:rPr>
                <w:rFonts w:ascii="Arial" w:hAnsi="Arial" w:cs="Arial"/>
                <w:sz w:val="20"/>
                <w:szCs w:val="20"/>
              </w:rPr>
              <w:t>at</w:t>
            </w:r>
            <w:r w:rsidR="00987570">
              <w:rPr>
                <w:rFonts w:ascii="Arial" w:hAnsi="Arial" w:cs="Arial"/>
                <w:sz w:val="20"/>
                <w:szCs w:val="20"/>
              </w:rPr>
              <w:t xml:space="preserve"> 30 June 2020</w:t>
            </w:r>
          </w:p>
          <w:p w14:paraId="599ADAF0" w14:textId="77777777" w:rsidR="002A5374" w:rsidRPr="00F52992" w:rsidRDefault="002A5374" w:rsidP="002A5374">
            <w:pPr>
              <w:rPr>
                <w:rFonts w:ascii="Arial" w:hAnsi="Arial" w:cs="Arial"/>
                <w:sz w:val="20"/>
                <w:szCs w:val="20"/>
              </w:rPr>
            </w:pPr>
            <w:r w:rsidRPr="00F52992">
              <w:rPr>
                <w:rFonts w:ascii="Arial" w:hAnsi="Arial" w:cs="Arial"/>
                <w:sz w:val="20"/>
                <w:szCs w:val="20"/>
              </w:rPr>
              <w:t xml:space="preserve"> </w:t>
            </w:r>
          </w:p>
        </w:tc>
        <w:tc>
          <w:tcPr>
            <w:tcW w:w="6152" w:type="dxa"/>
            <w:tcBorders>
              <w:top w:val="nil"/>
              <w:left w:val="nil"/>
              <w:bottom w:val="nil"/>
              <w:right w:val="nil"/>
            </w:tcBorders>
          </w:tcPr>
          <w:p w14:paraId="24CE0FEB" w14:textId="69C41950" w:rsidR="002A5374" w:rsidRPr="00F52992" w:rsidRDefault="00E97C5A" w:rsidP="002A5374">
            <w:pPr>
              <w:rPr>
                <w:rFonts w:ascii="Arial" w:hAnsi="Arial" w:cs="Arial"/>
                <w:sz w:val="20"/>
                <w:szCs w:val="20"/>
              </w:rPr>
            </w:pPr>
            <w:r>
              <w:rPr>
                <w:rFonts w:ascii="Arial" w:hAnsi="Arial" w:cs="Arial"/>
                <w:sz w:val="20"/>
                <w:szCs w:val="20"/>
              </w:rPr>
              <w:t>$</w:t>
            </w:r>
            <w:r w:rsidR="00BF6204">
              <w:rPr>
                <w:rFonts w:ascii="Arial" w:hAnsi="Arial" w:cs="Arial"/>
                <w:sz w:val="20"/>
                <w:szCs w:val="20"/>
              </w:rPr>
              <w:t>10</w:t>
            </w:r>
            <w:r w:rsidR="005B4151">
              <w:rPr>
                <w:rFonts w:ascii="Arial" w:hAnsi="Arial" w:cs="Arial"/>
                <w:sz w:val="20"/>
                <w:szCs w:val="20"/>
              </w:rPr>
              <w:t>0</w:t>
            </w:r>
            <w:r>
              <w:rPr>
                <w:rFonts w:ascii="Arial" w:hAnsi="Arial" w:cs="Arial"/>
                <w:sz w:val="20"/>
                <w:szCs w:val="20"/>
              </w:rPr>
              <w:t xml:space="preserve"> million</w:t>
            </w:r>
            <w:r w:rsidR="002A5374" w:rsidRPr="00B0143F">
              <w:rPr>
                <w:rFonts w:ascii="Arial" w:hAnsi="Arial" w:cs="Arial"/>
                <w:sz w:val="20"/>
                <w:szCs w:val="20"/>
                <w:vertAlign w:val="superscript"/>
              </w:rPr>
              <w:t>(</w:t>
            </w:r>
            <w:r w:rsidR="00F05BF8">
              <w:rPr>
                <w:rFonts w:ascii="Arial" w:hAnsi="Arial" w:cs="Arial"/>
                <w:sz w:val="20"/>
                <w:szCs w:val="20"/>
                <w:vertAlign w:val="superscript"/>
              </w:rPr>
              <w:t>4</w:t>
            </w:r>
            <w:r w:rsidR="002A5374" w:rsidRPr="00B0143F">
              <w:rPr>
                <w:rFonts w:ascii="Arial" w:hAnsi="Arial" w:cs="Arial"/>
                <w:sz w:val="20"/>
                <w:szCs w:val="20"/>
                <w:vertAlign w:val="superscript"/>
              </w:rPr>
              <w:t>)</w:t>
            </w:r>
            <w:r w:rsidR="009D1885">
              <w:rPr>
                <w:rFonts w:ascii="Arial" w:hAnsi="Arial" w:cs="Arial"/>
                <w:sz w:val="20"/>
                <w:szCs w:val="20"/>
                <w:vertAlign w:val="superscript"/>
              </w:rPr>
              <w:t>(5)</w:t>
            </w:r>
            <w:r w:rsidR="002A5374" w:rsidRPr="00F52992">
              <w:rPr>
                <w:rFonts w:ascii="Arial" w:hAnsi="Arial" w:cs="Arial"/>
                <w:sz w:val="20"/>
                <w:szCs w:val="20"/>
              </w:rPr>
              <w:t>:</w:t>
            </w:r>
          </w:p>
          <w:p w14:paraId="10455EF9" w14:textId="5030C335" w:rsidR="002A5374" w:rsidRDefault="00987570" w:rsidP="007A2F5C">
            <w:pPr>
              <w:pStyle w:val="ListParagraph"/>
              <w:numPr>
                <w:ilvl w:val="0"/>
                <w:numId w:val="47"/>
              </w:numPr>
              <w:ind w:left="588" w:hanging="588"/>
              <w:rPr>
                <w:rFonts w:ascii="Arial" w:hAnsi="Arial" w:cs="Arial"/>
                <w:sz w:val="20"/>
              </w:rPr>
            </w:pPr>
            <w:r>
              <w:rPr>
                <w:rFonts w:ascii="Arial" w:hAnsi="Arial" w:cs="Arial"/>
                <w:sz w:val="20"/>
              </w:rPr>
              <w:t>$</w:t>
            </w:r>
            <w:r w:rsidR="00BF6204">
              <w:rPr>
                <w:rFonts w:ascii="Arial" w:hAnsi="Arial" w:cs="Arial"/>
                <w:sz w:val="20"/>
              </w:rPr>
              <w:t>4</w:t>
            </w:r>
            <w:r w:rsidR="005B4151">
              <w:rPr>
                <w:rFonts w:ascii="Arial" w:hAnsi="Arial" w:cs="Arial"/>
                <w:sz w:val="20"/>
              </w:rPr>
              <w:t>0</w:t>
            </w:r>
            <w:r w:rsidR="002A5374" w:rsidRPr="009E671A">
              <w:rPr>
                <w:rFonts w:ascii="Arial" w:hAnsi="Arial" w:cs="Arial"/>
                <w:sz w:val="20"/>
              </w:rPr>
              <w:t xml:space="preserve"> million in ILX Holdings III, LLC</w:t>
            </w:r>
          </w:p>
          <w:p w14:paraId="47639289" w14:textId="79BDB26D" w:rsidR="00F05BF8" w:rsidRDefault="00F05BF8" w:rsidP="009E671A">
            <w:pPr>
              <w:numPr>
                <w:ilvl w:val="0"/>
                <w:numId w:val="47"/>
              </w:numPr>
              <w:ind w:left="567" w:hanging="567"/>
              <w:contextualSpacing/>
              <w:rPr>
                <w:rFonts w:ascii="Arial" w:hAnsi="Arial" w:cs="Arial"/>
                <w:sz w:val="20"/>
              </w:rPr>
            </w:pPr>
            <w:r>
              <w:rPr>
                <w:rFonts w:ascii="Arial" w:hAnsi="Arial" w:cs="Arial"/>
                <w:sz w:val="20"/>
              </w:rPr>
              <w:t>$</w:t>
            </w:r>
            <w:r w:rsidR="00BF6204">
              <w:rPr>
                <w:rFonts w:ascii="Arial" w:hAnsi="Arial" w:cs="Arial"/>
                <w:sz w:val="20"/>
              </w:rPr>
              <w:t>19</w:t>
            </w:r>
            <w:r w:rsidRPr="009E671A">
              <w:rPr>
                <w:rFonts w:ascii="Arial" w:hAnsi="Arial" w:cs="Arial"/>
                <w:sz w:val="20"/>
              </w:rPr>
              <w:t xml:space="preserve"> million in </w:t>
            </w:r>
            <w:r>
              <w:rPr>
                <w:rFonts w:ascii="Arial" w:hAnsi="Arial" w:cs="Arial"/>
                <w:sz w:val="20"/>
              </w:rPr>
              <w:t>Onyx Strategic Investment Management I BV</w:t>
            </w:r>
          </w:p>
          <w:p w14:paraId="50593D90" w14:textId="7D72E832" w:rsidR="002A5374" w:rsidRDefault="002A5374" w:rsidP="009E671A">
            <w:pPr>
              <w:numPr>
                <w:ilvl w:val="0"/>
                <w:numId w:val="47"/>
              </w:numPr>
              <w:ind w:left="567" w:hanging="567"/>
              <w:contextualSpacing/>
              <w:rPr>
                <w:rFonts w:ascii="Arial" w:hAnsi="Arial" w:cs="Arial"/>
                <w:sz w:val="20"/>
              </w:rPr>
            </w:pPr>
            <w:r w:rsidRPr="00F52992">
              <w:rPr>
                <w:rFonts w:ascii="Arial" w:hAnsi="Arial" w:cs="Arial"/>
                <w:sz w:val="20"/>
              </w:rPr>
              <w:t>$</w:t>
            </w:r>
            <w:r w:rsidR="00617DF4">
              <w:rPr>
                <w:rFonts w:ascii="Arial" w:hAnsi="Arial" w:cs="Arial"/>
                <w:sz w:val="20"/>
              </w:rPr>
              <w:t>24</w:t>
            </w:r>
            <w:r w:rsidRPr="00F52992">
              <w:rPr>
                <w:rFonts w:ascii="Arial" w:hAnsi="Arial" w:cs="Arial"/>
                <w:sz w:val="20"/>
              </w:rPr>
              <w:t xml:space="preserve"> million in </w:t>
            </w:r>
            <w:r>
              <w:rPr>
                <w:rFonts w:ascii="Arial" w:hAnsi="Arial" w:cs="Arial"/>
                <w:sz w:val="20"/>
              </w:rPr>
              <w:t>Carrier Energy Partners II, LLC</w:t>
            </w:r>
          </w:p>
          <w:p w14:paraId="248A710E" w14:textId="3C42B5E2" w:rsidR="002A5374" w:rsidRDefault="00987570" w:rsidP="009E671A">
            <w:pPr>
              <w:numPr>
                <w:ilvl w:val="0"/>
                <w:numId w:val="47"/>
              </w:numPr>
              <w:ind w:left="567" w:hanging="567"/>
              <w:contextualSpacing/>
              <w:rPr>
                <w:rFonts w:ascii="Arial" w:hAnsi="Arial" w:cs="Arial"/>
                <w:sz w:val="20"/>
              </w:rPr>
            </w:pPr>
            <w:r>
              <w:rPr>
                <w:rFonts w:ascii="Arial" w:hAnsi="Arial" w:cs="Arial"/>
                <w:sz w:val="20"/>
              </w:rPr>
              <w:t>$</w:t>
            </w:r>
            <w:r w:rsidR="00617DF4">
              <w:rPr>
                <w:rFonts w:ascii="Arial" w:hAnsi="Arial" w:cs="Arial"/>
                <w:sz w:val="20"/>
              </w:rPr>
              <w:t>12</w:t>
            </w:r>
            <w:r w:rsidR="002A5374">
              <w:rPr>
                <w:rFonts w:ascii="Arial" w:hAnsi="Arial" w:cs="Arial"/>
                <w:sz w:val="20"/>
              </w:rPr>
              <w:t xml:space="preserve"> million in Hammerhead Resources Inc.</w:t>
            </w:r>
          </w:p>
          <w:p w14:paraId="09CBCDD0" w14:textId="66487258" w:rsidR="002A5374" w:rsidRDefault="00987570" w:rsidP="009E671A">
            <w:pPr>
              <w:numPr>
                <w:ilvl w:val="0"/>
                <w:numId w:val="47"/>
              </w:numPr>
              <w:ind w:left="567" w:hanging="567"/>
              <w:contextualSpacing/>
              <w:rPr>
                <w:rFonts w:ascii="Arial" w:hAnsi="Arial" w:cs="Arial"/>
                <w:sz w:val="20"/>
              </w:rPr>
            </w:pPr>
            <w:r>
              <w:rPr>
                <w:rFonts w:ascii="Arial" w:hAnsi="Arial" w:cs="Arial"/>
                <w:sz w:val="20"/>
              </w:rPr>
              <w:t>$</w:t>
            </w:r>
            <w:r w:rsidR="00617DF4">
              <w:rPr>
                <w:rFonts w:ascii="Arial" w:hAnsi="Arial" w:cs="Arial"/>
                <w:sz w:val="20"/>
              </w:rPr>
              <w:t>4</w:t>
            </w:r>
            <w:r w:rsidR="002A5374">
              <w:rPr>
                <w:rFonts w:ascii="Arial" w:hAnsi="Arial" w:cs="Arial"/>
                <w:sz w:val="20"/>
              </w:rPr>
              <w:t xml:space="preserve"> million in Ridgebury H3 LLC</w:t>
            </w:r>
          </w:p>
          <w:p w14:paraId="22229567" w14:textId="0457929B" w:rsidR="002A5374" w:rsidRDefault="00987570" w:rsidP="009E671A">
            <w:pPr>
              <w:numPr>
                <w:ilvl w:val="0"/>
                <w:numId w:val="47"/>
              </w:numPr>
              <w:ind w:left="567" w:hanging="567"/>
              <w:contextualSpacing/>
              <w:rPr>
                <w:rFonts w:ascii="Arial" w:hAnsi="Arial" w:cs="Arial"/>
                <w:sz w:val="20"/>
              </w:rPr>
            </w:pPr>
            <w:r>
              <w:rPr>
                <w:rFonts w:ascii="Arial" w:hAnsi="Arial" w:cs="Arial"/>
                <w:sz w:val="20"/>
              </w:rPr>
              <w:t>$</w:t>
            </w:r>
            <w:r w:rsidR="00617DF4">
              <w:rPr>
                <w:rFonts w:ascii="Arial" w:hAnsi="Arial" w:cs="Arial"/>
                <w:sz w:val="20"/>
              </w:rPr>
              <w:t>1</w:t>
            </w:r>
            <w:r w:rsidR="002A5374">
              <w:rPr>
                <w:rFonts w:ascii="Arial" w:hAnsi="Arial" w:cs="Arial"/>
                <w:sz w:val="20"/>
              </w:rPr>
              <w:t xml:space="preserve"> million in Fieldwood Energy, Inc.</w:t>
            </w:r>
          </w:p>
          <w:p w14:paraId="34C4DA65" w14:textId="77777777" w:rsidR="002A5374" w:rsidRPr="00F52992" w:rsidRDefault="002A5374" w:rsidP="002A5374">
            <w:pPr>
              <w:contextualSpacing/>
              <w:rPr>
                <w:rFonts w:ascii="Arial" w:hAnsi="Arial" w:cs="Arial"/>
                <w:sz w:val="20"/>
                <w:szCs w:val="20"/>
              </w:rPr>
            </w:pPr>
          </w:p>
        </w:tc>
      </w:tr>
      <w:tr w:rsidR="00A75F30" w:rsidRPr="005D4821" w14:paraId="6AA25771" w14:textId="77777777" w:rsidTr="006256A7">
        <w:tc>
          <w:tcPr>
            <w:tcW w:w="3629" w:type="dxa"/>
          </w:tcPr>
          <w:p w14:paraId="1B10FFAE" w14:textId="37C4A66E" w:rsidR="00A75F30" w:rsidRPr="00F52992" w:rsidRDefault="00A75F30" w:rsidP="001B292E">
            <w:pPr>
              <w:rPr>
                <w:rFonts w:ascii="Arial" w:hAnsi="Arial" w:cs="Arial"/>
                <w:sz w:val="20"/>
                <w:szCs w:val="20"/>
              </w:rPr>
            </w:pPr>
            <w:r w:rsidRPr="00F52992">
              <w:rPr>
                <w:rFonts w:ascii="Arial" w:hAnsi="Arial" w:cs="Arial"/>
                <w:sz w:val="20"/>
                <w:szCs w:val="20"/>
              </w:rPr>
              <w:t>Net Capital</w:t>
            </w:r>
            <w:r w:rsidR="001B292E" w:rsidRPr="00F52992">
              <w:rPr>
                <w:rFonts w:ascii="Arial" w:hAnsi="Arial" w:cs="Arial"/>
                <w:sz w:val="20"/>
                <w:szCs w:val="20"/>
              </w:rPr>
              <w:t xml:space="preserve"> Invested</w:t>
            </w:r>
            <w:r w:rsidRPr="00F52992">
              <w:rPr>
                <w:rFonts w:ascii="Arial" w:hAnsi="Arial" w:cs="Arial"/>
                <w:sz w:val="20"/>
                <w:szCs w:val="20"/>
              </w:rPr>
              <w:t xml:space="preserve"> </w:t>
            </w:r>
            <w:r w:rsidR="006729B3">
              <w:rPr>
                <w:rFonts w:ascii="Arial" w:hAnsi="Arial" w:cs="Arial"/>
                <w:sz w:val="20"/>
                <w:szCs w:val="20"/>
              </w:rPr>
              <w:t>at 30 June 2020</w:t>
            </w:r>
          </w:p>
        </w:tc>
        <w:tc>
          <w:tcPr>
            <w:tcW w:w="6152" w:type="dxa"/>
          </w:tcPr>
          <w:p w14:paraId="762D7513" w14:textId="4C7B4E77" w:rsidR="00A75F30" w:rsidRPr="00F52992" w:rsidRDefault="008B3F14" w:rsidP="00A75F30">
            <w:pPr>
              <w:rPr>
                <w:rFonts w:ascii="Arial" w:hAnsi="Arial" w:cs="Arial"/>
                <w:sz w:val="20"/>
                <w:szCs w:val="20"/>
                <w:vertAlign w:val="superscript"/>
              </w:rPr>
            </w:pPr>
            <w:r w:rsidRPr="00DE7B33">
              <w:rPr>
                <w:rFonts w:ascii="Arial" w:hAnsi="Arial" w:cs="Arial"/>
                <w:sz w:val="20"/>
                <w:szCs w:val="20"/>
              </w:rPr>
              <w:t>$</w:t>
            </w:r>
            <w:r w:rsidR="00E60860" w:rsidRPr="00DE7B33">
              <w:rPr>
                <w:rFonts w:ascii="Arial" w:eastAsia="Calibri" w:hAnsi="Arial" w:cs="Arial"/>
                <w:sz w:val="20"/>
                <w:szCs w:val="20"/>
              </w:rPr>
              <w:t>98</w:t>
            </w:r>
            <w:r w:rsidR="007E2D7B" w:rsidRPr="00DE7B33">
              <w:rPr>
                <w:rFonts w:ascii="Arial" w:eastAsia="Calibri" w:hAnsi="Arial" w:cs="Arial"/>
                <w:sz w:val="20"/>
                <w:szCs w:val="20"/>
              </w:rPr>
              <w:t>7</w:t>
            </w:r>
            <w:r w:rsidRPr="00DE7B33">
              <w:rPr>
                <w:rFonts w:ascii="Arial" w:hAnsi="Arial" w:cs="Arial"/>
                <w:sz w:val="20"/>
                <w:szCs w:val="20"/>
              </w:rPr>
              <w:t xml:space="preserve"> </w:t>
            </w:r>
            <w:r w:rsidR="00A75F30" w:rsidRPr="00DE7B33">
              <w:rPr>
                <w:rFonts w:ascii="Arial" w:hAnsi="Arial" w:cs="Arial"/>
                <w:sz w:val="20"/>
                <w:szCs w:val="20"/>
              </w:rPr>
              <w:t>million</w:t>
            </w:r>
            <w:r w:rsidR="00AD57E5" w:rsidRPr="00DE7B33">
              <w:rPr>
                <w:rFonts w:ascii="Arial" w:hAnsi="Arial" w:cs="Arial"/>
                <w:sz w:val="20"/>
                <w:szCs w:val="20"/>
              </w:rPr>
              <w:t xml:space="preserve"> </w:t>
            </w:r>
            <w:r w:rsidR="00A75F30" w:rsidRPr="00DE7B33">
              <w:rPr>
                <w:rFonts w:ascii="Arial" w:hAnsi="Arial" w:cs="Arial"/>
                <w:sz w:val="20"/>
                <w:szCs w:val="20"/>
              </w:rPr>
              <w:t>/</w:t>
            </w:r>
            <w:r w:rsidR="00F660F0" w:rsidRPr="00DE7B33">
              <w:rPr>
                <w:rFonts w:ascii="Arial" w:hAnsi="Arial" w:cs="Arial"/>
                <w:sz w:val="20"/>
                <w:szCs w:val="20"/>
              </w:rPr>
              <w:t xml:space="preserve"> </w:t>
            </w:r>
            <w:r w:rsidR="00E60860" w:rsidRPr="00DE7B33">
              <w:rPr>
                <w:rFonts w:ascii="Arial" w:eastAsia="Calibri" w:hAnsi="Arial" w:cs="Arial"/>
                <w:sz w:val="20"/>
                <w:szCs w:val="20"/>
              </w:rPr>
              <w:t>8</w:t>
            </w:r>
            <w:r w:rsidR="007E2D7B" w:rsidRPr="00DE7B33">
              <w:rPr>
                <w:rFonts w:ascii="Arial" w:eastAsia="Calibri" w:hAnsi="Arial" w:cs="Arial"/>
                <w:sz w:val="20"/>
                <w:szCs w:val="20"/>
              </w:rPr>
              <w:t>6</w:t>
            </w:r>
            <w:r w:rsidRPr="00DE7B33">
              <w:rPr>
                <w:rFonts w:ascii="Arial" w:hAnsi="Arial" w:cs="Arial"/>
                <w:sz w:val="20"/>
                <w:szCs w:val="20"/>
              </w:rPr>
              <w:t xml:space="preserve"> </w:t>
            </w:r>
            <w:r w:rsidR="00A75F30" w:rsidRPr="00DE7B33">
              <w:rPr>
                <w:rFonts w:ascii="Arial" w:hAnsi="Arial" w:cs="Arial"/>
                <w:sz w:val="20"/>
                <w:szCs w:val="20"/>
              </w:rPr>
              <w:t>per cent. of net capital available</w:t>
            </w:r>
            <w:r w:rsidR="00A75F30" w:rsidRPr="00DE7B33">
              <w:rPr>
                <w:rFonts w:ascii="Arial" w:hAnsi="Arial" w:cs="Arial"/>
                <w:sz w:val="20"/>
                <w:szCs w:val="20"/>
                <w:vertAlign w:val="superscript"/>
              </w:rPr>
              <w:t>(</w:t>
            </w:r>
            <w:r w:rsidR="00F05BF8" w:rsidRPr="00DE7B33">
              <w:rPr>
                <w:rFonts w:ascii="Arial" w:hAnsi="Arial" w:cs="Arial"/>
                <w:sz w:val="20"/>
                <w:szCs w:val="20"/>
                <w:vertAlign w:val="superscript"/>
              </w:rPr>
              <w:t>3</w:t>
            </w:r>
            <w:r w:rsidR="00A75F30" w:rsidRPr="00DE7B33">
              <w:rPr>
                <w:rFonts w:ascii="Arial" w:hAnsi="Arial" w:cs="Arial"/>
                <w:sz w:val="20"/>
                <w:szCs w:val="20"/>
                <w:vertAlign w:val="superscript"/>
              </w:rPr>
              <w:t>)</w:t>
            </w:r>
          </w:p>
          <w:p w14:paraId="48F142F4" w14:textId="77777777" w:rsidR="00A75F30" w:rsidRPr="00F52992" w:rsidRDefault="00A75F30" w:rsidP="00A75F30">
            <w:pPr>
              <w:rPr>
                <w:rFonts w:ascii="Arial" w:hAnsi="Arial" w:cs="Arial"/>
                <w:sz w:val="20"/>
                <w:szCs w:val="20"/>
              </w:rPr>
            </w:pPr>
          </w:p>
        </w:tc>
      </w:tr>
      <w:tr w:rsidR="00A75F30" w:rsidRPr="00EC5F10" w14:paraId="55315CBA" w14:textId="77777777" w:rsidTr="00E905DD">
        <w:trPr>
          <w:trHeight w:val="752"/>
        </w:trPr>
        <w:tc>
          <w:tcPr>
            <w:tcW w:w="3629" w:type="dxa"/>
          </w:tcPr>
          <w:p w14:paraId="71016ADB" w14:textId="32417DE6" w:rsidR="00A75F30" w:rsidRPr="00F52992" w:rsidRDefault="00A75F30" w:rsidP="00987570">
            <w:pPr>
              <w:rPr>
                <w:rFonts w:ascii="Arial" w:hAnsi="Arial" w:cs="Arial"/>
                <w:sz w:val="20"/>
                <w:szCs w:val="20"/>
                <w:vertAlign w:val="superscript"/>
              </w:rPr>
            </w:pPr>
            <w:r w:rsidRPr="00F52992">
              <w:rPr>
                <w:rFonts w:ascii="Arial" w:hAnsi="Arial" w:cs="Arial"/>
                <w:sz w:val="20"/>
                <w:szCs w:val="20"/>
              </w:rPr>
              <w:t xml:space="preserve">Investments </w:t>
            </w:r>
            <w:r w:rsidR="00D72A88" w:rsidRPr="00F52992">
              <w:rPr>
                <w:rFonts w:ascii="Arial" w:hAnsi="Arial" w:cs="Arial"/>
                <w:sz w:val="20"/>
                <w:szCs w:val="20"/>
              </w:rPr>
              <w:t>during the period ended</w:t>
            </w:r>
            <w:r w:rsidR="00987570">
              <w:rPr>
                <w:rFonts w:ascii="Arial" w:hAnsi="Arial" w:cs="Arial"/>
                <w:sz w:val="20"/>
                <w:szCs w:val="20"/>
              </w:rPr>
              <w:t xml:space="preserve"> 30 June 2020</w:t>
            </w:r>
          </w:p>
        </w:tc>
        <w:tc>
          <w:tcPr>
            <w:tcW w:w="6152" w:type="dxa"/>
          </w:tcPr>
          <w:p w14:paraId="5E6D4779" w14:textId="317DF9FB" w:rsidR="00A75F30" w:rsidRPr="00F52992" w:rsidRDefault="00A75F30" w:rsidP="00A75F30">
            <w:pPr>
              <w:rPr>
                <w:rFonts w:ascii="Arial" w:hAnsi="Arial" w:cs="Arial"/>
                <w:sz w:val="20"/>
                <w:szCs w:val="20"/>
              </w:rPr>
            </w:pPr>
            <w:r w:rsidRPr="00F52992">
              <w:rPr>
                <w:rFonts w:ascii="Arial" w:hAnsi="Arial" w:cs="Arial"/>
                <w:sz w:val="20"/>
                <w:szCs w:val="20"/>
              </w:rPr>
              <w:t xml:space="preserve">Invested a total of </w:t>
            </w:r>
            <w:r w:rsidR="008B3F14" w:rsidRPr="00F52992">
              <w:rPr>
                <w:rFonts w:ascii="Arial" w:hAnsi="Arial" w:cs="Arial"/>
                <w:sz w:val="20"/>
                <w:szCs w:val="20"/>
              </w:rPr>
              <w:t>$</w:t>
            </w:r>
            <w:r w:rsidR="00176A3C">
              <w:rPr>
                <w:rFonts w:ascii="Arial" w:hAnsi="Arial" w:cs="Arial"/>
                <w:sz w:val="20"/>
                <w:szCs w:val="20"/>
              </w:rPr>
              <w:t>21</w:t>
            </w:r>
            <w:r w:rsidR="008B3F14" w:rsidRPr="00F52992">
              <w:rPr>
                <w:rFonts w:ascii="Arial" w:hAnsi="Arial" w:cs="Arial"/>
                <w:sz w:val="20"/>
                <w:szCs w:val="20"/>
              </w:rPr>
              <w:t xml:space="preserve"> </w:t>
            </w:r>
            <w:r w:rsidRPr="00F52992">
              <w:rPr>
                <w:rFonts w:ascii="Arial" w:hAnsi="Arial" w:cs="Arial"/>
                <w:sz w:val="20"/>
                <w:szCs w:val="20"/>
              </w:rPr>
              <w:t>million</w:t>
            </w:r>
            <w:r w:rsidRPr="00F52992">
              <w:rPr>
                <w:rFonts w:ascii="Arial" w:hAnsi="Arial" w:cs="Arial"/>
                <w:sz w:val="20"/>
                <w:szCs w:val="20"/>
                <w:vertAlign w:val="superscript"/>
              </w:rPr>
              <w:t>(</w:t>
            </w:r>
            <w:r w:rsidR="00E905DD">
              <w:rPr>
                <w:rFonts w:ascii="Arial" w:hAnsi="Arial" w:cs="Arial"/>
                <w:sz w:val="20"/>
                <w:szCs w:val="20"/>
                <w:vertAlign w:val="superscript"/>
              </w:rPr>
              <w:t>4</w:t>
            </w:r>
            <w:r w:rsidRPr="00F52992">
              <w:rPr>
                <w:rFonts w:ascii="Arial" w:hAnsi="Arial" w:cs="Arial"/>
                <w:sz w:val="20"/>
                <w:szCs w:val="20"/>
                <w:vertAlign w:val="superscript"/>
              </w:rPr>
              <w:t>)</w:t>
            </w:r>
            <w:r w:rsidRPr="00F52992">
              <w:rPr>
                <w:rFonts w:ascii="Arial" w:hAnsi="Arial" w:cs="Arial"/>
                <w:sz w:val="20"/>
                <w:szCs w:val="20"/>
              </w:rPr>
              <w:t>:</w:t>
            </w:r>
          </w:p>
          <w:p w14:paraId="5F6B6067" w14:textId="1D3D9A31" w:rsidR="00A75F30" w:rsidRDefault="00E905DD" w:rsidP="00E905DD">
            <w:pPr>
              <w:pStyle w:val="ListParagraph"/>
              <w:numPr>
                <w:ilvl w:val="0"/>
                <w:numId w:val="48"/>
              </w:numPr>
              <w:ind w:left="518" w:hanging="518"/>
              <w:rPr>
                <w:rFonts w:ascii="Arial" w:hAnsi="Arial" w:cs="Arial"/>
                <w:sz w:val="20"/>
              </w:rPr>
            </w:pPr>
            <w:r>
              <w:rPr>
                <w:rFonts w:ascii="Arial" w:hAnsi="Arial" w:cs="Arial"/>
                <w:sz w:val="20"/>
              </w:rPr>
              <w:t>$</w:t>
            </w:r>
            <w:r w:rsidR="00286320">
              <w:rPr>
                <w:rFonts w:ascii="Arial" w:hAnsi="Arial" w:cs="Arial"/>
                <w:sz w:val="20"/>
              </w:rPr>
              <w:t>16</w:t>
            </w:r>
            <w:r w:rsidRPr="009E671A">
              <w:rPr>
                <w:rFonts w:ascii="Arial" w:hAnsi="Arial" w:cs="Arial"/>
                <w:sz w:val="20"/>
              </w:rPr>
              <w:t xml:space="preserve"> million in </w:t>
            </w:r>
            <w:r>
              <w:rPr>
                <w:rFonts w:ascii="Arial" w:hAnsi="Arial" w:cs="Arial"/>
                <w:sz w:val="20"/>
              </w:rPr>
              <w:t>Onyx Strategic Investment Management I BV</w:t>
            </w:r>
          </w:p>
          <w:p w14:paraId="7E12D423" w14:textId="350CE84E" w:rsidR="00E60860" w:rsidRPr="00E905DD" w:rsidRDefault="00286320" w:rsidP="00E905DD">
            <w:pPr>
              <w:pStyle w:val="ListParagraph"/>
              <w:numPr>
                <w:ilvl w:val="0"/>
                <w:numId w:val="48"/>
              </w:numPr>
              <w:ind w:left="518" w:hanging="518"/>
              <w:rPr>
                <w:rFonts w:ascii="Arial" w:hAnsi="Arial" w:cs="Arial"/>
                <w:sz w:val="20"/>
              </w:rPr>
            </w:pPr>
            <w:r>
              <w:rPr>
                <w:rFonts w:ascii="Arial" w:hAnsi="Arial" w:cs="Arial"/>
                <w:sz w:val="20"/>
              </w:rPr>
              <w:t>$</w:t>
            </w:r>
            <w:r w:rsidR="00176A3C">
              <w:rPr>
                <w:rFonts w:ascii="Arial" w:hAnsi="Arial" w:cs="Arial"/>
                <w:sz w:val="20"/>
              </w:rPr>
              <w:t>5</w:t>
            </w:r>
            <w:r>
              <w:rPr>
                <w:rFonts w:ascii="Arial" w:hAnsi="Arial" w:cs="Arial"/>
                <w:sz w:val="20"/>
              </w:rPr>
              <w:t xml:space="preserve"> million in ILX Holdings III, LLC</w:t>
            </w:r>
            <w:bookmarkStart w:id="0" w:name="_GoBack"/>
            <w:bookmarkEnd w:id="0"/>
            <w:r>
              <w:rPr>
                <w:rFonts w:ascii="Arial" w:hAnsi="Arial" w:cs="Arial"/>
                <w:sz w:val="20"/>
              </w:rPr>
              <w:br/>
            </w:r>
          </w:p>
        </w:tc>
      </w:tr>
      <w:tr w:rsidR="00A75F30" w14:paraId="67973824" w14:textId="77777777" w:rsidTr="002A5374">
        <w:trPr>
          <w:trHeight w:val="409"/>
        </w:trPr>
        <w:tc>
          <w:tcPr>
            <w:tcW w:w="3629" w:type="dxa"/>
          </w:tcPr>
          <w:p w14:paraId="61BF1D17" w14:textId="0E319917" w:rsidR="00A75F30" w:rsidRPr="00F52992" w:rsidRDefault="00AA2AA7" w:rsidP="00A75F30">
            <w:pPr>
              <w:rPr>
                <w:rFonts w:ascii="Arial" w:hAnsi="Arial" w:cs="Arial"/>
                <w:sz w:val="20"/>
                <w:szCs w:val="20"/>
              </w:rPr>
            </w:pPr>
            <w:r>
              <w:rPr>
                <w:rFonts w:ascii="Arial" w:hAnsi="Arial" w:cs="Arial"/>
                <w:sz w:val="20"/>
                <w:szCs w:val="20"/>
              </w:rPr>
              <w:t xml:space="preserve">Gross </w:t>
            </w:r>
            <w:r w:rsidR="00A75F30" w:rsidRPr="00F52992">
              <w:rPr>
                <w:rFonts w:ascii="Arial" w:hAnsi="Arial" w:cs="Arial"/>
                <w:sz w:val="20"/>
                <w:szCs w:val="20"/>
              </w:rPr>
              <w:t xml:space="preserve">Realised Capital </w:t>
            </w:r>
            <w:r w:rsidR="006729B3">
              <w:rPr>
                <w:rFonts w:ascii="Arial" w:hAnsi="Arial" w:cs="Arial"/>
                <w:sz w:val="20"/>
                <w:szCs w:val="20"/>
              </w:rPr>
              <w:t>at 30 June 2020</w:t>
            </w:r>
          </w:p>
        </w:tc>
        <w:tc>
          <w:tcPr>
            <w:tcW w:w="6152" w:type="dxa"/>
          </w:tcPr>
          <w:p w14:paraId="7BCBED2B" w14:textId="42842DC8" w:rsidR="00A75F30" w:rsidRPr="00F52992" w:rsidRDefault="008B3F14" w:rsidP="00A75F30">
            <w:pPr>
              <w:rPr>
                <w:rFonts w:ascii="Arial" w:hAnsi="Arial" w:cs="Arial"/>
                <w:sz w:val="20"/>
                <w:szCs w:val="20"/>
                <w:vertAlign w:val="superscript"/>
              </w:rPr>
            </w:pPr>
            <w:r w:rsidRPr="00F52992">
              <w:rPr>
                <w:rFonts w:ascii="Arial" w:hAnsi="Arial" w:cs="Arial"/>
                <w:sz w:val="20"/>
                <w:szCs w:val="20"/>
              </w:rPr>
              <w:t>$</w:t>
            </w:r>
            <w:r w:rsidR="00645156">
              <w:rPr>
                <w:rFonts w:ascii="Arial" w:eastAsia="Calibri" w:hAnsi="Arial" w:cs="Arial"/>
                <w:sz w:val="20"/>
                <w:szCs w:val="20"/>
              </w:rPr>
              <w:t>932</w:t>
            </w:r>
            <w:r w:rsidRPr="00F52992">
              <w:rPr>
                <w:rFonts w:ascii="Arial" w:hAnsi="Arial" w:cs="Arial"/>
                <w:sz w:val="20"/>
                <w:szCs w:val="20"/>
              </w:rPr>
              <w:t xml:space="preserve"> </w:t>
            </w:r>
            <w:r w:rsidR="00A75F30" w:rsidRPr="00F52992">
              <w:rPr>
                <w:rFonts w:ascii="Arial" w:hAnsi="Arial" w:cs="Arial"/>
                <w:sz w:val="20"/>
                <w:szCs w:val="20"/>
              </w:rPr>
              <w:t>million</w:t>
            </w:r>
            <w:r w:rsidR="00AD57E5">
              <w:rPr>
                <w:rFonts w:ascii="Arial" w:hAnsi="Arial" w:cs="Arial"/>
                <w:sz w:val="20"/>
                <w:szCs w:val="20"/>
              </w:rPr>
              <w:t xml:space="preserve"> </w:t>
            </w:r>
            <w:r w:rsidR="00A75F30" w:rsidRPr="00F52992">
              <w:rPr>
                <w:rFonts w:ascii="Arial" w:hAnsi="Arial" w:cs="Arial"/>
                <w:sz w:val="20"/>
                <w:szCs w:val="20"/>
              </w:rPr>
              <w:t xml:space="preserve">/ </w:t>
            </w:r>
            <w:r w:rsidR="00645156">
              <w:rPr>
                <w:rFonts w:ascii="Arial" w:eastAsia="Calibri" w:hAnsi="Arial" w:cs="Arial"/>
                <w:sz w:val="20"/>
                <w:szCs w:val="20"/>
              </w:rPr>
              <w:t>53</w:t>
            </w:r>
            <w:r w:rsidR="00EF640A">
              <w:rPr>
                <w:rFonts w:ascii="Arial" w:hAnsi="Arial" w:cs="Arial"/>
                <w:sz w:val="20"/>
                <w:szCs w:val="20"/>
              </w:rPr>
              <w:t xml:space="preserve"> </w:t>
            </w:r>
            <w:r w:rsidR="00A75F30" w:rsidRPr="00F52992">
              <w:rPr>
                <w:rFonts w:ascii="Arial" w:hAnsi="Arial" w:cs="Arial"/>
                <w:sz w:val="20"/>
                <w:szCs w:val="20"/>
              </w:rPr>
              <w:t xml:space="preserve">per cent. of </w:t>
            </w:r>
            <w:r w:rsidR="009C0907" w:rsidRPr="00F52992">
              <w:rPr>
                <w:rFonts w:ascii="Arial" w:hAnsi="Arial" w:cs="Arial"/>
                <w:sz w:val="20"/>
                <w:szCs w:val="20"/>
              </w:rPr>
              <w:t xml:space="preserve">total </w:t>
            </w:r>
            <w:r w:rsidR="00A75F30" w:rsidRPr="00F52992">
              <w:rPr>
                <w:rFonts w:ascii="Arial" w:hAnsi="Arial" w:cs="Arial"/>
                <w:sz w:val="20"/>
                <w:szCs w:val="20"/>
              </w:rPr>
              <w:t>capital</w:t>
            </w:r>
            <w:r w:rsidR="009C0907" w:rsidRPr="00F52992">
              <w:rPr>
                <w:rFonts w:ascii="Arial" w:hAnsi="Arial" w:cs="Arial"/>
                <w:sz w:val="20"/>
                <w:szCs w:val="20"/>
              </w:rPr>
              <w:t xml:space="preserve"> invested</w:t>
            </w:r>
          </w:p>
          <w:p w14:paraId="59568773" w14:textId="77777777" w:rsidR="00B254F4" w:rsidRPr="00F52992" w:rsidRDefault="00B254F4" w:rsidP="00A75F30">
            <w:pPr>
              <w:rPr>
                <w:rFonts w:ascii="Arial" w:hAnsi="Arial" w:cs="Arial"/>
                <w:sz w:val="20"/>
                <w:szCs w:val="20"/>
              </w:rPr>
            </w:pPr>
          </w:p>
        </w:tc>
      </w:tr>
      <w:tr w:rsidR="00A75F30" w:rsidRPr="006E1D24" w14:paraId="659F482C" w14:textId="77777777" w:rsidTr="002A5374">
        <w:trPr>
          <w:trHeight w:val="1129"/>
        </w:trPr>
        <w:tc>
          <w:tcPr>
            <w:tcW w:w="3629" w:type="dxa"/>
          </w:tcPr>
          <w:p w14:paraId="2F51B677" w14:textId="49BE46DB" w:rsidR="00A75F30" w:rsidRPr="00F52992" w:rsidRDefault="00A75F30" w:rsidP="00413DF2">
            <w:pPr>
              <w:rPr>
                <w:rFonts w:ascii="Arial" w:hAnsi="Arial" w:cs="Arial"/>
                <w:sz w:val="20"/>
                <w:szCs w:val="20"/>
              </w:rPr>
            </w:pPr>
            <w:r w:rsidRPr="00F52992">
              <w:rPr>
                <w:rFonts w:ascii="Arial" w:hAnsi="Arial" w:cs="Arial"/>
                <w:sz w:val="20"/>
                <w:szCs w:val="20"/>
              </w:rPr>
              <w:t xml:space="preserve">Realisations </w:t>
            </w:r>
            <w:r w:rsidR="00B254F4" w:rsidRPr="00F52992">
              <w:rPr>
                <w:rFonts w:ascii="Arial" w:hAnsi="Arial" w:cs="Arial"/>
                <w:sz w:val="20"/>
                <w:szCs w:val="20"/>
              </w:rPr>
              <w:t>dur</w:t>
            </w:r>
            <w:r w:rsidR="00987570">
              <w:rPr>
                <w:rFonts w:ascii="Arial" w:hAnsi="Arial" w:cs="Arial"/>
                <w:sz w:val="20"/>
                <w:szCs w:val="20"/>
              </w:rPr>
              <w:t>ing the period ended 30 June 2020</w:t>
            </w:r>
          </w:p>
        </w:tc>
        <w:tc>
          <w:tcPr>
            <w:tcW w:w="6152" w:type="dxa"/>
          </w:tcPr>
          <w:p w14:paraId="6CD1B098" w14:textId="63DD3083" w:rsidR="00A75F30" w:rsidRPr="00375999" w:rsidRDefault="00A75F30" w:rsidP="00A75F30">
            <w:pPr>
              <w:rPr>
                <w:rFonts w:ascii="Arial" w:hAnsi="Arial" w:cs="Arial"/>
                <w:sz w:val="20"/>
                <w:szCs w:val="20"/>
              </w:rPr>
            </w:pPr>
            <w:r w:rsidRPr="00375999">
              <w:rPr>
                <w:rFonts w:ascii="Arial" w:hAnsi="Arial" w:cs="Arial"/>
                <w:sz w:val="20"/>
                <w:szCs w:val="20"/>
              </w:rPr>
              <w:t xml:space="preserve">Realised a total of </w:t>
            </w:r>
            <w:r w:rsidR="008B3F14" w:rsidRPr="00375999">
              <w:rPr>
                <w:rFonts w:ascii="Arial" w:hAnsi="Arial" w:cs="Arial"/>
                <w:sz w:val="20"/>
                <w:szCs w:val="20"/>
              </w:rPr>
              <w:t>$</w:t>
            </w:r>
            <w:r w:rsidR="00645156">
              <w:rPr>
                <w:rFonts w:ascii="Arial" w:hAnsi="Arial" w:cs="Arial"/>
                <w:sz w:val="20"/>
                <w:szCs w:val="20"/>
              </w:rPr>
              <w:t>41</w:t>
            </w:r>
            <w:r w:rsidR="008B3F14" w:rsidRPr="00375999">
              <w:rPr>
                <w:rFonts w:ascii="Arial" w:hAnsi="Arial" w:cs="Arial"/>
                <w:sz w:val="20"/>
                <w:szCs w:val="20"/>
              </w:rPr>
              <w:t xml:space="preserve"> </w:t>
            </w:r>
            <w:r w:rsidRPr="00375999">
              <w:rPr>
                <w:rFonts w:ascii="Arial" w:hAnsi="Arial" w:cs="Arial"/>
                <w:sz w:val="20"/>
                <w:szCs w:val="20"/>
              </w:rPr>
              <w:t>million</w:t>
            </w:r>
            <w:r w:rsidR="007378E6" w:rsidRPr="00375999">
              <w:rPr>
                <w:rFonts w:ascii="Arial" w:hAnsi="Arial" w:cs="Arial"/>
                <w:sz w:val="20"/>
                <w:szCs w:val="20"/>
                <w:vertAlign w:val="superscript"/>
              </w:rPr>
              <w:t>(</w:t>
            </w:r>
            <w:r w:rsidR="00E905DD">
              <w:rPr>
                <w:rFonts w:ascii="Arial" w:hAnsi="Arial" w:cs="Arial"/>
                <w:sz w:val="20"/>
                <w:szCs w:val="20"/>
                <w:vertAlign w:val="superscript"/>
              </w:rPr>
              <w:t>4</w:t>
            </w:r>
            <w:r w:rsidR="007378E6" w:rsidRPr="00375999">
              <w:rPr>
                <w:rFonts w:ascii="Arial" w:hAnsi="Arial" w:cs="Arial"/>
                <w:sz w:val="20"/>
                <w:szCs w:val="20"/>
                <w:vertAlign w:val="superscript"/>
              </w:rPr>
              <w:t>)</w:t>
            </w:r>
            <w:r w:rsidRPr="00375999">
              <w:rPr>
                <w:rFonts w:ascii="Arial" w:hAnsi="Arial" w:cs="Arial"/>
                <w:sz w:val="20"/>
                <w:szCs w:val="20"/>
              </w:rPr>
              <w:t>:</w:t>
            </w:r>
          </w:p>
          <w:p w14:paraId="1A2808EF" w14:textId="379B1025" w:rsidR="00E905DD" w:rsidRDefault="00E905DD" w:rsidP="00E905DD">
            <w:pPr>
              <w:numPr>
                <w:ilvl w:val="0"/>
                <w:numId w:val="9"/>
              </w:numPr>
              <w:ind w:left="660" w:hanging="660"/>
              <w:contextualSpacing/>
              <w:rPr>
                <w:rFonts w:ascii="Arial" w:hAnsi="Arial" w:cs="Arial"/>
                <w:sz w:val="20"/>
              </w:rPr>
            </w:pPr>
            <w:r w:rsidRPr="00E905DD">
              <w:rPr>
                <w:rFonts w:ascii="Arial" w:hAnsi="Arial" w:cs="Arial"/>
                <w:sz w:val="20"/>
              </w:rPr>
              <w:t>$</w:t>
            </w:r>
            <w:r w:rsidR="00645156">
              <w:rPr>
                <w:rFonts w:ascii="Arial" w:hAnsi="Arial" w:cs="Arial"/>
                <w:sz w:val="20"/>
              </w:rPr>
              <w:t>23</w:t>
            </w:r>
            <w:r w:rsidRPr="00E905DD">
              <w:rPr>
                <w:rFonts w:ascii="Arial" w:hAnsi="Arial" w:cs="Arial"/>
                <w:sz w:val="20"/>
              </w:rPr>
              <w:t xml:space="preserve"> million in Aleph Midstream S.A.</w:t>
            </w:r>
          </w:p>
          <w:p w14:paraId="064F8C13" w14:textId="52C72D43" w:rsidR="00E905DD" w:rsidRPr="00E905DD" w:rsidRDefault="00E905DD" w:rsidP="00E905DD">
            <w:pPr>
              <w:numPr>
                <w:ilvl w:val="0"/>
                <w:numId w:val="9"/>
              </w:numPr>
              <w:ind w:left="660" w:hanging="660"/>
              <w:contextualSpacing/>
              <w:rPr>
                <w:rFonts w:ascii="Arial" w:hAnsi="Arial" w:cs="Arial"/>
                <w:sz w:val="20"/>
              </w:rPr>
            </w:pPr>
            <w:r>
              <w:rPr>
                <w:rFonts w:ascii="Arial" w:hAnsi="Arial" w:cs="Arial"/>
                <w:sz w:val="20"/>
              </w:rPr>
              <w:t>$</w:t>
            </w:r>
            <w:r w:rsidR="00645156">
              <w:rPr>
                <w:rFonts w:ascii="Arial" w:hAnsi="Arial" w:cs="Arial"/>
                <w:sz w:val="20"/>
              </w:rPr>
              <w:t>9</w:t>
            </w:r>
            <w:r w:rsidRPr="00E905DD">
              <w:rPr>
                <w:rFonts w:ascii="Arial" w:hAnsi="Arial" w:cs="Arial"/>
                <w:sz w:val="20"/>
              </w:rPr>
              <w:t xml:space="preserve"> million in</w:t>
            </w:r>
            <w:r>
              <w:rPr>
                <w:rFonts w:ascii="Arial" w:hAnsi="Arial" w:cs="Arial"/>
                <w:sz w:val="20"/>
              </w:rPr>
              <w:t xml:space="preserve"> Ridgebury H3 LLC</w:t>
            </w:r>
          </w:p>
          <w:p w14:paraId="0504FC4B" w14:textId="3E204AAB" w:rsidR="00E905DD" w:rsidRDefault="00E905DD" w:rsidP="00E905DD">
            <w:pPr>
              <w:numPr>
                <w:ilvl w:val="0"/>
                <w:numId w:val="9"/>
              </w:numPr>
              <w:ind w:left="660" w:hanging="660"/>
              <w:contextualSpacing/>
              <w:rPr>
                <w:rFonts w:ascii="Arial" w:hAnsi="Arial" w:cs="Arial"/>
                <w:sz w:val="20"/>
              </w:rPr>
            </w:pPr>
            <w:r w:rsidRPr="00E905DD">
              <w:rPr>
                <w:rFonts w:ascii="Arial" w:hAnsi="Arial" w:cs="Arial"/>
                <w:sz w:val="20"/>
              </w:rPr>
              <w:t>$</w:t>
            </w:r>
            <w:r w:rsidR="00645156">
              <w:rPr>
                <w:rFonts w:ascii="Arial" w:hAnsi="Arial" w:cs="Arial"/>
                <w:sz w:val="20"/>
              </w:rPr>
              <w:t>8</w:t>
            </w:r>
            <w:r w:rsidRPr="00E905DD">
              <w:rPr>
                <w:rFonts w:ascii="Arial" w:hAnsi="Arial" w:cs="Arial"/>
                <w:sz w:val="20"/>
              </w:rPr>
              <w:t xml:space="preserve"> million in Castex Energy 2014, LLC</w:t>
            </w:r>
          </w:p>
          <w:p w14:paraId="4503DF6A" w14:textId="77DD481A" w:rsidR="00A75F30" w:rsidRDefault="00E905DD" w:rsidP="00E905DD">
            <w:pPr>
              <w:numPr>
                <w:ilvl w:val="0"/>
                <w:numId w:val="9"/>
              </w:numPr>
              <w:ind w:left="660" w:hanging="660"/>
              <w:contextualSpacing/>
              <w:rPr>
                <w:rFonts w:ascii="Arial" w:hAnsi="Arial" w:cs="Arial"/>
                <w:sz w:val="20"/>
              </w:rPr>
            </w:pPr>
            <w:r w:rsidRPr="00E905DD">
              <w:rPr>
                <w:rFonts w:ascii="Arial" w:hAnsi="Arial" w:cs="Arial"/>
                <w:sz w:val="20"/>
              </w:rPr>
              <w:t>$</w:t>
            </w:r>
            <w:r w:rsidR="00645156">
              <w:rPr>
                <w:rFonts w:ascii="Arial" w:hAnsi="Arial" w:cs="Arial"/>
                <w:sz w:val="20"/>
              </w:rPr>
              <w:t>1</w:t>
            </w:r>
            <w:r w:rsidRPr="00E905DD">
              <w:rPr>
                <w:rFonts w:ascii="Arial" w:hAnsi="Arial" w:cs="Arial"/>
                <w:sz w:val="20"/>
              </w:rPr>
              <w:t xml:space="preserve"> million in</w:t>
            </w:r>
            <w:r>
              <w:rPr>
                <w:rFonts w:ascii="Arial" w:hAnsi="Arial" w:cs="Arial"/>
                <w:sz w:val="20"/>
              </w:rPr>
              <w:t xml:space="preserve"> Riverstone Credit Opportunities, L.P.</w:t>
            </w:r>
          </w:p>
          <w:p w14:paraId="570B3FE6" w14:textId="29AF4C03" w:rsidR="00E905DD" w:rsidRPr="00375999" w:rsidRDefault="00E905DD" w:rsidP="00E905DD">
            <w:pPr>
              <w:ind w:left="660"/>
              <w:contextualSpacing/>
              <w:rPr>
                <w:rFonts w:ascii="Arial" w:hAnsi="Arial" w:cs="Arial"/>
                <w:sz w:val="20"/>
              </w:rPr>
            </w:pPr>
          </w:p>
        </w:tc>
      </w:tr>
    </w:tbl>
    <w:p w14:paraId="727B744F" w14:textId="77777777" w:rsidR="00D33AA7" w:rsidRPr="00DC2064" w:rsidRDefault="00D33AA7">
      <w:pPr>
        <w:pStyle w:val="Heading1"/>
        <w:rPr>
          <w:rFonts w:cs="Arial"/>
          <w:szCs w:val="30"/>
        </w:rPr>
      </w:pPr>
      <w:r w:rsidRPr="00DC2064">
        <w:rPr>
          <w:rFonts w:cs="Arial"/>
          <w:szCs w:val="30"/>
        </w:rPr>
        <w:t>Key Financials</w:t>
      </w:r>
    </w:p>
    <w:p w14:paraId="0529DF1B" w14:textId="77777777" w:rsidR="00D33AA7" w:rsidRPr="002D1A2F" w:rsidRDefault="00D33AA7">
      <w:pPr>
        <w:rPr>
          <w:rFonts w:ascii="Arial" w:hAnsi="Arial" w:cs="Arial"/>
        </w:rPr>
      </w:pPr>
    </w:p>
    <w:tbl>
      <w:tblPr>
        <w:tblStyle w:val="TableRangedleft"/>
        <w:tblW w:w="0" w:type="auto"/>
        <w:tblLook w:val="04A0" w:firstRow="1" w:lastRow="0" w:firstColumn="1" w:lastColumn="0" w:noHBand="0" w:noVBand="1"/>
      </w:tblPr>
      <w:tblGrid>
        <w:gridCol w:w="3652"/>
        <w:gridCol w:w="1985"/>
        <w:gridCol w:w="1941"/>
        <w:gridCol w:w="1941"/>
      </w:tblGrid>
      <w:tr w:rsidR="00463BF6" w:rsidRPr="00BC678F" w14:paraId="3D49EA92" w14:textId="2692A457" w:rsidTr="00F865C3">
        <w:trPr>
          <w:trHeight w:val="263"/>
        </w:trPr>
        <w:tc>
          <w:tcPr>
            <w:tcW w:w="3652" w:type="dxa"/>
            <w:tcBorders>
              <w:bottom w:val="single" w:sz="4" w:space="0" w:color="auto"/>
            </w:tcBorders>
            <w:tcMar>
              <w:top w:w="108" w:type="dxa"/>
              <w:bottom w:w="108" w:type="dxa"/>
            </w:tcMar>
          </w:tcPr>
          <w:p w14:paraId="3260D192" w14:textId="77777777" w:rsidR="00463BF6" w:rsidRPr="00BC678F" w:rsidRDefault="00463BF6">
            <w:pPr>
              <w:rPr>
                <w:rFonts w:ascii="Arial" w:hAnsi="Arial" w:cs="Arial"/>
                <w:sz w:val="20"/>
                <w:szCs w:val="20"/>
              </w:rPr>
            </w:pPr>
          </w:p>
        </w:tc>
        <w:tc>
          <w:tcPr>
            <w:tcW w:w="1985" w:type="dxa"/>
            <w:tcBorders>
              <w:bottom w:val="single" w:sz="4" w:space="0" w:color="auto"/>
            </w:tcBorders>
            <w:tcMar>
              <w:top w:w="108" w:type="dxa"/>
              <w:bottom w:w="108" w:type="dxa"/>
            </w:tcMar>
            <w:vAlign w:val="center"/>
          </w:tcPr>
          <w:p w14:paraId="4754A1CF" w14:textId="738CCD51" w:rsidR="00463BF6" w:rsidRPr="00BC678F" w:rsidRDefault="00EE5FB5" w:rsidP="00F865C3">
            <w:pPr>
              <w:jc w:val="right"/>
              <w:rPr>
                <w:rFonts w:ascii="Arial" w:hAnsi="Arial" w:cs="Arial"/>
                <w:b/>
                <w:sz w:val="20"/>
                <w:szCs w:val="20"/>
              </w:rPr>
            </w:pPr>
            <w:r>
              <w:rPr>
                <w:rFonts w:ascii="Arial" w:hAnsi="Arial" w:cs="Arial"/>
                <w:b/>
                <w:sz w:val="20"/>
                <w:szCs w:val="20"/>
              </w:rPr>
              <w:t>30 June 2020</w:t>
            </w:r>
          </w:p>
        </w:tc>
        <w:tc>
          <w:tcPr>
            <w:tcW w:w="1941" w:type="dxa"/>
            <w:tcBorders>
              <w:bottom w:val="single" w:sz="4" w:space="0" w:color="auto"/>
            </w:tcBorders>
            <w:tcMar>
              <w:top w:w="108" w:type="dxa"/>
              <w:bottom w:w="108" w:type="dxa"/>
            </w:tcMar>
            <w:vAlign w:val="center"/>
          </w:tcPr>
          <w:p w14:paraId="14D05EE3" w14:textId="0EFE3199" w:rsidR="00463BF6" w:rsidRPr="00EE5FB5" w:rsidRDefault="00463BF6" w:rsidP="00F865C3">
            <w:pPr>
              <w:jc w:val="right"/>
              <w:rPr>
                <w:rFonts w:ascii="Arial" w:hAnsi="Arial" w:cs="Arial"/>
                <w:sz w:val="20"/>
                <w:szCs w:val="20"/>
              </w:rPr>
            </w:pPr>
            <w:r w:rsidRPr="00EE5FB5">
              <w:rPr>
                <w:rFonts w:ascii="Arial" w:hAnsi="Arial" w:cs="Arial"/>
                <w:sz w:val="20"/>
                <w:szCs w:val="20"/>
              </w:rPr>
              <w:t>31 December 201</w:t>
            </w:r>
            <w:r w:rsidR="00EE5FB5" w:rsidRPr="00EE5FB5">
              <w:rPr>
                <w:rFonts w:ascii="Arial" w:hAnsi="Arial" w:cs="Arial"/>
                <w:sz w:val="20"/>
                <w:szCs w:val="20"/>
              </w:rPr>
              <w:t>9</w:t>
            </w:r>
          </w:p>
        </w:tc>
        <w:tc>
          <w:tcPr>
            <w:tcW w:w="1941" w:type="dxa"/>
            <w:tcBorders>
              <w:bottom w:val="single" w:sz="4" w:space="0" w:color="auto"/>
            </w:tcBorders>
            <w:vAlign w:val="center"/>
          </w:tcPr>
          <w:p w14:paraId="62B76888" w14:textId="528C79D0" w:rsidR="00463BF6" w:rsidRPr="00BC678F" w:rsidRDefault="00463BF6" w:rsidP="00F865C3">
            <w:pPr>
              <w:jc w:val="right"/>
              <w:rPr>
                <w:rFonts w:ascii="Arial" w:hAnsi="Arial" w:cs="Arial"/>
                <w:sz w:val="20"/>
                <w:szCs w:val="20"/>
              </w:rPr>
            </w:pPr>
            <w:r w:rsidRPr="00BC678F">
              <w:rPr>
                <w:rFonts w:ascii="Arial" w:hAnsi="Arial" w:cs="Arial"/>
                <w:sz w:val="20"/>
                <w:szCs w:val="20"/>
              </w:rPr>
              <w:t>30 June 201</w:t>
            </w:r>
            <w:r w:rsidR="00EE5FB5">
              <w:rPr>
                <w:rFonts w:ascii="Arial" w:hAnsi="Arial" w:cs="Arial"/>
                <w:sz w:val="20"/>
                <w:szCs w:val="20"/>
              </w:rPr>
              <w:t>9</w:t>
            </w:r>
          </w:p>
        </w:tc>
      </w:tr>
      <w:tr w:rsidR="00463BF6" w:rsidRPr="00BC678F" w14:paraId="4E520F60" w14:textId="31321BD3" w:rsidTr="007A2F5C">
        <w:tc>
          <w:tcPr>
            <w:tcW w:w="3652" w:type="dxa"/>
            <w:tcBorders>
              <w:top w:val="single" w:sz="4" w:space="0" w:color="auto"/>
            </w:tcBorders>
            <w:tcMar>
              <w:top w:w="108" w:type="dxa"/>
              <w:bottom w:w="108" w:type="dxa"/>
            </w:tcMar>
          </w:tcPr>
          <w:p w14:paraId="57B8BF80" w14:textId="77777777" w:rsidR="00463BF6" w:rsidRPr="00BC678F" w:rsidRDefault="00463BF6" w:rsidP="00463BF6">
            <w:pPr>
              <w:rPr>
                <w:rFonts w:ascii="Arial" w:hAnsi="Arial" w:cs="Arial"/>
                <w:sz w:val="20"/>
                <w:szCs w:val="20"/>
              </w:rPr>
            </w:pPr>
            <w:r w:rsidRPr="00BC678F">
              <w:rPr>
                <w:rFonts w:ascii="Arial" w:hAnsi="Arial" w:cs="Arial"/>
                <w:sz w:val="20"/>
                <w:szCs w:val="20"/>
              </w:rPr>
              <w:t>NAV as at</w:t>
            </w:r>
          </w:p>
        </w:tc>
        <w:tc>
          <w:tcPr>
            <w:tcW w:w="1985" w:type="dxa"/>
            <w:tcBorders>
              <w:top w:val="single" w:sz="4" w:space="0" w:color="auto"/>
            </w:tcBorders>
            <w:tcMar>
              <w:top w:w="108" w:type="dxa"/>
              <w:bottom w:w="108" w:type="dxa"/>
            </w:tcMar>
          </w:tcPr>
          <w:p w14:paraId="659770E2" w14:textId="7B3761D1" w:rsidR="00463BF6" w:rsidRPr="00DE7B33" w:rsidRDefault="00463BF6" w:rsidP="00463BF6">
            <w:pPr>
              <w:jc w:val="right"/>
              <w:rPr>
                <w:rFonts w:ascii="Arial" w:hAnsi="Arial" w:cs="Arial"/>
                <w:b/>
                <w:sz w:val="20"/>
                <w:szCs w:val="20"/>
              </w:rPr>
            </w:pPr>
            <w:r w:rsidRPr="00DE7B33">
              <w:rPr>
                <w:rFonts w:ascii="Arial" w:hAnsi="Arial" w:cs="Arial"/>
                <w:b/>
                <w:sz w:val="20"/>
                <w:szCs w:val="20"/>
              </w:rPr>
              <w:t>$</w:t>
            </w:r>
            <w:r w:rsidR="00C7206C" w:rsidRPr="00DE7B33">
              <w:rPr>
                <w:rFonts w:ascii="Arial" w:eastAsia="Calibri" w:hAnsi="Arial" w:cs="Arial"/>
                <w:b/>
                <w:sz w:val="20"/>
                <w:szCs w:val="20"/>
              </w:rPr>
              <w:t>37</w:t>
            </w:r>
            <w:r w:rsidR="00C7206C">
              <w:rPr>
                <w:rFonts w:ascii="Arial" w:eastAsia="Calibri" w:hAnsi="Arial" w:cs="Arial"/>
                <w:b/>
                <w:sz w:val="20"/>
                <w:szCs w:val="20"/>
              </w:rPr>
              <w:t>9</w:t>
            </w:r>
            <w:r w:rsidR="00C7206C" w:rsidRPr="00DE7B33">
              <w:rPr>
                <w:rFonts w:ascii="Arial" w:eastAsia="Calibri" w:hAnsi="Arial" w:cs="Arial"/>
                <w:b/>
                <w:sz w:val="20"/>
                <w:szCs w:val="20"/>
              </w:rPr>
              <w:t xml:space="preserve"> </w:t>
            </w:r>
            <w:r w:rsidRPr="00DE7B33">
              <w:rPr>
                <w:rFonts w:ascii="Arial" w:eastAsia="Calibri" w:hAnsi="Arial" w:cs="Arial"/>
                <w:b/>
                <w:sz w:val="20"/>
                <w:szCs w:val="20"/>
              </w:rPr>
              <w:t>million</w:t>
            </w:r>
            <w:r w:rsidRPr="00DE7B33">
              <w:rPr>
                <w:rFonts w:ascii="Arial" w:hAnsi="Arial" w:cs="Arial"/>
                <w:b/>
                <w:sz w:val="20"/>
                <w:szCs w:val="20"/>
              </w:rPr>
              <w:t xml:space="preserve"> /</w:t>
            </w:r>
          </w:p>
          <w:p w14:paraId="7DD270B4" w14:textId="1C0C22B7" w:rsidR="00463BF6" w:rsidRPr="00171C4B" w:rsidRDefault="00463BF6" w:rsidP="00C7206C">
            <w:pPr>
              <w:jc w:val="right"/>
              <w:rPr>
                <w:rFonts w:ascii="Arial" w:hAnsi="Arial" w:cs="Arial"/>
                <w:sz w:val="20"/>
                <w:szCs w:val="20"/>
              </w:rPr>
            </w:pPr>
            <w:r w:rsidRPr="00DE7B33">
              <w:rPr>
                <w:rFonts w:ascii="Arial" w:hAnsi="Arial" w:cs="Arial"/>
                <w:b/>
                <w:sz w:val="20"/>
                <w:szCs w:val="20"/>
              </w:rPr>
              <w:t>£</w:t>
            </w:r>
            <w:r w:rsidR="00C7206C" w:rsidRPr="00DE7B33">
              <w:rPr>
                <w:rFonts w:ascii="Arial" w:eastAsia="Calibri" w:hAnsi="Arial" w:cs="Arial"/>
                <w:b/>
                <w:sz w:val="20"/>
                <w:szCs w:val="20"/>
              </w:rPr>
              <w:t>30</w:t>
            </w:r>
            <w:r w:rsidR="00C7206C">
              <w:rPr>
                <w:rFonts w:ascii="Arial" w:eastAsia="Calibri" w:hAnsi="Arial" w:cs="Arial"/>
                <w:b/>
                <w:sz w:val="20"/>
                <w:szCs w:val="20"/>
              </w:rPr>
              <w:t>8</w:t>
            </w:r>
            <w:r w:rsidR="00C7206C" w:rsidRPr="00DE7B33">
              <w:rPr>
                <w:rFonts w:ascii="Arial" w:eastAsia="Calibri" w:hAnsi="Arial" w:cs="Arial"/>
                <w:b/>
                <w:sz w:val="20"/>
                <w:szCs w:val="20"/>
              </w:rPr>
              <w:t xml:space="preserve"> </w:t>
            </w:r>
            <w:r w:rsidRPr="00DE7B33">
              <w:rPr>
                <w:rFonts w:ascii="Arial" w:eastAsia="Calibri" w:hAnsi="Arial" w:cs="Arial"/>
                <w:b/>
                <w:sz w:val="20"/>
                <w:szCs w:val="20"/>
              </w:rPr>
              <w:t>million</w:t>
            </w:r>
            <w:r w:rsidRPr="00DE7B33">
              <w:rPr>
                <w:rFonts w:ascii="Arial" w:hAnsi="Arial" w:cs="Arial"/>
                <w:b/>
                <w:sz w:val="20"/>
                <w:szCs w:val="20"/>
                <w:vertAlign w:val="superscript"/>
              </w:rPr>
              <w:t>(</w:t>
            </w:r>
            <w:r w:rsidR="009D1885">
              <w:rPr>
                <w:rFonts w:ascii="Arial" w:hAnsi="Arial" w:cs="Arial"/>
                <w:b/>
                <w:sz w:val="20"/>
                <w:szCs w:val="20"/>
                <w:vertAlign w:val="superscript"/>
              </w:rPr>
              <w:t>6</w:t>
            </w:r>
            <w:r w:rsidRPr="00DE7B33">
              <w:rPr>
                <w:rFonts w:ascii="Arial" w:hAnsi="Arial" w:cs="Arial"/>
                <w:b/>
                <w:sz w:val="20"/>
                <w:szCs w:val="20"/>
                <w:vertAlign w:val="superscript"/>
              </w:rPr>
              <w:t>)</w:t>
            </w:r>
          </w:p>
        </w:tc>
        <w:tc>
          <w:tcPr>
            <w:tcW w:w="1941" w:type="dxa"/>
            <w:tcBorders>
              <w:top w:val="single" w:sz="4" w:space="0" w:color="auto"/>
            </w:tcBorders>
            <w:tcMar>
              <w:top w:w="108" w:type="dxa"/>
              <w:bottom w:w="108" w:type="dxa"/>
            </w:tcMar>
            <w:vAlign w:val="center"/>
          </w:tcPr>
          <w:p w14:paraId="0D3AAB18" w14:textId="6A87DCEF" w:rsidR="00463BF6" w:rsidRPr="00EE5FB5" w:rsidRDefault="00463BF6" w:rsidP="00463BF6">
            <w:pPr>
              <w:jc w:val="right"/>
              <w:rPr>
                <w:rFonts w:ascii="Arial" w:hAnsi="Arial" w:cs="Arial"/>
                <w:sz w:val="20"/>
                <w:szCs w:val="20"/>
              </w:rPr>
            </w:pPr>
            <w:r w:rsidRPr="00EE5FB5">
              <w:rPr>
                <w:rFonts w:ascii="Arial" w:hAnsi="Arial" w:cs="Arial"/>
                <w:sz w:val="20"/>
                <w:szCs w:val="20"/>
              </w:rPr>
              <w:t>$</w:t>
            </w:r>
            <w:r w:rsidR="00EE5FB5" w:rsidRPr="00EE5FB5">
              <w:rPr>
                <w:rFonts w:ascii="Arial" w:hAnsi="Arial" w:cs="Arial"/>
                <w:sz w:val="20"/>
                <w:szCs w:val="20"/>
              </w:rPr>
              <w:t>772</w:t>
            </w:r>
            <w:r w:rsidRPr="00EE5FB5">
              <w:rPr>
                <w:rFonts w:ascii="Arial" w:hAnsi="Arial" w:cs="Arial"/>
                <w:sz w:val="20"/>
                <w:szCs w:val="20"/>
              </w:rPr>
              <w:t xml:space="preserve"> million /</w:t>
            </w:r>
          </w:p>
          <w:p w14:paraId="1EC27B62" w14:textId="189C9981" w:rsidR="00463BF6" w:rsidRPr="00EE5FB5" w:rsidRDefault="00463BF6" w:rsidP="00E905DD">
            <w:pPr>
              <w:jc w:val="right"/>
              <w:rPr>
                <w:rFonts w:ascii="Arial" w:hAnsi="Arial" w:cs="Arial"/>
                <w:sz w:val="20"/>
                <w:szCs w:val="20"/>
              </w:rPr>
            </w:pPr>
            <w:r w:rsidRPr="00EE5FB5">
              <w:rPr>
                <w:rFonts w:ascii="Arial" w:hAnsi="Arial" w:cs="Arial"/>
                <w:sz w:val="20"/>
                <w:szCs w:val="20"/>
              </w:rPr>
              <w:t>£</w:t>
            </w:r>
            <w:r w:rsidR="00131BC3">
              <w:rPr>
                <w:rFonts w:ascii="Arial" w:hAnsi="Arial" w:cs="Arial"/>
                <w:sz w:val="20"/>
                <w:szCs w:val="20"/>
              </w:rPr>
              <w:t>58</w:t>
            </w:r>
            <w:r w:rsidR="00EE5FB5" w:rsidRPr="00EE5FB5">
              <w:rPr>
                <w:rFonts w:ascii="Arial" w:hAnsi="Arial" w:cs="Arial"/>
                <w:sz w:val="20"/>
                <w:szCs w:val="20"/>
              </w:rPr>
              <w:t>8</w:t>
            </w:r>
            <w:r w:rsidRPr="00EE5FB5">
              <w:rPr>
                <w:rFonts w:ascii="Arial" w:hAnsi="Arial" w:cs="Arial"/>
                <w:sz w:val="20"/>
                <w:szCs w:val="20"/>
              </w:rPr>
              <w:t xml:space="preserve"> million</w:t>
            </w:r>
            <w:r w:rsidRPr="00EE5FB5">
              <w:rPr>
                <w:rFonts w:ascii="Arial" w:hAnsi="Arial" w:cs="Arial"/>
                <w:sz w:val="20"/>
                <w:szCs w:val="20"/>
                <w:vertAlign w:val="superscript"/>
              </w:rPr>
              <w:t>(</w:t>
            </w:r>
            <w:r w:rsidR="009D1885">
              <w:rPr>
                <w:rFonts w:ascii="Arial" w:hAnsi="Arial" w:cs="Arial"/>
                <w:sz w:val="20"/>
                <w:szCs w:val="20"/>
                <w:vertAlign w:val="superscript"/>
              </w:rPr>
              <w:t>6</w:t>
            </w:r>
            <w:r w:rsidRPr="00EE5FB5">
              <w:rPr>
                <w:rFonts w:ascii="Arial" w:hAnsi="Arial" w:cs="Arial"/>
                <w:sz w:val="20"/>
                <w:szCs w:val="20"/>
                <w:vertAlign w:val="superscript"/>
              </w:rPr>
              <w:t>)</w:t>
            </w:r>
          </w:p>
        </w:tc>
        <w:tc>
          <w:tcPr>
            <w:tcW w:w="1941" w:type="dxa"/>
            <w:tcBorders>
              <w:top w:val="single" w:sz="4" w:space="0" w:color="auto"/>
            </w:tcBorders>
          </w:tcPr>
          <w:p w14:paraId="0585D704" w14:textId="4AD8EC29" w:rsidR="00463BF6" w:rsidRPr="00413DF2" w:rsidRDefault="00463BF6" w:rsidP="00463BF6">
            <w:pPr>
              <w:jc w:val="right"/>
              <w:rPr>
                <w:rFonts w:ascii="Arial" w:hAnsi="Arial" w:cs="Arial"/>
                <w:sz w:val="20"/>
                <w:szCs w:val="20"/>
              </w:rPr>
            </w:pPr>
            <w:r w:rsidRPr="00413DF2">
              <w:rPr>
                <w:rFonts w:ascii="Arial" w:hAnsi="Arial" w:cs="Arial"/>
                <w:sz w:val="20"/>
                <w:szCs w:val="20"/>
              </w:rPr>
              <w:t>$1,</w:t>
            </w:r>
            <w:r w:rsidR="00EE5FB5">
              <w:rPr>
                <w:rFonts w:ascii="Arial" w:hAnsi="Arial" w:cs="Arial"/>
                <w:sz w:val="20"/>
                <w:szCs w:val="20"/>
              </w:rPr>
              <w:t>058</w:t>
            </w:r>
            <w:r w:rsidRPr="00413DF2">
              <w:rPr>
                <w:rFonts w:ascii="Arial" w:hAnsi="Arial" w:cs="Arial"/>
                <w:sz w:val="20"/>
                <w:szCs w:val="20"/>
              </w:rPr>
              <w:t xml:space="preserve"> million /</w:t>
            </w:r>
          </w:p>
          <w:p w14:paraId="6A622F23" w14:textId="4AB9A73B" w:rsidR="00463BF6" w:rsidRPr="00171C4B" w:rsidRDefault="00EE5FB5" w:rsidP="00E905DD">
            <w:pPr>
              <w:jc w:val="right"/>
              <w:rPr>
                <w:rFonts w:ascii="Arial" w:hAnsi="Arial" w:cs="Arial"/>
                <w:sz w:val="20"/>
                <w:szCs w:val="20"/>
              </w:rPr>
            </w:pPr>
            <w:r>
              <w:rPr>
                <w:rFonts w:ascii="Arial" w:hAnsi="Arial" w:cs="Arial"/>
                <w:sz w:val="20"/>
                <w:szCs w:val="20"/>
              </w:rPr>
              <w:t>£833</w:t>
            </w:r>
            <w:r w:rsidR="00463BF6" w:rsidRPr="00413DF2">
              <w:rPr>
                <w:rFonts w:ascii="Arial" w:hAnsi="Arial" w:cs="Arial"/>
                <w:sz w:val="20"/>
                <w:szCs w:val="20"/>
              </w:rPr>
              <w:t xml:space="preserve"> million</w:t>
            </w:r>
            <w:r w:rsidR="00463BF6" w:rsidRPr="000E7B50">
              <w:rPr>
                <w:rFonts w:ascii="Arial" w:hAnsi="Arial" w:cs="Arial"/>
                <w:sz w:val="20"/>
                <w:szCs w:val="20"/>
              </w:rPr>
              <w:t>(</w:t>
            </w:r>
            <w:r w:rsidR="009D1885" w:rsidRPr="000E7B50">
              <w:rPr>
                <w:rFonts w:ascii="Arial" w:hAnsi="Arial" w:cs="Arial"/>
                <w:sz w:val="20"/>
                <w:szCs w:val="20"/>
              </w:rPr>
              <w:t>6</w:t>
            </w:r>
            <w:r w:rsidR="00463BF6" w:rsidRPr="000E7B50">
              <w:rPr>
                <w:rFonts w:ascii="Arial" w:hAnsi="Arial" w:cs="Arial"/>
                <w:sz w:val="20"/>
                <w:szCs w:val="20"/>
              </w:rPr>
              <w:t>)</w:t>
            </w:r>
          </w:p>
        </w:tc>
      </w:tr>
      <w:tr w:rsidR="00463BF6" w:rsidRPr="00BC678F" w14:paraId="31864334" w14:textId="53B7487A" w:rsidTr="007A2F5C">
        <w:tc>
          <w:tcPr>
            <w:tcW w:w="3652" w:type="dxa"/>
            <w:tcMar>
              <w:top w:w="108" w:type="dxa"/>
              <w:bottom w:w="108" w:type="dxa"/>
            </w:tcMar>
          </w:tcPr>
          <w:p w14:paraId="3D24A839" w14:textId="77777777" w:rsidR="00463BF6" w:rsidRPr="00BC678F" w:rsidRDefault="00463BF6" w:rsidP="00463BF6">
            <w:pPr>
              <w:rPr>
                <w:rFonts w:ascii="Arial" w:hAnsi="Arial" w:cs="Arial"/>
                <w:sz w:val="20"/>
                <w:szCs w:val="20"/>
              </w:rPr>
            </w:pPr>
            <w:r w:rsidRPr="00BC678F">
              <w:rPr>
                <w:rFonts w:ascii="Arial" w:hAnsi="Arial" w:cs="Arial"/>
                <w:sz w:val="20"/>
                <w:szCs w:val="20"/>
              </w:rPr>
              <w:t>NAV per Share as at</w:t>
            </w:r>
          </w:p>
        </w:tc>
        <w:tc>
          <w:tcPr>
            <w:tcW w:w="1985" w:type="dxa"/>
            <w:tcMar>
              <w:top w:w="108" w:type="dxa"/>
              <w:bottom w:w="108" w:type="dxa"/>
            </w:tcMar>
          </w:tcPr>
          <w:p w14:paraId="42565E16" w14:textId="4F515335" w:rsidR="00463BF6" w:rsidRPr="00DE7B33" w:rsidRDefault="00463BF6" w:rsidP="00C7206C">
            <w:pPr>
              <w:jc w:val="right"/>
              <w:rPr>
                <w:rFonts w:ascii="Arial" w:hAnsi="Arial" w:cs="Arial"/>
                <w:b/>
                <w:sz w:val="20"/>
                <w:szCs w:val="20"/>
              </w:rPr>
            </w:pPr>
            <w:r w:rsidRPr="00DE7B33">
              <w:rPr>
                <w:rFonts w:ascii="Arial" w:hAnsi="Arial" w:cs="Arial"/>
                <w:b/>
                <w:sz w:val="20"/>
                <w:szCs w:val="20"/>
              </w:rPr>
              <w:t>$</w:t>
            </w:r>
            <w:r w:rsidR="0059455C" w:rsidRPr="00DE7B33">
              <w:rPr>
                <w:rFonts w:ascii="Arial" w:eastAsia="Calibri" w:hAnsi="Arial" w:cs="Arial"/>
                <w:b/>
                <w:sz w:val="20"/>
                <w:szCs w:val="20"/>
              </w:rPr>
              <w:t>5.</w:t>
            </w:r>
            <w:r w:rsidR="00C7206C" w:rsidRPr="00DE7B33">
              <w:rPr>
                <w:rFonts w:ascii="Arial" w:eastAsia="Calibri" w:hAnsi="Arial" w:cs="Arial"/>
                <w:b/>
                <w:sz w:val="20"/>
                <w:szCs w:val="20"/>
              </w:rPr>
              <w:t>4</w:t>
            </w:r>
            <w:r w:rsidR="00C7206C">
              <w:rPr>
                <w:rFonts w:ascii="Arial" w:eastAsia="Calibri" w:hAnsi="Arial" w:cs="Arial"/>
                <w:b/>
                <w:sz w:val="20"/>
                <w:szCs w:val="20"/>
              </w:rPr>
              <w:t>8</w:t>
            </w:r>
            <w:r w:rsidR="00C7206C" w:rsidRPr="00DE7B33">
              <w:rPr>
                <w:rFonts w:ascii="Arial" w:hAnsi="Arial" w:cs="Arial"/>
                <w:b/>
                <w:sz w:val="20"/>
                <w:szCs w:val="20"/>
              </w:rPr>
              <w:t xml:space="preserve"> </w:t>
            </w:r>
            <w:r w:rsidRPr="00DE7B33">
              <w:rPr>
                <w:rFonts w:ascii="Arial" w:hAnsi="Arial" w:cs="Arial"/>
                <w:b/>
                <w:sz w:val="20"/>
                <w:szCs w:val="20"/>
              </w:rPr>
              <w:t>/ £</w:t>
            </w:r>
            <w:r w:rsidR="0059455C" w:rsidRPr="00DE7B33">
              <w:rPr>
                <w:rFonts w:ascii="Arial" w:eastAsia="Calibri" w:hAnsi="Arial" w:cs="Arial"/>
                <w:b/>
                <w:sz w:val="20"/>
                <w:szCs w:val="20"/>
              </w:rPr>
              <w:t>4.45</w:t>
            </w:r>
            <w:r w:rsidRPr="00DE7B33">
              <w:rPr>
                <w:rFonts w:ascii="Arial" w:hAnsi="Arial" w:cs="Arial"/>
                <w:b/>
                <w:sz w:val="20"/>
                <w:szCs w:val="20"/>
                <w:vertAlign w:val="superscript"/>
              </w:rPr>
              <w:t>(</w:t>
            </w:r>
            <w:r w:rsidR="009D1885">
              <w:rPr>
                <w:rFonts w:ascii="Arial" w:hAnsi="Arial" w:cs="Arial"/>
                <w:b/>
                <w:sz w:val="20"/>
                <w:szCs w:val="20"/>
                <w:vertAlign w:val="superscript"/>
              </w:rPr>
              <w:t>6</w:t>
            </w:r>
            <w:r w:rsidRPr="00DE7B33">
              <w:rPr>
                <w:rFonts w:ascii="Arial" w:hAnsi="Arial" w:cs="Arial"/>
                <w:b/>
                <w:sz w:val="20"/>
                <w:szCs w:val="20"/>
                <w:vertAlign w:val="superscript"/>
              </w:rPr>
              <w:t>)</w:t>
            </w:r>
          </w:p>
        </w:tc>
        <w:tc>
          <w:tcPr>
            <w:tcW w:w="1941" w:type="dxa"/>
            <w:tcMar>
              <w:top w:w="108" w:type="dxa"/>
              <w:bottom w:w="108" w:type="dxa"/>
            </w:tcMar>
            <w:vAlign w:val="center"/>
          </w:tcPr>
          <w:p w14:paraId="0664417F" w14:textId="7DF1EABF" w:rsidR="00463BF6" w:rsidRPr="00EE5FB5" w:rsidRDefault="00463BF6" w:rsidP="00E905DD">
            <w:pPr>
              <w:jc w:val="right"/>
              <w:rPr>
                <w:rFonts w:ascii="Arial" w:hAnsi="Arial" w:cs="Arial"/>
                <w:sz w:val="20"/>
                <w:szCs w:val="20"/>
              </w:rPr>
            </w:pPr>
            <w:r w:rsidRPr="00EE5FB5">
              <w:rPr>
                <w:rFonts w:ascii="Arial" w:hAnsi="Arial" w:cs="Arial"/>
                <w:sz w:val="20"/>
                <w:szCs w:val="20"/>
              </w:rPr>
              <w:t>$</w:t>
            </w:r>
            <w:r w:rsidR="00EE5FB5" w:rsidRPr="00EE5FB5">
              <w:rPr>
                <w:rFonts w:ascii="Arial" w:hAnsi="Arial" w:cs="Arial"/>
                <w:sz w:val="20"/>
                <w:szCs w:val="20"/>
              </w:rPr>
              <w:t>9.66</w:t>
            </w:r>
            <w:r w:rsidRPr="00EE5FB5">
              <w:rPr>
                <w:rFonts w:ascii="Arial" w:hAnsi="Arial" w:cs="Arial"/>
                <w:sz w:val="20"/>
                <w:szCs w:val="20"/>
              </w:rPr>
              <w:t xml:space="preserve"> / £</w:t>
            </w:r>
            <w:r w:rsidR="00EE5FB5" w:rsidRPr="00EE5FB5">
              <w:rPr>
                <w:rFonts w:ascii="Arial" w:hAnsi="Arial" w:cs="Arial"/>
                <w:sz w:val="20"/>
                <w:szCs w:val="20"/>
              </w:rPr>
              <w:t>7.36</w:t>
            </w:r>
            <w:r w:rsidRPr="00EE5FB5">
              <w:rPr>
                <w:rFonts w:ascii="Arial" w:hAnsi="Arial" w:cs="Arial"/>
                <w:sz w:val="20"/>
                <w:szCs w:val="20"/>
                <w:vertAlign w:val="superscript"/>
              </w:rPr>
              <w:t>(</w:t>
            </w:r>
            <w:r w:rsidR="009D1885">
              <w:rPr>
                <w:rFonts w:ascii="Arial" w:hAnsi="Arial" w:cs="Arial"/>
                <w:sz w:val="20"/>
                <w:szCs w:val="20"/>
                <w:vertAlign w:val="superscript"/>
              </w:rPr>
              <w:t>6</w:t>
            </w:r>
            <w:r w:rsidRPr="00EE5FB5">
              <w:rPr>
                <w:rFonts w:ascii="Arial" w:hAnsi="Arial" w:cs="Arial"/>
                <w:sz w:val="20"/>
                <w:szCs w:val="20"/>
                <w:vertAlign w:val="superscript"/>
              </w:rPr>
              <w:t>)</w:t>
            </w:r>
          </w:p>
        </w:tc>
        <w:tc>
          <w:tcPr>
            <w:tcW w:w="1941" w:type="dxa"/>
          </w:tcPr>
          <w:p w14:paraId="39644657" w14:textId="44C7A111" w:rsidR="00463BF6" w:rsidRPr="00171C4B" w:rsidRDefault="00EE5FB5" w:rsidP="00E905DD">
            <w:pPr>
              <w:jc w:val="right"/>
              <w:rPr>
                <w:rFonts w:ascii="Arial" w:hAnsi="Arial" w:cs="Arial"/>
                <w:sz w:val="20"/>
                <w:szCs w:val="20"/>
              </w:rPr>
            </w:pPr>
            <w:r>
              <w:rPr>
                <w:rFonts w:ascii="Arial" w:hAnsi="Arial" w:cs="Arial"/>
                <w:sz w:val="20"/>
                <w:szCs w:val="20"/>
              </w:rPr>
              <w:t>$13.24</w:t>
            </w:r>
            <w:r w:rsidR="00463BF6" w:rsidRPr="00413DF2">
              <w:rPr>
                <w:rFonts w:ascii="Arial" w:hAnsi="Arial" w:cs="Arial"/>
                <w:sz w:val="20"/>
                <w:szCs w:val="20"/>
              </w:rPr>
              <w:t xml:space="preserve"> / £</w:t>
            </w:r>
            <w:r>
              <w:rPr>
                <w:rFonts w:ascii="Arial" w:hAnsi="Arial" w:cs="Arial"/>
                <w:sz w:val="20"/>
                <w:szCs w:val="20"/>
              </w:rPr>
              <w:t>10</w:t>
            </w:r>
            <w:r w:rsidR="00463BF6" w:rsidRPr="00413DF2">
              <w:rPr>
                <w:rFonts w:ascii="Arial" w:hAnsi="Arial" w:cs="Arial"/>
                <w:sz w:val="20"/>
                <w:szCs w:val="20"/>
              </w:rPr>
              <w:t>.</w:t>
            </w:r>
            <w:r>
              <w:rPr>
                <w:rFonts w:ascii="Arial" w:hAnsi="Arial" w:cs="Arial"/>
                <w:sz w:val="20"/>
                <w:szCs w:val="20"/>
              </w:rPr>
              <w:t>43</w:t>
            </w:r>
            <w:r w:rsidR="00463BF6" w:rsidRPr="000E7B50">
              <w:rPr>
                <w:rFonts w:ascii="Arial" w:hAnsi="Arial" w:cs="Arial"/>
                <w:sz w:val="20"/>
                <w:szCs w:val="20"/>
              </w:rPr>
              <w:t>(</w:t>
            </w:r>
            <w:r w:rsidR="009D1885" w:rsidRPr="000E7B50">
              <w:rPr>
                <w:rFonts w:ascii="Arial" w:hAnsi="Arial" w:cs="Arial"/>
                <w:sz w:val="20"/>
                <w:szCs w:val="20"/>
              </w:rPr>
              <w:t>6</w:t>
            </w:r>
            <w:r w:rsidR="00463BF6" w:rsidRPr="000E7B50">
              <w:rPr>
                <w:rFonts w:ascii="Arial" w:hAnsi="Arial" w:cs="Arial"/>
                <w:sz w:val="20"/>
                <w:szCs w:val="20"/>
              </w:rPr>
              <w:t>)</w:t>
            </w:r>
          </w:p>
        </w:tc>
      </w:tr>
      <w:tr w:rsidR="00463BF6" w:rsidRPr="00BC678F" w14:paraId="14889A13" w14:textId="56EB3F29" w:rsidTr="007A2F5C">
        <w:tc>
          <w:tcPr>
            <w:tcW w:w="3652" w:type="dxa"/>
            <w:tcMar>
              <w:top w:w="108" w:type="dxa"/>
              <w:bottom w:w="108" w:type="dxa"/>
            </w:tcMar>
          </w:tcPr>
          <w:p w14:paraId="06CCE2C8" w14:textId="77777777" w:rsidR="00463BF6" w:rsidRPr="00BC678F" w:rsidRDefault="00463BF6" w:rsidP="00463BF6">
            <w:pPr>
              <w:rPr>
                <w:rFonts w:ascii="Arial" w:hAnsi="Arial" w:cs="Arial"/>
                <w:sz w:val="20"/>
                <w:szCs w:val="20"/>
              </w:rPr>
            </w:pPr>
            <w:r w:rsidRPr="00BC678F">
              <w:rPr>
                <w:rFonts w:ascii="Arial" w:hAnsi="Arial" w:cs="Arial"/>
                <w:sz w:val="20"/>
                <w:szCs w:val="20"/>
              </w:rPr>
              <w:t>Market capitalisation at</w:t>
            </w:r>
          </w:p>
        </w:tc>
        <w:tc>
          <w:tcPr>
            <w:tcW w:w="1985" w:type="dxa"/>
            <w:tcMar>
              <w:top w:w="108" w:type="dxa"/>
              <w:bottom w:w="108" w:type="dxa"/>
            </w:tcMar>
          </w:tcPr>
          <w:p w14:paraId="7D24D1AB" w14:textId="5BBE37A2" w:rsidR="00463BF6" w:rsidRPr="00DE7B33" w:rsidRDefault="00463BF6" w:rsidP="00463BF6">
            <w:pPr>
              <w:jc w:val="right"/>
              <w:rPr>
                <w:rFonts w:ascii="Arial" w:hAnsi="Arial" w:cs="Arial"/>
                <w:b/>
                <w:sz w:val="20"/>
                <w:szCs w:val="20"/>
              </w:rPr>
            </w:pPr>
            <w:r w:rsidRPr="00DE7B33">
              <w:rPr>
                <w:rFonts w:ascii="Arial" w:hAnsi="Arial" w:cs="Arial"/>
                <w:b/>
                <w:sz w:val="20"/>
                <w:szCs w:val="20"/>
              </w:rPr>
              <w:t>$</w:t>
            </w:r>
            <w:r w:rsidR="0059455C" w:rsidRPr="00DE7B33">
              <w:rPr>
                <w:rFonts w:ascii="Arial" w:eastAsia="Calibri" w:hAnsi="Arial" w:cs="Arial"/>
                <w:b/>
                <w:sz w:val="20"/>
                <w:szCs w:val="20"/>
              </w:rPr>
              <w:t>319</w:t>
            </w:r>
            <w:r w:rsidRPr="00DE7B33">
              <w:rPr>
                <w:rFonts w:ascii="Arial" w:hAnsi="Arial" w:cs="Arial"/>
                <w:b/>
                <w:sz w:val="20"/>
                <w:szCs w:val="20"/>
              </w:rPr>
              <w:t xml:space="preserve"> million /</w:t>
            </w:r>
          </w:p>
          <w:p w14:paraId="088C841C" w14:textId="397AD06F" w:rsidR="00463BF6" w:rsidRPr="00171C4B" w:rsidRDefault="00463BF6" w:rsidP="00E905DD">
            <w:pPr>
              <w:jc w:val="right"/>
              <w:rPr>
                <w:rFonts w:ascii="Arial" w:hAnsi="Arial" w:cs="Arial"/>
                <w:sz w:val="20"/>
                <w:szCs w:val="20"/>
              </w:rPr>
            </w:pPr>
            <w:r w:rsidRPr="00DE7B33">
              <w:rPr>
                <w:rFonts w:ascii="Arial" w:hAnsi="Arial" w:cs="Arial"/>
                <w:b/>
                <w:sz w:val="20"/>
                <w:szCs w:val="20"/>
              </w:rPr>
              <w:t>£</w:t>
            </w:r>
            <w:r w:rsidR="0059455C" w:rsidRPr="00DE7B33">
              <w:rPr>
                <w:rFonts w:ascii="Arial" w:eastAsia="Calibri" w:hAnsi="Arial" w:cs="Arial"/>
                <w:b/>
                <w:sz w:val="20"/>
                <w:szCs w:val="20"/>
              </w:rPr>
              <w:t>259</w:t>
            </w:r>
            <w:r w:rsidRPr="00DE7B33">
              <w:rPr>
                <w:rFonts w:ascii="Arial" w:hAnsi="Arial" w:cs="Arial"/>
                <w:b/>
                <w:sz w:val="20"/>
                <w:szCs w:val="20"/>
              </w:rPr>
              <w:t xml:space="preserve"> million</w:t>
            </w:r>
            <w:r w:rsidRPr="00DE7B33">
              <w:rPr>
                <w:rFonts w:ascii="Arial" w:hAnsi="Arial" w:cs="Arial"/>
                <w:b/>
                <w:sz w:val="20"/>
                <w:szCs w:val="20"/>
                <w:vertAlign w:val="superscript"/>
              </w:rPr>
              <w:t>(</w:t>
            </w:r>
            <w:r w:rsidR="009D1885">
              <w:rPr>
                <w:rFonts w:ascii="Arial" w:hAnsi="Arial" w:cs="Arial"/>
                <w:b/>
                <w:sz w:val="20"/>
                <w:szCs w:val="20"/>
                <w:vertAlign w:val="superscript"/>
              </w:rPr>
              <w:t>6</w:t>
            </w:r>
            <w:r w:rsidRPr="00DE7B33">
              <w:rPr>
                <w:rFonts w:ascii="Arial" w:hAnsi="Arial" w:cs="Arial"/>
                <w:b/>
                <w:sz w:val="20"/>
                <w:szCs w:val="20"/>
                <w:vertAlign w:val="superscript"/>
              </w:rPr>
              <w:t>)</w:t>
            </w:r>
          </w:p>
        </w:tc>
        <w:tc>
          <w:tcPr>
            <w:tcW w:w="1941" w:type="dxa"/>
            <w:tcMar>
              <w:top w:w="108" w:type="dxa"/>
              <w:bottom w:w="108" w:type="dxa"/>
            </w:tcMar>
            <w:vAlign w:val="center"/>
          </w:tcPr>
          <w:p w14:paraId="11B4EABC" w14:textId="5B1152A8" w:rsidR="00463BF6" w:rsidRPr="00EE5FB5" w:rsidRDefault="00463BF6" w:rsidP="00463BF6">
            <w:pPr>
              <w:jc w:val="right"/>
              <w:rPr>
                <w:rFonts w:ascii="Arial" w:hAnsi="Arial" w:cs="Arial"/>
                <w:sz w:val="20"/>
                <w:szCs w:val="20"/>
              </w:rPr>
            </w:pPr>
            <w:r w:rsidRPr="00EE5FB5">
              <w:rPr>
                <w:rFonts w:ascii="Arial" w:hAnsi="Arial" w:cs="Arial"/>
                <w:sz w:val="20"/>
                <w:szCs w:val="20"/>
              </w:rPr>
              <w:t>$</w:t>
            </w:r>
            <w:r w:rsidR="00EE5FB5" w:rsidRPr="00EE5FB5">
              <w:rPr>
                <w:rFonts w:ascii="Arial" w:hAnsi="Arial" w:cs="Arial"/>
                <w:sz w:val="20"/>
                <w:szCs w:val="20"/>
              </w:rPr>
              <w:t>434</w:t>
            </w:r>
            <w:r w:rsidRPr="00EE5FB5">
              <w:rPr>
                <w:rFonts w:ascii="Arial" w:hAnsi="Arial" w:cs="Arial"/>
                <w:sz w:val="20"/>
                <w:szCs w:val="20"/>
              </w:rPr>
              <w:t xml:space="preserve"> million /</w:t>
            </w:r>
          </w:p>
          <w:p w14:paraId="649DE97D" w14:textId="379B0233" w:rsidR="00463BF6" w:rsidRPr="00EE5FB5" w:rsidRDefault="00463BF6" w:rsidP="00E905DD">
            <w:pPr>
              <w:jc w:val="right"/>
              <w:rPr>
                <w:rFonts w:ascii="Arial" w:hAnsi="Arial" w:cs="Arial"/>
                <w:sz w:val="20"/>
                <w:szCs w:val="20"/>
              </w:rPr>
            </w:pPr>
            <w:r w:rsidRPr="00EE5FB5">
              <w:rPr>
                <w:rFonts w:ascii="Arial" w:hAnsi="Arial" w:cs="Arial"/>
                <w:sz w:val="20"/>
                <w:szCs w:val="20"/>
              </w:rPr>
              <w:t>£</w:t>
            </w:r>
            <w:r w:rsidR="00EE5FB5" w:rsidRPr="00EE5FB5">
              <w:rPr>
                <w:rFonts w:ascii="Arial" w:hAnsi="Arial" w:cs="Arial"/>
                <w:sz w:val="20"/>
                <w:szCs w:val="20"/>
              </w:rPr>
              <w:t>331</w:t>
            </w:r>
            <w:r w:rsidRPr="00EE5FB5">
              <w:rPr>
                <w:rFonts w:ascii="Arial" w:hAnsi="Arial" w:cs="Arial"/>
                <w:sz w:val="20"/>
                <w:szCs w:val="20"/>
              </w:rPr>
              <w:t xml:space="preserve"> million</w:t>
            </w:r>
            <w:r w:rsidRPr="00EE5FB5">
              <w:rPr>
                <w:rFonts w:ascii="Arial" w:hAnsi="Arial" w:cs="Arial"/>
                <w:sz w:val="20"/>
                <w:szCs w:val="20"/>
                <w:vertAlign w:val="superscript"/>
              </w:rPr>
              <w:t>(</w:t>
            </w:r>
            <w:r w:rsidR="009D1885">
              <w:rPr>
                <w:rFonts w:ascii="Arial" w:hAnsi="Arial" w:cs="Arial"/>
                <w:sz w:val="20"/>
                <w:szCs w:val="20"/>
                <w:vertAlign w:val="superscript"/>
              </w:rPr>
              <w:t>6</w:t>
            </w:r>
            <w:r w:rsidRPr="00EE5FB5">
              <w:rPr>
                <w:rFonts w:ascii="Arial" w:hAnsi="Arial" w:cs="Arial"/>
                <w:sz w:val="20"/>
                <w:szCs w:val="20"/>
                <w:vertAlign w:val="superscript"/>
              </w:rPr>
              <w:t>)</w:t>
            </w:r>
          </w:p>
        </w:tc>
        <w:tc>
          <w:tcPr>
            <w:tcW w:w="1941" w:type="dxa"/>
          </w:tcPr>
          <w:p w14:paraId="19E2F3A5" w14:textId="50B02A21" w:rsidR="00463BF6" w:rsidRPr="00171C4B" w:rsidRDefault="00463BF6" w:rsidP="00E905DD">
            <w:pPr>
              <w:jc w:val="right"/>
              <w:rPr>
                <w:rFonts w:ascii="Arial" w:hAnsi="Arial" w:cs="Arial"/>
                <w:sz w:val="20"/>
                <w:szCs w:val="20"/>
              </w:rPr>
            </w:pPr>
            <w:r w:rsidRPr="00413DF2">
              <w:rPr>
                <w:rFonts w:ascii="Arial" w:hAnsi="Arial" w:cs="Arial"/>
                <w:sz w:val="20"/>
                <w:szCs w:val="20"/>
              </w:rPr>
              <w:t>$</w:t>
            </w:r>
            <w:r w:rsidR="00EE5FB5">
              <w:rPr>
                <w:rFonts w:ascii="Arial" w:hAnsi="Arial" w:cs="Arial"/>
                <w:sz w:val="20"/>
                <w:szCs w:val="20"/>
              </w:rPr>
              <w:t>874</w:t>
            </w:r>
            <w:r w:rsidRPr="00413DF2">
              <w:rPr>
                <w:rFonts w:ascii="Arial" w:hAnsi="Arial" w:cs="Arial"/>
                <w:sz w:val="20"/>
                <w:szCs w:val="20"/>
              </w:rPr>
              <w:t xml:space="preserve"> million / </w:t>
            </w:r>
            <w:r w:rsidR="00EE5FB5">
              <w:rPr>
                <w:rFonts w:ascii="Arial" w:hAnsi="Arial" w:cs="Arial"/>
                <w:sz w:val="20"/>
                <w:szCs w:val="20"/>
              </w:rPr>
              <w:t xml:space="preserve"> </w:t>
            </w:r>
            <w:r w:rsidRPr="00413DF2">
              <w:rPr>
                <w:rFonts w:ascii="Arial" w:hAnsi="Arial" w:cs="Arial"/>
                <w:sz w:val="20"/>
                <w:szCs w:val="20"/>
              </w:rPr>
              <w:t>£</w:t>
            </w:r>
            <w:r w:rsidR="00EE5FB5">
              <w:rPr>
                <w:rFonts w:ascii="Arial" w:hAnsi="Arial" w:cs="Arial"/>
                <w:sz w:val="20"/>
                <w:szCs w:val="20"/>
              </w:rPr>
              <w:t>688</w:t>
            </w:r>
            <w:r w:rsidRPr="00413DF2">
              <w:rPr>
                <w:rFonts w:ascii="Arial" w:hAnsi="Arial" w:cs="Arial"/>
                <w:sz w:val="20"/>
                <w:szCs w:val="20"/>
              </w:rPr>
              <w:t xml:space="preserve"> million</w:t>
            </w:r>
            <w:r w:rsidRPr="000E7B50">
              <w:rPr>
                <w:rFonts w:ascii="Arial" w:hAnsi="Arial" w:cs="Arial"/>
                <w:sz w:val="20"/>
                <w:szCs w:val="20"/>
              </w:rPr>
              <w:t>(</w:t>
            </w:r>
            <w:r w:rsidR="009D1885" w:rsidRPr="000E7B50">
              <w:rPr>
                <w:rFonts w:ascii="Arial" w:hAnsi="Arial" w:cs="Arial"/>
                <w:sz w:val="20"/>
                <w:szCs w:val="20"/>
              </w:rPr>
              <w:t>6</w:t>
            </w:r>
            <w:r w:rsidRPr="000E7B50">
              <w:rPr>
                <w:rFonts w:ascii="Arial" w:hAnsi="Arial" w:cs="Arial"/>
                <w:sz w:val="20"/>
                <w:szCs w:val="20"/>
              </w:rPr>
              <w:t>)</w:t>
            </w:r>
          </w:p>
        </w:tc>
      </w:tr>
      <w:tr w:rsidR="00463BF6" w:rsidRPr="00BC678F" w14:paraId="1FDE5FBB" w14:textId="32A9BC10" w:rsidTr="007A2F5C">
        <w:tc>
          <w:tcPr>
            <w:tcW w:w="3652" w:type="dxa"/>
            <w:tcMar>
              <w:top w:w="108" w:type="dxa"/>
              <w:bottom w:w="108" w:type="dxa"/>
            </w:tcMar>
          </w:tcPr>
          <w:p w14:paraId="578B995A" w14:textId="77777777" w:rsidR="00463BF6" w:rsidRPr="00BC678F" w:rsidRDefault="00463BF6" w:rsidP="00463BF6">
            <w:pPr>
              <w:tabs>
                <w:tab w:val="left" w:pos="493"/>
              </w:tabs>
              <w:rPr>
                <w:rFonts w:ascii="Arial" w:hAnsi="Arial" w:cs="Arial"/>
                <w:sz w:val="20"/>
                <w:szCs w:val="20"/>
              </w:rPr>
            </w:pPr>
            <w:r w:rsidRPr="00BC678F">
              <w:rPr>
                <w:rFonts w:ascii="Arial" w:hAnsi="Arial" w:cs="Arial"/>
                <w:sz w:val="20"/>
                <w:szCs w:val="20"/>
              </w:rPr>
              <w:t>Share price at</w:t>
            </w:r>
          </w:p>
        </w:tc>
        <w:tc>
          <w:tcPr>
            <w:tcW w:w="1985" w:type="dxa"/>
            <w:tcMar>
              <w:top w:w="108" w:type="dxa"/>
              <w:bottom w:w="108" w:type="dxa"/>
            </w:tcMar>
          </w:tcPr>
          <w:p w14:paraId="2186F25B" w14:textId="114D1865" w:rsidR="00463BF6" w:rsidRPr="00DE7B33" w:rsidRDefault="00463BF6" w:rsidP="00E905DD">
            <w:pPr>
              <w:jc w:val="right"/>
              <w:rPr>
                <w:rFonts w:ascii="Arial" w:hAnsi="Arial" w:cs="Arial"/>
                <w:b/>
                <w:sz w:val="20"/>
                <w:szCs w:val="20"/>
              </w:rPr>
            </w:pPr>
            <w:r w:rsidRPr="00DE7B33">
              <w:rPr>
                <w:rFonts w:ascii="Arial" w:hAnsi="Arial" w:cs="Arial"/>
                <w:b/>
                <w:sz w:val="20"/>
                <w:szCs w:val="20"/>
              </w:rPr>
              <w:t>$</w:t>
            </w:r>
            <w:r w:rsidR="0059455C" w:rsidRPr="00DE7B33">
              <w:rPr>
                <w:rFonts w:ascii="Arial" w:eastAsia="Calibri" w:hAnsi="Arial" w:cs="Arial"/>
                <w:b/>
                <w:sz w:val="20"/>
                <w:szCs w:val="20"/>
              </w:rPr>
              <w:t>4.62</w:t>
            </w:r>
            <w:r w:rsidRPr="00DE7B33">
              <w:rPr>
                <w:rFonts w:ascii="Arial" w:hAnsi="Arial" w:cs="Arial"/>
                <w:b/>
                <w:sz w:val="20"/>
                <w:szCs w:val="20"/>
              </w:rPr>
              <w:t xml:space="preserve"> / £</w:t>
            </w:r>
            <w:r w:rsidR="0059455C" w:rsidRPr="00DE7B33">
              <w:rPr>
                <w:rFonts w:ascii="Arial" w:eastAsia="Calibri" w:hAnsi="Arial" w:cs="Arial"/>
                <w:b/>
                <w:sz w:val="20"/>
                <w:szCs w:val="20"/>
              </w:rPr>
              <w:t>3.75</w:t>
            </w:r>
            <w:r w:rsidRPr="00DE7B33">
              <w:rPr>
                <w:rFonts w:ascii="Arial" w:hAnsi="Arial" w:cs="Arial"/>
                <w:b/>
                <w:sz w:val="20"/>
                <w:szCs w:val="20"/>
                <w:vertAlign w:val="superscript"/>
              </w:rPr>
              <w:t>(</w:t>
            </w:r>
            <w:r w:rsidR="009D1885">
              <w:rPr>
                <w:rFonts w:ascii="Arial" w:hAnsi="Arial" w:cs="Arial"/>
                <w:b/>
                <w:sz w:val="20"/>
                <w:szCs w:val="20"/>
                <w:vertAlign w:val="superscript"/>
              </w:rPr>
              <w:t>6</w:t>
            </w:r>
            <w:r w:rsidRPr="00DE7B33">
              <w:rPr>
                <w:rFonts w:ascii="Arial" w:hAnsi="Arial" w:cs="Arial"/>
                <w:b/>
                <w:sz w:val="20"/>
                <w:szCs w:val="20"/>
                <w:vertAlign w:val="superscript"/>
              </w:rPr>
              <w:t>)</w:t>
            </w:r>
          </w:p>
        </w:tc>
        <w:tc>
          <w:tcPr>
            <w:tcW w:w="1941" w:type="dxa"/>
            <w:tcMar>
              <w:top w:w="108" w:type="dxa"/>
              <w:bottom w:w="108" w:type="dxa"/>
            </w:tcMar>
          </w:tcPr>
          <w:p w14:paraId="510C4CAC" w14:textId="55AD9D74" w:rsidR="00463BF6" w:rsidRPr="00EE5FB5" w:rsidRDefault="00463BF6" w:rsidP="00E905DD">
            <w:pPr>
              <w:jc w:val="right"/>
              <w:rPr>
                <w:rFonts w:ascii="Arial" w:hAnsi="Arial" w:cs="Arial"/>
                <w:sz w:val="20"/>
                <w:szCs w:val="20"/>
              </w:rPr>
            </w:pPr>
            <w:r w:rsidRPr="00EE5FB5">
              <w:rPr>
                <w:rFonts w:ascii="Arial" w:hAnsi="Arial" w:cs="Arial"/>
                <w:sz w:val="20"/>
                <w:szCs w:val="20"/>
              </w:rPr>
              <w:t>$</w:t>
            </w:r>
            <w:r w:rsidR="00EE5FB5" w:rsidRPr="00EE5FB5">
              <w:rPr>
                <w:rFonts w:ascii="Arial" w:hAnsi="Arial" w:cs="Arial"/>
                <w:sz w:val="20"/>
                <w:szCs w:val="20"/>
              </w:rPr>
              <w:t>5.43</w:t>
            </w:r>
            <w:r w:rsidRPr="00EE5FB5">
              <w:rPr>
                <w:rFonts w:ascii="Arial" w:hAnsi="Arial" w:cs="Arial"/>
                <w:sz w:val="20"/>
                <w:szCs w:val="20"/>
              </w:rPr>
              <w:t xml:space="preserve"> / £</w:t>
            </w:r>
            <w:r w:rsidR="00EE5FB5" w:rsidRPr="00EE5FB5">
              <w:rPr>
                <w:rFonts w:ascii="Arial" w:hAnsi="Arial" w:cs="Arial"/>
                <w:sz w:val="20"/>
                <w:szCs w:val="20"/>
              </w:rPr>
              <w:t>4.14</w:t>
            </w:r>
            <w:r w:rsidRPr="00EE5FB5">
              <w:rPr>
                <w:rFonts w:ascii="Arial" w:hAnsi="Arial" w:cs="Arial"/>
                <w:sz w:val="20"/>
                <w:szCs w:val="20"/>
                <w:vertAlign w:val="superscript"/>
              </w:rPr>
              <w:t>(</w:t>
            </w:r>
            <w:r w:rsidR="009D1885">
              <w:rPr>
                <w:rFonts w:ascii="Arial" w:hAnsi="Arial" w:cs="Arial"/>
                <w:sz w:val="20"/>
                <w:szCs w:val="20"/>
                <w:vertAlign w:val="superscript"/>
              </w:rPr>
              <w:t>6</w:t>
            </w:r>
            <w:r w:rsidRPr="00EE5FB5">
              <w:rPr>
                <w:rFonts w:ascii="Arial" w:hAnsi="Arial" w:cs="Arial"/>
                <w:sz w:val="20"/>
                <w:szCs w:val="20"/>
                <w:vertAlign w:val="superscript"/>
              </w:rPr>
              <w:t>)</w:t>
            </w:r>
          </w:p>
        </w:tc>
        <w:tc>
          <w:tcPr>
            <w:tcW w:w="1941" w:type="dxa"/>
          </w:tcPr>
          <w:p w14:paraId="34A0715A" w14:textId="007E3EEA" w:rsidR="00463BF6" w:rsidRPr="00171C4B" w:rsidRDefault="00463BF6" w:rsidP="00E905DD">
            <w:pPr>
              <w:jc w:val="right"/>
              <w:rPr>
                <w:rFonts w:ascii="Arial" w:hAnsi="Arial" w:cs="Arial"/>
                <w:sz w:val="20"/>
                <w:szCs w:val="20"/>
              </w:rPr>
            </w:pPr>
            <w:r w:rsidRPr="00413DF2">
              <w:rPr>
                <w:rFonts w:ascii="Arial" w:hAnsi="Arial" w:cs="Arial"/>
                <w:sz w:val="20"/>
                <w:szCs w:val="20"/>
              </w:rPr>
              <w:t>$1</w:t>
            </w:r>
            <w:r w:rsidR="00EE5FB5">
              <w:rPr>
                <w:rFonts w:ascii="Arial" w:hAnsi="Arial" w:cs="Arial"/>
                <w:sz w:val="20"/>
                <w:szCs w:val="20"/>
              </w:rPr>
              <w:t>0.93 / £8</w:t>
            </w:r>
            <w:r w:rsidRPr="00413DF2">
              <w:rPr>
                <w:rFonts w:ascii="Arial" w:hAnsi="Arial" w:cs="Arial"/>
                <w:sz w:val="20"/>
                <w:szCs w:val="20"/>
              </w:rPr>
              <w:t>.</w:t>
            </w:r>
            <w:r>
              <w:rPr>
                <w:rFonts w:ascii="Arial" w:hAnsi="Arial" w:cs="Arial"/>
                <w:sz w:val="20"/>
                <w:szCs w:val="20"/>
              </w:rPr>
              <w:t>6</w:t>
            </w:r>
            <w:r w:rsidR="00EE5FB5">
              <w:rPr>
                <w:rFonts w:ascii="Arial" w:hAnsi="Arial" w:cs="Arial"/>
                <w:sz w:val="20"/>
                <w:szCs w:val="20"/>
              </w:rPr>
              <w:t>1</w:t>
            </w:r>
            <w:r w:rsidRPr="000E7B50">
              <w:rPr>
                <w:rFonts w:ascii="Arial" w:hAnsi="Arial" w:cs="Arial"/>
                <w:sz w:val="20"/>
                <w:szCs w:val="20"/>
              </w:rPr>
              <w:t>(</w:t>
            </w:r>
            <w:r w:rsidR="009D1885" w:rsidRPr="000E7B50">
              <w:rPr>
                <w:rFonts w:ascii="Arial" w:hAnsi="Arial" w:cs="Arial"/>
                <w:sz w:val="20"/>
                <w:szCs w:val="20"/>
              </w:rPr>
              <w:t>6</w:t>
            </w:r>
            <w:r w:rsidRPr="000E7B50">
              <w:rPr>
                <w:rFonts w:ascii="Arial" w:hAnsi="Arial" w:cs="Arial"/>
                <w:sz w:val="20"/>
                <w:szCs w:val="20"/>
              </w:rPr>
              <w:t>)</w:t>
            </w:r>
          </w:p>
        </w:tc>
      </w:tr>
    </w:tbl>
    <w:p w14:paraId="7910291C" w14:textId="39EFEE8E" w:rsidR="005E452D" w:rsidRDefault="005E452D">
      <w:pPr>
        <w:rPr>
          <w:rFonts w:ascii="Arial" w:hAnsi="Arial" w:cs="Arial"/>
        </w:rPr>
      </w:pPr>
    </w:p>
    <w:p w14:paraId="050A47F4" w14:textId="449F9C98" w:rsidR="005E452D" w:rsidRPr="00BC678F" w:rsidRDefault="005E452D">
      <w:pPr>
        <w:rPr>
          <w:rFonts w:ascii="Arial" w:hAnsi="Arial" w:cs="Arial"/>
        </w:rPr>
      </w:pPr>
    </w:p>
    <w:tbl>
      <w:tblPr>
        <w:tblStyle w:val="TableRangedleft"/>
        <w:tblW w:w="0" w:type="auto"/>
        <w:tblLook w:val="04A0" w:firstRow="1" w:lastRow="0" w:firstColumn="1" w:lastColumn="0" w:noHBand="0" w:noVBand="1"/>
      </w:tblPr>
      <w:tblGrid>
        <w:gridCol w:w="3749"/>
        <w:gridCol w:w="2037"/>
        <w:gridCol w:w="2036"/>
      </w:tblGrid>
      <w:tr w:rsidR="00E2442D" w:rsidRPr="00BC678F" w14:paraId="7D472D2F" w14:textId="77777777" w:rsidTr="002A5E55">
        <w:trPr>
          <w:trHeight w:val="225"/>
        </w:trPr>
        <w:tc>
          <w:tcPr>
            <w:tcW w:w="3749" w:type="dxa"/>
            <w:tcBorders>
              <w:bottom w:val="single" w:sz="4" w:space="0" w:color="auto"/>
            </w:tcBorders>
            <w:tcMar>
              <w:top w:w="108" w:type="dxa"/>
              <w:bottom w:w="108" w:type="dxa"/>
            </w:tcMar>
          </w:tcPr>
          <w:p w14:paraId="18B46753" w14:textId="77777777" w:rsidR="00E2442D" w:rsidRPr="00BC678F" w:rsidRDefault="00E2442D">
            <w:pPr>
              <w:rPr>
                <w:rFonts w:ascii="Arial" w:hAnsi="Arial" w:cs="Arial"/>
                <w:sz w:val="20"/>
                <w:szCs w:val="20"/>
              </w:rPr>
            </w:pPr>
          </w:p>
        </w:tc>
        <w:tc>
          <w:tcPr>
            <w:tcW w:w="2037" w:type="dxa"/>
            <w:tcBorders>
              <w:bottom w:val="single" w:sz="4" w:space="0" w:color="auto"/>
            </w:tcBorders>
            <w:tcMar>
              <w:top w:w="108" w:type="dxa"/>
              <w:bottom w:w="108" w:type="dxa"/>
            </w:tcMar>
          </w:tcPr>
          <w:p w14:paraId="5BECA6AE" w14:textId="381B3571" w:rsidR="00E2442D" w:rsidRPr="00BC678F" w:rsidRDefault="00EE5FB5">
            <w:pPr>
              <w:jc w:val="right"/>
              <w:rPr>
                <w:rFonts w:ascii="Arial" w:hAnsi="Arial" w:cs="Arial"/>
                <w:b/>
                <w:sz w:val="20"/>
                <w:szCs w:val="20"/>
              </w:rPr>
            </w:pPr>
            <w:r>
              <w:rPr>
                <w:rFonts w:ascii="Arial" w:hAnsi="Arial" w:cs="Arial"/>
                <w:b/>
                <w:sz w:val="20"/>
                <w:szCs w:val="20"/>
              </w:rPr>
              <w:t>30 June 2020</w:t>
            </w:r>
          </w:p>
        </w:tc>
        <w:tc>
          <w:tcPr>
            <w:tcW w:w="2036" w:type="dxa"/>
            <w:tcBorders>
              <w:bottom w:val="single" w:sz="4" w:space="0" w:color="auto"/>
            </w:tcBorders>
            <w:tcMar>
              <w:top w:w="108" w:type="dxa"/>
              <w:bottom w:w="108" w:type="dxa"/>
            </w:tcMar>
          </w:tcPr>
          <w:p w14:paraId="20C33EA6" w14:textId="3E038B59" w:rsidR="00E2442D" w:rsidRPr="00BC678F" w:rsidRDefault="00E2442D" w:rsidP="00413DF2">
            <w:pPr>
              <w:jc w:val="right"/>
              <w:rPr>
                <w:rFonts w:ascii="Arial" w:hAnsi="Arial" w:cs="Arial"/>
                <w:sz w:val="20"/>
                <w:szCs w:val="20"/>
              </w:rPr>
            </w:pPr>
            <w:r w:rsidRPr="00BC678F">
              <w:rPr>
                <w:rFonts w:ascii="Arial" w:hAnsi="Arial" w:cs="Arial"/>
                <w:sz w:val="20"/>
                <w:szCs w:val="20"/>
              </w:rPr>
              <w:t>30 June 201</w:t>
            </w:r>
            <w:r w:rsidR="00EE5FB5">
              <w:rPr>
                <w:rFonts w:ascii="Arial" w:hAnsi="Arial" w:cs="Arial"/>
                <w:sz w:val="20"/>
                <w:szCs w:val="20"/>
              </w:rPr>
              <w:t>9</w:t>
            </w:r>
          </w:p>
        </w:tc>
      </w:tr>
      <w:tr w:rsidR="00413DF2" w:rsidRPr="00BC678F" w14:paraId="02C02172" w14:textId="77777777" w:rsidTr="002A5E55">
        <w:trPr>
          <w:trHeight w:val="436"/>
        </w:trPr>
        <w:tc>
          <w:tcPr>
            <w:tcW w:w="3749" w:type="dxa"/>
            <w:tcBorders>
              <w:top w:val="single" w:sz="4" w:space="0" w:color="auto"/>
            </w:tcBorders>
            <w:tcMar>
              <w:top w:w="108" w:type="dxa"/>
              <w:bottom w:w="108" w:type="dxa"/>
            </w:tcMar>
          </w:tcPr>
          <w:p w14:paraId="2E9D5DD6" w14:textId="186976DB" w:rsidR="00413DF2" w:rsidRPr="00BC678F" w:rsidRDefault="00413DF2" w:rsidP="00131BC3">
            <w:pPr>
              <w:rPr>
                <w:rFonts w:ascii="Arial" w:hAnsi="Arial" w:cs="Arial"/>
                <w:sz w:val="20"/>
                <w:szCs w:val="20"/>
              </w:rPr>
            </w:pPr>
            <w:r w:rsidRPr="00BC678F">
              <w:rPr>
                <w:rFonts w:ascii="Arial" w:hAnsi="Arial" w:cs="Arial"/>
                <w:sz w:val="20"/>
                <w:szCs w:val="20"/>
              </w:rPr>
              <w:lastRenderedPageBreak/>
              <w:t xml:space="preserve">Total comprehensive </w:t>
            </w:r>
            <w:r>
              <w:rPr>
                <w:rFonts w:ascii="Arial" w:hAnsi="Arial" w:cs="Arial"/>
                <w:sz w:val="20"/>
                <w:szCs w:val="20"/>
              </w:rPr>
              <w:t xml:space="preserve">loss </w:t>
            </w:r>
            <w:r w:rsidRPr="00BC678F">
              <w:rPr>
                <w:rFonts w:ascii="Arial" w:hAnsi="Arial" w:cs="Arial"/>
                <w:sz w:val="20"/>
                <w:szCs w:val="20"/>
              </w:rPr>
              <w:t>for the six months ended</w:t>
            </w:r>
          </w:p>
        </w:tc>
        <w:tc>
          <w:tcPr>
            <w:tcW w:w="2037" w:type="dxa"/>
            <w:tcBorders>
              <w:top w:val="single" w:sz="4" w:space="0" w:color="auto"/>
            </w:tcBorders>
            <w:tcMar>
              <w:top w:w="108" w:type="dxa"/>
              <w:bottom w:w="108" w:type="dxa"/>
            </w:tcMar>
          </w:tcPr>
          <w:p w14:paraId="662594A9" w14:textId="68319775" w:rsidR="00413DF2" w:rsidRPr="00DE7B33" w:rsidRDefault="0059455C" w:rsidP="00C7206C">
            <w:pPr>
              <w:jc w:val="right"/>
              <w:rPr>
                <w:rFonts w:ascii="Arial" w:hAnsi="Arial" w:cs="Arial"/>
                <w:b/>
                <w:sz w:val="20"/>
                <w:szCs w:val="20"/>
              </w:rPr>
            </w:pPr>
            <w:r w:rsidRPr="00DE7B33">
              <w:rPr>
                <w:rFonts w:ascii="Arial" w:hAnsi="Arial" w:cs="Arial"/>
                <w:b/>
                <w:sz w:val="20"/>
                <w:szCs w:val="20"/>
              </w:rPr>
              <w:t>(</w:t>
            </w:r>
            <w:r w:rsidR="00D63C1D" w:rsidRPr="00DE7B33">
              <w:rPr>
                <w:rFonts w:ascii="Arial" w:hAnsi="Arial" w:cs="Arial"/>
                <w:b/>
                <w:sz w:val="20"/>
                <w:szCs w:val="20"/>
              </w:rPr>
              <w:t>$</w:t>
            </w:r>
            <w:r w:rsidRPr="00DE7B33">
              <w:rPr>
                <w:rFonts w:ascii="Arial" w:eastAsia="Calibri" w:hAnsi="Arial" w:cs="Arial"/>
                <w:b/>
                <w:sz w:val="20"/>
                <w:szCs w:val="20"/>
              </w:rPr>
              <w:t>355.</w:t>
            </w:r>
            <w:r w:rsidR="00C7206C">
              <w:rPr>
                <w:rFonts w:ascii="Arial" w:eastAsia="Calibri" w:hAnsi="Arial" w:cs="Arial"/>
                <w:b/>
                <w:sz w:val="20"/>
                <w:szCs w:val="20"/>
              </w:rPr>
              <w:t>18</w:t>
            </w:r>
            <w:r w:rsidRPr="00DE7B33">
              <w:rPr>
                <w:rFonts w:ascii="Arial" w:eastAsia="Calibri" w:hAnsi="Arial" w:cs="Arial"/>
                <w:b/>
                <w:sz w:val="20"/>
                <w:szCs w:val="20"/>
              </w:rPr>
              <w:t>)</w:t>
            </w:r>
            <w:r w:rsidR="00B75D28" w:rsidRPr="00DE7B33">
              <w:rPr>
                <w:rFonts w:ascii="Arial" w:hAnsi="Arial" w:cs="Arial"/>
                <w:b/>
                <w:sz w:val="20"/>
                <w:szCs w:val="20"/>
              </w:rPr>
              <w:t xml:space="preserve"> </w:t>
            </w:r>
            <w:r w:rsidR="00D63C1D" w:rsidRPr="00DE7B33">
              <w:rPr>
                <w:rFonts w:ascii="Arial" w:hAnsi="Arial" w:cs="Arial"/>
                <w:b/>
                <w:sz w:val="20"/>
                <w:szCs w:val="20"/>
              </w:rPr>
              <w:t>million</w:t>
            </w:r>
          </w:p>
        </w:tc>
        <w:tc>
          <w:tcPr>
            <w:tcW w:w="2036" w:type="dxa"/>
            <w:tcBorders>
              <w:top w:val="single" w:sz="4" w:space="0" w:color="auto"/>
            </w:tcBorders>
            <w:tcMar>
              <w:top w:w="108" w:type="dxa"/>
              <w:bottom w:w="108" w:type="dxa"/>
            </w:tcMar>
          </w:tcPr>
          <w:p w14:paraId="4AC500E5" w14:textId="4674431F" w:rsidR="00413DF2" w:rsidRPr="00413DF2" w:rsidRDefault="00EE5FB5" w:rsidP="00EE5FB5">
            <w:pPr>
              <w:jc w:val="right"/>
              <w:rPr>
                <w:rFonts w:ascii="Arial" w:hAnsi="Arial" w:cs="Arial"/>
                <w:sz w:val="20"/>
                <w:szCs w:val="20"/>
              </w:rPr>
            </w:pPr>
            <w:r>
              <w:rPr>
                <w:rFonts w:ascii="Arial" w:hAnsi="Arial" w:cs="Arial"/>
                <w:sz w:val="20"/>
                <w:szCs w:val="20"/>
              </w:rPr>
              <w:t>(</w:t>
            </w:r>
            <w:r w:rsidR="00413DF2" w:rsidRPr="00413DF2">
              <w:rPr>
                <w:rFonts w:ascii="Arial" w:hAnsi="Arial" w:cs="Arial"/>
                <w:sz w:val="20"/>
                <w:szCs w:val="20"/>
              </w:rPr>
              <w:t>$</w:t>
            </w:r>
            <w:r>
              <w:rPr>
                <w:rFonts w:ascii="Arial" w:hAnsi="Arial" w:cs="Arial"/>
                <w:sz w:val="20"/>
                <w:szCs w:val="20"/>
              </w:rPr>
              <w:t>373</w:t>
            </w:r>
            <w:r w:rsidR="00B75D28">
              <w:rPr>
                <w:rFonts w:ascii="Arial" w:hAnsi="Arial" w:cs="Arial"/>
                <w:sz w:val="20"/>
                <w:szCs w:val="20"/>
              </w:rPr>
              <w:t>.</w:t>
            </w:r>
            <w:r>
              <w:rPr>
                <w:rFonts w:ascii="Arial" w:hAnsi="Arial" w:cs="Arial"/>
                <w:sz w:val="20"/>
                <w:szCs w:val="20"/>
              </w:rPr>
              <w:t>12)</w:t>
            </w:r>
            <w:r w:rsidR="00413DF2" w:rsidRPr="00413DF2">
              <w:rPr>
                <w:rFonts w:ascii="Arial" w:hAnsi="Arial" w:cs="Arial"/>
                <w:sz w:val="20"/>
                <w:szCs w:val="20"/>
              </w:rPr>
              <w:t xml:space="preserve"> million</w:t>
            </w:r>
          </w:p>
        </w:tc>
      </w:tr>
      <w:tr w:rsidR="00413DF2" w:rsidRPr="00BC678F" w14:paraId="088E7160" w14:textId="77777777" w:rsidTr="002A5E55">
        <w:trPr>
          <w:trHeight w:val="450"/>
        </w:trPr>
        <w:tc>
          <w:tcPr>
            <w:tcW w:w="3749" w:type="dxa"/>
            <w:tcMar>
              <w:top w:w="108" w:type="dxa"/>
              <w:bottom w:w="108" w:type="dxa"/>
            </w:tcMar>
          </w:tcPr>
          <w:p w14:paraId="1FCFB422" w14:textId="2969B554" w:rsidR="00413DF2" w:rsidRPr="00BC678F" w:rsidRDefault="00413DF2" w:rsidP="00131BC3">
            <w:pPr>
              <w:rPr>
                <w:rFonts w:ascii="Arial" w:hAnsi="Arial" w:cs="Arial"/>
                <w:sz w:val="20"/>
                <w:szCs w:val="20"/>
              </w:rPr>
            </w:pPr>
            <w:r w:rsidRPr="00BC678F">
              <w:rPr>
                <w:rFonts w:ascii="Arial" w:hAnsi="Arial" w:cs="Arial"/>
                <w:sz w:val="20"/>
                <w:szCs w:val="20"/>
              </w:rPr>
              <w:t>Basic</w:t>
            </w:r>
            <w:r w:rsidR="00131BC3">
              <w:rPr>
                <w:rFonts w:ascii="Arial" w:hAnsi="Arial" w:cs="Arial"/>
                <w:sz w:val="20"/>
                <w:szCs w:val="20"/>
              </w:rPr>
              <w:t xml:space="preserve"> and diluted Loss</w:t>
            </w:r>
            <w:r w:rsidR="00FC1940">
              <w:rPr>
                <w:rFonts w:ascii="Arial" w:hAnsi="Arial" w:cs="Arial"/>
                <w:sz w:val="20"/>
                <w:szCs w:val="20"/>
              </w:rPr>
              <w:t xml:space="preserve"> </w:t>
            </w:r>
            <w:r w:rsidRPr="00BC678F">
              <w:rPr>
                <w:rFonts w:ascii="Arial" w:hAnsi="Arial" w:cs="Arial"/>
                <w:sz w:val="20"/>
                <w:szCs w:val="20"/>
              </w:rPr>
              <w:t>per Share for the six months ended</w:t>
            </w:r>
          </w:p>
        </w:tc>
        <w:tc>
          <w:tcPr>
            <w:tcW w:w="2037" w:type="dxa"/>
            <w:tcMar>
              <w:top w:w="108" w:type="dxa"/>
              <w:bottom w:w="108" w:type="dxa"/>
            </w:tcMar>
          </w:tcPr>
          <w:p w14:paraId="7E3E4C26" w14:textId="0F3F066F" w:rsidR="00413DF2" w:rsidRPr="00DE7B33" w:rsidRDefault="008600B4" w:rsidP="00C7206C">
            <w:pPr>
              <w:jc w:val="right"/>
              <w:rPr>
                <w:rFonts w:ascii="Arial" w:hAnsi="Arial" w:cs="Arial"/>
                <w:b/>
                <w:sz w:val="20"/>
                <w:szCs w:val="20"/>
              </w:rPr>
            </w:pPr>
            <w:r w:rsidRPr="00DE7B33">
              <w:rPr>
                <w:rFonts w:ascii="Arial" w:eastAsia="Calibri" w:hAnsi="Arial" w:cs="Arial"/>
                <w:b/>
                <w:sz w:val="20"/>
                <w:szCs w:val="20"/>
              </w:rPr>
              <w:t>(</w:t>
            </w:r>
            <w:r w:rsidR="0059455C" w:rsidRPr="00DE7B33">
              <w:rPr>
                <w:rFonts w:ascii="Arial" w:eastAsia="Calibri" w:hAnsi="Arial" w:cs="Arial"/>
                <w:b/>
                <w:sz w:val="20"/>
                <w:szCs w:val="20"/>
              </w:rPr>
              <w:t>45</w:t>
            </w:r>
            <w:r w:rsidR="00C7206C">
              <w:rPr>
                <w:rFonts w:ascii="Arial" w:eastAsia="Calibri" w:hAnsi="Arial" w:cs="Arial"/>
                <w:b/>
                <w:sz w:val="20"/>
                <w:szCs w:val="20"/>
              </w:rPr>
              <w:t>7.59</w:t>
            </w:r>
            <w:r w:rsidRPr="00DE7B33">
              <w:rPr>
                <w:rFonts w:ascii="Arial" w:eastAsia="Calibri" w:hAnsi="Arial" w:cs="Arial"/>
                <w:b/>
                <w:sz w:val="20"/>
                <w:szCs w:val="20"/>
              </w:rPr>
              <w:t>)</w:t>
            </w:r>
            <w:r w:rsidR="00B75D28" w:rsidRPr="00DE7B33">
              <w:rPr>
                <w:rFonts w:ascii="Arial" w:hAnsi="Arial" w:cs="Arial"/>
                <w:b/>
                <w:sz w:val="20"/>
                <w:szCs w:val="20"/>
              </w:rPr>
              <w:t xml:space="preserve"> </w:t>
            </w:r>
            <w:r w:rsidR="00D63C1D" w:rsidRPr="00DE7B33">
              <w:rPr>
                <w:rFonts w:ascii="Arial" w:hAnsi="Arial" w:cs="Arial"/>
                <w:b/>
                <w:sz w:val="20"/>
                <w:szCs w:val="20"/>
              </w:rPr>
              <w:t>cents</w:t>
            </w:r>
          </w:p>
        </w:tc>
        <w:tc>
          <w:tcPr>
            <w:tcW w:w="2036" w:type="dxa"/>
            <w:tcMar>
              <w:top w:w="108" w:type="dxa"/>
              <w:bottom w:w="108" w:type="dxa"/>
            </w:tcMar>
          </w:tcPr>
          <w:p w14:paraId="36FC4FCE" w14:textId="0A3601DB" w:rsidR="00413DF2" w:rsidRPr="00413DF2" w:rsidRDefault="00EE5FB5">
            <w:pPr>
              <w:jc w:val="right"/>
              <w:rPr>
                <w:rFonts w:ascii="Arial" w:hAnsi="Arial" w:cs="Arial"/>
                <w:sz w:val="20"/>
                <w:szCs w:val="20"/>
              </w:rPr>
            </w:pPr>
            <w:r>
              <w:rPr>
                <w:rFonts w:ascii="Arial" w:hAnsi="Arial" w:cs="Arial"/>
                <w:sz w:val="20"/>
                <w:szCs w:val="20"/>
              </w:rPr>
              <w:t>(467.01)</w:t>
            </w:r>
            <w:r w:rsidR="00413DF2" w:rsidRPr="00413DF2">
              <w:rPr>
                <w:rFonts w:ascii="Arial" w:hAnsi="Arial" w:cs="Arial"/>
                <w:sz w:val="20"/>
                <w:szCs w:val="20"/>
              </w:rPr>
              <w:t xml:space="preserve"> cents</w:t>
            </w:r>
          </w:p>
        </w:tc>
      </w:tr>
    </w:tbl>
    <w:p w14:paraId="5BA013B0" w14:textId="77777777" w:rsidR="00E2442D" w:rsidRPr="00BC678F" w:rsidRDefault="00E2442D">
      <w:pPr>
        <w:rPr>
          <w:rFonts w:ascii="Arial" w:hAnsi="Arial" w:cs="Arial"/>
        </w:rPr>
      </w:pPr>
    </w:p>
    <w:p w14:paraId="332E5323" w14:textId="6E643482" w:rsidR="00F01D79" w:rsidRPr="00F01D79" w:rsidRDefault="00F01D79" w:rsidP="007378E6">
      <w:pPr>
        <w:pStyle w:val="FootnoteText"/>
        <w:ind w:left="170" w:hanging="170"/>
        <w:rPr>
          <w:rFonts w:ascii="Arial" w:hAnsi="Arial" w:cs="Arial"/>
        </w:rPr>
      </w:pPr>
      <w:r w:rsidRPr="00F01D79">
        <w:rPr>
          <w:rFonts w:ascii="Arial" w:hAnsi="Arial" w:cs="Arial"/>
          <w:vertAlign w:val="superscript"/>
        </w:rPr>
        <w:t>(1)</w:t>
      </w:r>
      <w:r w:rsidRPr="00F01D79">
        <w:rPr>
          <w:rFonts w:ascii="Arial" w:hAnsi="Arial" w:cs="Arial"/>
        </w:rPr>
        <w:tab/>
        <w:t xml:space="preserve">Amounts shown reflect investment-related activity at the Partnership, not the Company </w:t>
      </w:r>
    </w:p>
    <w:p w14:paraId="4F587C70" w14:textId="3D3CF67A" w:rsidR="00F01D79" w:rsidRPr="00DE7B33" w:rsidRDefault="00F01D79" w:rsidP="007378E6">
      <w:pPr>
        <w:pStyle w:val="FootnoteText"/>
        <w:ind w:left="170" w:hanging="170"/>
        <w:rPr>
          <w:rFonts w:ascii="Arial" w:hAnsi="Arial" w:cs="Arial"/>
        </w:rPr>
      </w:pPr>
      <w:r w:rsidRPr="00F01D79">
        <w:rPr>
          <w:rFonts w:ascii="Arial" w:hAnsi="Arial" w:cs="Arial"/>
          <w:vertAlign w:val="superscript"/>
        </w:rPr>
        <w:t>(2)</w:t>
      </w:r>
      <w:r w:rsidRPr="00F01D79">
        <w:rPr>
          <w:vertAlign w:val="superscript"/>
        </w:rPr>
        <w:t xml:space="preserve">  </w:t>
      </w:r>
      <w:r w:rsidRPr="00F01D79">
        <w:rPr>
          <w:rFonts w:ascii="Arial" w:hAnsi="Arial" w:cs="Arial"/>
        </w:rPr>
        <w:t xml:space="preserve">Net </w:t>
      </w:r>
      <w:r w:rsidRPr="00DE7B33">
        <w:rPr>
          <w:rFonts w:ascii="Arial" w:hAnsi="Arial" w:cs="Arial"/>
        </w:rPr>
        <w:t>committed capital is gross committed capital of $</w:t>
      </w:r>
      <w:r w:rsidR="006061C6" w:rsidRPr="00DE7B33">
        <w:rPr>
          <w:rFonts w:ascii="Arial" w:hAnsi="Arial" w:cs="Arial"/>
        </w:rPr>
        <w:t>1,860</w:t>
      </w:r>
      <w:r w:rsidRPr="00DE7B33">
        <w:rPr>
          <w:rFonts w:ascii="Arial" w:hAnsi="Arial" w:cs="Arial"/>
        </w:rPr>
        <w:t xml:space="preserve"> million less return of capital proceeds of $</w:t>
      </w:r>
      <w:r w:rsidR="004A1E6F" w:rsidRPr="00DE7B33">
        <w:rPr>
          <w:rFonts w:ascii="Arial" w:hAnsi="Arial" w:cs="Arial"/>
        </w:rPr>
        <w:t>641</w:t>
      </w:r>
      <w:r w:rsidRPr="00DE7B33">
        <w:rPr>
          <w:rFonts w:ascii="Arial" w:hAnsi="Arial" w:cs="Arial"/>
        </w:rPr>
        <w:t xml:space="preserve"> million and realised losses of $</w:t>
      </w:r>
      <w:r w:rsidR="004A1E6F" w:rsidRPr="00DE7B33">
        <w:rPr>
          <w:rFonts w:ascii="Arial" w:hAnsi="Arial" w:cs="Arial"/>
        </w:rPr>
        <w:t>132</w:t>
      </w:r>
      <w:r w:rsidRPr="00DE7B33">
        <w:rPr>
          <w:rFonts w:ascii="Arial" w:hAnsi="Arial" w:cs="Arial"/>
        </w:rPr>
        <w:t xml:space="preserve"> million</w:t>
      </w:r>
    </w:p>
    <w:p w14:paraId="65CCC1FA" w14:textId="66C8681B" w:rsidR="00707E38" w:rsidRPr="00DE7B33" w:rsidRDefault="00F01D79" w:rsidP="007378E6">
      <w:pPr>
        <w:pStyle w:val="FootnoteText"/>
        <w:ind w:left="170" w:hanging="170"/>
        <w:rPr>
          <w:rFonts w:ascii="Arial" w:hAnsi="Arial" w:cs="Arial"/>
        </w:rPr>
      </w:pPr>
      <w:r w:rsidRPr="00DE7B33">
        <w:rPr>
          <w:rFonts w:ascii="Arial" w:hAnsi="Arial" w:cs="Arial"/>
          <w:vertAlign w:val="superscript"/>
        </w:rPr>
        <w:t xml:space="preserve">(3) </w:t>
      </w:r>
      <w:r w:rsidR="00707E38" w:rsidRPr="00DE7B33">
        <w:rPr>
          <w:rFonts w:ascii="Arial" w:hAnsi="Arial" w:cs="Arial"/>
        </w:rPr>
        <w:t>Net capital available of $</w:t>
      </w:r>
      <w:r w:rsidR="004A1E6F" w:rsidRPr="00DE7B33">
        <w:rPr>
          <w:rFonts w:ascii="Arial" w:hAnsi="Arial" w:cs="Arial"/>
        </w:rPr>
        <w:t>1,151</w:t>
      </w:r>
      <w:r w:rsidR="00B75D28" w:rsidRPr="00DE7B33">
        <w:rPr>
          <w:rFonts w:ascii="Arial" w:eastAsia="Calibri" w:hAnsi="Arial" w:cs="Arial"/>
          <w:sz w:val="20"/>
          <w:szCs w:val="20"/>
        </w:rPr>
        <w:t xml:space="preserve"> </w:t>
      </w:r>
      <w:r w:rsidR="00707E38" w:rsidRPr="00DE7B33">
        <w:rPr>
          <w:rFonts w:ascii="Arial" w:hAnsi="Arial" w:cs="Arial"/>
        </w:rPr>
        <w:t>million is based on total capital raised of $</w:t>
      </w:r>
      <w:r w:rsidRPr="00DE7B33">
        <w:rPr>
          <w:rFonts w:ascii="Arial" w:hAnsi="Arial" w:cs="Arial"/>
        </w:rPr>
        <w:t>1,320</w:t>
      </w:r>
      <w:r w:rsidR="00B75D28" w:rsidRPr="00DE7B33">
        <w:rPr>
          <w:rFonts w:ascii="Arial" w:eastAsia="Calibri" w:hAnsi="Arial" w:cs="Arial"/>
          <w:sz w:val="20"/>
          <w:szCs w:val="20"/>
        </w:rPr>
        <w:t xml:space="preserve"> </w:t>
      </w:r>
      <w:r w:rsidR="00707E38" w:rsidRPr="00DE7B33">
        <w:rPr>
          <w:rFonts w:ascii="Arial" w:hAnsi="Arial" w:cs="Arial"/>
        </w:rPr>
        <w:t xml:space="preserve">million, </w:t>
      </w:r>
      <w:r w:rsidR="007378E6" w:rsidRPr="00DE7B33">
        <w:rPr>
          <w:rFonts w:ascii="Arial" w:hAnsi="Arial" w:cs="Arial"/>
        </w:rPr>
        <w:t>capital utilised for Tender Offer of $</w:t>
      </w:r>
      <w:r w:rsidRPr="00DE7B33">
        <w:rPr>
          <w:rFonts w:ascii="Arial" w:hAnsi="Arial" w:cs="Arial"/>
        </w:rPr>
        <w:t>72</w:t>
      </w:r>
      <w:r w:rsidR="007378E6" w:rsidRPr="00DE7B33">
        <w:rPr>
          <w:rFonts w:ascii="Arial" w:hAnsi="Arial" w:cs="Arial"/>
        </w:rPr>
        <w:t xml:space="preserve"> million,</w:t>
      </w:r>
      <w:r w:rsidR="00FF5A04" w:rsidRPr="00DE7B33">
        <w:rPr>
          <w:rFonts w:ascii="Arial" w:hAnsi="Arial" w:cs="Arial"/>
        </w:rPr>
        <w:t xml:space="preserve"> capital utilised for share buyback programme of $34 million,</w:t>
      </w:r>
      <w:r w:rsidR="007378E6" w:rsidRPr="00DE7B33">
        <w:rPr>
          <w:rFonts w:ascii="Arial" w:hAnsi="Arial" w:cs="Arial"/>
        </w:rPr>
        <w:t xml:space="preserve"> </w:t>
      </w:r>
      <w:r w:rsidR="00707E38" w:rsidRPr="00DE7B33">
        <w:rPr>
          <w:rFonts w:ascii="Arial" w:hAnsi="Arial" w:cs="Arial"/>
        </w:rPr>
        <w:t>realised profits and other income net of fees, expenses and performance allocation</w:t>
      </w:r>
    </w:p>
    <w:p w14:paraId="3EA9CA1E" w14:textId="06404D56" w:rsidR="009D1885" w:rsidRDefault="00707E38" w:rsidP="00707E38">
      <w:pPr>
        <w:pStyle w:val="FootnoteText"/>
        <w:ind w:left="170" w:hanging="170"/>
        <w:rPr>
          <w:rFonts w:ascii="Arial" w:hAnsi="Arial" w:cs="Arial"/>
        </w:rPr>
      </w:pPr>
      <w:r w:rsidRPr="00DE7B33">
        <w:rPr>
          <w:rFonts w:ascii="Arial" w:hAnsi="Arial" w:cs="Arial"/>
          <w:vertAlign w:val="superscript"/>
        </w:rPr>
        <w:t>(</w:t>
      </w:r>
      <w:r w:rsidR="00F01D79" w:rsidRPr="00DE7B33">
        <w:rPr>
          <w:rFonts w:ascii="Arial" w:hAnsi="Arial" w:cs="Arial"/>
          <w:vertAlign w:val="superscript"/>
        </w:rPr>
        <w:t>4</w:t>
      </w:r>
      <w:r w:rsidRPr="00DE7B33">
        <w:rPr>
          <w:rFonts w:ascii="Arial" w:hAnsi="Arial" w:cs="Arial"/>
          <w:vertAlign w:val="superscript"/>
        </w:rPr>
        <w:t xml:space="preserve">) </w:t>
      </w:r>
      <w:r w:rsidRPr="00DE7B33">
        <w:rPr>
          <w:rFonts w:ascii="Arial" w:hAnsi="Arial" w:cs="Arial"/>
        </w:rPr>
        <w:t>Amounts may vary due to rounding</w:t>
      </w:r>
    </w:p>
    <w:p w14:paraId="7B3A8D0D" w14:textId="1447109E" w:rsidR="00707E38" w:rsidRPr="00DE7B33" w:rsidRDefault="009D1885" w:rsidP="00707E38">
      <w:pPr>
        <w:pStyle w:val="FootnoteText"/>
        <w:ind w:left="170" w:hanging="170"/>
        <w:rPr>
          <w:rFonts w:ascii="Arial" w:hAnsi="Arial" w:cs="Arial"/>
        </w:rPr>
      </w:pPr>
      <w:r w:rsidRPr="009D1885">
        <w:rPr>
          <w:rFonts w:ascii="Arial" w:hAnsi="Arial" w:cs="Arial"/>
          <w:vertAlign w:val="superscript"/>
        </w:rPr>
        <w:t>(5)</w:t>
      </w:r>
      <w:r w:rsidR="00147A22">
        <w:rPr>
          <w:rFonts w:ascii="Arial" w:hAnsi="Arial" w:cs="Arial"/>
        </w:rPr>
        <w:t xml:space="preserve"> The expected funding</w:t>
      </w:r>
      <w:r w:rsidR="00871FEC">
        <w:rPr>
          <w:rFonts w:ascii="Arial" w:hAnsi="Arial" w:cs="Arial"/>
        </w:rPr>
        <w:t xml:space="preserve"> of the remaining unfunded commitments at 30 June 2020</w:t>
      </w:r>
      <w:r w:rsidR="00147A22">
        <w:rPr>
          <w:rFonts w:ascii="Arial" w:hAnsi="Arial" w:cs="Arial"/>
        </w:rPr>
        <w:t xml:space="preserve"> are $3</w:t>
      </w:r>
      <w:r>
        <w:rPr>
          <w:rFonts w:ascii="Arial" w:hAnsi="Arial" w:cs="Arial"/>
        </w:rPr>
        <w:t>4</w:t>
      </w:r>
      <w:r w:rsidR="00147A22">
        <w:rPr>
          <w:rFonts w:ascii="Arial" w:hAnsi="Arial" w:cs="Arial"/>
        </w:rPr>
        <w:t xml:space="preserve"> million in </w:t>
      </w:r>
      <w:r>
        <w:rPr>
          <w:rFonts w:ascii="Arial" w:hAnsi="Arial" w:cs="Arial"/>
        </w:rPr>
        <w:t xml:space="preserve">H2 </w:t>
      </w:r>
      <w:r w:rsidR="00147A22">
        <w:rPr>
          <w:rFonts w:ascii="Arial" w:hAnsi="Arial" w:cs="Arial"/>
        </w:rPr>
        <w:t>2020, $</w:t>
      </w:r>
      <w:r>
        <w:rPr>
          <w:rFonts w:ascii="Arial" w:hAnsi="Arial" w:cs="Arial"/>
        </w:rPr>
        <w:t>17</w:t>
      </w:r>
      <w:r w:rsidR="00147A22">
        <w:rPr>
          <w:rFonts w:ascii="Arial" w:hAnsi="Arial" w:cs="Arial"/>
        </w:rPr>
        <w:t xml:space="preserve"> million in 2021 and $</w:t>
      </w:r>
      <w:r>
        <w:rPr>
          <w:rFonts w:ascii="Arial" w:hAnsi="Arial" w:cs="Arial"/>
        </w:rPr>
        <w:t>1</w:t>
      </w:r>
      <w:r w:rsidR="00147A22">
        <w:rPr>
          <w:rFonts w:ascii="Arial" w:hAnsi="Arial" w:cs="Arial"/>
        </w:rPr>
        <w:t xml:space="preserve"> million in 2022. The residual amounts are to be funded in 2023 and later years.</w:t>
      </w:r>
      <w:r w:rsidR="00871FEC">
        <w:rPr>
          <w:rFonts w:ascii="Arial" w:hAnsi="Arial" w:cs="Arial"/>
        </w:rPr>
        <w:t xml:space="preserve"> In July 2020, </w:t>
      </w:r>
      <w:r w:rsidR="00C00894">
        <w:rPr>
          <w:rFonts w:ascii="Arial" w:hAnsi="Arial" w:cs="Arial"/>
        </w:rPr>
        <w:t xml:space="preserve">the Company funded </w:t>
      </w:r>
      <w:r w:rsidR="00871FEC">
        <w:rPr>
          <w:rFonts w:ascii="Arial" w:hAnsi="Arial" w:cs="Arial"/>
        </w:rPr>
        <w:t>$18 million of the $25 million commitment to Enviva at closing</w:t>
      </w:r>
    </w:p>
    <w:p w14:paraId="104227E2" w14:textId="1BD3A558" w:rsidR="00D33AA7" w:rsidRPr="00BC678F" w:rsidRDefault="00D33AA7" w:rsidP="00B75D28">
      <w:pPr>
        <w:pStyle w:val="FootnoteText"/>
        <w:ind w:left="170" w:hanging="170"/>
        <w:rPr>
          <w:rFonts w:ascii="Arial" w:hAnsi="Arial" w:cs="Arial"/>
        </w:rPr>
      </w:pPr>
      <w:r w:rsidRPr="00DE7B33">
        <w:rPr>
          <w:rFonts w:ascii="Arial" w:hAnsi="Arial" w:cs="Arial"/>
          <w:vertAlign w:val="superscript"/>
        </w:rPr>
        <w:t>(</w:t>
      </w:r>
      <w:r w:rsidR="009D1885">
        <w:rPr>
          <w:rFonts w:ascii="Arial" w:hAnsi="Arial" w:cs="Arial"/>
          <w:vertAlign w:val="superscript"/>
        </w:rPr>
        <w:t>6</w:t>
      </w:r>
      <w:r w:rsidRPr="00DE7B33">
        <w:rPr>
          <w:rFonts w:ascii="Arial" w:hAnsi="Arial" w:cs="Arial"/>
          <w:vertAlign w:val="superscript"/>
        </w:rPr>
        <w:t>)</w:t>
      </w:r>
      <w:r w:rsidRPr="00DE7B33">
        <w:rPr>
          <w:rFonts w:ascii="Arial" w:hAnsi="Arial" w:cs="Arial"/>
        </w:rPr>
        <w:t xml:space="preserve"> </w:t>
      </w:r>
      <w:r w:rsidR="00F0779E" w:rsidRPr="00DE7B33">
        <w:rPr>
          <w:rFonts w:ascii="Arial" w:hAnsi="Arial" w:cs="Arial"/>
        </w:rPr>
        <w:t>Based on exchange rate</w:t>
      </w:r>
      <w:r w:rsidRPr="00DE7B33">
        <w:rPr>
          <w:rFonts w:ascii="Arial" w:hAnsi="Arial" w:cs="Arial"/>
        </w:rPr>
        <w:t xml:space="preserve"> of</w:t>
      </w:r>
      <w:r w:rsidR="00B75D28" w:rsidRPr="00DE7B33">
        <w:rPr>
          <w:rFonts w:ascii="Arial" w:hAnsi="Arial" w:cs="Arial"/>
        </w:rPr>
        <w:t xml:space="preserve"> </w:t>
      </w:r>
      <w:r w:rsidR="004A1E6F" w:rsidRPr="00DE7B33">
        <w:rPr>
          <w:rFonts w:ascii="Arial" w:hAnsi="Arial" w:cs="Arial"/>
        </w:rPr>
        <w:t>1.23</w:t>
      </w:r>
      <w:r w:rsidR="00C00894">
        <w:rPr>
          <w:rFonts w:ascii="Arial" w:hAnsi="Arial" w:cs="Arial"/>
        </w:rPr>
        <w:t>1</w:t>
      </w:r>
      <w:r w:rsidR="00A073D9" w:rsidRPr="00DE7B33">
        <w:rPr>
          <w:rFonts w:ascii="Arial" w:hAnsi="Arial" w:cs="Arial"/>
          <w:sz w:val="20"/>
          <w:szCs w:val="20"/>
        </w:rPr>
        <w:t xml:space="preserve"> </w:t>
      </w:r>
      <w:r w:rsidRPr="00DE7B33">
        <w:rPr>
          <w:rFonts w:ascii="Arial" w:hAnsi="Arial" w:cs="Arial"/>
        </w:rPr>
        <w:t>$/£ at 30</w:t>
      </w:r>
      <w:r w:rsidRPr="00EE5FB5">
        <w:rPr>
          <w:rFonts w:ascii="Arial" w:hAnsi="Arial" w:cs="Arial"/>
        </w:rPr>
        <w:t xml:space="preserve"> June 20</w:t>
      </w:r>
      <w:r w:rsidR="00EE5FB5" w:rsidRPr="00EE5FB5">
        <w:rPr>
          <w:rFonts w:ascii="Arial" w:hAnsi="Arial" w:cs="Arial"/>
        </w:rPr>
        <w:t>20</w:t>
      </w:r>
      <w:r w:rsidRPr="00EE5FB5">
        <w:rPr>
          <w:rFonts w:ascii="Arial" w:hAnsi="Arial" w:cs="Arial"/>
        </w:rPr>
        <w:t xml:space="preserve"> (</w:t>
      </w:r>
      <w:r w:rsidR="00896E71" w:rsidRPr="00307CB7">
        <w:rPr>
          <w:rFonts w:ascii="Arial" w:hAnsi="Arial" w:cs="Arial"/>
        </w:rPr>
        <w:t>1.</w:t>
      </w:r>
      <w:r w:rsidR="00307CB7" w:rsidRPr="00307CB7">
        <w:rPr>
          <w:rFonts w:ascii="Arial" w:hAnsi="Arial" w:cs="Arial"/>
        </w:rPr>
        <w:t>312</w:t>
      </w:r>
      <w:r w:rsidR="00896E71" w:rsidRPr="00307CB7">
        <w:rPr>
          <w:rFonts w:ascii="Arial" w:hAnsi="Arial" w:cs="Arial"/>
        </w:rPr>
        <w:t xml:space="preserve"> $/£ at </w:t>
      </w:r>
      <w:r w:rsidR="00E54FB8" w:rsidRPr="00307CB7">
        <w:rPr>
          <w:rFonts w:ascii="Arial" w:hAnsi="Arial" w:cs="Arial"/>
        </w:rPr>
        <w:t>31 Dec</w:t>
      </w:r>
      <w:r w:rsidR="00AF2645" w:rsidRPr="00307CB7">
        <w:rPr>
          <w:rFonts w:ascii="Arial" w:hAnsi="Arial" w:cs="Arial"/>
        </w:rPr>
        <w:t>ember</w:t>
      </w:r>
      <w:r w:rsidR="00E54FB8" w:rsidRPr="00307CB7">
        <w:rPr>
          <w:rFonts w:ascii="Arial" w:hAnsi="Arial" w:cs="Arial"/>
        </w:rPr>
        <w:t xml:space="preserve"> 201</w:t>
      </w:r>
      <w:r w:rsidR="00307CB7" w:rsidRPr="00307CB7">
        <w:rPr>
          <w:rFonts w:ascii="Arial" w:hAnsi="Arial" w:cs="Arial"/>
        </w:rPr>
        <w:t>9</w:t>
      </w:r>
      <w:r w:rsidR="00C00894">
        <w:rPr>
          <w:rFonts w:ascii="Arial" w:hAnsi="Arial" w:cs="Arial"/>
        </w:rPr>
        <w:t>,</w:t>
      </w:r>
      <w:r w:rsidR="00E54FB8" w:rsidRPr="00EE5FB5">
        <w:rPr>
          <w:rFonts w:ascii="Arial" w:hAnsi="Arial" w:cs="Arial"/>
        </w:rPr>
        <w:t xml:space="preserve"> </w:t>
      </w:r>
      <w:r w:rsidR="00896E71" w:rsidRPr="00EE5FB5">
        <w:rPr>
          <w:rFonts w:ascii="Arial" w:hAnsi="Arial" w:cs="Arial"/>
        </w:rPr>
        <w:t>1.</w:t>
      </w:r>
      <w:r w:rsidR="00EE5FB5" w:rsidRPr="00EE5FB5">
        <w:rPr>
          <w:rFonts w:ascii="Arial" w:hAnsi="Arial" w:cs="Arial"/>
        </w:rPr>
        <w:t>270</w:t>
      </w:r>
      <w:r w:rsidR="00896E71" w:rsidRPr="00EE5FB5">
        <w:rPr>
          <w:rFonts w:ascii="Arial" w:hAnsi="Arial" w:cs="Arial"/>
        </w:rPr>
        <w:t xml:space="preserve"> $/£ at </w:t>
      </w:r>
      <w:r w:rsidRPr="00EE5FB5">
        <w:rPr>
          <w:rFonts w:ascii="Arial" w:hAnsi="Arial" w:cs="Arial"/>
        </w:rPr>
        <w:t>30 June 201</w:t>
      </w:r>
      <w:r w:rsidR="00EE5FB5" w:rsidRPr="00EE5FB5">
        <w:rPr>
          <w:rFonts w:ascii="Arial" w:hAnsi="Arial" w:cs="Arial"/>
        </w:rPr>
        <w:t>9</w:t>
      </w:r>
      <w:r w:rsidR="00C00894">
        <w:rPr>
          <w:rFonts w:ascii="Arial" w:hAnsi="Arial" w:cs="Arial"/>
        </w:rPr>
        <w:t xml:space="preserve"> and 1.606 </w:t>
      </w:r>
      <w:r w:rsidR="00C00894" w:rsidRPr="00EE5FB5">
        <w:rPr>
          <w:rFonts w:ascii="Arial" w:hAnsi="Arial" w:cs="Arial"/>
        </w:rPr>
        <w:t>$/£ at</w:t>
      </w:r>
      <w:r w:rsidR="00C00894">
        <w:rPr>
          <w:rFonts w:ascii="Arial" w:hAnsi="Arial" w:cs="Arial"/>
        </w:rPr>
        <w:t xml:space="preserve"> IPO on 29 October 2013</w:t>
      </w:r>
      <w:r w:rsidR="00896E71" w:rsidRPr="00EE5FB5">
        <w:rPr>
          <w:rFonts w:ascii="Arial" w:hAnsi="Arial" w:cs="Arial"/>
        </w:rPr>
        <w:t>)</w:t>
      </w:r>
    </w:p>
    <w:p w14:paraId="34083741" w14:textId="77777777" w:rsidR="0013685B" w:rsidRDefault="0013685B" w:rsidP="0013685B">
      <w:pPr>
        <w:rPr>
          <w:rFonts w:ascii="Arial" w:hAnsi="Arial" w:cs="Arial"/>
          <w:i/>
          <w:sz w:val="28"/>
          <w:szCs w:val="28"/>
        </w:rPr>
      </w:pPr>
    </w:p>
    <w:p w14:paraId="5500BBD4" w14:textId="67BB37D0" w:rsidR="00B84416" w:rsidRPr="002D1A2F" w:rsidRDefault="00B84416">
      <w:pPr>
        <w:pStyle w:val="Heading1"/>
        <w:rPr>
          <w:rFonts w:cs="Arial"/>
          <w:sz w:val="28"/>
        </w:rPr>
      </w:pPr>
      <w:r w:rsidRPr="00DC2064">
        <w:rPr>
          <w:rFonts w:cs="Arial"/>
          <w:sz w:val="28"/>
        </w:rPr>
        <w:t>Chairman’s Statement</w:t>
      </w:r>
    </w:p>
    <w:p w14:paraId="18328CBC" w14:textId="77777777" w:rsidR="00407096" w:rsidRDefault="00407096" w:rsidP="00D65748">
      <w:pPr>
        <w:pStyle w:val="Bodytext"/>
        <w:rPr>
          <w:rFonts w:cs="Arial"/>
          <w:szCs w:val="20"/>
        </w:rPr>
      </w:pPr>
    </w:p>
    <w:p w14:paraId="613FAF40" w14:textId="217AD32C" w:rsidR="00C00894" w:rsidRDefault="00D95F11" w:rsidP="00D65748">
      <w:pPr>
        <w:rPr>
          <w:rFonts w:ascii="Arial" w:hAnsi="Arial" w:cs="Arial"/>
          <w:sz w:val="20"/>
          <w:szCs w:val="20"/>
        </w:rPr>
      </w:pPr>
      <w:r w:rsidRPr="00D95F11">
        <w:rPr>
          <w:rFonts w:ascii="Arial" w:hAnsi="Arial" w:cs="Arial"/>
          <w:sz w:val="20"/>
          <w:szCs w:val="20"/>
        </w:rPr>
        <w:t>The first half of 2020 has been a very difficult period as the coronavirus pandemic spread around the entire world. This has led to another six months of extremely weak performance for REL. A confluence of events has resulted in an immense supply-demand imbalance for oil and gas as well as a turbulent market environment.</w:t>
      </w:r>
      <w:r w:rsidR="00147A22">
        <w:rPr>
          <w:rFonts w:ascii="Arial" w:hAnsi="Arial" w:cs="Arial"/>
          <w:sz w:val="20"/>
          <w:szCs w:val="20"/>
        </w:rPr>
        <w:t xml:space="preserve"> The outlook remains challenging for several of our portfolio companies.</w:t>
      </w:r>
    </w:p>
    <w:p w14:paraId="39BA5ACD" w14:textId="77777777" w:rsidR="00C00894" w:rsidRDefault="00C00894" w:rsidP="00D65748">
      <w:pPr>
        <w:rPr>
          <w:rFonts w:ascii="Arial" w:hAnsi="Arial" w:cs="Arial"/>
          <w:sz w:val="20"/>
          <w:szCs w:val="20"/>
        </w:rPr>
      </w:pPr>
    </w:p>
    <w:p w14:paraId="0881F821" w14:textId="63331505" w:rsidR="00D95F11" w:rsidRPr="00D95F11" w:rsidRDefault="00D95F11" w:rsidP="00D65748">
      <w:pPr>
        <w:rPr>
          <w:rFonts w:ascii="Arial" w:hAnsi="Arial" w:cs="Arial"/>
          <w:sz w:val="20"/>
          <w:szCs w:val="20"/>
        </w:rPr>
      </w:pPr>
      <w:r w:rsidRPr="00D95F11">
        <w:rPr>
          <w:rFonts w:ascii="Arial" w:hAnsi="Arial" w:cs="Arial"/>
          <w:sz w:val="20"/>
          <w:szCs w:val="20"/>
        </w:rPr>
        <w:t>First, on the supply side, the March OPEC+ meeting did not result in a resolution around oil production cuts, creating concerns around oversupply and a potential price war. Simultaneously, coronavirus began to spread rapidly</w:t>
      </w:r>
      <w:r w:rsidR="009D4BA1">
        <w:rPr>
          <w:rFonts w:ascii="Arial" w:hAnsi="Arial" w:cs="Arial"/>
          <w:sz w:val="20"/>
          <w:szCs w:val="20"/>
        </w:rPr>
        <w:t>,</w:t>
      </w:r>
      <w:r w:rsidRPr="00D95F11">
        <w:rPr>
          <w:rFonts w:ascii="Arial" w:hAnsi="Arial" w:cs="Arial"/>
          <w:sz w:val="20"/>
          <w:szCs w:val="20"/>
        </w:rPr>
        <w:t xml:space="preserve"> and governments across the globe began to institute travel bans and shutdowns of economic activity. These actions led to a dramatic contraction in demand for oil and gas, subsequently causing oil prices to move into negative territory for the first time in history in April. While WTI prices have since improved to $39 per barrel as of 30 June 2020, significant uncertainty remains in the energy markets as the pandemic continues to persist across most major economies.</w:t>
      </w:r>
    </w:p>
    <w:p w14:paraId="7D18CBEC" w14:textId="77777777" w:rsidR="00D95F11" w:rsidRPr="00D95F11" w:rsidRDefault="00D95F11" w:rsidP="00D65748">
      <w:pPr>
        <w:rPr>
          <w:rFonts w:ascii="Arial" w:hAnsi="Arial" w:cs="Arial"/>
          <w:sz w:val="20"/>
          <w:szCs w:val="20"/>
        </w:rPr>
      </w:pPr>
    </w:p>
    <w:p w14:paraId="3B5416F1" w14:textId="5BBB4BD7" w:rsidR="00D95F11" w:rsidRPr="00D95F11" w:rsidRDefault="00D95F11" w:rsidP="00D65748">
      <w:pPr>
        <w:rPr>
          <w:rFonts w:ascii="Arial" w:hAnsi="Arial" w:cs="Arial"/>
          <w:sz w:val="20"/>
          <w:szCs w:val="20"/>
        </w:rPr>
      </w:pPr>
      <w:r w:rsidRPr="00D95F11">
        <w:rPr>
          <w:rFonts w:ascii="Arial" w:hAnsi="Arial" w:cs="Arial"/>
          <w:sz w:val="20"/>
          <w:szCs w:val="20"/>
        </w:rPr>
        <w:t xml:space="preserve">These developments only exacerbated the problems </w:t>
      </w:r>
      <w:r w:rsidR="00632645">
        <w:rPr>
          <w:rFonts w:ascii="Arial" w:hAnsi="Arial" w:cs="Arial"/>
          <w:sz w:val="20"/>
          <w:szCs w:val="20"/>
        </w:rPr>
        <w:t xml:space="preserve">that </w:t>
      </w:r>
      <w:r w:rsidRPr="00D95F11">
        <w:rPr>
          <w:rFonts w:ascii="Arial" w:hAnsi="Arial" w:cs="Arial"/>
          <w:sz w:val="20"/>
          <w:szCs w:val="20"/>
        </w:rPr>
        <w:t>energy markets were already facing over the past six years. Public investor sentiment for energy equities has further weakened in 2020 to historic lows</w:t>
      </w:r>
      <w:r w:rsidR="00632645">
        <w:rPr>
          <w:rFonts w:ascii="Arial" w:hAnsi="Arial" w:cs="Arial"/>
          <w:sz w:val="20"/>
          <w:szCs w:val="20"/>
        </w:rPr>
        <w:t xml:space="preserve"> as</w:t>
      </w:r>
      <w:r w:rsidRPr="00D95F11">
        <w:rPr>
          <w:rFonts w:ascii="Arial" w:hAnsi="Arial" w:cs="Arial"/>
          <w:sz w:val="20"/>
          <w:szCs w:val="20"/>
        </w:rPr>
        <w:t xml:space="preserve"> energy companies continued to experience capital outflows from investors. As of the end of the reporting period, energy only represented 3 per cent. of the S&amp;P 500 Index, the lowest weighting that the industry has experienced over the last 30 years. Consequently, energy equities experienced material declines in trading performance during the first half of the year as the S&amp;P Energy Select Index and S&amp;P Oil &amp; Gas E&amp;P Index declined by 37 per cent. and 45 per cent., respectively compared to the 4 per cent. decline of the broader S&amp;P 500 Index.</w:t>
      </w:r>
    </w:p>
    <w:p w14:paraId="2400FF48" w14:textId="77777777" w:rsidR="00D95F11" w:rsidRPr="00D95F11" w:rsidRDefault="00D95F11" w:rsidP="00D65748">
      <w:pPr>
        <w:rPr>
          <w:rFonts w:ascii="Arial" w:hAnsi="Arial" w:cs="Arial"/>
          <w:sz w:val="20"/>
          <w:szCs w:val="20"/>
        </w:rPr>
      </w:pPr>
    </w:p>
    <w:p w14:paraId="583852E4" w14:textId="74C3B460" w:rsidR="00F77114" w:rsidRDefault="00D95F11" w:rsidP="00D65748">
      <w:pPr>
        <w:pStyle w:val="Bodytext"/>
        <w:rPr>
          <w:rFonts w:cs="Arial"/>
          <w:szCs w:val="20"/>
        </w:rPr>
      </w:pPr>
      <w:r w:rsidRPr="00D95F11">
        <w:rPr>
          <w:rFonts w:cs="Arial"/>
          <w:szCs w:val="20"/>
        </w:rPr>
        <w:t>REL’s priorities during this period of crisis have been multi-fold. First, the Investment Manager has been vigilantly working with each portfolio company to prioritise liquidity in order to manage through this period of uncertainty. Each portfolio company has worked to cut operating costs, reduce capital expenditures significantly or to zero in many instances, and preserve cash. Second, REL has taken steps to unlock value for its investors and announced a share buyback programme in May 2020 with the intention of returning up to £50 million to its Shareholders. Since REL’s announcement, 10,811,141 Ordinary Shares have been bought back at a total cost of approximately £30.5 million</w:t>
      </w:r>
      <w:r w:rsidR="0061312D">
        <w:rPr>
          <w:rFonts w:cs="Arial"/>
          <w:szCs w:val="20"/>
        </w:rPr>
        <w:t xml:space="preserve"> ($37.7 million)</w:t>
      </w:r>
      <w:r w:rsidR="00CB421E">
        <w:rPr>
          <w:rFonts w:cs="Arial"/>
          <w:szCs w:val="20"/>
        </w:rPr>
        <w:t xml:space="preserve"> and average per share cost of </w:t>
      </w:r>
      <w:r w:rsidR="00CB421E" w:rsidRPr="00D95F11">
        <w:rPr>
          <w:rFonts w:cs="Arial"/>
          <w:szCs w:val="20"/>
        </w:rPr>
        <w:t>£</w:t>
      </w:r>
      <w:r w:rsidR="00CB421E">
        <w:rPr>
          <w:rFonts w:cs="Arial"/>
          <w:szCs w:val="20"/>
        </w:rPr>
        <w:t>2.82</w:t>
      </w:r>
      <w:r w:rsidR="00C00894">
        <w:rPr>
          <w:rFonts w:cs="Arial"/>
          <w:szCs w:val="20"/>
        </w:rPr>
        <w:t xml:space="preserve"> (</w:t>
      </w:r>
      <w:r w:rsidR="00E1745F">
        <w:rPr>
          <w:rFonts w:cs="Arial"/>
          <w:szCs w:val="20"/>
        </w:rPr>
        <w:t>$3.49)</w:t>
      </w:r>
      <w:r w:rsidR="00F77114">
        <w:rPr>
          <w:rFonts w:cs="Arial"/>
          <w:szCs w:val="20"/>
        </w:rPr>
        <w:t xml:space="preserve"> versus a </w:t>
      </w:r>
      <w:r w:rsidR="007C0DED">
        <w:rPr>
          <w:rFonts w:cs="Arial"/>
          <w:szCs w:val="20"/>
        </w:rPr>
        <w:t>NAV</w:t>
      </w:r>
      <w:r w:rsidR="00F77114">
        <w:rPr>
          <w:rFonts w:cs="Arial"/>
          <w:szCs w:val="20"/>
        </w:rPr>
        <w:t xml:space="preserve"> per </w:t>
      </w:r>
      <w:r w:rsidR="007C0DED">
        <w:rPr>
          <w:rFonts w:cs="Arial"/>
          <w:szCs w:val="20"/>
        </w:rPr>
        <w:t>S</w:t>
      </w:r>
      <w:r w:rsidR="00F77114">
        <w:rPr>
          <w:rFonts w:cs="Arial"/>
          <w:szCs w:val="20"/>
        </w:rPr>
        <w:t>hare</w:t>
      </w:r>
      <w:r w:rsidR="007C0DED">
        <w:rPr>
          <w:rFonts w:cs="Arial"/>
          <w:szCs w:val="20"/>
        </w:rPr>
        <w:t xml:space="preserve"> as at 30 June 2020</w:t>
      </w:r>
      <w:r w:rsidR="00F77114">
        <w:rPr>
          <w:rFonts w:cs="Arial"/>
          <w:szCs w:val="20"/>
        </w:rPr>
        <w:t xml:space="preserve"> of </w:t>
      </w:r>
      <w:r w:rsidR="00F77114" w:rsidRPr="00D95F11">
        <w:rPr>
          <w:rFonts w:cs="Arial"/>
          <w:szCs w:val="20"/>
        </w:rPr>
        <w:t>£</w:t>
      </w:r>
      <w:r w:rsidR="00F77114">
        <w:rPr>
          <w:rFonts w:cs="Arial"/>
          <w:szCs w:val="20"/>
        </w:rPr>
        <w:t>4.45 ($5.48)</w:t>
      </w:r>
      <w:r w:rsidRPr="00D95F11">
        <w:rPr>
          <w:rFonts w:cs="Arial"/>
          <w:szCs w:val="20"/>
        </w:rPr>
        <w:t xml:space="preserve">. </w:t>
      </w:r>
    </w:p>
    <w:p w14:paraId="0063BBF5" w14:textId="77777777" w:rsidR="00F77114" w:rsidRDefault="00F77114" w:rsidP="00D65748">
      <w:pPr>
        <w:pStyle w:val="Bodytext"/>
        <w:rPr>
          <w:rFonts w:cs="Arial"/>
          <w:szCs w:val="20"/>
        </w:rPr>
      </w:pPr>
    </w:p>
    <w:p w14:paraId="5DDE0A8C" w14:textId="03D0E812" w:rsidR="00717C2D" w:rsidRDefault="00D95F11" w:rsidP="00D65748">
      <w:pPr>
        <w:pStyle w:val="Bodytext"/>
        <w:rPr>
          <w:rFonts w:cs="Arial"/>
          <w:szCs w:val="20"/>
        </w:rPr>
      </w:pPr>
      <w:r w:rsidRPr="00D95F11">
        <w:rPr>
          <w:rFonts w:cs="Arial"/>
          <w:szCs w:val="20"/>
        </w:rPr>
        <w:t xml:space="preserve">Finally, the Company is focussed on diversifying its investments away from oil and gas, in line with previously stated objectives. In July 2020, REL committed $25 million to a vehicle that acquired Enviva Holdings (“Enviva”), the world’s largest manufacturer of wood pellets, a renewable fuel that displaces coal in power generation. With a contracted cash flow business model, the Company believes that Enviva can generate attractive risk-adjusted returns for Shareholders over the long-term. REL believes that this investment also furthers the Company’s focus on ESG. The Investment Manager recently became a signatory to the UNPRI, and REL looks forward to continuing to increase its ESG initiatives across the portfolio and will provide additional updates to </w:t>
      </w:r>
      <w:r w:rsidR="00632645">
        <w:rPr>
          <w:rFonts w:cs="Arial"/>
          <w:szCs w:val="20"/>
        </w:rPr>
        <w:t>S</w:t>
      </w:r>
      <w:r w:rsidRPr="00D95F11">
        <w:rPr>
          <w:rFonts w:cs="Arial"/>
          <w:szCs w:val="20"/>
        </w:rPr>
        <w:t>hareholders on progress. As REL’s results continue to be disappointing, the Board is keenly focussed on working with the Investment Manager to manage through this challenging period and determining ways to improve performance.</w:t>
      </w:r>
    </w:p>
    <w:p w14:paraId="5C5CFBC2" w14:textId="77777777" w:rsidR="00307CB7" w:rsidRPr="00BC678F" w:rsidRDefault="00307CB7">
      <w:pPr>
        <w:pStyle w:val="Bodytext"/>
        <w:rPr>
          <w:rFonts w:cs="Arial"/>
          <w:szCs w:val="20"/>
        </w:rPr>
      </w:pPr>
    </w:p>
    <w:p w14:paraId="36636DDD" w14:textId="6B4FE311" w:rsidR="00CA1C34" w:rsidRDefault="00B84416" w:rsidP="00CA1C34">
      <w:pPr>
        <w:pStyle w:val="Heading2"/>
        <w:rPr>
          <w:rFonts w:cs="Arial"/>
        </w:rPr>
      </w:pPr>
      <w:r w:rsidRPr="00BC678F">
        <w:rPr>
          <w:rFonts w:cs="Arial"/>
        </w:rPr>
        <w:lastRenderedPageBreak/>
        <w:t>Performance</w:t>
      </w:r>
    </w:p>
    <w:p w14:paraId="7F443501" w14:textId="55B23A8D" w:rsidR="00D95F11" w:rsidRPr="00D95F11" w:rsidRDefault="00D95F11" w:rsidP="00D65748">
      <w:pPr>
        <w:rPr>
          <w:rFonts w:ascii="Arial" w:hAnsi="Arial" w:cs="Arial"/>
          <w:sz w:val="20"/>
          <w:szCs w:val="20"/>
        </w:rPr>
      </w:pPr>
      <w:r w:rsidRPr="00D95F11">
        <w:rPr>
          <w:rFonts w:ascii="Arial" w:hAnsi="Arial" w:cs="Arial"/>
          <w:sz w:val="20"/>
          <w:szCs w:val="20"/>
        </w:rPr>
        <w:t>REL ended 30 June 2020 with a NAV of $5.48 (£4.45) per share, a 43 per cent. and 40 per cent. decrease in USD and GBP</w:t>
      </w:r>
      <w:r w:rsidR="00C23946">
        <w:rPr>
          <w:rFonts w:ascii="Arial" w:hAnsi="Arial" w:cs="Arial"/>
          <w:sz w:val="20"/>
          <w:szCs w:val="20"/>
        </w:rPr>
        <w:t>, respectively,</w:t>
      </w:r>
      <w:r w:rsidRPr="00D95F11">
        <w:rPr>
          <w:rFonts w:ascii="Arial" w:hAnsi="Arial" w:cs="Arial"/>
          <w:sz w:val="20"/>
          <w:szCs w:val="20"/>
        </w:rPr>
        <w:t xml:space="preserve"> compared to the 31 December 2019 NAV of $9.66 (£7.36) per share. REL, through the Partnership, ended the period with $986.9 million net invested (£801.8 million), equating to 86 per cent. of net capital available, and a</w:t>
      </w:r>
      <w:r w:rsidR="00E1745F">
        <w:rPr>
          <w:rFonts w:ascii="Arial" w:hAnsi="Arial" w:cs="Arial"/>
          <w:sz w:val="20"/>
          <w:szCs w:val="20"/>
        </w:rPr>
        <w:t>n aggregate gross</w:t>
      </w:r>
      <w:r w:rsidRPr="00D95F11">
        <w:rPr>
          <w:rFonts w:ascii="Arial" w:hAnsi="Arial" w:cs="Arial"/>
          <w:sz w:val="20"/>
          <w:szCs w:val="20"/>
        </w:rPr>
        <w:t xml:space="preserve"> cash balance of $163.6 million (£132.9 million) across the Company, Partnership and REL US Corp. Continuing to experience a depressed valuation environment for energy companies, REL shares traded down 9 per cent during the period, rebounding modestly towards the end of 1H 2020 from the trough in March as a result of the Company’s share repurchase program, OPEC+ production cuts, and modest economic activity recovery. </w:t>
      </w:r>
    </w:p>
    <w:p w14:paraId="76B25E7F" w14:textId="77777777" w:rsidR="00D95F11" w:rsidRPr="00D95F11" w:rsidRDefault="00D95F11" w:rsidP="00D65748">
      <w:pPr>
        <w:rPr>
          <w:rFonts w:ascii="Arial" w:hAnsi="Arial" w:cs="Arial"/>
          <w:sz w:val="20"/>
          <w:szCs w:val="20"/>
        </w:rPr>
      </w:pPr>
    </w:p>
    <w:p w14:paraId="33E02726" w14:textId="4B7699D3" w:rsidR="00D95F11" w:rsidRPr="00D95F11" w:rsidRDefault="00D95F11" w:rsidP="00D65748">
      <w:pPr>
        <w:rPr>
          <w:rFonts w:ascii="Arial" w:hAnsi="Arial" w:cs="Arial"/>
          <w:sz w:val="20"/>
          <w:szCs w:val="20"/>
        </w:rPr>
      </w:pPr>
      <w:r w:rsidRPr="00D95F11">
        <w:rPr>
          <w:rFonts w:ascii="Arial" w:hAnsi="Arial" w:cs="Arial"/>
          <w:sz w:val="20"/>
          <w:szCs w:val="20"/>
        </w:rPr>
        <w:t xml:space="preserve">During the period, REL’s portfolio experienced significant </w:t>
      </w:r>
      <w:r w:rsidR="00282FAA">
        <w:rPr>
          <w:rFonts w:ascii="Arial" w:hAnsi="Arial" w:cs="Arial"/>
          <w:sz w:val="20"/>
          <w:szCs w:val="20"/>
        </w:rPr>
        <w:t>reductions</w:t>
      </w:r>
      <w:r w:rsidR="00282FAA" w:rsidRPr="00D95F11">
        <w:rPr>
          <w:rFonts w:ascii="Arial" w:hAnsi="Arial" w:cs="Arial"/>
          <w:sz w:val="20"/>
          <w:szCs w:val="20"/>
        </w:rPr>
        <w:t xml:space="preserve"> </w:t>
      </w:r>
      <w:r w:rsidRPr="00D95F11">
        <w:rPr>
          <w:rFonts w:ascii="Arial" w:hAnsi="Arial" w:cs="Arial"/>
          <w:sz w:val="20"/>
          <w:szCs w:val="20"/>
        </w:rPr>
        <w:t>in valuation, which reflect the volatility related to the energy market environment. The downturn in commodity prices led to the underperformance of U.S. and Canadian E&amp;P equities across energy subsectors, which inherently muted energy capital markets and M&amp;A activity, creating headwinds for REL’s portfolio company valuations. In addition, REL’s valuations were impacted by the decrease in capital expenditures and reduced operational activity across the portfolio to preserve liquidity and cash.</w:t>
      </w:r>
    </w:p>
    <w:p w14:paraId="394A9DC5" w14:textId="77777777" w:rsidR="00D95F11" w:rsidRPr="00D95F11" w:rsidRDefault="00D95F11" w:rsidP="00D65748">
      <w:pPr>
        <w:rPr>
          <w:rFonts w:ascii="Arial" w:hAnsi="Arial" w:cs="Arial"/>
          <w:sz w:val="20"/>
          <w:szCs w:val="20"/>
        </w:rPr>
      </w:pPr>
    </w:p>
    <w:p w14:paraId="7E93548C" w14:textId="77777777" w:rsidR="00D95F11" w:rsidRPr="00D95F11" w:rsidRDefault="00D95F11" w:rsidP="00D65748">
      <w:pPr>
        <w:rPr>
          <w:rFonts w:ascii="Arial" w:hAnsi="Arial" w:cs="Arial"/>
          <w:sz w:val="20"/>
          <w:szCs w:val="20"/>
        </w:rPr>
      </w:pPr>
      <w:r w:rsidRPr="00D95F11">
        <w:rPr>
          <w:rFonts w:ascii="Arial" w:hAnsi="Arial" w:cs="Arial"/>
          <w:sz w:val="20"/>
          <w:szCs w:val="20"/>
        </w:rPr>
        <w:t>Hammerhead, ILX III and Liberty II saw the largest overall decreases in unrealised value during the period. Hammerhead’s Gross MOIC decreased from 0.4x to 0.1x to reflect the lower commodity price environment, limited access to liquidity and significantly reduced drilling activity. The Gross MOIC for ILX III decreased from 1.2x to 0.7x to reflect the decrease in commodity prices, which adversely impacted the company’s NAV and associated publicly traded comparable valuations. Liberty II’s Gross MOIC decreased from 0.4x to 0.1x to reflect a depressed commodity price environment and liquidity constraints, which have forced the company to curb production. The Gross MOICs for Centennial, Carrier II, Fieldwood and Castex 2014 also declined to reflect the weak market conditions. Meanwhile, valuations for REL’s power investment, Onyx, remained flat, while REL’s services investment, Ridgebury H3, increased slightly during the period.</w:t>
      </w:r>
    </w:p>
    <w:p w14:paraId="751F71B9" w14:textId="77777777" w:rsidR="00D95F11" w:rsidRPr="00D95F11" w:rsidRDefault="00D95F11" w:rsidP="00D65748">
      <w:pPr>
        <w:rPr>
          <w:rFonts w:ascii="Arial" w:hAnsi="Arial" w:cs="Arial"/>
          <w:sz w:val="20"/>
          <w:szCs w:val="20"/>
        </w:rPr>
      </w:pPr>
    </w:p>
    <w:p w14:paraId="525AB194" w14:textId="77777777" w:rsidR="00D95F11" w:rsidRPr="00D95F11" w:rsidRDefault="00D95F11" w:rsidP="00D65748">
      <w:pPr>
        <w:rPr>
          <w:rFonts w:ascii="Arial" w:hAnsi="Arial" w:cs="Arial"/>
          <w:sz w:val="20"/>
          <w:szCs w:val="20"/>
        </w:rPr>
      </w:pPr>
      <w:r w:rsidRPr="00D95F11">
        <w:rPr>
          <w:rFonts w:ascii="Arial" w:hAnsi="Arial" w:cs="Arial"/>
          <w:sz w:val="20"/>
          <w:szCs w:val="20"/>
        </w:rPr>
        <w:t>The valuation of REL's investments is conducted quarterly by the Investment Manager and is subject to approval by the independent Directors. In addition, the valuations of REL’s investments are audited by Ernst &amp; Young LLP in connection with the annual audit of the Company’s Financial Statements. The Company’s valuation policy is compliant with both IFRS and IPEV Valuation Guidelines and has been applied consistently from period to period since inception. As the Company’s investments are generally not publicly quoted, valuations require meaningful judgement to establish a range of values, and the ultimate value at which an investment is realised may differ from its most recent valuation and the difference may be significant. Further information on the Company’s valuation policy can be found in the Investment Manager’s Report.</w:t>
      </w:r>
    </w:p>
    <w:p w14:paraId="7C5B5FD7" w14:textId="77777777" w:rsidR="00D95F11" w:rsidRPr="00D95F11" w:rsidRDefault="00D95F11" w:rsidP="00D65748">
      <w:pPr>
        <w:rPr>
          <w:rFonts w:ascii="Arial" w:hAnsi="Arial" w:cs="Arial"/>
          <w:sz w:val="20"/>
          <w:szCs w:val="20"/>
        </w:rPr>
      </w:pPr>
    </w:p>
    <w:p w14:paraId="5878BC95" w14:textId="77777777" w:rsidR="00D95F11" w:rsidRPr="00D95F11" w:rsidRDefault="00D95F11" w:rsidP="00D65748">
      <w:pPr>
        <w:rPr>
          <w:rFonts w:ascii="Arial" w:hAnsi="Arial" w:cs="Arial"/>
          <w:sz w:val="20"/>
          <w:szCs w:val="20"/>
        </w:rPr>
      </w:pPr>
      <w:r w:rsidRPr="00D95F11">
        <w:rPr>
          <w:rFonts w:ascii="Arial" w:hAnsi="Arial" w:cs="Arial"/>
          <w:sz w:val="20"/>
          <w:szCs w:val="20"/>
        </w:rPr>
        <w:t>During the first half of 2020, through the Partnership, REL received approximately $41 million in gross proceeds from its portfolio, principally as a result of the sale of Aleph Midstream to Vista Oil and Gas, S.A.B. de CV. In addition, REL received gross proceeds of $9 million from Ridgebury H3, primarily attributable to the sale of the company’s Nalini vessel. The Company also received sale proceeds in the amount of approximately $8 million in March 2020, for the sale of Castex 2014 to Talos Energy.</w:t>
      </w:r>
    </w:p>
    <w:p w14:paraId="2AE7752D" w14:textId="77777777" w:rsidR="00D95F11" w:rsidRPr="00D95F11" w:rsidRDefault="00D95F11" w:rsidP="00D65748">
      <w:pPr>
        <w:rPr>
          <w:rFonts w:ascii="Arial" w:hAnsi="Arial" w:cs="Arial"/>
          <w:sz w:val="20"/>
          <w:szCs w:val="20"/>
        </w:rPr>
      </w:pPr>
    </w:p>
    <w:p w14:paraId="0C86F90C" w14:textId="00040D4A" w:rsidR="00D95F11" w:rsidRPr="00D95F11" w:rsidRDefault="00D95F11" w:rsidP="00D65748">
      <w:pPr>
        <w:rPr>
          <w:rFonts w:ascii="Arial" w:hAnsi="Arial" w:cs="Arial"/>
          <w:sz w:val="20"/>
          <w:szCs w:val="20"/>
        </w:rPr>
      </w:pPr>
      <w:r w:rsidRPr="00D95F11">
        <w:rPr>
          <w:rFonts w:ascii="Arial" w:hAnsi="Arial" w:cs="Arial"/>
          <w:sz w:val="20"/>
          <w:szCs w:val="20"/>
        </w:rPr>
        <w:t>REL invested a total of $21 million during the period, $16 million of which was used for ongoing operations at Onyx, while the remaining $5 million was invested in ILX III. The Company currently has a</w:t>
      </w:r>
      <w:r w:rsidR="00E1745F">
        <w:rPr>
          <w:rFonts w:ascii="Arial" w:hAnsi="Arial" w:cs="Arial"/>
          <w:sz w:val="20"/>
          <w:szCs w:val="20"/>
        </w:rPr>
        <w:t>n aggregate net</w:t>
      </w:r>
      <w:r w:rsidRPr="00D95F11">
        <w:rPr>
          <w:rFonts w:ascii="Arial" w:hAnsi="Arial" w:cs="Arial"/>
          <w:sz w:val="20"/>
          <w:szCs w:val="20"/>
        </w:rPr>
        <w:t xml:space="preserve"> cash balance of $158</w:t>
      </w:r>
      <w:r w:rsidR="005E76C9">
        <w:rPr>
          <w:rFonts w:ascii="Arial" w:hAnsi="Arial" w:cs="Arial"/>
          <w:sz w:val="20"/>
          <w:szCs w:val="20"/>
        </w:rPr>
        <w:t>.1</w:t>
      </w:r>
      <w:r w:rsidRPr="00D95F11">
        <w:rPr>
          <w:rFonts w:ascii="Arial" w:hAnsi="Arial" w:cs="Arial"/>
          <w:sz w:val="20"/>
          <w:szCs w:val="20"/>
        </w:rPr>
        <w:t xml:space="preserve"> million,</w:t>
      </w:r>
      <w:r w:rsidR="00FE3BBF">
        <w:rPr>
          <w:rFonts w:ascii="Arial" w:hAnsi="Arial" w:cs="Arial"/>
          <w:sz w:val="20"/>
          <w:szCs w:val="20"/>
        </w:rPr>
        <w:t xml:space="preserve"> </w:t>
      </w:r>
      <w:r w:rsidR="00E1745F">
        <w:rPr>
          <w:rFonts w:ascii="Arial" w:hAnsi="Arial" w:cs="Arial"/>
          <w:sz w:val="20"/>
          <w:szCs w:val="20"/>
        </w:rPr>
        <w:t>reflecting</w:t>
      </w:r>
      <w:r w:rsidR="00FE3BBF">
        <w:rPr>
          <w:rFonts w:ascii="Arial" w:hAnsi="Arial" w:cs="Arial"/>
          <w:sz w:val="20"/>
          <w:szCs w:val="20"/>
        </w:rPr>
        <w:t xml:space="preserve"> share buyback transactions pending settlement and accrued Management Fees,</w:t>
      </w:r>
      <w:r w:rsidRPr="00D95F11">
        <w:rPr>
          <w:rFonts w:ascii="Arial" w:hAnsi="Arial" w:cs="Arial"/>
          <w:sz w:val="20"/>
          <w:szCs w:val="20"/>
        </w:rPr>
        <w:t xml:space="preserve"> which is expected to be sufficient to fund the portfolio’s future capital calls currently anticipated.</w:t>
      </w:r>
    </w:p>
    <w:p w14:paraId="1C2BD28E" w14:textId="77777777" w:rsidR="00D95F11" w:rsidRPr="00D95F11" w:rsidRDefault="00D95F11" w:rsidP="00D65748">
      <w:pPr>
        <w:rPr>
          <w:rFonts w:ascii="Arial" w:hAnsi="Arial" w:cs="Arial"/>
          <w:sz w:val="20"/>
          <w:szCs w:val="20"/>
        </w:rPr>
      </w:pPr>
    </w:p>
    <w:p w14:paraId="0918C3F3" w14:textId="638FE430" w:rsidR="00162290" w:rsidRDefault="00162290" w:rsidP="00162290">
      <w:pPr>
        <w:pStyle w:val="Bodytext"/>
      </w:pPr>
      <w:r>
        <w:t xml:space="preserve">As described in more detail in the Company's 2019 Annual Report, an extraordinary general meeting to consider a discontinuation resolution vote is expected to take place in Q4 2020 and a circular regarding the vote will be dispatched to shareholders following the seventh anniversary of the Company's IPO on 29 October 2020. </w:t>
      </w:r>
    </w:p>
    <w:p w14:paraId="1621F1E9" w14:textId="77777777" w:rsidR="00162290" w:rsidRDefault="00162290" w:rsidP="00162290">
      <w:pPr>
        <w:pStyle w:val="Bodytext"/>
      </w:pPr>
    </w:p>
    <w:p w14:paraId="2F4A26B3" w14:textId="4139790B" w:rsidR="00162290" w:rsidRDefault="00162290" w:rsidP="00162290">
      <w:pPr>
        <w:pStyle w:val="Bodytext"/>
      </w:pPr>
      <w:r>
        <w:t xml:space="preserve">The vote requires 75 per cent. of the votes cast in favour to pass. The Investment Manager and Cornerstone Investors have 6.7 per cent. and 45.6 per cent., respectively, of the Company's voting securities and, in aggregate, could block approval.  However, if the vote were passed, both the Investment Manager and Cornerstone Investors would share (83 per cent. / 17 per cent.) an exit fee of twenty times the most recent quarterly Management Fee, plus all accrued Management Fees and any accrued Performance Fees. Based on the Management Fee payable for Q2 2020, this amount would aggregate to $28 million. </w:t>
      </w:r>
    </w:p>
    <w:p w14:paraId="4ABB7D90" w14:textId="77777777" w:rsidR="00162290" w:rsidRDefault="00162290" w:rsidP="00162290">
      <w:pPr>
        <w:pStyle w:val="Bodytext"/>
      </w:pPr>
    </w:p>
    <w:p w14:paraId="15CCE3AB" w14:textId="4C25F71A" w:rsidR="00162290" w:rsidRDefault="00162290" w:rsidP="00162290">
      <w:pPr>
        <w:pStyle w:val="Bodytext"/>
      </w:pPr>
      <w:r>
        <w:t xml:space="preserve">If the vote were passed, the Company would be immediately placed into liquidation, a third party liquidator appointed, the Investment Management Agreement immediately terminated and the Company's shares delisted and no longer capable of being traded.  No further Management or Performance Fees would be payable to the Investment Manager.  </w:t>
      </w:r>
      <w:r w:rsidR="00C66BE3">
        <w:t xml:space="preserve">If advisable, the liquidator would be able to terminate </w:t>
      </w:r>
      <w:r w:rsidR="00C23946">
        <w:t xml:space="preserve">potential unfunded </w:t>
      </w:r>
      <w:r w:rsidR="00C66BE3">
        <w:lastRenderedPageBreak/>
        <w:t xml:space="preserve">commitments to </w:t>
      </w:r>
      <w:r w:rsidR="00C23946">
        <w:t xml:space="preserve">portfolio companies alongside </w:t>
      </w:r>
      <w:r w:rsidR="007C0DED">
        <w:t xml:space="preserve">the Private </w:t>
      </w:r>
      <w:r w:rsidR="00C66BE3">
        <w:t>Riverstone Funds</w:t>
      </w:r>
      <w:r w:rsidR="00547A17">
        <w:t>,</w:t>
      </w:r>
      <w:r w:rsidR="00C23946">
        <w:t xml:space="preserve"> which aggregated $96 million at 30 June 2020</w:t>
      </w:r>
      <w:r w:rsidR="00C66BE3">
        <w:t xml:space="preserve">. Any excess funds could then be distributed to </w:t>
      </w:r>
      <w:r w:rsidR="007C0DED">
        <w:t>S</w:t>
      </w:r>
      <w:r w:rsidR="00C66BE3">
        <w:t>hareholders.</w:t>
      </w:r>
    </w:p>
    <w:p w14:paraId="7046CF3D" w14:textId="77777777" w:rsidR="00162290" w:rsidRDefault="00162290" w:rsidP="00162290">
      <w:pPr>
        <w:pStyle w:val="Bodytext"/>
      </w:pPr>
    </w:p>
    <w:p w14:paraId="15D86851" w14:textId="0258945D" w:rsidR="00512763" w:rsidRDefault="00162290" w:rsidP="00D65748">
      <w:pPr>
        <w:pStyle w:val="Bodytext"/>
        <w:rPr>
          <w:rFonts w:cs="Arial"/>
          <w:szCs w:val="20"/>
        </w:rPr>
      </w:pPr>
      <w:r>
        <w:t xml:space="preserve">If the vote is not passed, the Investment Management Agreement will continue in perpetuity. However, either the Board or Shareholders holding in aggregate 10 per cent. of the Company's voting securities can </w:t>
      </w:r>
      <w:r w:rsidR="00F77114">
        <w:t xml:space="preserve">still </w:t>
      </w:r>
      <w:r>
        <w:t xml:space="preserve">call an EGM at any time to vote on the liquidation of the Company (75 per cent. of the votes cast in favour required) or run-off of its portfolio (50 per cent. of the votes cast in favour required). Under both these scenarios, the Investment Manager would still be entitled to </w:t>
      </w:r>
      <w:r w:rsidR="00594591">
        <w:t>twenty</w:t>
      </w:r>
      <w:r>
        <w:t xml:space="preserve"> times the most recent quarterly Management Fee.</w:t>
      </w:r>
      <w:bookmarkStart w:id="1" w:name="_Hlk37663376"/>
    </w:p>
    <w:p w14:paraId="2AD8257B" w14:textId="77777777" w:rsidR="00512763" w:rsidRDefault="00512763" w:rsidP="00D65748">
      <w:pPr>
        <w:pStyle w:val="Bodytext"/>
        <w:rPr>
          <w:rFonts w:cs="Arial"/>
          <w:szCs w:val="20"/>
        </w:rPr>
      </w:pPr>
    </w:p>
    <w:p w14:paraId="3B5AD317" w14:textId="2A26BAC7" w:rsidR="00CA1C34" w:rsidRDefault="00D95F11" w:rsidP="00D65748">
      <w:pPr>
        <w:pStyle w:val="Bodytext"/>
        <w:rPr>
          <w:rFonts w:cs="Arial"/>
          <w:szCs w:val="20"/>
        </w:rPr>
      </w:pPr>
      <w:r w:rsidRPr="00D95F11">
        <w:rPr>
          <w:rFonts w:cs="Arial"/>
          <w:szCs w:val="20"/>
        </w:rPr>
        <w:t xml:space="preserve">In March 2020, the Investment Manager contacted one of the Cornerstone Investors regarding its voting intentions in respect of the Discontinuation Resolution, but did not receive a firm indication. No Cornerstone Investor has yet expressed how it would intend to vote on the Discontinuation Resolution Vote. </w:t>
      </w:r>
      <w:bookmarkEnd w:id="1"/>
      <w:r w:rsidRPr="00D95F11">
        <w:rPr>
          <w:rFonts w:cs="Arial"/>
          <w:szCs w:val="20"/>
        </w:rPr>
        <w:t xml:space="preserve">As the direction of the EGM vote is not known at this time, there is a material uncertainty. </w:t>
      </w:r>
    </w:p>
    <w:p w14:paraId="5ECC13EF" w14:textId="77777777" w:rsidR="00632645" w:rsidRPr="00D95F11" w:rsidRDefault="00632645" w:rsidP="00632645">
      <w:pPr>
        <w:rPr>
          <w:rFonts w:ascii="Arial" w:hAnsi="Arial" w:cs="Arial"/>
          <w:sz w:val="20"/>
          <w:szCs w:val="20"/>
        </w:rPr>
      </w:pPr>
    </w:p>
    <w:p w14:paraId="5625A332" w14:textId="2D0AB00B" w:rsidR="00632645" w:rsidRPr="00D95F11" w:rsidRDefault="00FD3004" w:rsidP="00632645">
      <w:pPr>
        <w:rPr>
          <w:rFonts w:ascii="Arial" w:hAnsi="Arial" w:cs="Arial"/>
          <w:sz w:val="20"/>
          <w:szCs w:val="20"/>
        </w:rPr>
      </w:pPr>
      <w:r>
        <w:rPr>
          <w:rFonts w:ascii="Arial" w:hAnsi="Arial" w:cs="Arial"/>
          <w:sz w:val="20"/>
          <w:szCs w:val="20"/>
        </w:rPr>
        <w:t>The Management Engagement Committee continues to have discussions with the Investment Manager regarding additional changes to the Investment Management Agreement</w:t>
      </w:r>
      <w:r w:rsidR="007D3F62">
        <w:rPr>
          <w:rFonts w:ascii="Arial" w:hAnsi="Arial" w:cs="Arial"/>
          <w:sz w:val="20"/>
          <w:szCs w:val="20"/>
        </w:rPr>
        <w:t>. A</w:t>
      </w:r>
      <w:r>
        <w:rPr>
          <w:rFonts w:ascii="Arial" w:hAnsi="Arial" w:cs="Arial"/>
          <w:sz w:val="20"/>
          <w:szCs w:val="20"/>
        </w:rPr>
        <w:t>s a result of prior negotiations</w:t>
      </w:r>
      <w:r w:rsidR="007D3F62">
        <w:rPr>
          <w:rFonts w:ascii="Arial" w:hAnsi="Arial" w:cs="Arial"/>
          <w:sz w:val="20"/>
          <w:szCs w:val="20"/>
        </w:rPr>
        <w:t>,</w:t>
      </w:r>
      <w:r>
        <w:rPr>
          <w:rFonts w:ascii="Arial" w:hAnsi="Arial" w:cs="Arial"/>
          <w:sz w:val="20"/>
          <w:szCs w:val="20"/>
        </w:rPr>
        <w:t xml:space="preserve"> over $1.6 million of </w:t>
      </w:r>
      <w:r w:rsidR="007D3F62">
        <w:rPr>
          <w:rFonts w:ascii="Arial" w:hAnsi="Arial" w:cs="Arial"/>
          <w:sz w:val="20"/>
          <w:szCs w:val="20"/>
        </w:rPr>
        <w:t>P</w:t>
      </w:r>
      <w:r>
        <w:rPr>
          <w:rFonts w:ascii="Arial" w:hAnsi="Arial" w:cs="Arial"/>
          <w:sz w:val="20"/>
          <w:szCs w:val="20"/>
        </w:rPr>
        <w:t xml:space="preserve">erformance </w:t>
      </w:r>
      <w:r w:rsidR="007D3F62">
        <w:rPr>
          <w:rFonts w:ascii="Arial" w:hAnsi="Arial" w:cs="Arial"/>
          <w:sz w:val="20"/>
          <w:szCs w:val="20"/>
        </w:rPr>
        <w:t>F</w:t>
      </w:r>
      <w:r>
        <w:rPr>
          <w:rFonts w:ascii="Arial" w:hAnsi="Arial" w:cs="Arial"/>
          <w:sz w:val="20"/>
          <w:szCs w:val="20"/>
        </w:rPr>
        <w:t xml:space="preserve">ees that would have been due under the prior agreement were not paid. </w:t>
      </w:r>
      <w:r w:rsidR="00632645" w:rsidRPr="00D95F11">
        <w:rPr>
          <w:rFonts w:ascii="Arial" w:hAnsi="Arial" w:cs="Arial"/>
          <w:sz w:val="20"/>
          <w:szCs w:val="20"/>
        </w:rPr>
        <w:t xml:space="preserve">In closing, I would like to reiterate the Board’s appreciation to our Shareholders for their support during this difficult period. As the world continues to fight this pandemic, the Board and Investment Manager continue to closely oversee the portfolio and remain strongly focussed on working for our </w:t>
      </w:r>
      <w:r w:rsidR="00632645">
        <w:rPr>
          <w:rFonts w:ascii="Arial" w:hAnsi="Arial" w:cs="Arial"/>
          <w:sz w:val="20"/>
          <w:szCs w:val="20"/>
        </w:rPr>
        <w:t>S</w:t>
      </w:r>
      <w:r w:rsidR="00632645" w:rsidRPr="00D95F11">
        <w:rPr>
          <w:rFonts w:ascii="Arial" w:hAnsi="Arial" w:cs="Arial"/>
          <w:sz w:val="20"/>
          <w:szCs w:val="20"/>
        </w:rPr>
        <w:t xml:space="preserve">hareholders. </w:t>
      </w:r>
    </w:p>
    <w:p w14:paraId="5F732129" w14:textId="77777777" w:rsidR="00632645" w:rsidRDefault="00632645">
      <w:pPr>
        <w:pStyle w:val="Bodytext"/>
        <w:rPr>
          <w:rFonts w:cs="Arial"/>
          <w:szCs w:val="20"/>
        </w:rPr>
      </w:pPr>
    </w:p>
    <w:p w14:paraId="2AE67E0B" w14:textId="77777777" w:rsidR="0013685B" w:rsidRPr="00BC678F" w:rsidRDefault="0013685B">
      <w:pPr>
        <w:pStyle w:val="Bodytext"/>
        <w:rPr>
          <w:rFonts w:cs="Arial"/>
          <w:szCs w:val="20"/>
        </w:rPr>
      </w:pPr>
    </w:p>
    <w:p w14:paraId="13753FCF" w14:textId="77777777" w:rsidR="00B84416" w:rsidRPr="00BC678F" w:rsidRDefault="002875A5">
      <w:pPr>
        <w:pStyle w:val="Bodytext"/>
        <w:rPr>
          <w:rFonts w:cs="Arial"/>
          <w:b/>
          <w:szCs w:val="20"/>
        </w:rPr>
      </w:pPr>
      <w:r w:rsidRPr="00BC678F">
        <w:rPr>
          <w:rFonts w:cs="Arial"/>
          <w:b/>
          <w:szCs w:val="20"/>
        </w:rPr>
        <w:t>Richard Hayden</w:t>
      </w:r>
    </w:p>
    <w:p w14:paraId="141DAFFC" w14:textId="77777777" w:rsidR="00B84416" w:rsidRPr="00BC678F" w:rsidRDefault="00B84416">
      <w:pPr>
        <w:pStyle w:val="Bodytext"/>
        <w:rPr>
          <w:rFonts w:cs="Arial"/>
          <w:i/>
          <w:szCs w:val="20"/>
        </w:rPr>
      </w:pPr>
      <w:r w:rsidRPr="00BC678F">
        <w:rPr>
          <w:rFonts w:cs="Arial"/>
          <w:i/>
          <w:szCs w:val="20"/>
        </w:rPr>
        <w:t>Chairman</w:t>
      </w:r>
    </w:p>
    <w:p w14:paraId="51F50A79" w14:textId="3F828A0C" w:rsidR="00B84416" w:rsidRDefault="004E72FA">
      <w:pPr>
        <w:pStyle w:val="Bodytext"/>
        <w:rPr>
          <w:rFonts w:cs="Arial"/>
          <w:szCs w:val="20"/>
        </w:rPr>
      </w:pPr>
      <w:r w:rsidRPr="00717C2D">
        <w:rPr>
          <w:rFonts w:eastAsia="Calibri" w:cs="Arial"/>
          <w:szCs w:val="20"/>
        </w:rPr>
        <w:t>1</w:t>
      </w:r>
      <w:r w:rsidR="00717C2D" w:rsidRPr="00717C2D">
        <w:rPr>
          <w:rFonts w:eastAsia="Calibri" w:cs="Arial"/>
          <w:szCs w:val="20"/>
        </w:rPr>
        <w:t>8</w:t>
      </w:r>
      <w:r w:rsidR="00B84416" w:rsidRPr="00717C2D">
        <w:rPr>
          <w:rFonts w:cs="Arial"/>
          <w:szCs w:val="20"/>
        </w:rPr>
        <w:t xml:space="preserve"> </w:t>
      </w:r>
      <w:r w:rsidR="002875A5" w:rsidRPr="00717C2D">
        <w:rPr>
          <w:rFonts w:cs="Arial"/>
          <w:szCs w:val="20"/>
        </w:rPr>
        <w:t>August</w:t>
      </w:r>
      <w:r w:rsidR="00B84416" w:rsidRPr="00717C2D">
        <w:rPr>
          <w:rFonts w:cs="Arial"/>
          <w:szCs w:val="20"/>
        </w:rPr>
        <w:t xml:space="preserve"> 20</w:t>
      </w:r>
      <w:r w:rsidR="00717C2D" w:rsidRPr="00717C2D">
        <w:rPr>
          <w:rFonts w:cs="Arial"/>
          <w:szCs w:val="20"/>
        </w:rPr>
        <w:t>20</w:t>
      </w:r>
    </w:p>
    <w:p w14:paraId="409F9913" w14:textId="051E1FE3" w:rsidR="00D8525B" w:rsidRDefault="00D8525B">
      <w:pPr>
        <w:pStyle w:val="Bodytext"/>
        <w:rPr>
          <w:rFonts w:cs="Arial"/>
          <w:szCs w:val="20"/>
        </w:rPr>
      </w:pPr>
    </w:p>
    <w:p w14:paraId="6FBA0188" w14:textId="77777777" w:rsidR="00B364BB" w:rsidRDefault="00B364BB">
      <w:pPr>
        <w:pStyle w:val="Bodytext"/>
        <w:rPr>
          <w:rFonts w:cs="Arial"/>
          <w:szCs w:val="20"/>
        </w:rPr>
      </w:pPr>
    </w:p>
    <w:p w14:paraId="1D4DC54D" w14:textId="77777777" w:rsidR="00EC5136" w:rsidRPr="00BC678F" w:rsidRDefault="00E13E11" w:rsidP="00213F9C">
      <w:pPr>
        <w:pStyle w:val="Heading1"/>
        <w:spacing w:before="120"/>
        <w:rPr>
          <w:rFonts w:cs="Arial"/>
          <w:szCs w:val="30"/>
        </w:rPr>
      </w:pPr>
      <w:bookmarkStart w:id="2" w:name="_Hlk45116763"/>
      <w:r>
        <w:rPr>
          <w:rFonts w:cs="Arial"/>
          <w:szCs w:val="30"/>
        </w:rPr>
        <w:t>I</w:t>
      </w:r>
      <w:r w:rsidR="00EC5136" w:rsidRPr="00BC678F">
        <w:rPr>
          <w:rFonts w:cs="Arial"/>
          <w:szCs w:val="30"/>
        </w:rPr>
        <w:t>nvestment Manager’s Report</w:t>
      </w:r>
    </w:p>
    <w:p w14:paraId="75809090" w14:textId="10E64777" w:rsidR="00EC5136" w:rsidRPr="00BC678F" w:rsidRDefault="00EC5136">
      <w:pPr>
        <w:rPr>
          <w:rFonts w:ascii="Arial" w:hAnsi="Arial" w:cs="Arial"/>
        </w:rPr>
      </w:pPr>
    </w:p>
    <w:p w14:paraId="4676B577" w14:textId="77777777" w:rsidR="00D95F11" w:rsidRPr="00D95F11" w:rsidRDefault="00D95F11" w:rsidP="00D65748">
      <w:pPr>
        <w:rPr>
          <w:rFonts w:ascii="Arial" w:eastAsia="Cambria" w:hAnsi="Arial" w:cs="Arial"/>
          <w:b/>
          <w:bCs/>
          <w:i/>
          <w:iCs/>
          <w:sz w:val="28"/>
          <w:szCs w:val="28"/>
        </w:rPr>
      </w:pPr>
      <w:r w:rsidRPr="00D95F11">
        <w:rPr>
          <w:rFonts w:ascii="Arial" w:eastAsia="Cambria" w:hAnsi="Arial" w:cs="Arial"/>
          <w:b/>
          <w:bCs/>
          <w:i/>
          <w:iCs/>
          <w:sz w:val="28"/>
          <w:szCs w:val="28"/>
        </w:rPr>
        <w:t>Focussed on liquidity and balance sheet strength during a period of tremendous uncertainty</w:t>
      </w:r>
    </w:p>
    <w:p w14:paraId="531C6966" w14:textId="77777777" w:rsidR="00D95F11" w:rsidRPr="00F1041C" w:rsidRDefault="00D95F11" w:rsidP="00D65748">
      <w:pPr>
        <w:rPr>
          <w:rFonts w:eastAsia="Cambria"/>
          <w:b/>
          <w:bCs/>
          <w:iCs/>
          <w:highlight w:val="yellow"/>
        </w:rPr>
      </w:pPr>
    </w:p>
    <w:p w14:paraId="04045FBA" w14:textId="5458BA9C" w:rsidR="00D95F11" w:rsidRPr="00D95F11" w:rsidRDefault="00D95F11" w:rsidP="00D65748">
      <w:pPr>
        <w:rPr>
          <w:rFonts w:ascii="Arial" w:eastAsia="Cambria" w:hAnsi="Arial" w:cs="Arial"/>
          <w:i/>
          <w:iCs/>
          <w:sz w:val="28"/>
          <w:szCs w:val="28"/>
        </w:rPr>
      </w:pPr>
      <w:r w:rsidRPr="00D95F11">
        <w:rPr>
          <w:rFonts w:ascii="Arial" w:eastAsia="Cambria" w:hAnsi="Arial" w:cs="Arial"/>
          <w:i/>
          <w:iCs/>
          <w:sz w:val="28"/>
          <w:szCs w:val="28"/>
        </w:rPr>
        <w:t>WTI prices experienced unprecedented headwinds due to concerns around supply</w:t>
      </w:r>
      <w:r w:rsidR="00632645">
        <w:rPr>
          <w:rFonts w:ascii="Arial" w:eastAsia="Cambria" w:hAnsi="Arial" w:cs="Arial"/>
          <w:i/>
          <w:iCs/>
          <w:sz w:val="28"/>
          <w:szCs w:val="28"/>
        </w:rPr>
        <w:t xml:space="preserve"> and </w:t>
      </w:r>
      <w:r w:rsidRPr="00D95F11">
        <w:rPr>
          <w:rFonts w:ascii="Arial" w:eastAsia="Cambria" w:hAnsi="Arial" w:cs="Arial"/>
          <w:i/>
          <w:iCs/>
          <w:sz w:val="28"/>
          <w:szCs w:val="28"/>
        </w:rPr>
        <w:t>demand dynamics resulting from the coronavirus pandemic. While OPEC+ agreed to production cuts after an initial standstill in March, the decrease in demand due to coronavirus has continued to weigh down oil prices. WTI ended the period at $39</w:t>
      </w:r>
      <w:r w:rsidRPr="00D95F11" w:rsidDel="00E46BCC">
        <w:rPr>
          <w:rFonts w:ascii="Arial" w:eastAsia="Cambria" w:hAnsi="Arial" w:cs="Arial"/>
          <w:i/>
          <w:iCs/>
          <w:sz w:val="28"/>
          <w:szCs w:val="28"/>
        </w:rPr>
        <w:t xml:space="preserve"> </w:t>
      </w:r>
      <w:r w:rsidRPr="00D95F11">
        <w:rPr>
          <w:rFonts w:ascii="Arial" w:eastAsia="Cambria" w:hAnsi="Arial" w:cs="Arial"/>
          <w:i/>
          <w:iCs/>
          <w:sz w:val="28"/>
          <w:szCs w:val="28"/>
        </w:rPr>
        <w:t>per barrel, while forward strip prices remain approximately $20 per barrel below levels seen at the end of 2019. With the market environment expected to be uncertain for the rest of the year, REL is focussed on lean operations and strengthening balance sheets</w:t>
      </w:r>
      <w:r w:rsidR="00FE3BBF">
        <w:rPr>
          <w:rFonts w:ascii="Arial" w:eastAsia="Cambria" w:hAnsi="Arial" w:cs="Arial"/>
          <w:i/>
          <w:iCs/>
          <w:sz w:val="28"/>
          <w:szCs w:val="28"/>
        </w:rPr>
        <w:t xml:space="preserve"> of its portfolio companies</w:t>
      </w:r>
      <w:r w:rsidRPr="00D95F11">
        <w:rPr>
          <w:rFonts w:ascii="Arial" w:eastAsia="Cambria" w:hAnsi="Arial" w:cs="Arial"/>
          <w:i/>
          <w:iCs/>
          <w:sz w:val="28"/>
          <w:szCs w:val="28"/>
        </w:rPr>
        <w:t xml:space="preserve"> in order to protect capital.</w:t>
      </w:r>
    </w:p>
    <w:p w14:paraId="36D904BD" w14:textId="77777777" w:rsidR="00D95F11" w:rsidRDefault="00D95F11" w:rsidP="00D65748">
      <w:pPr>
        <w:rPr>
          <w:rFonts w:eastAsia="Cambria"/>
          <w:i/>
          <w:iCs/>
          <w:sz w:val="28"/>
          <w:szCs w:val="28"/>
        </w:rPr>
      </w:pPr>
    </w:p>
    <w:p w14:paraId="3E9799E8" w14:textId="6AFBD4AD" w:rsidR="00D95F11" w:rsidRPr="00D95F11" w:rsidRDefault="00D95F11" w:rsidP="00D65748">
      <w:pPr>
        <w:rPr>
          <w:rFonts w:ascii="Arial" w:hAnsi="Arial" w:cs="Arial"/>
          <w:sz w:val="20"/>
          <w:szCs w:val="20"/>
        </w:rPr>
      </w:pPr>
      <w:r w:rsidRPr="00D95F11">
        <w:rPr>
          <w:rFonts w:ascii="Arial" w:hAnsi="Arial" w:cs="Arial"/>
          <w:sz w:val="20"/>
          <w:szCs w:val="20"/>
        </w:rPr>
        <w:t>At the end of the first quarter, energy markets faced numerous challenges resulting from a failed OPEC+ agreement on production cuts, coupled with the severity of the coronavirus pandemic. These coinciding events caused spot oil prices to drop dramatically to a low of</w:t>
      </w:r>
      <w:r w:rsidR="00632645">
        <w:rPr>
          <w:rFonts w:ascii="Arial" w:hAnsi="Arial" w:cs="Arial"/>
          <w:sz w:val="20"/>
          <w:szCs w:val="20"/>
        </w:rPr>
        <w:t xml:space="preserve"> approximately</w:t>
      </w:r>
      <w:r w:rsidRPr="00D95F11">
        <w:rPr>
          <w:rFonts w:ascii="Arial" w:hAnsi="Arial" w:cs="Arial"/>
          <w:sz w:val="20"/>
          <w:szCs w:val="20"/>
        </w:rPr>
        <w:t xml:space="preserve"> negative $37 per barrel in April 2020, as traders began offloading inventory as storage challenges emerged. Forward prices also decreased dramatically, with the one-year strip price declining by $22</w:t>
      </w:r>
      <w:r w:rsidRPr="00D95F11" w:rsidDel="00ED0860">
        <w:rPr>
          <w:rFonts w:ascii="Arial" w:hAnsi="Arial" w:cs="Arial"/>
          <w:sz w:val="20"/>
          <w:szCs w:val="20"/>
        </w:rPr>
        <w:t xml:space="preserve"> </w:t>
      </w:r>
      <w:r w:rsidRPr="00D95F11">
        <w:rPr>
          <w:rFonts w:ascii="Arial" w:hAnsi="Arial" w:cs="Arial"/>
          <w:sz w:val="20"/>
          <w:szCs w:val="20"/>
        </w:rPr>
        <w:t>per barrel during the period compared to the end of 2019.</w:t>
      </w:r>
    </w:p>
    <w:p w14:paraId="58F82B8D" w14:textId="77777777" w:rsidR="00D95F11" w:rsidRPr="00D95F11" w:rsidRDefault="00D95F11" w:rsidP="00D65748">
      <w:pPr>
        <w:rPr>
          <w:rFonts w:ascii="Arial" w:hAnsi="Arial" w:cs="Arial"/>
          <w:sz w:val="20"/>
          <w:szCs w:val="20"/>
        </w:rPr>
      </w:pPr>
    </w:p>
    <w:p w14:paraId="43ABAAFF" w14:textId="77777777" w:rsidR="00D95F11" w:rsidRPr="00D95F11" w:rsidRDefault="00D95F11" w:rsidP="00D65748">
      <w:pPr>
        <w:rPr>
          <w:rFonts w:ascii="Arial" w:hAnsi="Arial" w:cs="Arial"/>
          <w:sz w:val="20"/>
          <w:szCs w:val="20"/>
        </w:rPr>
      </w:pPr>
      <w:r w:rsidRPr="00D95F11">
        <w:rPr>
          <w:rFonts w:ascii="Arial" w:hAnsi="Arial" w:cs="Arial"/>
          <w:sz w:val="20"/>
          <w:szCs w:val="20"/>
        </w:rPr>
        <w:t>In response to cratering oil prices, OPEC+ came to an agreement to cut 9.7 million barrels a day, the deepest ever agreed upon, during the months of May and June, which helped to boost oil prices as demand for crude began to recover with the slow increase in economic activity. Furthermore, U.S. shale producers significantly curbed production as low prices created uneconomic drilling conditions and companies drastically reduced capital expenditures. U.S. field production, as reported by the EIA, reached peak production of 13.1 million barrels per day in March 2020, but has since been reduced to 10.5 million barrels per day as of June 2020, representing a decrease of approximately 2.6 million barrels per day. This represents the lowest U.S. production volumes since October 2018.</w:t>
      </w:r>
    </w:p>
    <w:p w14:paraId="2BCBCC42" w14:textId="77777777" w:rsidR="00D95F11" w:rsidRPr="00D95F11" w:rsidRDefault="00D95F11" w:rsidP="00D65748">
      <w:pPr>
        <w:rPr>
          <w:rFonts w:ascii="Arial" w:hAnsi="Arial" w:cs="Arial"/>
          <w:sz w:val="20"/>
          <w:szCs w:val="20"/>
        </w:rPr>
      </w:pPr>
    </w:p>
    <w:p w14:paraId="4467CEBA" w14:textId="543CECE3" w:rsidR="00D95F11" w:rsidRPr="00D95F11" w:rsidRDefault="00D95F11" w:rsidP="00D65748">
      <w:pPr>
        <w:rPr>
          <w:rFonts w:ascii="Arial" w:hAnsi="Arial" w:cs="Arial"/>
          <w:sz w:val="20"/>
          <w:szCs w:val="20"/>
        </w:rPr>
      </w:pPr>
      <w:r w:rsidRPr="00D95F11">
        <w:rPr>
          <w:rFonts w:ascii="Arial" w:hAnsi="Arial" w:cs="Arial"/>
          <w:sz w:val="20"/>
          <w:szCs w:val="20"/>
        </w:rPr>
        <w:lastRenderedPageBreak/>
        <w:t xml:space="preserve">During this challenging period, energy companies have prioritised cash preservation and liquidity, and those that are overlevered have had to take significant steps to restructure balance sheets. During </w:t>
      </w:r>
      <w:r w:rsidR="00632645">
        <w:rPr>
          <w:rFonts w:ascii="Arial" w:hAnsi="Arial" w:cs="Arial"/>
          <w:sz w:val="20"/>
          <w:szCs w:val="20"/>
        </w:rPr>
        <w:t>the second quarter of 2020</w:t>
      </w:r>
      <w:r w:rsidRPr="00D95F11">
        <w:rPr>
          <w:rFonts w:ascii="Arial" w:hAnsi="Arial" w:cs="Arial"/>
          <w:sz w:val="20"/>
          <w:szCs w:val="20"/>
        </w:rPr>
        <w:t>, 1</w:t>
      </w:r>
      <w:r w:rsidR="00632645">
        <w:rPr>
          <w:rFonts w:ascii="Arial" w:hAnsi="Arial" w:cs="Arial"/>
          <w:sz w:val="20"/>
          <w:szCs w:val="20"/>
        </w:rPr>
        <w:t>8</w:t>
      </w:r>
      <w:r w:rsidRPr="00D95F11">
        <w:rPr>
          <w:rFonts w:ascii="Arial" w:hAnsi="Arial" w:cs="Arial"/>
          <w:sz w:val="20"/>
          <w:szCs w:val="20"/>
        </w:rPr>
        <w:t xml:space="preserve"> companies filed for bankruptcy, including shale producers such as Chesapeake Energy, Ultra Petroleum, Unit Corporation and Whiting Petroleum. Within the REL portfolio, significant actions have been taken to reduce costs through headcount and G&amp;A reductions, as well as lowering capital expenditures significantly or down to zero. Riverstone also has been proactively engaging with lenders to provide additional runway as it relates to impending debt obligations where possible. Finally, to further protect against the downside, REL’s E&amp;P portfolio companies have hedged approximately 50 per cent. of forecasted oil production through year-end 2020 at a weighted average price of $42 per barrel. </w:t>
      </w:r>
    </w:p>
    <w:p w14:paraId="5D728BBD" w14:textId="77777777" w:rsidR="00D95F11" w:rsidRPr="00D95F11" w:rsidRDefault="00D95F11" w:rsidP="00D65748">
      <w:pPr>
        <w:rPr>
          <w:rFonts w:ascii="Arial" w:hAnsi="Arial" w:cs="Arial"/>
          <w:sz w:val="20"/>
          <w:szCs w:val="20"/>
        </w:rPr>
      </w:pPr>
    </w:p>
    <w:p w14:paraId="25C65069" w14:textId="0E67A728" w:rsidR="00DF29DD" w:rsidRPr="00D95F11" w:rsidRDefault="00D95F11" w:rsidP="00D65748">
      <w:pPr>
        <w:rPr>
          <w:rFonts w:ascii="Arial" w:hAnsi="Arial" w:cs="Arial"/>
          <w:sz w:val="20"/>
          <w:szCs w:val="20"/>
        </w:rPr>
      </w:pPr>
      <w:r w:rsidRPr="00D95F11">
        <w:rPr>
          <w:rFonts w:ascii="Arial" w:hAnsi="Arial" w:cs="Arial"/>
          <w:sz w:val="20"/>
          <w:szCs w:val="20"/>
        </w:rPr>
        <w:t>Unfortunately, the current dynamics in the broader environment have translated into depressed valuations across all energy subsectors, compounding trends that have persisted since the commodity price downturn began in 2014. As the coronavirus pandemic is expected to continue for the near-term, Riverstone remains extremely focussed on evaluating all strategic and financial options for its portfolio companies to weather through this current period of historic difficulty.</w:t>
      </w:r>
    </w:p>
    <w:p w14:paraId="3B4C2C81" w14:textId="54357EB8" w:rsidR="00307CB7" w:rsidRPr="00DF29DD" w:rsidRDefault="00307CB7" w:rsidP="00DF29DD">
      <w:pPr>
        <w:rPr>
          <w:rFonts w:ascii="Arial" w:eastAsia="Calibri" w:hAnsi="Arial" w:cs="Arial"/>
          <w:sz w:val="20"/>
          <w:szCs w:val="20"/>
        </w:rPr>
      </w:pPr>
    </w:p>
    <w:p w14:paraId="056E4BA2" w14:textId="77777777" w:rsidR="00DF29DD" w:rsidRPr="00DF29DD" w:rsidRDefault="00DF29DD" w:rsidP="00DF29DD">
      <w:pPr>
        <w:ind w:left="567" w:hanging="567"/>
        <w:outlineLvl w:val="1"/>
        <w:rPr>
          <w:rFonts w:ascii="Arial" w:eastAsiaTheme="minorHAnsi" w:hAnsi="Arial" w:cs="Arial"/>
          <w:b/>
          <w:sz w:val="28"/>
          <w:szCs w:val="20"/>
        </w:rPr>
      </w:pPr>
      <w:r w:rsidRPr="00DF29DD">
        <w:rPr>
          <w:rFonts w:ascii="Arial" w:eastAsiaTheme="minorHAnsi" w:hAnsi="Arial" w:cs="Arial"/>
          <w:b/>
          <w:sz w:val="28"/>
          <w:szCs w:val="20"/>
        </w:rPr>
        <w:t>Investment Strategy</w:t>
      </w:r>
    </w:p>
    <w:p w14:paraId="30B34AE1" w14:textId="0CAC1539" w:rsidR="00307CB7" w:rsidRPr="00307CB7" w:rsidRDefault="00307CB7" w:rsidP="00307CB7">
      <w:pPr>
        <w:rPr>
          <w:rFonts w:ascii="Arial" w:eastAsia="Calibri" w:hAnsi="Arial" w:cs="Arial"/>
          <w:sz w:val="20"/>
          <w:szCs w:val="20"/>
        </w:rPr>
      </w:pPr>
      <w:r w:rsidRPr="00307CB7">
        <w:rPr>
          <w:rFonts w:ascii="Arial" w:eastAsia="Calibri" w:hAnsi="Arial" w:cs="Arial"/>
          <w:sz w:val="20"/>
          <w:szCs w:val="20"/>
        </w:rPr>
        <w:t>The Investment Manager’s objective is to achieve superior risk adjusted after tax returns by making privately negotiated investments in the E&amp;P, midstream, services and power</w:t>
      </w:r>
      <w:r w:rsidR="00632645">
        <w:rPr>
          <w:rFonts w:ascii="Arial" w:eastAsia="Calibri" w:hAnsi="Arial" w:cs="Arial"/>
          <w:sz w:val="20"/>
          <w:szCs w:val="20"/>
        </w:rPr>
        <w:t xml:space="preserve"> (including renewable energy)</w:t>
      </w:r>
      <w:r w:rsidRPr="00307CB7">
        <w:rPr>
          <w:rFonts w:ascii="Arial" w:eastAsia="Calibri" w:hAnsi="Arial" w:cs="Arial"/>
          <w:sz w:val="20"/>
          <w:szCs w:val="20"/>
        </w:rPr>
        <w:t xml:space="preserve"> sectors, which are a significant component of virtually all major economies. Long-term market drivers of economic expansion, population growth, development of markets, deregulation, and privatisation allied to near-term commodity price volatility are expected to continue to create opportunities globally for Riverstone.</w:t>
      </w:r>
    </w:p>
    <w:p w14:paraId="694C772C" w14:textId="77777777" w:rsidR="00307CB7" w:rsidRPr="00307CB7" w:rsidRDefault="00307CB7" w:rsidP="00307CB7">
      <w:pPr>
        <w:rPr>
          <w:rFonts w:ascii="Arial" w:eastAsia="Cambria" w:hAnsi="Arial" w:cs="Arial"/>
          <w:sz w:val="20"/>
          <w:szCs w:val="20"/>
        </w:rPr>
      </w:pPr>
    </w:p>
    <w:p w14:paraId="3584C03B" w14:textId="77777777" w:rsidR="00307CB7" w:rsidRPr="00307CB7" w:rsidRDefault="00307CB7" w:rsidP="00307CB7">
      <w:pPr>
        <w:spacing w:after="100"/>
        <w:rPr>
          <w:rFonts w:ascii="Arial" w:eastAsia="Cambria" w:hAnsi="Arial" w:cs="Arial"/>
          <w:sz w:val="20"/>
          <w:szCs w:val="20"/>
        </w:rPr>
      </w:pPr>
      <w:r w:rsidRPr="00307CB7">
        <w:rPr>
          <w:rFonts w:ascii="Arial" w:eastAsia="Cambria" w:hAnsi="Arial" w:cs="Arial"/>
          <w:sz w:val="20"/>
          <w:szCs w:val="20"/>
        </w:rPr>
        <w:t>Key Drivers:</w:t>
      </w:r>
    </w:p>
    <w:p w14:paraId="40CF6AD4" w14:textId="77777777" w:rsidR="00307CB7" w:rsidRPr="00307CB7" w:rsidRDefault="00307CB7" w:rsidP="00307CB7">
      <w:pPr>
        <w:spacing w:after="100"/>
        <w:ind w:left="284" w:hanging="284"/>
        <w:rPr>
          <w:rFonts w:ascii="Arial" w:eastAsia="Cambria" w:hAnsi="Arial" w:cs="Arial"/>
          <w:sz w:val="20"/>
          <w:szCs w:val="20"/>
        </w:rPr>
      </w:pPr>
      <w:r w:rsidRPr="00307CB7">
        <w:rPr>
          <w:rFonts w:ascii="Arial" w:eastAsia="Cambria" w:hAnsi="Arial" w:cs="Arial"/>
          <w:sz w:val="20"/>
          <w:szCs w:val="20"/>
        </w:rPr>
        <w:t>•</w:t>
      </w:r>
      <w:r w:rsidRPr="00307CB7">
        <w:rPr>
          <w:rFonts w:ascii="Arial" w:eastAsia="Cambria" w:hAnsi="Arial" w:cs="Arial"/>
          <w:sz w:val="20"/>
          <w:szCs w:val="20"/>
        </w:rPr>
        <w:tab/>
        <w:t>Capital constraints among companies with high levels of leverage and/or limited access to public markets;</w:t>
      </w:r>
    </w:p>
    <w:p w14:paraId="70422739" w14:textId="77777777" w:rsidR="00307CB7" w:rsidRPr="00307CB7" w:rsidRDefault="00307CB7" w:rsidP="00307CB7">
      <w:pPr>
        <w:spacing w:after="100"/>
        <w:ind w:left="284" w:hanging="284"/>
        <w:rPr>
          <w:rFonts w:ascii="Arial" w:eastAsia="Cambria" w:hAnsi="Arial" w:cs="Arial"/>
          <w:sz w:val="20"/>
          <w:szCs w:val="20"/>
        </w:rPr>
      </w:pPr>
      <w:r w:rsidRPr="00307CB7">
        <w:rPr>
          <w:rFonts w:ascii="Arial" w:eastAsia="Cambria" w:hAnsi="Arial" w:cs="Arial"/>
          <w:sz w:val="20"/>
          <w:szCs w:val="20"/>
        </w:rPr>
        <w:t>•</w:t>
      </w:r>
      <w:r w:rsidRPr="00307CB7">
        <w:rPr>
          <w:rFonts w:ascii="Arial" w:eastAsia="Cambria" w:hAnsi="Arial" w:cs="Arial"/>
          <w:sz w:val="20"/>
          <w:szCs w:val="20"/>
        </w:rPr>
        <w:tab/>
        <w:t>Industry distress and pressures to rationalise assets;</w:t>
      </w:r>
    </w:p>
    <w:p w14:paraId="34E7983D" w14:textId="77777777" w:rsidR="00307CB7" w:rsidRPr="00307CB7" w:rsidRDefault="00307CB7" w:rsidP="00307CB7">
      <w:pPr>
        <w:spacing w:after="100"/>
        <w:ind w:left="284" w:hanging="284"/>
        <w:rPr>
          <w:rFonts w:ascii="Arial" w:eastAsia="Cambria" w:hAnsi="Arial" w:cs="Arial"/>
          <w:sz w:val="20"/>
          <w:szCs w:val="20"/>
        </w:rPr>
      </w:pPr>
      <w:r w:rsidRPr="00307CB7">
        <w:rPr>
          <w:rFonts w:ascii="Arial" w:eastAsia="Cambria" w:hAnsi="Arial" w:cs="Arial"/>
          <w:sz w:val="20"/>
          <w:szCs w:val="20"/>
        </w:rPr>
        <w:t>•</w:t>
      </w:r>
      <w:r w:rsidRPr="00307CB7">
        <w:rPr>
          <w:rFonts w:ascii="Arial" w:eastAsia="Cambria" w:hAnsi="Arial" w:cs="Arial"/>
          <w:sz w:val="20"/>
          <w:szCs w:val="20"/>
        </w:rPr>
        <w:tab/>
        <w:t>Increases in ability to extract hydrocarbons from oil and gas-rich shale formations;</w:t>
      </w:r>
    </w:p>
    <w:p w14:paraId="33C8309B" w14:textId="77777777" w:rsidR="00307CB7" w:rsidRPr="00307CB7" w:rsidRDefault="00307CB7" w:rsidP="00307CB7">
      <w:pPr>
        <w:spacing w:after="100"/>
        <w:ind w:left="284" w:hanging="284"/>
        <w:rPr>
          <w:rFonts w:ascii="Arial" w:eastAsia="Cambria" w:hAnsi="Arial" w:cs="Arial"/>
          <w:sz w:val="20"/>
          <w:szCs w:val="20"/>
        </w:rPr>
      </w:pPr>
      <w:r w:rsidRPr="00307CB7">
        <w:rPr>
          <w:rFonts w:ascii="Arial" w:eastAsia="Cambria" w:hAnsi="Arial" w:cs="Arial"/>
          <w:sz w:val="20"/>
          <w:szCs w:val="20"/>
        </w:rPr>
        <w:t>•</w:t>
      </w:r>
      <w:r w:rsidRPr="00307CB7">
        <w:rPr>
          <w:rFonts w:ascii="Arial" w:eastAsia="Cambria" w:hAnsi="Arial" w:cs="Arial"/>
          <w:sz w:val="20"/>
          <w:szCs w:val="20"/>
        </w:rPr>
        <w:tab/>
        <w:t>Historical under-investment in energy infrastructure; and</w:t>
      </w:r>
    </w:p>
    <w:p w14:paraId="21FD78FC" w14:textId="08483361" w:rsidR="00307CB7" w:rsidRPr="00307CB7" w:rsidRDefault="00307CB7" w:rsidP="00307CB7">
      <w:pPr>
        <w:spacing w:after="100"/>
        <w:ind w:left="284" w:hanging="284"/>
        <w:rPr>
          <w:rFonts w:ascii="Arial" w:eastAsia="Cambria" w:hAnsi="Arial" w:cs="Arial"/>
          <w:sz w:val="20"/>
          <w:szCs w:val="20"/>
        </w:rPr>
      </w:pPr>
      <w:r w:rsidRPr="00307CB7">
        <w:rPr>
          <w:rFonts w:ascii="Arial" w:eastAsia="Cambria" w:hAnsi="Arial" w:cs="Arial"/>
          <w:sz w:val="20"/>
          <w:szCs w:val="20"/>
        </w:rPr>
        <w:t>•</w:t>
      </w:r>
      <w:r w:rsidRPr="00307CB7">
        <w:rPr>
          <w:rFonts w:ascii="Arial" w:eastAsia="Cambria" w:hAnsi="Arial" w:cs="Arial"/>
          <w:sz w:val="20"/>
          <w:szCs w:val="20"/>
        </w:rPr>
        <w:tab/>
        <w:t>Rapid growth in electricity consumption</w:t>
      </w:r>
      <w:r w:rsidR="00632645">
        <w:rPr>
          <w:rFonts w:ascii="Arial" w:eastAsia="Cambria" w:hAnsi="Arial" w:cs="Arial"/>
          <w:sz w:val="20"/>
          <w:szCs w:val="20"/>
        </w:rPr>
        <w:t xml:space="preserve"> and energy transition</w:t>
      </w:r>
      <w:r w:rsidRPr="00307CB7">
        <w:rPr>
          <w:rFonts w:ascii="Arial" w:eastAsia="Cambria" w:hAnsi="Arial" w:cs="Arial"/>
          <w:sz w:val="20"/>
          <w:szCs w:val="20"/>
        </w:rPr>
        <w:t>.</w:t>
      </w:r>
    </w:p>
    <w:p w14:paraId="14172AC0" w14:textId="77777777" w:rsidR="00307CB7" w:rsidRPr="00307CB7" w:rsidRDefault="00307CB7" w:rsidP="00307CB7">
      <w:pPr>
        <w:spacing w:line="276" w:lineRule="auto"/>
        <w:rPr>
          <w:rFonts w:ascii="Arial" w:eastAsia="Cambria" w:hAnsi="Arial" w:cs="Arial"/>
          <w:sz w:val="20"/>
          <w:szCs w:val="20"/>
        </w:rPr>
      </w:pPr>
    </w:p>
    <w:p w14:paraId="57CFBB00" w14:textId="2AFE05BF" w:rsidR="00307CB7" w:rsidRPr="00307CB7" w:rsidRDefault="00307CB7" w:rsidP="00307CB7">
      <w:pPr>
        <w:rPr>
          <w:rFonts w:ascii="Arial" w:eastAsia="Calibri" w:hAnsi="Arial" w:cs="Arial"/>
          <w:sz w:val="20"/>
          <w:szCs w:val="20"/>
        </w:rPr>
      </w:pPr>
      <w:r w:rsidRPr="00307CB7">
        <w:rPr>
          <w:rFonts w:ascii="Arial" w:eastAsia="Calibri" w:hAnsi="Arial" w:cs="Arial"/>
          <w:sz w:val="20"/>
          <w:szCs w:val="20"/>
        </w:rPr>
        <w:t>The Investment Manager, through its affiliates, has a strong track record of building businesses with management teams. The Company aims to capitalise on the opportunities presented by Riverstone’s pipeline of investments, as well as through its modified investment strategy implemented in 2019.</w:t>
      </w:r>
      <w:r w:rsidRPr="00307CB7">
        <w:rPr>
          <w:rFonts w:ascii="Arial" w:eastAsia="Calibri" w:hAnsi="Arial" w:cs="Arial"/>
          <w:sz w:val="20"/>
          <w:szCs w:val="20"/>
          <w:lang w:val="en-US"/>
        </w:rPr>
        <w:t xml:space="preserve"> This can be seen through the Partnership’s investment in</w:t>
      </w:r>
      <w:r w:rsidR="001B3B87">
        <w:rPr>
          <w:rFonts w:ascii="Arial" w:eastAsia="Calibri" w:hAnsi="Arial" w:cs="Arial"/>
          <w:sz w:val="20"/>
          <w:szCs w:val="20"/>
          <w:lang w:val="en-US"/>
        </w:rPr>
        <w:t xml:space="preserve"> </w:t>
      </w:r>
      <w:r w:rsidRPr="00307CB7">
        <w:rPr>
          <w:rFonts w:ascii="Arial" w:eastAsia="Calibri" w:hAnsi="Arial" w:cs="Arial"/>
          <w:sz w:val="20"/>
          <w:szCs w:val="20"/>
          <w:lang w:val="en-US"/>
        </w:rPr>
        <w:t>Ridgebury H3</w:t>
      </w:r>
      <w:r w:rsidR="00680BEB">
        <w:rPr>
          <w:rFonts w:ascii="Arial" w:eastAsia="Calibri" w:hAnsi="Arial" w:cs="Arial"/>
          <w:sz w:val="20"/>
          <w:szCs w:val="20"/>
          <w:lang w:val="en-US"/>
        </w:rPr>
        <w:t xml:space="preserve"> in 2019</w:t>
      </w:r>
      <w:r w:rsidRPr="00307CB7">
        <w:rPr>
          <w:rFonts w:ascii="Arial" w:eastAsia="Calibri" w:hAnsi="Arial" w:cs="Arial"/>
          <w:sz w:val="20"/>
          <w:szCs w:val="20"/>
          <w:lang w:val="en-US"/>
        </w:rPr>
        <w:t xml:space="preserve"> as the Private Riverstone Funds did not participate</w:t>
      </w:r>
      <w:r w:rsidRPr="00307CB7">
        <w:rPr>
          <w:rFonts w:ascii="Arial" w:eastAsia="Calibri" w:hAnsi="Arial" w:cs="Arial"/>
          <w:sz w:val="20"/>
          <w:szCs w:val="20"/>
        </w:rPr>
        <w:t>.</w:t>
      </w:r>
    </w:p>
    <w:p w14:paraId="5745D221" w14:textId="77777777" w:rsidR="00307CB7" w:rsidRPr="00307CB7" w:rsidRDefault="00307CB7" w:rsidP="00307CB7">
      <w:pPr>
        <w:rPr>
          <w:rFonts w:ascii="Arial" w:eastAsia="Calibri" w:hAnsi="Arial" w:cs="Arial"/>
          <w:sz w:val="20"/>
          <w:szCs w:val="20"/>
        </w:rPr>
      </w:pPr>
    </w:p>
    <w:p w14:paraId="2C9B21BE" w14:textId="722F68EC" w:rsidR="00307CB7" w:rsidRPr="00307CB7" w:rsidRDefault="00307CB7" w:rsidP="00307CB7">
      <w:pPr>
        <w:rPr>
          <w:rFonts w:ascii="Arial" w:eastAsia="Calibri" w:hAnsi="Arial" w:cs="Arial"/>
          <w:sz w:val="20"/>
          <w:szCs w:val="20"/>
        </w:rPr>
      </w:pPr>
      <w:r w:rsidRPr="00307CB7">
        <w:rPr>
          <w:rFonts w:ascii="Arial" w:eastAsia="Calibri" w:hAnsi="Arial" w:cs="Arial"/>
          <w:sz w:val="20"/>
          <w:szCs w:val="20"/>
        </w:rPr>
        <w:t xml:space="preserve">The Investment Manager, having made over </w:t>
      </w:r>
      <w:r w:rsidR="00D95F11">
        <w:rPr>
          <w:rFonts w:ascii="Arial" w:eastAsia="Calibri" w:hAnsi="Arial" w:cs="Arial"/>
          <w:sz w:val="20"/>
          <w:szCs w:val="20"/>
        </w:rPr>
        <w:t>190</w:t>
      </w:r>
      <w:r w:rsidRPr="00307CB7">
        <w:rPr>
          <w:rFonts w:ascii="Arial" w:eastAsia="Calibri" w:hAnsi="Arial" w:cs="Arial"/>
          <w:sz w:val="20"/>
          <w:szCs w:val="20"/>
        </w:rPr>
        <w:t xml:space="preserve"> investments globally in the energy sector since being founded in 2000, utilises its extensive industry expertise and relationships to thoroughly evaluate investment opportunities and uses its significant experience in conducting due diligence, valuing assets and all other aspects of deal execution, including financial and legal structuring, accounting and compensation design. The Investment Manager also draws upon its extensive network of relationships with industry-focussed professional advisory firms to assist with due diligence in other areas such as accounting, tax, legal, employee benefits, environmental, engineering and insurance.</w:t>
      </w:r>
    </w:p>
    <w:p w14:paraId="6AD5ECBB" w14:textId="1C889932" w:rsidR="00DF29DD" w:rsidRDefault="00DF29DD" w:rsidP="00DF29DD">
      <w:pPr>
        <w:jc w:val="both"/>
        <w:rPr>
          <w:rFonts w:ascii="Arial" w:eastAsia="Calibri" w:hAnsi="Arial" w:cs="Arial"/>
          <w:sz w:val="20"/>
          <w:szCs w:val="20"/>
        </w:rPr>
      </w:pPr>
    </w:p>
    <w:p w14:paraId="71B6F0FF" w14:textId="77777777" w:rsidR="00DF29DD" w:rsidRPr="00DF29DD" w:rsidRDefault="00DF29DD" w:rsidP="00DF29DD">
      <w:pPr>
        <w:rPr>
          <w:rFonts w:ascii="Arial" w:eastAsiaTheme="minorHAnsi" w:hAnsi="Arial" w:cs="Arial"/>
          <w:b/>
          <w:sz w:val="28"/>
          <w:szCs w:val="20"/>
        </w:rPr>
      </w:pPr>
      <w:r w:rsidRPr="00DF29DD">
        <w:rPr>
          <w:rFonts w:ascii="Arial" w:eastAsiaTheme="minorHAnsi" w:hAnsi="Arial" w:cs="Arial"/>
          <w:b/>
          <w:sz w:val="28"/>
          <w:szCs w:val="20"/>
        </w:rPr>
        <w:t>Current Portfolio</w:t>
      </w:r>
    </w:p>
    <w:tbl>
      <w:tblPr>
        <w:tblW w:w="5588" w:type="pct"/>
        <w:tblInd w:w="-430" w:type="dxa"/>
        <w:tblLayout w:type="fixed"/>
        <w:tblCellMar>
          <w:left w:w="0" w:type="dxa"/>
          <w:right w:w="0" w:type="dxa"/>
        </w:tblCellMar>
        <w:tblLook w:val="0420" w:firstRow="1" w:lastRow="0" w:firstColumn="0" w:lastColumn="0" w:noHBand="0" w:noVBand="1"/>
      </w:tblPr>
      <w:tblGrid>
        <w:gridCol w:w="1698"/>
        <w:gridCol w:w="162"/>
        <w:gridCol w:w="1686"/>
        <w:gridCol w:w="1170"/>
        <w:gridCol w:w="990"/>
        <w:gridCol w:w="993"/>
        <w:gridCol w:w="1084"/>
        <w:gridCol w:w="1353"/>
        <w:gridCol w:w="901"/>
        <w:gridCol w:w="894"/>
      </w:tblGrid>
      <w:tr w:rsidR="00DF29DD" w:rsidRPr="00DF29DD" w14:paraId="669477F5" w14:textId="77777777" w:rsidTr="00AD57E5">
        <w:trPr>
          <w:trHeight w:val="507"/>
        </w:trPr>
        <w:tc>
          <w:tcPr>
            <w:tcW w:w="777" w:type="pct"/>
            <w:tcBorders>
              <w:bottom w:val="single" w:sz="4" w:space="0" w:color="auto"/>
            </w:tcBorders>
            <w:shd w:val="clear" w:color="auto" w:fill="auto"/>
            <w:tcMar>
              <w:top w:w="15" w:type="dxa"/>
              <w:left w:w="137" w:type="dxa"/>
              <w:bottom w:w="0" w:type="dxa"/>
              <w:right w:w="15" w:type="dxa"/>
            </w:tcMar>
            <w:vAlign w:val="bottom"/>
          </w:tcPr>
          <w:p w14:paraId="12486DCF" w14:textId="77777777" w:rsidR="00DF29DD" w:rsidRPr="00DF29DD" w:rsidRDefault="00DF29DD" w:rsidP="00A12224">
            <w:pPr>
              <w:spacing w:line="280" w:lineRule="exact"/>
              <w:rPr>
                <w:rFonts w:ascii="Arial" w:eastAsia="Calibri" w:hAnsi="Arial" w:cs="Arial"/>
                <w:b/>
                <w:sz w:val="20"/>
                <w:szCs w:val="20"/>
                <w:lang w:val="en-US"/>
              </w:rPr>
            </w:pPr>
            <w:r w:rsidRPr="00DF29DD">
              <w:rPr>
                <w:rFonts w:ascii="Arial" w:eastAsia="Calibri" w:hAnsi="Arial" w:cs="Arial"/>
                <w:b/>
                <w:sz w:val="20"/>
                <w:szCs w:val="20"/>
                <w:lang w:val="en-US"/>
              </w:rPr>
              <w:t>Investment</w:t>
            </w:r>
          </w:p>
          <w:p w14:paraId="7FA96BBF" w14:textId="77777777" w:rsidR="00DF29DD" w:rsidRPr="00DF29DD" w:rsidRDefault="00DF29DD" w:rsidP="00A12224">
            <w:pPr>
              <w:spacing w:line="280" w:lineRule="exact"/>
              <w:rPr>
                <w:rFonts w:ascii="Arial" w:eastAsia="Calibri" w:hAnsi="Arial" w:cs="Arial"/>
                <w:i/>
                <w:sz w:val="20"/>
                <w:szCs w:val="20"/>
                <w:lang w:val="en-US"/>
              </w:rPr>
            </w:pPr>
            <w:r w:rsidRPr="00DF29DD">
              <w:rPr>
                <w:rFonts w:ascii="Arial" w:eastAsia="Calibri" w:hAnsi="Arial" w:cs="Arial"/>
                <w:i/>
                <w:sz w:val="20"/>
                <w:szCs w:val="20"/>
                <w:lang w:val="en-US"/>
              </w:rPr>
              <w:t>(Initial Investment Date)</w:t>
            </w:r>
          </w:p>
        </w:tc>
        <w:tc>
          <w:tcPr>
            <w:tcW w:w="74" w:type="pct"/>
            <w:tcBorders>
              <w:bottom w:val="single" w:sz="4" w:space="0" w:color="auto"/>
            </w:tcBorders>
            <w:shd w:val="clear" w:color="auto" w:fill="auto"/>
            <w:tcMar>
              <w:top w:w="15" w:type="dxa"/>
              <w:left w:w="69" w:type="dxa"/>
              <w:bottom w:w="0" w:type="dxa"/>
              <w:right w:w="69" w:type="dxa"/>
            </w:tcMar>
            <w:vAlign w:val="bottom"/>
          </w:tcPr>
          <w:p w14:paraId="21977E84" w14:textId="77777777" w:rsidR="00DF29DD" w:rsidRPr="00DF29DD" w:rsidRDefault="00DF29DD" w:rsidP="00DF29DD">
            <w:pPr>
              <w:spacing w:line="280" w:lineRule="exact"/>
              <w:jc w:val="center"/>
              <w:rPr>
                <w:rFonts w:ascii="Arial" w:eastAsia="Calibri" w:hAnsi="Arial" w:cs="Arial"/>
                <w:color w:val="000000"/>
                <w:sz w:val="20"/>
                <w:szCs w:val="20"/>
                <w:lang w:val="en-US"/>
              </w:rPr>
            </w:pPr>
          </w:p>
        </w:tc>
        <w:tc>
          <w:tcPr>
            <w:tcW w:w="771" w:type="pct"/>
            <w:tcBorders>
              <w:bottom w:val="single" w:sz="4" w:space="0" w:color="auto"/>
            </w:tcBorders>
            <w:shd w:val="clear" w:color="auto" w:fill="auto"/>
            <w:vAlign w:val="bottom"/>
            <w:hideMark/>
          </w:tcPr>
          <w:p w14:paraId="4BDD58CE" w14:textId="77777777" w:rsidR="00DF29DD" w:rsidRPr="00DF29DD" w:rsidRDefault="00DF29DD" w:rsidP="00DF29DD">
            <w:pPr>
              <w:spacing w:line="280" w:lineRule="exact"/>
              <w:jc w:val="center"/>
              <w:rPr>
                <w:rFonts w:ascii="Arial" w:eastAsia="Calibri" w:hAnsi="Arial" w:cs="Arial"/>
                <w:color w:val="000000"/>
                <w:sz w:val="20"/>
                <w:szCs w:val="20"/>
                <w:lang w:val="en-US"/>
              </w:rPr>
            </w:pPr>
            <w:r w:rsidRPr="00DF29DD">
              <w:rPr>
                <w:rFonts w:ascii="Arial" w:hAnsi="Arial" w:cs="Arial"/>
                <w:b/>
                <w:bCs/>
                <w:sz w:val="20"/>
                <w:szCs w:val="20"/>
                <w:lang w:val="en-US"/>
              </w:rPr>
              <w:t>Target Basin</w:t>
            </w:r>
          </w:p>
        </w:tc>
        <w:tc>
          <w:tcPr>
            <w:tcW w:w="535" w:type="pct"/>
            <w:tcBorders>
              <w:bottom w:val="single" w:sz="4" w:space="0" w:color="auto"/>
            </w:tcBorders>
            <w:shd w:val="clear" w:color="auto" w:fill="auto"/>
            <w:vAlign w:val="bottom"/>
            <w:hideMark/>
          </w:tcPr>
          <w:p w14:paraId="05A4C249" w14:textId="77777777" w:rsidR="00DF29DD" w:rsidRPr="00DF29DD" w:rsidRDefault="00DF29DD" w:rsidP="00DF29DD">
            <w:pPr>
              <w:spacing w:line="280" w:lineRule="exact"/>
              <w:jc w:val="center"/>
              <w:rPr>
                <w:rFonts w:ascii="Arial" w:eastAsia="Calibri" w:hAnsi="Arial" w:cs="Arial"/>
                <w:sz w:val="20"/>
                <w:szCs w:val="20"/>
                <w:lang w:val="en-US"/>
              </w:rPr>
            </w:pPr>
            <w:r w:rsidRPr="00DF29DD">
              <w:rPr>
                <w:rFonts w:ascii="Arial" w:hAnsi="Arial" w:cs="Arial"/>
                <w:b/>
                <w:bCs/>
                <w:sz w:val="20"/>
                <w:szCs w:val="20"/>
                <w:lang w:val="en-US"/>
              </w:rPr>
              <w:t>Gross Committed Capital  ($mm)</w:t>
            </w:r>
          </w:p>
        </w:tc>
        <w:tc>
          <w:tcPr>
            <w:tcW w:w="453" w:type="pct"/>
            <w:tcBorders>
              <w:bottom w:val="single" w:sz="4" w:space="0" w:color="auto"/>
            </w:tcBorders>
            <w:shd w:val="clear" w:color="auto" w:fill="auto"/>
            <w:tcMar>
              <w:top w:w="15" w:type="dxa"/>
              <w:left w:w="69" w:type="dxa"/>
              <w:bottom w:w="0" w:type="dxa"/>
              <w:right w:w="69" w:type="dxa"/>
            </w:tcMar>
            <w:vAlign w:val="bottom"/>
            <w:hideMark/>
          </w:tcPr>
          <w:p w14:paraId="1CBE3021" w14:textId="77777777" w:rsidR="00DF29DD" w:rsidRPr="00DF29DD" w:rsidRDefault="00DF29DD" w:rsidP="00DF29DD">
            <w:pPr>
              <w:spacing w:line="280" w:lineRule="exact"/>
              <w:jc w:val="center"/>
              <w:rPr>
                <w:rFonts w:ascii="Arial" w:hAnsi="Arial" w:cs="Arial"/>
                <w:b/>
                <w:bCs/>
                <w:sz w:val="20"/>
                <w:szCs w:val="20"/>
                <w:lang w:val="en-US"/>
              </w:rPr>
            </w:pPr>
            <w:r w:rsidRPr="00DF29DD">
              <w:rPr>
                <w:rFonts w:ascii="Arial" w:hAnsi="Arial" w:cs="Arial"/>
                <w:b/>
                <w:bCs/>
                <w:sz w:val="20"/>
                <w:szCs w:val="20"/>
                <w:lang w:val="en-US"/>
              </w:rPr>
              <w:t>Invested</w:t>
            </w:r>
          </w:p>
          <w:p w14:paraId="47493203" w14:textId="77777777" w:rsidR="00DF29DD" w:rsidRPr="00DF29DD" w:rsidRDefault="00DF29DD" w:rsidP="00DF29DD">
            <w:pPr>
              <w:spacing w:line="280" w:lineRule="exact"/>
              <w:jc w:val="center"/>
              <w:rPr>
                <w:rFonts w:ascii="Arial" w:eastAsia="Calibri" w:hAnsi="Arial" w:cs="Arial"/>
                <w:sz w:val="20"/>
                <w:szCs w:val="20"/>
                <w:lang w:val="en-US"/>
              </w:rPr>
            </w:pPr>
            <w:r w:rsidRPr="00DF29DD">
              <w:rPr>
                <w:rFonts w:ascii="Arial" w:hAnsi="Arial" w:cs="Arial"/>
                <w:b/>
                <w:bCs/>
                <w:sz w:val="20"/>
                <w:szCs w:val="20"/>
                <w:lang w:val="en-US"/>
              </w:rPr>
              <w:t>Capital ($mm)</w:t>
            </w:r>
          </w:p>
        </w:tc>
        <w:tc>
          <w:tcPr>
            <w:tcW w:w="454" w:type="pct"/>
            <w:tcBorders>
              <w:bottom w:val="single" w:sz="4" w:space="0" w:color="auto"/>
            </w:tcBorders>
            <w:shd w:val="clear" w:color="auto" w:fill="auto"/>
            <w:tcMar>
              <w:top w:w="15" w:type="dxa"/>
              <w:left w:w="69" w:type="dxa"/>
              <w:bottom w:w="0" w:type="dxa"/>
              <w:right w:w="69" w:type="dxa"/>
            </w:tcMar>
            <w:vAlign w:val="bottom"/>
            <w:hideMark/>
          </w:tcPr>
          <w:p w14:paraId="5E1076A1" w14:textId="77777777" w:rsidR="00DF29DD" w:rsidRPr="00DF29DD" w:rsidRDefault="00DF29DD" w:rsidP="00DF29DD">
            <w:pPr>
              <w:spacing w:line="280" w:lineRule="exact"/>
              <w:jc w:val="center"/>
              <w:rPr>
                <w:rFonts w:ascii="Arial" w:hAnsi="Arial" w:cs="Arial"/>
                <w:b/>
                <w:bCs/>
                <w:sz w:val="20"/>
                <w:szCs w:val="20"/>
                <w:lang w:val="en-US"/>
              </w:rPr>
            </w:pPr>
            <w:r w:rsidRPr="00DF29DD">
              <w:rPr>
                <w:rFonts w:ascii="Arial" w:hAnsi="Arial" w:cs="Arial"/>
                <w:b/>
                <w:bCs/>
                <w:sz w:val="20"/>
                <w:szCs w:val="20"/>
                <w:lang w:val="en-US"/>
              </w:rPr>
              <w:t>Gross Realised</w:t>
            </w:r>
          </w:p>
          <w:p w14:paraId="38A3DAA7" w14:textId="77777777" w:rsidR="00DF29DD" w:rsidRPr="00DF29DD" w:rsidRDefault="00DF29DD" w:rsidP="00DF29DD">
            <w:pPr>
              <w:spacing w:line="280" w:lineRule="exact"/>
              <w:jc w:val="center"/>
              <w:rPr>
                <w:rFonts w:ascii="Arial" w:eastAsia="Calibri" w:hAnsi="Arial" w:cs="Arial"/>
                <w:color w:val="000000"/>
                <w:sz w:val="20"/>
                <w:szCs w:val="20"/>
                <w:lang w:val="en-US"/>
              </w:rPr>
            </w:pPr>
            <w:r w:rsidRPr="00DF29DD">
              <w:rPr>
                <w:rFonts w:ascii="Arial" w:hAnsi="Arial" w:cs="Arial"/>
                <w:b/>
                <w:bCs/>
                <w:sz w:val="20"/>
                <w:szCs w:val="20"/>
                <w:lang w:val="en-US"/>
              </w:rPr>
              <w:t>Capital ($mm)</w:t>
            </w:r>
            <w:r w:rsidRPr="00DF29DD">
              <w:rPr>
                <w:rFonts w:ascii="Arial" w:hAnsi="Arial" w:cs="Arial"/>
                <w:b/>
                <w:bCs/>
                <w:sz w:val="20"/>
                <w:szCs w:val="20"/>
                <w:vertAlign w:val="superscript"/>
                <w:lang w:val="en-US"/>
              </w:rPr>
              <w:t>(1)</w:t>
            </w:r>
          </w:p>
        </w:tc>
        <w:tc>
          <w:tcPr>
            <w:tcW w:w="496" w:type="pct"/>
            <w:tcBorders>
              <w:bottom w:val="single" w:sz="4" w:space="0" w:color="auto"/>
            </w:tcBorders>
            <w:shd w:val="clear" w:color="auto" w:fill="auto"/>
          </w:tcPr>
          <w:p w14:paraId="2A623D70" w14:textId="77777777" w:rsidR="00DF29DD" w:rsidRPr="00DF29DD" w:rsidRDefault="00DF29DD" w:rsidP="00DF29DD">
            <w:pPr>
              <w:spacing w:line="280" w:lineRule="exact"/>
              <w:jc w:val="center"/>
              <w:rPr>
                <w:rFonts w:ascii="Arial" w:hAnsi="Arial" w:cs="Arial"/>
                <w:b/>
                <w:bCs/>
                <w:sz w:val="20"/>
                <w:szCs w:val="20"/>
                <w:lang w:val="en-US"/>
              </w:rPr>
            </w:pPr>
          </w:p>
          <w:p w14:paraId="15DBCB88" w14:textId="77777777" w:rsidR="00DF29DD" w:rsidRPr="00DF29DD" w:rsidRDefault="00DF29DD" w:rsidP="00DF29DD">
            <w:pPr>
              <w:spacing w:line="280" w:lineRule="exact"/>
              <w:jc w:val="center"/>
              <w:rPr>
                <w:rFonts w:ascii="Arial" w:hAnsi="Arial" w:cs="Arial"/>
                <w:b/>
                <w:bCs/>
                <w:sz w:val="20"/>
                <w:szCs w:val="20"/>
                <w:lang w:val="en-US"/>
              </w:rPr>
            </w:pPr>
            <w:r w:rsidRPr="00DF29DD">
              <w:rPr>
                <w:rFonts w:ascii="Arial" w:hAnsi="Arial" w:cs="Arial"/>
                <w:b/>
                <w:bCs/>
                <w:sz w:val="20"/>
                <w:szCs w:val="20"/>
                <w:lang w:val="en-US"/>
              </w:rPr>
              <w:t>Gross Unrealised Value</w:t>
            </w:r>
          </w:p>
          <w:p w14:paraId="2C1BD738" w14:textId="5D4AB367" w:rsidR="00DF29DD" w:rsidRPr="00DF29DD" w:rsidRDefault="00DF29DD" w:rsidP="00DF29DD">
            <w:pPr>
              <w:spacing w:line="280" w:lineRule="exact"/>
              <w:jc w:val="center"/>
              <w:rPr>
                <w:rFonts w:ascii="Arial" w:hAnsi="Arial" w:cs="Arial"/>
                <w:b/>
                <w:bCs/>
                <w:sz w:val="20"/>
                <w:szCs w:val="20"/>
                <w:lang w:val="en-US"/>
              </w:rPr>
            </w:pPr>
            <w:r w:rsidRPr="00DF29DD">
              <w:rPr>
                <w:rFonts w:ascii="Arial" w:hAnsi="Arial" w:cs="Arial"/>
                <w:b/>
                <w:bCs/>
                <w:sz w:val="20"/>
                <w:szCs w:val="20"/>
                <w:lang w:val="en-US"/>
              </w:rPr>
              <w:t>($mm)</w:t>
            </w:r>
          </w:p>
        </w:tc>
        <w:tc>
          <w:tcPr>
            <w:tcW w:w="619" w:type="pct"/>
            <w:tcBorders>
              <w:bottom w:val="single" w:sz="4" w:space="0" w:color="auto"/>
            </w:tcBorders>
            <w:shd w:val="clear" w:color="auto" w:fill="auto"/>
            <w:vAlign w:val="bottom"/>
            <w:hideMark/>
          </w:tcPr>
          <w:p w14:paraId="431C4105" w14:textId="3265F80F" w:rsidR="00DF29DD" w:rsidRPr="00DF29DD" w:rsidRDefault="00DF29DD" w:rsidP="00680BEB">
            <w:pPr>
              <w:spacing w:line="280" w:lineRule="exact"/>
              <w:jc w:val="center"/>
              <w:rPr>
                <w:rFonts w:ascii="Arial" w:eastAsia="Calibri" w:hAnsi="Arial" w:cs="Arial"/>
                <w:sz w:val="20"/>
                <w:szCs w:val="20"/>
                <w:lang w:val="en-US"/>
              </w:rPr>
            </w:pPr>
            <w:r w:rsidRPr="00DF29DD">
              <w:rPr>
                <w:rFonts w:ascii="Arial" w:hAnsi="Arial" w:cs="Arial"/>
                <w:b/>
                <w:bCs/>
                <w:sz w:val="20"/>
                <w:szCs w:val="20"/>
                <w:lang w:val="en-US"/>
              </w:rPr>
              <w:t>Gross Realised Capital &amp; Unrealised Value ($mm)</w:t>
            </w:r>
          </w:p>
        </w:tc>
        <w:tc>
          <w:tcPr>
            <w:tcW w:w="412" w:type="pct"/>
            <w:tcBorders>
              <w:bottom w:val="single" w:sz="4" w:space="0" w:color="auto"/>
            </w:tcBorders>
            <w:shd w:val="clear" w:color="auto" w:fill="auto"/>
            <w:tcMar>
              <w:top w:w="15" w:type="dxa"/>
              <w:left w:w="69" w:type="dxa"/>
              <w:bottom w:w="0" w:type="dxa"/>
              <w:right w:w="69" w:type="dxa"/>
            </w:tcMar>
            <w:vAlign w:val="bottom"/>
            <w:hideMark/>
          </w:tcPr>
          <w:p w14:paraId="2DF72B74" w14:textId="0C63D8BC" w:rsidR="00DF29DD" w:rsidRPr="00DF29DD" w:rsidRDefault="00307CB7" w:rsidP="00680BEB">
            <w:pPr>
              <w:spacing w:line="280" w:lineRule="exact"/>
              <w:jc w:val="center"/>
              <w:rPr>
                <w:rFonts w:ascii="Arial" w:eastAsia="Calibri" w:hAnsi="Arial" w:cs="Arial"/>
                <w:sz w:val="20"/>
                <w:szCs w:val="20"/>
                <w:lang w:val="en-US"/>
              </w:rPr>
            </w:pPr>
            <w:r>
              <w:rPr>
                <w:rFonts w:ascii="Arial" w:hAnsi="Arial" w:cs="Arial"/>
                <w:b/>
                <w:bCs/>
                <w:sz w:val="20"/>
                <w:szCs w:val="20"/>
                <w:lang w:val="en-US"/>
              </w:rPr>
              <w:t>30 Jun 2020</w:t>
            </w:r>
            <w:r w:rsidR="00DF29DD" w:rsidRPr="00DF29DD">
              <w:rPr>
                <w:rFonts w:ascii="Arial" w:hAnsi="Arial" w:cs="Arial"/>
                <w:b/>
                <w:bCs/>
                <w:sz w:val="20"/>
                <w:szCs w:val="20"/>
                <w:lang w:val="en-US"/>
              </w:rPr>
              <w:t xml:space="preserve"> Gross MOIC</w:t>
            </w:r>
            <w:r w:rsidR="00DF29DD" w:rsidRPr="00DF29DD">
              <w:rPr>
                <w:rFonts w:ascii="Arial" w:hAnsi="Arial" w:cs="Arial"/>
                <w:b/>
                <w:bCs/>
                <w:sz w:val="20"/>
                <w:szCs w:val="20"/>
                <w:vertAlign w:val="superscript"/>
                <w:lang w:val="en-US"/>
              </w:rPr>
              <w:t>(</w:t>
            </w:r>
            <w:r w:rsidR="00680BEB">
              <w:rPr>
                <w:rFonts w:ascii="Arial" w:hAnsi="Arial" w:cs="Arial"/>
                <w:b/>
                <w:bCs/>
                <w:sz w:val="20"/>
                <w:szCs w:val="20"/>
                <w:vertAlign w:val="superscript"/>
                <w:lang w:val="en-US"/>
              </w:rPr>
              <w:t>2</w:t>
            </w:r>
            <w:r w:rsidR="00DF29DD" w:rsidRPr="00DF29DD">
              <w:rPr>
                <w:rFonts w:ascii="Arial" w:hAnsi="Arial" w:cs="Arial"/>
                <w:b/>
                <w:bCs/>
                <w:sz w:val="20"/>
                <w:szCs w:val="20"/>
                <w:vertAlign w:val="superscript"/>
                <w:lang w:val="en-US"/>
              </w:rPr>
              <w:t>)</w:t>
            </w:r>
          </w:p>
        </w:tc>
        <w:tc>
          <w:tcPr>
            <w:tcW w:w="409" w:type="pct"/>
            <w:tcBorders>
              <w:bottom w:val="single" w:sz="4" w:space="0" w:color="auto"/>
            </w:tcBorders>
          </w:tcPr>
          <w:p w14:paraId="19803831" w14:textId="77777777" w:rsidR="00DF29DD" w:rsidRPr="00DF29DD" w:rsidRDefault="00DF29DD" w:rsidP="00DF29DD">
            <w:pPr>
              <w:spacing w:line="280" w:lineRule="exact"/>
              <w:jc w:val="center"/>
              <w:rPr>
                <w:rFonts w:ascii="Arial" w:hAnsi="Arial" w:cs="Arial"/>
                <w:b/>
                <w:bCs/>
                <w:sz w:val="20"/>
                <w:szCs w:val="20"/>
                <w:lang w:val="en-US"/>
              </w:rPr>
            </w:pPr>
          </w:p>
          <w:p w14:paraId="66F881B2" w14:textId="242ACAE5" w:rsidR="00DF29DD" w:rsidRPr="00DF29DD" w:rsidRDefault="00307CB7" w:rsidP="00680BEB">
            <w:pPr>
              <w:spacing w:line="280" w:lineRule="exact"/>
              <w:jc w:val="center"/>
              <w:rPr>
                <w:rFonts w:ascii="Arial" w:hAnsi="Arial" w:cs="Arial"/>
                <w:b/>
                <w:bCs/>
                <w:sz w:val="20"/>
                <w:szCs w:val="20"/>
                <w:lang w:val="en-US"/>
              </w:rPr>
            </w:pPr>
            <w:r>
              <w:rPr>
                <w:rFonts w:ascii="Arial" w:hAnsi="Arial" w:cs="Arial"/>
                <w:b/>
                <w:bCs/>
                <w:sz w:val="20"/>
                <w:szCs w:val="20"/>
                <w:lang w:val="en-US"/>
              </w:rPr>
              <w:t>31 Dec 2019</w:t>
            </w:r>
            <w:r w:rsidR="00DF29DD" w:rsidRPr="00DF29DD">
              <w:rPr>
                <w:rFonts w:ascii="Arial" w:hAnsi="Arial" w:cs="Arial"/>
                <w:b/>
                <w:bCs/>
                <w:sz w:val="20"/>
                <w:szCs w:val="20"/>
                <w:lang w:val="en-US"/>
              </w:rPr>
              <w:t xml:space="preserve"> Gross MOIC</w:t>
            </w:r>
            <w:r w:rsidR="00DF29DD" w:rsidRPr="00DF29DD">
              <w:rPr>
                <w:rFonts w:ascii="Arial" w:hAnsi="Arial" w:cs="Arial"/>
                <w:b/>
                <w:bCs/>
                <w:sz w:val="20"/>
                <w:szCs w:val="20"/>
                <w:vertAlign w:val="superscript"/>
                <w:lang w:val="en-US"/>
              </w:rPr>
              <w:t>(</w:t>
            </w:r>
            <w:r w:rsidR="00680BEB">
              <w:rPr>
                <w:rFonts w:ascii="Arial" w:hAnsi="Arial" w:cs="Arial"/>
                <w:b/>
                <w:bCs/>
                <w:sz w:val="20"/>
                <w:szCs w:val="20"/>
                <w:vertAlign w:val="superscript"/>
                <w:lang w:val="en-US"/>
              </w:rPr>
              <w:t>2</w:t>
            </w:r>
            <w:r w:rsidR="00DF29DD" w:rsidRPr="00DF29DD">
              <w:rPr>
                <w:rFonts w:ascii="Arial" w:hAnsi="Arial" w:cs="Arial"/>
                <w:b/>
                <w:bCs/>
                <w:sz w:val="20"/>
                <w:szCs w:val="20"/>
                <w:vertAlign w:val="superscript"/>
                <w:lang w:val="en-US"/>
              </w:rPr>
              <w:t>)</w:t>
            </w:r>
          </w:p>
        </w:tc>
      </w:tr>
      <w:tr w:rsidR="00DF29DD" w:rsidRPr="00DF29DD" w14:paraId="5182AFB6" w14:textId="77777777" w:rsidTr="00FD74CD">
        <w:trPr>
          <w:trHeight w:val="673"/>
        </w:trPr>
        <w:tc>
          <w:tcPr>
            <w:tcW w:w="777" w:type="pct"/>
            <w:shd w:val="clear" w:color="auto" w:fill="auto"/>
            <w:tcMar>
              <w:top w:w="15" w:type="dxa"/>
              <w:left w:w="137" w:type="dxa"/>
              <w:bottom w:w="0" w:type="dxa"/>
              <w:right w:w="15" w:type="dxa"/>
            </w:tcMar>
            <w:hideMark/>
          </w:tcPr>
          <w:p w14:paraId="68CADA3A" w14:textId="77777777" w:rsidR="00DF29DD" w:rsidRPr="00DF29DD" w:rsidRDefault="00DF29DD" w:rsidP="00DF29DD">
            <w:pPr>
              <w:rPr>
                <w:rFonts w:ascii="Arial" w:eastAsia="Calibri" w:hAnsi="Arial" w:cs="Arial"/>
                <w:b/>
                <w:sz w:val="20"/>
                <w:szCs w:val="20"/>
                <w:lang w:val="en-US"/>
              </w:rPr>
            </w:pPr>
            <w:r w:rsidRPr="00DF29DD">
              <w:rPr>
                <w:rFonts w:ascii="Arial" w:eastAsia="Calibri" w:hAnsi="Arial" w:cs="Arial"/>
                <w:b/>
                <w:sz w:val="20"/>
                <w:szCs w:val="20"/>
                <w:lang w:val="en-US"/>
              </w:rPr>
              <w:t>Centennial</w:t>
            </w:r>
          </w:p>
          <w:p w14:paraId="4922D64F" w14:textId="77777777" w:rsidR="00DF29DD" w:rsidRPr="00DF29DD" w:rsidRDefault="00DF29DD" w:rsidP="00DF29DD">
            <w:pPr>
              <w:rPr>
                <w:rFonts w:ascii="Arial" w:eastAsia="Calibri" w:hAnsi="Arial" w:cs="Arial"/>
                <w:i/>
                <w:sz w:val="20"/>
                <w:szCs w:val="20"/>
                <w:lang w:val="en-US"/>
              </w:rPr>
            </w:pPr>
            <w:r w:rsidRPr="00DF29DD">
              <w:rPr>
                <w:rFonts w:ascii="Arial" w:eastAsia="Calibri" w:hAnsi="Arial" w:cs="Arial"/>
                <w:i/>
                <w:sz w:val="20"/>
                <w:szCs w:val="20"/>
                <w:lang w:val="en-US"/>
              </w:rPr>
              <w:t>(6 Jul 2016)</w:t>
            </w:r>
          </w:p>
          <w:p w14:paraId="6DA81DBF" w14:textId="7E503B18" w:rsidR="00DF29DD" w:rsidRPr="00DF29DD" w:rsidRDefault="00DF29DD" w:rsidP="00DF29DD">
            <w:pPr>
              <w:rPr>
                <w:rFonts w:ascii="Arial" w:eastAsia="Calibri" w:hAnsi="Arial" w:cs="Arial"/>
                <w:i/>
                <w:sz w:val="20"/>
                <w:szCs w:val="20"/>
                <w:lang w:val="en-US"/>
              </w:rPr>
            </w:pPr>
          </w:p>
        </w:tc>
        <w:tc>
          <w:tcPr>
            <w:tcW w:w="74" w:type="pct"/>
            <w:shd w:val="clear" w:color="auto" w:fill="auto"/>
            <w:tcMar>
              <w:top w:w="15" w:type="dxa"/>
              <w:left w:w="69" w:type="dxa"/>
              <w:bottom w:w="0" w:type="dxa"/>
              <w:right w:w="69" w:type="dxa"/>
            </w:tcMar>
            <w:vAlign w:val="center"/>
          </w:tcPr>
          <w:p w14:paraId="658A28E3" w14:textId="77777777" w:rsidR="00DF29DD" w:rsidRPr="00DF29DD" w:rsidRDefault="00DF29DD" w:rsidP="00DF29DD">
            <w:pPr>
              <w:spacing w:after="200" w:line="276" w:lineRule="auto"/>
              <w:rPr>
                <w:rFonts w:ascii="Arial" w:eastAsia="Calibri" w:hAnsi="Arial" w:cs="Arial"/>
                <w:color w:val="000000"/>
                <w:sz w:val="20"/>
                <w:szCs w:val="20"/>
                <w:lang w:val="en-US"/>
              </w:rPr>
            </w:pPr>
          </w:p>
        </w:tc>
        <w:tc>
          <w:tcPr>
            <w:tcW w:w="771" w:type="pct"/>
            <w:shd w:val="clear" w:color="auto" w:fill="auto"/>
            <w:hideMark/>
          </w:tcPr>
          <w:p w14:paraId="004F7A17" w14:textId="77777777" w:rsidR="00DF29DD" w:rsidRPr="00DF29DD" w:rsidRDefault="00DF29DD" w:rsidP="00DF29DD">
            <w:pPr>
              <w:spacing w:after="200" w:line="276" w:lineRule="auto"/>
              <w:jc w:val="center"/>
              <w:rPr>
                <w:rFonts w:ascii="Arial" w:eastAsia="Calibri" w:hAnsi="Arial" w:cs="Arial"/>
                <w:color w:val="000000"/>
                <w:sz w:val="20"/>
                <w:szCs w:val="20"/>
                <w:lang w:val="en-US"/>
              </w:rPr>
            </w:pPr>
            <w:r w:rsidRPr="00DF29DD">
              <w:rPr>
                <w:rFonts w:ascii="Arial" w:eastAsia="Calibri" w:hAnsi="Arial" w:cs="Arial"/>
                <w:color w:val="000000"/>
                <w:sz w:val="20"/>
                <w:szCs w:val="20"/>
                <w:lang w:val="en-US"/>
              </w:rPr>
              <w:t>Permian (U.S.)</w:t>
            </w:r>
          </w:p>
        </w:tc>
        <w:tc>
          <w:tcPr>
            <w:tcW w:w="535" w:type="pct"/>
            <w:shd w:val="clear" w:color="auto" w:fill="auto"/>
          </w:tcPr>
          <w:p w14:paraId="040B6DDF" w14:textId="352BAB2A" w:rsidR="00DF29DD" w:rsidRPr="00DF29DD" w:rsidRDefault="00DF29DD" w:rsidP="00823FAA">
            <w:pPr>
              <w:spacing w:after="200" w:line="276" w:lineRule="auto"/>
              <w:jc w:val="center"/>
              <w:rPr>
                <w:rFonts w:ascii="Arial" w:eastAsia="Calibri" w:hAnsi="Arial" w:cs="Arial"/>
                <w:sz w:val="20"/>
                <w:szCs w:val="20"/>
                <w:lang w:val="en-US"/>
              </w:rPr>
            </w:pPr>
            <w:r w:rsidRPr="00DF29DD">
              <w:rPr>
                <w:rFonts w:ascii="Arial" w:eastAsia="Calibri" w:hAnsi="Arial" w:cs="Arial"/>
                <w:sz w:val="20"/>
                <w:szCs w:val="20"/>
              </w:rPr>
              <w:t>$</w:t>
            </w:r>
            <w:r w:rsidR="00647DED">
              <w:rPr>
                <w:rFonts w:ascii="Arial" w:eastAsia="Calibri" w:hAnsi="Arial" w:cs="Arial"/>
                <w:sz w:val="20"/>
                <w:szCs w:val="20"/>
              </w:rPr>
              <w:t>268</w:t>
            </w:r>
          </w:p>
        </w:tc>
        <w:tc>
          <w:tcPr>
            <w:tcW w:w="453" w:type="pct"/>
            <w:shd w:val="clear" w:color="auto" w:fill="auto"/>
            <w:tcMar>
              <w:top w:w="15" w:type="dxa"/>
              <w:left w:w="69" w:type="dxa"/>
              <w:bottom w:w="0" w:type="dxa"/>
              <w:right w:w="69" w:type="dxa"/>
            </w:tcMar>
          </w:tcPr>
          <w:p w14:paraId="4582A941" w14:textId="67523350" w:rsidR="00DF29DD" w:rsidRPr="00DF29DD" w:rsidRDefault="00DF29DD" w:rsidP="00823FAA">
            <w:pPr>
              <w:spacing w:after="200" w:line="276" w:lineRule="auto"/>
              <w:jc w:val="center"/>
              <w:rPr>
                <w:rFonts w:ascii="Arial" w:eastAsia="Calibri" w:hAnsi="Arial" w:cs="Arial"/>
                <w:sz w:val="20"/>
                <w:szCs w:val="20"/>
                <w:lang w:val="en-US"/>
              </w:rPr>
            </w:pPr>
            <w:r w:rsidRPr="00DF29DD">
              <w:rPr>
                <w:rFonts w:ascii="Arial" w:eastAsia="Calibri" w:hAnsi="Arial" w:cs="Arial"/>
                <w:sz w:val="20"/>
                <w:szCs w:val="20"/>
              </w:rPr>
              <w:t>$</w:t>
            </w:r>
            <w:r w:rsidR="00166227">
              <w:rPr>
                <w:rFonts w:ascii="Arial" w:eastAsia="Calibri" w:hAnsi="Arial" w:cs="Arial"/>
                <w:sz w:val="20"/>
                <w:szCs w:val="20"/>
              </w:rPr>
              <w:t>268</w:t>
            </w:r>
          </w:p>
        </w:tc>
        <w:tc>
          <w:tcPr>
            <w:tcW w:w="454" w:type="pct"/>
            <w:shd w:val="clear" w:color="auto" w:fill="auto"/>
            <w:tcMar>
              <w:top w:w="15" w:type="dxa"/>
              <w:left w:w="69" w:type="dxa"/>
              <w:bottom w:w="0" w:type="dxa"/>
              <w:right w:w="69" w:type="dxa"/>
            </w:tcMar>
          </w:tcPr>
          <w:p w14:paraId="40A3EF07" w14:textId="578761B9" w:rsidR="00DF29DD" w:rsidRPr="00DF29DD" w:rsidRDefault="00DF29DD" w:rsidP="00823FAA">
            <w:pPr>
              <w:spacing w:after="200" w:line="276" w:lineRule="auto"/>
              <w:jc w:val="center"/>
              <w:rPr>
                <w:rFonts w:ascii="Arial" w:eastAsia="Calibri" w:hAnsi="Arial" w:cs="Arial"/>
                <w:color w:val="000000"/>
                <w:sz w:val="20"/>
                <w:szCs w:val="20"/>
                <w:lang w:val="en-US"/>
              </w:rPr>
            </w:pPr>
            <w:r w:rsidRPr="00DF29DD">
              <w:rPr>
                <w:rFonts w:ascii="Arial" w:eastAsia="Calibri" w:hAnsi="Arial" w:cs="Arial"/>
                <w:color w:val="000000"/>
                <w:sz w:val="20"/>
                <w:szCs w:val="20"/>
              </w:rPr>
              <w:t>$</w:t>
            </w:r>
            <w:r w:rsidR="00166227">
              <w:rPr>
                <w:rFonts w:ascii="Arial" w:eastAsia="Calibri" w:hAnsi="Arial" w:cs="Arial"/>
                <w:color w:val="000000"/>
                <w:sz w:val="20"/>
                <w:szCs w:val="20"/>
              </w:rPr>
              <w:t>172</w:t>
            </w:r>
          </w:p>
        </w:tc>
        <w:tc>
          <w:tcPr>
            <w:tcW w:w="496" w:type="pct"/>
            <w:shd w:val="clear" w:color="auto" w:fill="auto"/>
          </w:tcPr>
          <w:p w14:paraId="6C15AD04" w14:textId="7FBCD1FE" w:rsidR="00DF29DD" w:rsidRPr="00DF29DD" w:rsidRDefault="00DF29DD" w:rsidP="00823FAA">
            <w:pPr>
              <w:spacing w:after="200" w:line="276" w:lineRule="auto"/>
              <w:jc w:val="center"/>
              <w:rPr>
                <w:rFonts w:ascii="Arial" w:eastAsia="Calibri" w:hAnsi="Arial" w:cs="Arial"/>
                <w:sz w:val="20"/>
                <w:szCs w:val="20"/>
                <w:lang w:val="en-US"/>
              </w:rPr>
            </w:pPr>
            <w:r w:rsidRPr="00DF29DD">
              <w:rPr>
                <w:rFonts w:ascii="Arial" w:eastAsia="Calibri" w:hAnsi="Arial" w:cs="Arial"/>
                <w:sz w:val="20"/>
                <w:szCs w:val="20"/>
              </w:rPr>
              <w:t>$</w:t>
            </w:r>
            <w:r w:rsidR="00D92397">
              <w:rPr>
                <w:rFonts w:ascii="Arial" w:eastAsia="Calibri" w:hAnsi="Arial" w:cs="Arial"/>
                <w:sz w:val="20"/>
                <w:szCs w:val="20"/>
              </w:rPr>
              <w:t>13</w:t>
            </w:r>
          </w:p>
        </w:tc>
        <w:tc>
          <w:tcPr>
            <w:tcW w:w="619" w:type="pct"/>
            <w:shd w:val="clear" w:color="auto" w:fill="auto"/>
          </w:tcPr>
          <w:p w14:paraId="169B6B9D" w14:textId="09D0EAAC" w:rsidR="00DF29DD" w:rsidRPr="00DF29DD" w:rsidRDefault="00DF29DD" w:rsidP="00823FAA">
            <w:pPr>
              <w:spacing w:after="200" w:line="276" w:lineRule="auto"/>
              <w:jc w:val="center"/>
              <w:rPr>
                <w:rFonts w:ascii="Arial" w:eastAsia="Calibri" w:hAnsi="Arial" w:cs="Arial"/>
                <w:sz w:val="20"/>
                <w:szCs w:val="20"/>
                <w:lang w:val="en-US"/>
              </w:rPr>
            </w:pPr>
            <w:r w:rsidRPr="00DF29DD">
              <w:rPr>
                <w:rFonts w:ascii="Arial" w:eastAsia="Calibri" w:hAnsi="Arial" w:cs="Arial"/>
                <w:sz w:val="20"/>
                <w:szCs w:val="20"/>
              </w:rPr>
              <w:t>$</w:t>
            </w:r>
            <w:r w:rsidR="00D92397">
              <w:rPr>
                <w:rFonts w:ascii="Arial" w:eastAsia="Calibri" w:hAnsi="Arial" w:cs="Arial"/>
                <w:sz w:val="20"/>
                <w:szCs w:val="20"/>
              </w:rPr>
              <w:t>185</w:t>
            </w:r>
          </w:p>
        </w:tc>
        <w:tc>
          <w:tcPr>
            <w:tcW w:w="412" w:type="pct"/>
            <w:shd w:val="clear" w:color="auto" w:fill="auto"/>
            <w:tcMar>
              <w:top w:w="15" w:type="dxa"/>
              <w:left w:w="69" w:type="dxa"/>
              <w:bottom w:w="0" w:type="dxa"/>
              <w:right w:w="69" w:type="dxa"/>
            </w:tcMar>
          </w:tcPr>
          <w:p w14:paraId="637C34EF" w14:textId="2EC78374" w:rsidR="00DF29DD" w:rsidRPr="00DF29DD" w:rsidRDefault="00FD74CD" w:rsidP="00DF29DD">
            <w:pPr>
              <w:spacing w:after="200" w:line="276" w:lineRule="auto"/>
              <w:jc w:val="center"/>
              <w:rPr>
                <w:rFonts w:ascii="Arial" w:eastAsia="Calibri" w:hAnsi="Arial" w:cs="Arial"/>
                <w:sz w:val="20"/>
                <w:szCs w:val="20"/>
                <w:lang w:val="en-US"/>
              </w:rPr>
            </w:pPr>
            <w:r>
              <w:rPr>
                <w:rFonts w:ascii="Arial" w:eastAsia="Calibri" w:hAnsi="Arial" w:cs="Arial"/>
                <w:sz w:val="20"/>
                <w:szCs w:val="20"/>
              </w:rPr>
              <w:t>0.7</w:t>
            </w:r>
            <w:r w:rsidR="00DF29DD" w:rsidRPr="00DF29DD">
              <w:rPr>
                <w:rFonts w:ascii="Arial" w:eastAsia="Calibri" w:hAnsi="Arial" w:cs="Arial"/>
                <w:sz w:val="20"/>
                <w:szCs w:val="20"/>
              </w:rPr>
              <w:t>x</w:t>
            </w:r>
          </w:p>
        </w:tc>
        <w:tc>
          <w:tcPr>
            <w:tcW w:w="409" w:type="pct"/>
          </w:tcPr>
          <w:p w14:paraId="2F0798EE" w14:textId="54899B87" w:rsidR="00DF29DD" w:rsidRPr="00DF29DD" w:rsidRDefault="00307CB7" w:rsidP="00DF29DD">
            <w:pPr>
              <w:spacing w:after="200" w:line="276" w:lineRule="auto"/>
              <w:jc w:val="center"/>
              <w:rPr>
                <w:rFonts w:ascii="Arial" w:eastAsia="Calibri" w:hAnsi="Arial" w:cs="Arial"/>
                <w:sz w:val="20"/>
                <w:szCs w:val="20"/>
              </w:rPr>
            </w:pPr>
            <w:r>
              <w:rPr>
                <w:rFonts w:ascii="Arial" w:eastAsia="Calibri" w:hAnsi="Arial" w:cs="Arial"/>
                <w:sz w:val="20"/>
                <w:szCs w:val="20"/>
              </w:rPr>
              <w:t>0.9</w:t>
            </w:r>
            <w:r w:rsidR="00DF29DD" w:rsidRPr="00DF29DD">
              <w:rPr>
                <w:rFonts w:ascii="Arial" w:eastAsia="Calibri" w:hAnsi="Arial" w:cs="Arial"/>
                <w:sz w:val="20"/>
                <w:szCs w:val="20"/>
              </w:rPr>
              <w:t>x</w:t>
            </w:r>
          </w:p>
        </w:tc>
      </w:tr>
      <w:tr w:rsidR="00680BEB" w:rsidRPr="00DF29DD" w14:paraId="46FA1EF4" w14:textId="77777777" w:rsidTr="00AD57E5">
        <w:trPr>
          <w:trHeight w:val="775"/>
        </w:trPr>
        <w:tc>
          <w:tcPr>
            <w:tcW w:w="777" w:type="pct"/>
            <w:shd w:val="clear" w:color="auto" w:fill="auto"/>
            <w:tcMar>
              <w:top w:w="15" w:type="dxa"/>
              <w:left w:w="137" w:type="dxa"/>
              <w:bottom w:w="0" w:type="dxa"/>
              <w:right w:w="15" w:type="dxa"/>
            </w:tcMar>
          </w:tcPr>
          <w:p w14:paraId="1717C946" w14:textId="77777777" w:rsidR="00680BEB" w:rsidRPr="00DF29DD" w:rsidRDefault="00680BEB" w:rsidP="00680BEB">
            <w:pPr>
              <w:rPr>
                <w:rFonts w:ascii="Arial" w:eastAsia="Calibri" w:hAnsi="Arial" w:cs="Arial"/>
                <w:b/>
                <w:sz w:val="20"/>
                <w:szCs w:val="20"/>
                <w:lang w:val="en-US"/>
              </w:rPr>
            </w:pPr>
            <w:r w:rsidRPr="00DF29DD">
              <w:rPr>
                <w:rFonts w:ascii="Arial" w:eastAsia="Calibri" w:hAnsi="Arial" w:cs="Arial"/>
                <w:b/>
                <w:sz w:val="20"/>
                <w:szCs w:val="20"/>
                <w:lang w:val="en-US"/>
              </w:rPr>
              <w:t>ILX III</w:t>
            </w:r>
          </w:p>
          <w:p w14:paraId="06913948" w14:textId="77777777" w:rsidR="00680BEB" w:rsidRPr="00DF29DD" w:rsidRDefault="00680BEB" w:rsidP="00680BEB">
            <w:pPr>
              <w:rPr>
                <w:rFonts w:ascii="Arial" w:eastAsia="Calibri" w:hAnsi="Arial" w:cs="Arial"/>
                <w:i/>
                <w:sz w:val="20"/>
                <w:szCs w:val="20"/>
                <w:lang w:val="en-US"/>
              </w:rPr>
            </w:pPr>
            <w:r w:rsidRPr="00DF29DD">
              <w:rPr>
                <w:rFonts w:ascii="Arial" w:eastAsia="Calibri" w:hAnsi="Arial" w:cs="Arial"/>
                <w:i/>
                <w:sz w:val="20"/>
                <w:szCs w:val="20"/>
                <w:lang w:val="en-US"/>
              </w:rPr>
              <w:t>(8 Oct 2015)</w:t>
            </w:r>
          </w:p>
          <w:p w14:paraId="602C2139" w14:textId="77777777" w:rsidR="00680BEB" w:rsidRPr="00DF29DD" w:rsidRDefault="00680BEB" w:rsidP="00680BEB">
            <w:pPr>
              <w:rPr>
                <w:rFonts w:ascii="Arial" w:eastAsia="Calibri" w:hAnsi="Arial" w:cs="Arial"/>
                <w:b/>
                <w:sz w:val="20"/>
                <w:szCs w:val="20"/>
                <w:lang w:val="en-US"/>
              </w:rPr>
            </w:pPr>
          </w:p>
        </w:tc>
        <w:tc>
          <w:tcPr>
            <w:tcW w:w="74" w:type="pct"/>
            <w:shd w:val="clear" w:color="auto" w:fill="auto"/>
            <w:tcMar>
              <w:top w:w="15" w:type="dxa"/>
              <w:left w:w="69" w:type="dxa"/>
              <w:bottom w:w="0" w:type="dxa"/>
              <w:right w:w="69" w:type="dxa"/>
            </w:tcMar>
            <w:vAlign w:val="center"/>
          </w:tcPr>
          <w:p w14:paraId="18037721" w14:textId="77777777" w:rsidR="00680BEB" w:rsidRPr="00DF29DD" w:rsidRDefault="00680BEB" w:rsidP="00680BEB">
            <w:pPr>
              <w:spacing w:after="200" w:line="276" w:lineRule="auto"/>
              <w:rPr>
                <w:rFonts w:ascii="Arial" w:eastAsia="Calibri" w:hAnsi="Arial" w:cs="Arial"/>
                <w:color w:val="000000"/>
                <w:sz w:val="20"/>
                <w:szCs w:val="20"/>
                <w:lang w:val="en-US"/>
              </w:rPr>
            </w:pPr>
          </w:p>
        </w:tc>
        <w:tc>
          <w:tcPr>
            <w:tcW w:w="771" w:type="pct"/>
            <w:shd w:val="clear" w:color="auto" w:fill="auto"/>
          </w:tcPr>
          <w:p w14:paraId="57FDE449" w14:textId="0C4F3123" w:rsidR="00680BEB" w:rsidRPr="00DF29DD" w:rsidRDefault="00680BEB" w:rsidP="00680BEB">
            <w:pPr>
              <w:spacing w:after="200" w:line="276" w:lineRule="auto"/>
              <w:jc w:val="center"/>
              <w:rPr>
                <w:rFonts w:ascii="Arial" w:eastAsia="Calibri" w:hAnsi="Arial" w:cs="Arial"/>
                <w:color w:val="000000"/>
                <w:sz w:val="20"/>
                <w:szCs w:val="20"/>
                <w:lang w:val="en-US"/>
              </w:rPr>
            </w:pPr>
            <w:r w:rsidRPr="00DF29DD">
              <w:rPr>
                <w:rFonts w:ascii="Arial" w:eastAsia="Calibri" w:hAnsi="Arial" w:cs="Arial"/>
                <w:color w:val="000000"/>
                <w:sz w:val="20"/>
                <w:szCs w:val="20"/>
                <w:lang w:val="en-US"/>
              </w:rPr>
              <w:t>Deepwater GoM (U.S.)</w:t>
            </w:r>
          </w:p>
        </w:tc>
        <w:tc>
          <w:tcPr>
            <w:tcW w:w="535" w:type="pct"/>
            <w:shd w:val="clear" w:color="auto" w:fill="auto"/>
          </w:tcPr>
          <w:p w14:paraId="422BA04F" w14:textId="370AD11B" w:rsidR="00680BEB" w:rsidRDefault="00647DED" w:rsidP="00680BEB">
            <w:pPr>
              <w:spacing w:after="200" w:line="276" w:lineRule="auto"/>
              <w:jc w:val="center"/>
              <w:rPr>
                <w:rFonts w:ascii="Arial" w:eastAsia="Calibri" w:hAnsi="Arial" w:cs="Arial"/>
                <w:sz w:val="20"/>
                <w:szCs w:val="20"/>
              </w:rPr>
            </w:pPr>
            <w:r>
              <w:rPr>
                <w:rFonts w:ascii="Arial" w:eastAsia="Calibri" w:hAnsi="Arial" w:cs="Arial"/>
                <w:sz w:val="20"/>
                <w:szCs w:val="20"/>
              </w:rPr>
              <w:t>200</w:t>
            </w:r>
          </w:p>
        </w:tc>
        <w:tc>
          <w:tcPr>
            <w:tcW w:w="453" w:type="pct"/>
            <w:shd w:val="clear" w:color="auto" w:fill="auto"/>
            <w:tcMar>
              <w:top w:w="15" w:type="dxa"/>
              <w:left w:w="69" w:type="dxa"/>
              <w:bottom w:w="0" w:type="dxa"/>
              <w:right w:w="69" w:type="dxa"/>
            </w:tcMar>
          </w:tcPr>
          <w:p w14:paraId="1EB1BDBC" w14:textId="1FD914C8" w:rsidR="00680BEB" w:rsidRDefault="00C7206C" w:rsidP="00C7206C">
            <w:pPr>
              <w:spacing w:after="200" w:line="276" w:lineRule="auto"/>
              <w:jc w:val="center"/>
              <w:rPr>
                <w:rFonts w:ascii="Arial" w:eastAsia="Calibri" w:hAnsi="Arial" w:cs="Arial"/>
                <w:sz w:val="20"/>
                <w:szCs w:val="20"/>
              </w:rPr>
            </w:pPr>
            <w:r>
              <w:rPr>
                <w:rFonts w:ascii="Arial" w:eastAsia="Calibri" w:hAnsi="Arial" w:cs="Arial"/>
                <w:sz w:val="20"/>
                <w:szCs w:val="20"/>
              </w:rPr>
              <w:t>1</w:t>
            </w:r>
            <w:r w:rsidR="003C4886">
              <w:rPr>
                <w:rFonts w:ascii="Arial" w:eastAsia="Calibri" w:hAnsi="Arial" w:cs="Arial"/>
                <w:sz w:val="20"/>
                <w:szCs w:val="20"/>
              </w:rPr>
              <w:t>60</w:t>
            </w:r>
          </w:p>
        </w:tc>
        <w:tc>
          <w:tcPr>
            <w:tcW w:w="454" w:type="pct"/>
            <w:shd w:val="clear" w:color="auto" w:fill="auto"/>
            <w:tcMar>
              <w:top w:w="15" w:type="dxa"/>
              <w:left w:w="69" w:type="dxa"/>
              <w:bottom w:w="0" w:type="dxa"/>
              <w:right w:w="69" w:type="dxa"/>
            </w:tcMar>
          </w:tcPr>
          <w:p w14:paraId="23C89044" w14:textId="65FEF79F" w:rsidR="00680BEB" w:rsidRDefault="00D95F11" w:rsidP="00680BEB">
            <w:pPr>
              <w:spacing w:after="200" w:line="276" w:lineRule="auto"/>
              <w:jc w:val="center"/>
              <w:rPr>
                <w:rFonts w:ascii="Arial" w:eastAsia="Calibri" w:hAnsi="Arial" w:cs="Arial"/>
                <w:color w:val="000000"/>
                <w:sz w:val="20"/>
                <w:szCs w:val="20"/>
              </w:rPr>
            </w:pPr>
            <w:r>
              <w:rPr>
                <w:rFonts w:ascii="Arial" w:eastAsia="Calibri" w:hAnsi="Arial" w:cs="Arial"/>
                <w:color w:val="000000"/>
                <w:sz w:val="20"/>
                <w:szCs w:val="20"/>
              </w:rPr>
              <w:t>5</w:t>
            </w:r>
          </w:p>
        </w:tc>
        <w:tc>
          <w:tcPr>
            <w:tcW w:w="496" w:type="pct"/>
            <w:shd w:val="clear" w:color="auto" w:fill="auto"/>
          </w:tcPr>
          <w:p w14:paraId="605358AB" w14:textId="016E8D18" w:rsidR="00680BEB" w:rsidRDefault="00292EDF" w:rsidP="00680BEB">
            <w:pPr>
              <w:spacing w:after="200" w:line="276" w:lineRule="auto"/>
              <w:jc w:val="center"/>
              <w:rPr>
                <w:rFonts w:ascii="Arial" w:eastAsia="Calibri" w:hAnsi="Arial" w:cs="Arial"/>
                <w:sz w:val="20"/>
                <w:szCs w:val="20"/>
              </w:rPr>
            </w:pPr>
            <w:r>
              <w:rPr>
                <w:rFonts w:ascii="Arial" w:eastAsia="Calibri" w:hAnsi="Arial" w:cs="Arial"/>
                <w:sz w:val="20"/>
                <w:szCs w:val="20"/>
              </w:rPr>
              <w:t>10</w:t>
            </w:r>
            <w:r w:rsidR="00D95F11">
              <w:rPr>
                <w:rFonts w:ascii="Arial" w:eastAsia="Calibri" w:hAnsi="Arial" w:cs="Arial"/>
                <w:sz w:val="20"/>
                <w:szCs w:val="20"/>
              </w:rPr>
              <w:t>7</w:t>
            </w:r>
          </w:p>
        </w:tc>
        <w:tc>
          <w:tcPr>
            <w:tcW w:w="619" w:type="pct"/>
            <w:shd w:val="clear" w:color="auto" w:fill="auto"/>
          </w:tcPr>
          <w:p w14:paraId="787D7B66" w14:textId="2A388264" w:rsidR="00680BEB" w:rsidRDefault="00292EDF" w:rsidP="00680BEB">
            <w:pPr>
              <w:spacing w:after="200" w:line="276" w:lineRule="auto"/>
              <w:jc w:val="center"/>
              <w:rPr>
                <w:rFonts w:ascii="Arial" w:eastAsia="Calibri" w:hAnsi="Arial" w:cs="Arial"/>
                <w:sz w:val="20"/>
                <w:szCs w:val="20"/>
              </w:rPr>
            </w:pPr>
            <w:r>
              <w:rPr>
                <w:rFonts w:ascii="Arial" w:eastAsia="Calibri" w:hAnsi="Arial" w:cs="Arial"/>
                <w:sz w:val="20"/>
                <w:szCs w:val="20"/>
              </w:rPr>
              <w:t>112</w:t>
            </w:r>
          </w:p>
        </w:tc>
        <w:tc>
          <w:tcPr>
            <w:tcW w:w="412" w:type="pct"/>
            <w:shd w:val="clear" w:color="auto" w:fill="auto"/>
            <w:tcMar>
              <w:top w:w="15" w:type="dxa"/>
              <w:left w:w="69" w:type="dxa"/>
              <w:bottom w:w="0" w:type="dxa"/>
              <w:right w:w="69" w:type="dxa"/>
            </w:tcMar>
          </w:tcPr>
          <w:p w14:paraId="00F3EBC0" w14:textId="54EF12B7" w:rsidR="00680BEB" w:rsidRDefault="00FD74CD" w:rsidP="00680BEB">
            <w:pPr>
              <w:spacing w:after="200" w:line="276" w:lineRule="auto"/>
              <w:jc w:val="center"/>
              <w:rPr>
                <w:rFonts w:ascii="Arial" w:eastAsia="Calibri" w:hAnsi="Arial" w:cs="Arial"/>
                <w:sz w:val="20"/>
                <w:szCs w:val="20"/>
              </w:rPr>
            </w:pPr>
            <w:r>
              <w:rPr>
                <w:rFonts w:ascii="Arial" w:eastAsia="Calibri" w:hAnsi="Arial" w:cs="Arial"/>
                <w:sz w:val="20"/>
                <w:szCs w:val="20"/>
              </w:rPr>
              <w:t>0.7</w:t>
            </w:r>
            <w:r w:rsidR="00680BEB" w:rsidRPr="00DF29DD">
              <w:rPr>
                <w:rFonts w:ascii="Arial" w:eastAsia="Calibri" w:hAnsi="Arial" w:cs="Arial"/>
                <w:sz w:val="20"/>
                <w:szCs w:val="20"/>
              </w:rPr>
              <w:t>x</w:t>
            </w:r>
          </w:p>
        </w:tc>
        <w:tc>
          <w:tcPr>
            <w:tcW w:w="409" w:type="pct"/>
          </w:tcPr>
          <w:p w14:paraId="28A7C33F" w14:textId="32D5D03C" w:rsidR="00680BEB" w:rsidRDefault="00680BEB" w:rsidP="00680BEB">
            <w:pPr>
              <w:spacing w:after="200" w:line="276" w:lineRule="auto"/>
              <w:jc w:val="center"/>
              <w:rPr>
                <w:rFonts w:ascii="Arial" w:eastAsia="Calibri" w:hAnsi="Arial" w:cs="Arial"/>
                <w:sz w:val="20"/>
                <w:szCs w:val="20"/>
              </w:rPr>
            </w:pPr>
            <w:r>
              <w:rPr>
                <w:rFonts w:ascii="Arial" w:eastAsia="Calibri" w:hAnsi="Arial" w:cs="Arial"/>
                <w:sz w:val="20"/>
                <w:szCs w:val="20"/>
              </w:rPr>
              <w:t>1.2</w:t>
            </w:r>
            <w:r w:rsidRPr="00DF29DD">
              <w:rPr>
                <w:rFonts w:ascii="Arial" w:eastAsia="Calibri" w:hAnsi="Arial" w:cs="Arial"/>
                <w:sz w:val="20"/>
                <w:szCs w:val="20"/>
              </w:rPr>
              <w:t>x</w:t>
            </w:r>
          </w:p>
        </w:tc>
      </w:tr>
      <w:tr w:rsidR="008E4612" w:rsidRPr="00DF29DD" w14:paraId="32756200" w14:textId="77777777" w:rsidTr="00E81DFC">
        <w:trPr>
          <w:trHeight w:val="775"/>
        </w:trPr>
        <w:tc>
          <w:tcPr>
            <w:tcW w:w="777" w:type="pct"/>
            <w:shd w:val="clear" w:color="auto" w:fill="auto"/>
            <w:tcMar>
              <w:top w:w="15" w:type="dxa"/>
              <w:left w:w="137" w:type="dxa"/>
              <w:bottom w:w="0" w:type="dxa"/>
              <w:right w:w="15" w:type="dxa"/>
            </w:tcMar>
          </w:tcPr>
          <w:p w14:paraId="16B49FB3" w14:textId="77777777" w:rsidR="008E4612" w:rsidRPr="00DF29DD" w:rsidRDefault="008E4612" w:rsidP="00E81DFC">
            <w:pPr>
              <w:rPr>
                <w:rFonts w:ascii="Arial" w:eastAsia="Calibri" w:hAnsi="Arial" w:cs="Arial"/>
                <w:b/>
                <w:sz w:val="20"/>
                <w:szCs w:val="20"/>
                <w:lang w:val="en-US"/>
              </w:rPr>
            </w:pPr>
            <w:r>
              <w:rPr>
                <w:rFonts w:ascii="Arial" w:eastAsia="Calibri" w:hAnsi="Arial" w:cs="Arial"/>
                <w:b/>
                <w:sz w:val="20"/>
                <w:szCs w:val="20"/>
                <w:lang w:val="en-US"/>
              </w:rPr>
              <w:t>Onyx</w:t>
            </w:r>
            <w:r w:rsidRPr="00DF29DD">
              <w:rPr>
                <w:rFonts w:ascii="Arial" w:eastAsia="Calibri" w:hAnsi="Arial" w:cs="Arial"/>
                <w:b/>
                <w:sz w:val="20"/>
                <w:szCs w:val="20"/>
                <w:lang w:val="en-US"/>
              </w:rPr>
              <w:t xml:space="preserve"> </w:t>
            </w:r>
          </w:p>
          <w:p w14:paraId="2A5F4B27" w14:textId="77777777" w:rsidR="008E4612" w:rsidRPr="00DF29DD" w:rsidRDefault="008E4612" w:rsidP="00E81DFC">
            <w:pPr>
              <w:rPr>
                <w:rFonts w:ascii="Arial" w:eastAsia="Calibri" w:hAnsi="Arial" w:cs="Arial"/>
                <w:i/>
                <w:sz w:val="20"/>
                <w:szCs w:val="20"/>
                <w:lang w:val="en-US"/>
              </w:rPr>
            </w:pPr>
            <w:r w:rsidRPr="00DF29DD">
              <w:rPr>
                <w:rFonts w:ascii="Arial" w:eastAsia="Calibri" w:hAnsi="Arial" w:cs="Arial"/>
                <w:i/>
                <w:sz w:val="20"/>
                <w:szCs w:val="20"/>
                <w:lang w:val="en-US"/>
              </w:rPr>
              <w:t>(</w:t>
            </w:r>
            <w:r>
              <w:rPr>
                <w:rFonts w:ascii="Arial" w:eastAsia="Calibri" w:hAnsi="Arial" w:cs="Arial"/>
                <w:i/>
                <w:sz w:val="20"/>
                <w:szCs w:val="20"/>
                <w:lang w:val="en-US"/>
              </w:rPr>
              <w:t>30</w:t>
            </w:r>
            <w:r w:rsidRPr="00DF29DD">
              <w:rPr>
                <w:rFonts w:ascii="Arial" w:eastAsia="Calibri" w:hAnsi="Arial" w:cs="Arial"/>
                <w:i/>
                <w:sz w:val="20"/>
                <w:szCs w:val="20"/>
                <w:lang w:val="en-US"/>
              </w:rPr>
              <w:t xml:space="preserve"> </w:t>
            </w:r>
            <w:r>
              <w:rPr>
                <w:rFonts w:ascii="Arial" w:eastAsia="Calibri" w:hAnsi="Arial" w:cs="Arial"/>
                <w:i/>
                <w:sz w:val="20"/>
                <w:szCs w:val="20"/>
                <w:lang w:val="en-US"/>
              </w:rPr>
              <w:t>Nov 2019</w:t>
            </w:r>
            <w:r w:rsidRPr="00DF29DD">
              <w:rPr>
                <w:rFonts w:ascii="Arial" w:eastAsia="Calibri" w:hAnsi="Arial" w:cs="Arial"/>
                <w:i/>
                <w:sz w:val="20"/>
                <w:szCs w:val="20"/>
                <w:lang w:val="en-US"/>
              </w:rPr>
              <w:t>)</w:t>
            </w:r>
          </w:p>
          <w:p w14:paraId="24D2E8B1" w14:textId="77777777" w:rsidR="008E4612" w:rsidRPr="00DF29DD" w:rsidRDefault="008E4612" w:rsidP="00E81DFC">
            <w:pPr>
              <w:rPr>
                <w:rFonts w:ascii="Arial" w:eastAsia="Calibri" w:hAnsi="Arial" w:cs="Arial"/>
                <w:b/>
                <w:sz w:val="20"/>
                <w:szCs w:val="20"/>
                <w:lang w:val="en-US"/>
              </w:rPr>
            </w:pPr>
          </w:p>
        </w:tc>
        <w:tc>
          <w:tcPr>
            <w:tcW w:w="74" w:type="pct"/>
            <w:shd w:val="clear" w:color="auto" w:fill="auto"/>
            <w:tcMar>
              <w:top w:w="15" w:type="dxa"/>
              <w:left w:w="69" w:type="dxa"/>
              <w:bottom w:w="0" w:type="dxa"/>
              <w:right w:w="69" w:type="dxa"/>
            </w:tcMar>
            <w:vAlign w:val="center"/>
          </w:tcPr>
          <w:p w14:paraId="4A3599C1" w14:textId="77777777" w:rsidR="008E4612" w:rsidRPr="00DF29DD" w:rsidRDefault="008E4612" w:rsidP="00E81DFC">
            <w:pPr>
              <w:spacing w:after="200" w:line="276" w:lineRule="auto"/>
              <w:rPr>
                <w:rFonts w:ascii="Arial" w:eastAsia="Calibri" w:hAnsi="Arial" w:cs="Arial"/>
                <w:color w:val="000000"/>
                <w:sz w:val="20"/>
                <w:szCs w:val="20"/>
                <w:lang w:val="en-US"/>
              </w:rPr>
            </w:pPr>
            <w:r w:rsidRPr="00DF29DD">
              <w:rPr>
                <w:rFonts w:ascii="Arial" w:eastAsia="Calibri" w:hAnsi="Arial" w:cs="Arial"/>
                <w:color w:val="000000"/>
                <w:sz w:val="20"/>
                <w:szCs w:val="20"/>
                <w:lang w:val="en-US"/>
              </w:rPr>
              <w:t> </w:t>
            </w:r>
          </w:p>
        </w:tc>
        <w:tc>
          <w:tcPr>
            <w:tcW w:w="771" w:type="pct"/>
            <w:shd w:val="clear" w:color="auto" w:fill="auto"/>
          </w:tcPr>
          <w:p w14:paraId="05585796" w14:textId="77777777" w:rsidR="008E4612" w:rsidRPr="00DF29DD" w:rsidRDefault="008E4612" w:rsidP="00E81DFC">
            <w:pPr>
              <w:spacing w:after="200" w:line="276" w:lineRule="auto"/>
              <w:jc w:val="center"/>
              <w:rPr>
                <w:rFonts w:ascii="Arial" w:eastAsia="Calibri" w:hAnsi="Arial" w:cs="Arial"/>
                <w:color w:val="000000"/>
                <w:sz w:val="20"/>
                <w:szCs w:val="20"/>
                <w:lang w:val="en-US"/>
              </w:rPr>
            </w:pPr>
            <w:r>
              <w:rPr>
                <w:rFonts w:ascii="Arial" w:eastAsia="Calibri" w:hAnsi="Arial" w:cs="Arial"/>
                <w:color w:val="000000"/>
                <w:sz w:val="20"/>
                <w:szCs w:val="20"/>
                <w:lang w:val="en-US"/>
              </w:rPr>
              <w:t>Europe</w:t>
            </w:r>
          </w:p>
        </w:tc>
        <w:tc>
          <w:tcPr>
            <w:tcW w:w="535" w:type="pct"/>
            <w:shd w:val="clear" w:color="auto" w:fill="auto"/>
          </w:tcPr>
          <w:p w14:paraId="2924BA22" w14:textId="77777777" w:rsidR="008E4612" w:rsidRDefault="008E4612" w:rsidP="00E81DFC">
            <w:pPr>
              <w:spacing w:after="200" w:line="276" w:lineRule="auto"/>
              <w:jc w:val="center"/>
              <w:rPr>
                <w:rFonts w:ascii="Arial" w:eastAsia="Calibri" w:hAnsi="Arial" w:cs="Arial"/>
                <w:sz w:val="20"/>
                <w:szCs w:val="20"/>
              </w:rPr>
            </w:pPr>
            <w:r>
              <w:rPr>
                <w:rFonts w:ascii="Arial" w:eastAsia="Calibri" w:hAnsi="Arial" w:cs="Arial"/>
                <w:sz w:val="20"/>
                <w:szCs w:val="20"/>
              </w:rPr>
              <w:t>66</w:t>
            </w:r>
          </w:p>
        </w:tc>
        <w:tc>
          <w:tcPr>
            <w:tcW w:w="453" w:type="pct"/>
            <w:shd w:val="clear" w:color="auto" w:fill="auto"/>
            <w:tcMar>
              <w:top w:w="15" w:type="dxa"/>
              <w:left w:w="69" w:type="dxa"/>
              <w:bottom w:w="0" w:type="dxa"/>
              <w:right w:w="69" w:type="dxa"/>
            </w:tcMar>
          </w:tcPr>
          <w:p w14:paraId="01057D60" w14:textId="77777777" w:rsidR="008E4612" w:rsidRDefault="008E4612" w:rsidP="00E81DFC">
            <w:pPr>
              <w:spacing w:after="200" w:line="276" w:lineRule="auto"/>
              <w:jc w:val="center"/>
              <w:rPr>
                <w:rFonts w:ascii="Arial" w:eastAsia="Calibri" w:hAnsi="Arial" w:cs="Arial"/>
                <w:sz w:val="20"/>
                <w:szCs w:val="20"/>
              </w:rPr>
            </w:pPr>
            <w:r>
              <w:rPr>
                <w:rFonts w:ascii="Arial" w:eastAsia="Calibri" w:hAnsi="Arial" w:cs="Arial"/>
                <w:sz w:val="20"/>
                <w:szCs w:val="20"/>
              </w:rPr>
              <w:t>47</w:t>
            </w:r>
          </w:p>
        </w:tc>
        <w:tc>
          <w:tcPr>
            <w:tcW w:w="454" w:type="pct"/>
            <w:shd w:val="clear" w:color="auto" w:fill="auto"/>
            <w:tcMar>
              <w:top w:w="15" w:type="dxa"/>
              <w:left w:w="69" w:type="dxa"/>
              <w:bottom w:w="0" w:type="dxa"/>
              <w:right w:w="69" w:type="dxa"/>
            </w:tcMar>
          </w:tcPr>
          <w:p w14:paraId="4AA7893E" w14:textId="77777777" w:rsidR="008E4612" w:rsidRDefault="008E4612" w:rsidP="00E81DFC">
            <w:pPr>
              <w:spacing w:after="200" w:line="276" w:lineRule="auto"/>
              <w:jc w:val="center"/>
              <w:rPr>
                <w:rFonts w:ascii="Arial" w:eastAsia="Calibri" w:hAnsi="Arial" w:cs="Arial"/>
                <w:color w:val="000000"/>
                <w:sz w:val="20"/>
                <w:szCs w:val="20"/>
              </w:rPr>
            </w:pPr>
            <w:r>
              <w:rPr>
                <w:rFonts w:ascii="Arial" w:eastAsia="Calibri" w:hAnsi="Arial" w:cs="Arial"/>
                <w:color w:val="000000"/>
                <w:sz w:val="20"/>
                <w:szCs w:val="20"/>
              </w:rPr>
              <w:t>-</w:t>
            </w:r>
          </w:p>
        </w:tc>
        <w:tc>
          <w:tcPr>
            <w:tcW w:w="496" w:type="pct"/>
            <w:shd w:val="clear" w:color="auto" w:fill="auto"/>
          </w:tcPr>
          <w:p w14:paraId="1848E04D" w14:textId="77777777" w:rsidR="008E4612" w:rsidRDefault="008E4612" w:rsidP="00E81DFC">
            <w:pPr>
              <w:spacing w:after="200" w:line="276" w:lineRule="auto"/>
              <w:jc w:val="center"/>
              <w:rPr>
                <w:rFonts w:ascii="Arial" w:eastAsia="Calibri" w:hAnsi="Arial" w:cs="Arial"/>
                <w:sz w:val="20"/>
                <w:szCs w:val="20"/>
              </w:rPr>
            </w:pPr>
            <w:r>
              <w:rPr>
                <w:rFonts w:ascii="Arial" w:eastAsia="Calibri" w:hAnsi="Arial" w:cs="Arial"/>
                <w:sz w:val="20"/>
                <w:szCs w:val="20"/>
              </w:rPr>
              <w:t>47</w:t>
            </w:r>
          </w:p>
        </w:tc>
        <w:tc>
          <w:tcPr>
            <w:tcW w:w="619" w:type="pct"/>
            <w:shd w:val="clear" w:color="auto" w:fill="auto"/>
          </w:tcPr>
          <w:p w14:paraId="3ED1A192" w14:textId="77777777" w:rsidR="008E4612" w:rsidRDefault="008E4612" w:rsidP="00E81DFC">
            <w:pPr>
              <w:spacing w:after="200" w:line="276" w:lineRule="auto"/>
              <w:jc w:val="center"/>
              <w:rPr>
                <w:rFonts w:ascii="Arial" w:eastAsia="Calibri" w:hAnsi="Arial" w:cs="Arial"/>
                <w:sz w:val="20"/>
                <w:szCs w:val="20"/>
              </w:rPr>
            </w:pPr>
            <w:r>
              <w:rPr>
                <w:rFonts w:ascii="Arial" w:eastAsia="Calibri" w:hAnsi="Arial" w:cs="Arial"/>
                <w:sz w:val="20"/>
                <w:szCs w:val="20"/>
              </w:rPr>
              <w:t>47</w:t>
            </w:r>
          </w:p>
        </w:tc>
        <w:tc>
          <w:tcPr>
            <w:tcW w:w="412" w:type="pct"/>
            <w:shd w:val="clear" w:color="auto" w:fill="auto"/>
            <w:tcMar>
              <w:top w:w="15" w:type="dxa"/>
              <w:left w:w="69" w:type="dxa"/>
              <w:bottom w:w="0" w:type="dxa"/>
              <w:right w:w="69" w:type="dxa"/>
            </w:tcMar>
          </w:tcPr>
          <w:p w14:paraId="0B302F57" w14:textId="77777777" w:rsidR="008E4612" w:rsidRDefault="008E4612" w:rsidP="00E81DFC">
            <w:pPr>
              <w:spacing w:after="200" w:line="276" w:lineRule="auto"/>
              <w:jc w:val="center"/>
              <w:rPr>
                <w:rFonts w:ascii="Arial" w:eastAsia="Calibri" w:hAnsi="Arial" w:cs="Arial"/>
                <w:sz w:val="20"/>
                <w:szCs w:val="20"/>
              </w:rPr>
            </w:pPr>
            <w:r>
              <w:rPr>
                <w:rFonts w:ascii="Arial" w:eastAsia="Calibri" w:hAnsi="Arial" w:cs="Arial"/>
                <w:sz w:val="20"/>
                <w:szCs w:val="20"/>
              </w:rPr>
              <w:t>1.0</w:t>
            </w:r>
            <w:r w:rsidRPr="00DF29DD">
              <w:rPr>
                <w:rFonts w:ascii="Arial" w:eastAsia="Calibri" w:hAnsi="Arial" w:cs="Arial"/>
                <w:sz w:val="20"/>
                <w:szCs w:val="20"/>
              </w:rPr>
              <w:t>x</w:t>
            </w:r>
          </w:p>
        </w:tc>
        <w:tc>
          <w:tcPr>
            <w:tcW w:w="409" w:type="pct"/>
          </w:tcPr>
          <w:p w14:paraId="5294D327" w14:textId="77777777" w:rsidR="008E4612" w:rsidRDefault="008E4612" w:rsidP="00E81DFC">
            <w:pPr>
              <w:spacing w:after="200" w:line="276" w:lineRule="auto"/>
              <w:jc w:val="center"/>
              <w:rPr>
                <w:rFonts w:ascii="Arial" w:eastAsia="Calibri" w:hAnsi="Arial" w:cs="Arial"/>
                <w:sz w:val="20"/>
                <w:szCs w:val="20"/>
              </w:rPr>
            </w:pPr>
            <w:r>
              <w:rPr>
                <w:rFonts w:ascii="Arial" w:eastAsia="Calibri" w:hAnsi="Arial" w:cs="Arial"/>
                <w:sz w:val="20"/>
                <w:szCs w:val="20"/>
              </w:rPr>
              <w:t>1.0</w:t>
            </w:r>
            <w:r w:rsidRPr="00DF29DD">
              <w:rPr>
                <w:rFonts w:ascii="Arial" w:eastAsia="Calibri" w:hAnsi="Arial" w:cs="Arial"/>
                <w:sz w:val="20"/>
                <w:szCs w:val="20"/>
              </w:rPr>
              <w:t>x</w:t>
            </w:r>
          </w:p>
        </w:tc>
      </w:tr>
      <w:tr w:rsidR="004173B6" w:rsidRPr="00DF29DD" w14:paraId="379F9FBF" w14:textId="77777777" w:rsidTr="00AD57E5">
        <w:trPr>
          <w:trHeight w:val="775"/>
        </w:trPr>
        <w:tc>
          <w:tcPr>
            <w:tcW w:w="777" w:type="pct"/>
            <w:shd w:val="clear" w:color="auto" w:fill="auto"/>
            <w:tcMar>
              <w:top w:w="15" w:type="dxa"/>
              <w:left w:w="137" w:type="dxa"/>
              <w:bottom w:w="0" w:type="dxa"/>
              <w:right w:w="15" w:type="dxa"/>
            </w:tcMar>
          </w:tcPr>
          <w:p w14:paraId="12B8DA36" w14:textId="77777777" w:rsidR="004173B6" w:rsidRPr="00DF29DD" w:rsidRDefault="004173B6" w:rsidP="004173B6">
            <w:pPr>
              <w:rPr>
                <w:rFonts w:ascii="Arial" w:eastAsia="Calibri" w:hAnsi="Arial" w:cs="Arial"/>
                <w:b/>
                <w:sz w:val="20"/>
                <w:szCs w:val="20"/>
                <w:lang w:val="en-US"/>
              </w:rPr>
            </w:pPr>
            <w:r w:rsidRPr="00DF29DD">
              <w:rPr>
                <w:rFonts w:ascii="Arial" w:eastAsia="Calibri" w:hAnsi="Arial" w:cs="Arial"/>
                <w:b/>
                <w:sz w:val="20"/>
                <w:szCs w:val="20"/>
                <w:lang w:val="en-US"/>
              </w:rPr>
              <w:lastRenderedPageBreak/>
              <w:t>Carrier II</w:t>
            </w:r>
          </w:p>
          <w:p w14:paraId="58980C87" w14:textId="77777777" w:rsidR="004173B6" w:rsidRPr="00DF29DD" w:rsidRDefault="004173B6" w:rsidP="004173B6">
            <w:pPr>
              <w:rPr>
                <w:rFonts w:ascii="Arial" w:eastAsia="Calibri" w:hAnsi="Arial" w:cs="Arial"/>
                <w:i/>
                <w:sz w:val="20"/>
                <w:szCs w:val="20"/>
                <w:lang w:val="en-US"/>
              </w:rPr>
            </w:pPr>
            <w:r w:rsidRPr="00DF29DD">
              <w:rPr>
                <w:rFonts w:ascii="Arial" w:eastAsia="Calibri" w:hAnsi="Arial" w:cs="Arial"/>
                <w:i/>
                <w:sz w:val="20"/>
                <w:szCs w:val="20"/>
                <w:lang w:val="en-US"/>
              </w:rPr>
              <w:t>(22 May 2015)</w:t>
            </w:r>
          </w:p>
          <w:p w14:paraId="760D66B5" w14:textId="77777777" w:rsidR="004173B6" w:rsidRPr="00DF29DD" w:rsidRDefault="004173B6" w:rsidP="004173B6">
            <w:pPr>
              <w:rPr>
                <w:rFonts w:ascii="Arial" w:eastAsia="Calibri" w:hAnsi="Arial" w:cs="Arial"/>
                <w:b/>
                <w:sz w:val="20"/>
                <w:szCs w:val="20"/>
                <w:lang w:val="en-US"/>
              </w:rPr>
            </w:pPr>
          </w:p>
        </w:tc>
        <w:tc>
          <w:tcPr>
            <w:tcW w:w="74" w:type="pct"/>
            <w:shd w:val="clear" w:color="auto" w:fill="auto"/>
            <w:tcMar>
              <w:top w:w="15" w:type="dxa"/>
              <w:left w:w="69" w:type="dxa"/>
              <w:bottom w:w="0" w:type="dxa"/>
              <w:right w:w="69" w:type="dxa"/>
            </w:tcMar>
            <w:vAlign w:val="center"/>
          </w:tcPr>
          <w:p w14:paraId="7B2A2004" w14:textId="77777777" w:rsidR="004173B6" w:rsidRPr="00DF29DD" w:rsidRDefault="004173B6" w:rsidP="004173B6">
            <w:pPr>
              <w:spacing w:after="200" w:line="276" w:lineRule="auto"/>
              <w:rPr>
                <w:rFonts w:ascii="Arial" w:eastAsia="Calibri" w:hAnsi="Arial" w:cs="Arial"/>
                <w:color w:val="000000"/>
                <w:sz w:val="20"/>
                <w:szCs w:val="20"/>
                <w:lang w:val="en-US"/>
              </w:rPr>
            </w:pPr>
          </w:p>
        </w:tc>
        <w:tc>
          <w:tcPr>
            <w:tcW w:w="771" w:type="pct"/>
            <w:shd w:val="clear" w:color="auto" w:fill="auto"/>
          </w:tcPr>
          <w:p w14:paraId="1A1B39CF" w14:textId="5C2578C0" w:rsidR="004173B6" w:rsidRPr="00DF29DD" w:rsidRDefault="004173B6" w:rsidP="004173B6">
            <w:pPr>
              <w:spacing w:after="200" w:line="276" w:lineRule="auto"/>
              <w:jc w:val="center"/>
              <w:rPr>
                <w:rFonts w:ascii="Arial" w:eastAsia="Calibri" w:hAnsi="Arial" w:cs="Arial"/>
                <w:color w:val="000000"/>
                <w:sz w:val="20"/>
                <w:szCs w:val="20"/>
                <w:lang w:val="en-US"/>
              </w:rPr>
            </w:pPr>
            <w:r w:rsidRPr="00DF29DD">
              <w:rPr>
                <w:rFonts w:ascii="Arial" w:eastAsia="Calibri" w:hAnsi="Arial" w:cs="Arial"/>
                <w:color w:val="000000"/>
                <w:sz w:val="20"/>
                <w:szCs w:val="20"/>
                <w:lang w:val="en-US"/>
              </w:rPr>
              <w:t>Permian &amp; Eagle Ford (U.S.)</w:t>
            </w:r>
          </w:p>
        </w:tc>
        <w:tc>
          <w:tcPr>
            <w:tcW w:w="535" w:type="pct"/>
            <w:shd w:val="clear" w:color="auto" w:fill="auto"/>
          </w:tcPr>
          <w:p w14:paraId="21857386" w14:textId="72ADCEE5" w:rsidR="004173B6" w:rsidRDefault="00166227" w:rsidP="004173B6">
            <w:pPr>
              <w:spacing w:after="200" w:line="276" w:lineRule="auto"/>
              <w:jc w:val="center"/>
              <w:rPr>
                <w:rFonts w:ascii="Arial" w:eastAsia="Calibri" w:hAnsi="Arial" w:cs="Arial"/>
                <w:sz w:val="20"/>
                <w:szCs w:val="20"/>
              </w:rPr>
            </w:pPr>
            <w:r>
              <w:rPr>
                <w:rFonts w:ascii="Arial" w:eastAsia="Calibri" w:hAnsi="Arial" w:cs="Arial"/>
                <w:sz w:val="20"/>
                <w:szCs w:val="20"/>
              </w:rPr>
              <w:t>133</w:t>
            </w:r>
          </w:p>
        </w:tc>
        <w:tc>
          <w:tcPr>
            <w:tcW w:w="453" w:type="pct"/>
            <w:shd w:val="clear" w:color="auto" w:fill="auto"/>
            <w:tcMar>
              <w:top w:w="15" w:type="dxa"/>
              <w:left w:w="69" w:type="dxa"/>
              <w:bottom w:w="0" w:type="dxa"/>
              <w:right w:w="69" w:type="dxa"/>
            </w:tcMar>
          </w:tcPr>
          <w:p w14:paraId="17AD8D6F" w14:textId="10E70DEC" w:rsidR="004173B6" w:rsidRDefault="00166227" w:rsidP="004173B6">
            <w:pPr>
              <w:spacing w:after="200" w:line="276" w:lineRule="auto"/>
              <w:jc w:val="center"/>
              <w:rPr>
                <w:rFonts w:ascii="Arial" w:eastAsia="Calibri" w:hAnsi="Arial" w:cs="Arial"/>
                <w:sz w:val="20"/>
                <w:szCs w:val="20"/>
              </w:rPr>
            </w:pPr>
            <w:r>
              <w:rPr>
                <w:rFonts w:ascii="Arial" w:eastAsia="Calibri" w:hAnsi="Arial" w:cs="Arial"/>
                <w:sz w:val="20"/>
                <w:szCs w:val="20"/>
              </w:rPr>
              <w:t>110</w:t>
            </w:r>
          </w:p>
        </w:tc>
        <w:tc>
          <w:tcPr>
            <w:tcW w:w="454" w:type="pct"/>
            <w:shd w:val="clear" w:color="auto" w:fill="auto"/>
            <w:tcMar>
              <w:top w:w="15" w:type="dxa"/>
              <w:left w:w="69" w:type="dxa"/>
              <w:bottom w:w="0" w:type="dxa"/>
              <w:right w:w="69" w:type="dxa"/>
            </w:tcMar>
          </w:tcPr>
          <w:p w14:paraId="7817A62D" w14:textId="0B0DCB6A" w:rsidR="004173B6" w:rsidRDefault="00166227" w:rsidP="004173B6">
            <w:pPr>
              <w:spacing w:after="200" w:line="276" w:lineRule="auto"/>
              <w:jc w:val="center"/>
              <w:rPr>
                <w:rFonts w:ascii="Arial" w:eastAsia="Calibri" w:hAnsi="Arial" w:cs="Arial"/>
                <w:color w:val="000000"/>
                <w:sz w:val="20"/>
                <w:szCs w:val="20"/>
              </w:rPr>
            </w:pPr>
            <w:r>
              <w:rPr>
                <w:rFonts w:ascii="Arial" w:eastAsia="Calibri" w:hAnsi="Arial" w:cs="Arial"/>
                <w:color w:val="000000"/>
                <w:sz w:val="20"/>
                <w:szCs w:val="20"/>
              </w:rPr>
              <w:t>29</w:t>
            </w:r>
          </w:p>
        </w:tc>
        <w:tc>
          <w:tcPr>
            <w:tcW w:w="496" w:type="pct"/>
            <w:shd w:val="clear" w:color="auto" w:fill="auto"/>
          </w:tcPr>
          <w:p w14:paraId="3E4EF7CC" w14:textId="2B414939" w:rsidR="004173B6" w:rsidRDefault="00166227" w:rsidP="004173B6">
            <w:pPr>
              <w:spacing w:after="200" w:line="276" w:lineRule="auto"/>
              <w:jc w:val="center"/>
              <w:rPr>
                <w:rFonts w:ascii="Arial" w:eastAsia="Calibri" w:hAnsi="Arial" w:cs="Arial"/>
                <w:sz w:val="20"/>
                <w:szCs w:val="20"/>
              </w:rPr>
            </w:pPr>
            <w:r>
              <w:rPr>
                <w:rFonts w:ascii="Arial" w:eastAsia="Calibri" w:hAnsi="Arial" w:cs="Arial"/>
                <w:sz w:val="20"/>
                <w:szCs w:val="20"/>
              </w:rPr>
              <w:t>15</w:t>
            </w:r>
          </w:p>
        </w:tc>
        <w:tc>
          <w:tcPr>
            <w:tcW w:w="619" w:type="pct"/>
            <w:shd w:val="clear" w:color="auto" w:fill="auto"/>
          </w:tcPr>
          <w:p w14:paraId="768512DD" w14:textId="02A2CD87" w:rsidR="004173B6" w:rsidRDefault="00166227" w:rsidP="004173B6">
            <w:pPr>
              <w:spacing w:after="200" w:line="276" w:lineRule="auto"/>
              <w:jc w:val="center"/>
              <w:rPr>
                <w:rFonts w:ascii="Arial" w:eastAsia="Calibri" w:hAnsi="Arial" w:cs="Arial"/>
                <w:sz w:val="20"/>
                <w:szCs w:val="20"/>
              </w:rPr>
            </w:pPr>
            <w:r>
              <w:rPr>
                <w:rFonts w:ascii="Arial" w:eastAsia="Calibri" w:hAnsi="Arial" w:cs="Arial"/>
                <w:sz w:val="20"/>
                <w:szCs w:val="20"/>
              </w:rPr>
              <w:t>44</w:t>
            </w:r>
          </w:p>
        </w:tc>
        <w:tc>
          <w:tcPr>
            <w:tcW w:w="412" w:type="pct"/>
            <w:shd w:val="clear" w:color="auto" w:fill="auto"/>
            <w:tcMar>
              <w:top w:w="15" w:type="dxa"/>
              <w:left w:w="69" w:type="dxa"/>
              <w:bottom w:w="0" w:type="dxa"/>
              <w:right w:w="69" w:type="dxa"/>
            </w:tcMar>
          </w:tcPr>
          <w:p w14:paraId="6A31AC9B" w14:textId="3AB361E6" w:rsidR="004173B6" w:rsidRDefault="00FD74CD" w:rsidP="004173B6">
            <w:pPr>
              <w:spacing w:after="200" w:line="276" w:lineRule="auto"/>
              <w:jc w:val="center"/>
              <w:rPr>
                <w:rFonts w:ascii="Arial" w:eastAsia="Calibri" w:hAnsi="Arial" w:cs="Arial"/>
                <w:sz w:val="20"/>
                <w:szCs w:val="20"/>
              </w:rPr>
            </w:pPr>
            <w:r>
              <w:rPr>
                <w:rFonts w:ascii="Arial" w:eastAsia="Calibri" w:hAnsi="Arial" w:cs="Arial"/>
                <w:sz w:val="20"/>
                <w:szCs w:val="20"/>
              </w:rPr>
              <w:t>0.4</w:t>
            </w:r>
            <w:r w:rsidR="004173B6" w:rsidRPr="00DF29DD">
              <w:rPr>
                <w:rFonts w:ascii="Arial" w:eastAsia="Calibri" w:hAnsi="Arial" w:cs="Arial"/>
                <w:sz w:val="20"/>
                <w:szCs w:val="20"/>
              </w:rPr>
              <w:t>x</w:t>
            </w:r>
          </w:p>
        </w:tc>
        <w:tc>
          <w:tcPr>
            <w:tcW w:w="409" w:type="pct"/>
          </w:tcPr>
          <w:p w14:paraId="0EB7AE1F" w14:textId="63461B05" w:rsidR="004173B6" w:rsidRDefault="004173B6" w:rsidP="004173B6">
            <w:pPr>
              <w:spacing w:after="200" w:line="276" w:lineRule="auto"/>
              <w:jc w:val="center"/>
              <w:rPr>
                <w:rFonts w:ascii="Arial" w:eastAsia="Calibri" w:hAnsi="Arial" w:cs="Arial"/>
                <w:sz w:val="20"/>
                <w:szCs w:val="20"/>
              </w:rPr>
            </w:pPr>
            <w:r>
              <w:rPr>
                <w:rFonts w:ascii="Arial" w:eastAsia="Calibri" w:hAnsi="Arial" w:cs="Arial"/>
                <w:sz w:val="20"/>
                <w:szCs w:val="20"/>
              </w:rPr>
              <w:t>0.7</w:t>
            </w:r>
            <w:r w:rsidRPr="00DF29DD">
              <w:rPr>
                <w:rFonts w:ascii="Arial" w:eastAsia="Calibri" w:hAnsi="Arial" w:cs="Arial"/>
                <w:sz w:val="20"/>
                <w:szCs w:val="20"/>
              </w:rPr>
              <w:t>x</w:t>
            </w:r>
          </w:p>
        </w:tc>
      </w:tr>
      <w:tr w:rsidR="004173B6" w:rsidRPr="00DF29DD" w14:paraId="30F617F0" w14:textId="77777777" w:rsidTr="00FD74CD">
        <w:trPr>
          <w:trHeight w:val="952"/>
        </w:trPr>
        <w:tc>
          <w:tcPr>
            <w:tcW w:w="777" w:type="pct"/>
            <w:shd w:val="clear" w:color="auto" w:fill="auto"/>
            <w:tcMar>
              <w:top w:w="15" w:type="dxa"/>
              <w:left w:w="137" w:type="dxa"/>
              <w:bottom w:w="0" w:type="dxa"/>
              <w:right w:w="15" w:type="dxa"/>
            </w:tcMar>
            <w:hideMark/>
          </w:tcPr>
          <w:p w14:paraId="1D9BBD60" w14:textId="66151D45" w:rsidR="004173B6" w:rsidRPr="00DF29DD" w:rsidRDefault="004173B6" w:rsidP="004173B6">
            <w:pPr>
              <w:rPr>
                <w:rFonts w:ascii="Arial" w:eastAsia="Calibri" w:hAnsi="Arial" w:cs="Arial"/>
                <w:b/>
                <w:sz w:val="20"/>
                <w:szCs w:val="20"/>
                <w:lang w:val="en-US"/>
              </w:rPr>
            </w:pPr>
            <w:r w:rsidRPr="00DF29DD">
              <w:rPr>
                <w:rFonts w:ascii="Arial" w:eastAsia="Calibri" w:hAnsi="Arial" w:cs="Arial"/>
                <w:b/>
                <w:sz w:val="20"/>
                <w:szCs w:val="20"/>
                <w:lang w:val="en-US"/>
              </w:rPr>
              <w:t xml:space="preserve">Hammerhead Resources </w:t>
            </w:r>
          </w:p>
          <w:p w14:paraId="7ABCC0B2" w14:textId="77777777" w:rsidR="004173B6" w:rsidRPr="00DF29DD" w:rsidRDefault="004173B6" w:rsidP="004173B6">
            <w:pPr>
              <w:rPr>
                <w:rFonts w:ascii="Arial" w:eastAsia="Calibri" w:hAnsi="Arial" w:cs="Arial"/>
                <w:i/>
                <w:sz w:val="20"/>
                <w:szCs w:val="20"/>
                <w:lang w:val="en-US"/>
              </w:rPr>
            </w:pPr>
            <w:r w:rsidRPr="00DF29DD">
              <w:rPr>
                <w:rFonts w:ascii="Arial" w:eastAsia="Calibri" w:hAnsi="Arial" w:cs="Arial"/>
                <w:i/>
                <w:sz w:val="20"/>
                <w:szCs w:val="20"/>
                <w:lang w:val="en-US"/>
              </w:rPr>
              <w:t xml:space="preserve">(27 Mar 2014) </w:t>
            </w:r>
          </w:p>
          <w:p w14:paraId="5465AE92" w14:textId="77777777" w:rsidR="004173B6" w:rsidRPr="00DF29DD" w:rsidRDefault="004173B6" w:rsidP="004173B6">
            <w:pPr>
              <w:rPr>
                <w:rFonts w:ascii="Arial" w:eastAsia="Calibri" w:hAnsi="Arial" w:cs="Arial"/>
                <w:i/>
                <w:sz w:val="20"/>
                <w:szCs w:val="20"/>
                <w:lang w:val="en-US"/>
              </w:rPr>
            </w:pPr>
          </w:p>
        </w:tc>
        <w:tc>
          <w:tcPr>
            <w:tcW w:w="74" w:type="pct"/>
            <w:shd w:val="clear" w:color="auto" w:fill="auto"/>
            <w:tcMar>
              <w:top w:w="15" w:type="dxa"/>
              <w:left w:w="69" w:type="dxa"/>
              <w:bottom w:w="0" w:type="dxa"/>
              <w:right w:w="69" w:type="dxa"/>
            </w:tcMar>
            <w:vAlign w:val="center"/>
          </w:tcPr>
          <w:p w14:paraId="5BE6EC02" w14:textId="77777777" w:rsidR="004173B6" w:rsidRPr="00DF29DD" w:rsidRDefault="004173B6" w:rsidP="004173B6">
            <w:pPr>
              <w:spacing w:after="200" w:line="276" w:lineRule="auto"/>
              <w:rPr>
                <w:rFonts w:ascii="Arial" w:eastAsia="Calibri" w:hAnsi="Arial" w:cs="Arial"/>
                <w:color w:val="000000"/>
                <w:sz w:val="20"/>
                <w:szCs w:val="20"/>
                <w:lang w:val="en-US"/>
              </w:rPr>
            </w:pPr>
          </w:p>
        </w:tc>
        <w:tc>
          <w:tcPr>
            <w:tcW w:w="771" w:type="pct"/>
            <w:shd w:val="clear" w:color="auto" w:fill="auto"/>
            <w:hideMark/>
          </w:tcPr>
          <w:p w14:paraId="44F8E1D1" w14:textId="77777777" w:rsidR="004173B6" w:rsidRPr="00DF29DD" w:rsidRDefault="004173B6" w:rsidP="004173B6">
            <w:pPr>
              <w:spacing w:after="200" w:line="276" w:lineRule="auto"/>
              <w:jc w:val="center"/>
              <w:rPr>
                <w:rFonts w:ascii="Arial" w:eastAsia="Calibri" w:hAnsi="Arial" w:cs="Arial"/>
                <w:color w:val="000000"/>
                <w:sz w:val="20"/>
                <w:szCs w:val="20"/>
                <w:lang w:val="en-US"/>
              </w:rPr>
            </w:pPr>
            <w:r w:rsidRPr="00DF29DD">
              <w:rPr>
                <w:rFonts w:ascii="Arial" w:eastAsia="Calibri" w:hAnsi="Arial" w:cs="Arial"/>
                <w:color w:val="000000"/>
                <w:sz w:val="20"/>
                <w:szCs w:val="20"/>
                <w:lang w:val="en-US"/>
              </w:rPr>
              <w:t>Deep Basin (Canada)</w:t>
            </w:r>
          </w:p>
        </w:tc>
        <w:tc>
          <w:tcPr>
            <w:tcW w:w="535" w:type="pct"/>
            <w:shd w:val="clear" w:color="auto" w:fill="auto"/>
          </w:tcPr>
          <w:p w14:paraId="1AFBE7A5" w14:textId="0EBF94B2" w:rsidR="004173B6" w:rsidRPr="00DF29DD" w:rsidRDefault="00166227" w:rsidP="004173B6">
            <w:pPr>
              <w:spacing w:after="200" w:line="276" w:lineRule="auto"/>
              <w:jc w:val="center"/>
              <w:rPr>
                <w:rFonts w:ascii="Arial" w:eastAsia="Calibri" w:hAnsi="Arial" w:cs="Arial"/>
                <w:sz w:val="20"/>
                <w:szCs w:val="20"/>
                <w:lang w:val="en-US"/>
              </w:rPr>
            </w:pPr>
            <w:r>
              <w:rPr>
                <w:rFonts w:ascii="Arial" w:eastAsia="Calibri" w:hAnsi="Arial" w:cs="Arial"/>
                <w:sz w:val="20"/>
                <w:szCs w:val="20"/>
              </w:rPr>
              <w:t>307</w:t>
            </w:r>
          </w:p>
        </w:tc>
        <w:tc>
          <w:tcPr>
            <w:tcW w:w="453" w:type="pct"/>
            <w:shd w:val="clear" w:color="auto" w:fill="auto"/>
            <w:tcMar>
              <w:top w:w="15" w:type="dxa"/>
              <w:left w:w="69" w:type="dxa"/>
              <w:bottom w:w="0" w:type="dxa"/>
              <w:right w:w="69" w:type="dxa"/>
            </w:tcMar>
          </w:tcPr>
          <w:p w14:paraId="4CF25AD0" w14:textId="66B81680" w:rsidR="004173B6" w:rsidRPr="00DF29DD" w:rsidRDefault="00166227" w:rsidP="004173B6">
            <w:pPr>
              <w:spacing w:after="200" w:line="276" w:lineRule="auto"/>
              <w:jc w:val="center"/>
              <w:rPr>
                <w:rFonts w:ascii="Arial" w:eastAsia="Calibri" w:hAnsi="Arial" w:cs="Arial"/>
                <w:sz w:val="20"/>
                <w:szCs w:val="20"/>
                <w:lang w:val="en-US"/>
              </w:rPr>
            </w:pPr>
            <w:r>
              <w:rPr>
                <w:rFonts w:ascii="Arial" w:eastAsia="Calibri" w:hAnsi="Arial" w:cs="Arial"/>
                <w:sz w:val="20"/>
                <w:szCs w:val="20"/>
              </w:rPr>
              <w:t>295</w:t>
            </w:r>
          </w:p>
        </w:tc>
        <w:tc>
          <w:tcPr>
            <w:tcW w:w="454" w:type="pct"/>
            <w:shd w:val="clear" w:color="auto" w:fill="auto"/>
            <w:tcMar>
              <w:top w:w="15" w:type="dxa"/>
              <w:left w:w="69" w:type="dxa"/>
              <w:bottom w:w="0" w:type="dxa"/>
              <w:right w:w="69" w:type="dxa"/>
            </w:tcMar>
          </w:tcPr>
          <w:p w14:paraId="0892CE69" w14:textId="3F44224A" w:rsidR="004173B6" w:rsidRPr="00DF29DD" w:rsidRDefault="00166227" w:rsidP="004173B6">
            <w:pPr>
              <w:spacing w:after="200" w:line="276" w:lineRule="auto"/>
              <w:jc w:val="center"/>
              <w:rPr>
                <w:rFonts w:ascii="Arial" w:eastAsia="Calibri" w:hAnsi="Arial" w:cs="Arial"/>
                <w:color w:val="000000"/>
                <w:sz w:val="20"/>
                <w:szCs w:val="20"/>
                <w:lang w:val="en-US"/>
              </w:rPr>
            </w:pPr>
            <w:r>
              <w:rPr>
                <w:rFonts w:ascii="Arial" w:eastAsia="Calibri" w:hAnsi="Arial" w:cs="Arial"/>
                <w:color w:val="000000"/>
                <w:sz w:val="20"/>
                <w:szCs w:val="20"/>
              </w:rPr>
              <w:t>23</w:t>
            </w:r>
          </w:p>
        </w:tc>
        <w:tc>
          <w:tcPr>
            <w:tcW w:w="496" w:type="pct"/>
            <w:shd w:val="clear" w:color="auto" w:fill="auto"/>
          </w:tcPr>
          <w:p w14:paraId="03053464" w14:textId="33E4390A" w:rsidR="004173B6" w:rsidRPr="00DF29DD" w:rsidRDefault="00041A95" w:rsidP="004173B6">
            <w:pPr>
              <w:spacing w:after="200" w:line="276" w:lineRule="auto"/>
              <w:jc w:val="center"/>
              <w:rPr>
                <w:rFonts w:ascii="Arial" w:eastAsia="Calibri" w:hAnsi="Arial" w:cs="Arial"/>
                <w:sz w:val="20"/>
                <w:szCs w:val="20"/>
                <w:lang w:val="en-US"/>
              </w:rPr>
            </w:pPr>
            <w:r>
              <w:rPr>
                <w:rFonts w:ascii="Arial" w:eastAsia="Calibri" w:hAnsi="Arial" w:cs="Arial"/>
                <w:sz w:val="20"/>
                <w:szCs w:val="20"/>
              </w:rPr>
              <w:t>3</w:t>
            </w:r>
          </w:p>
        </w:tc>
        <w:tc>
          <w:tcPr>
            <w:tcW w:w="619" w:type="pct"/>
            <w:shd w:val="clear" w:color="auto" w:fill="auto"/>
          </w:tcPr>
          <w:p w14:paraId="79B7942D" w14:textId="556D0B66" w:rsidR="004173B6" w:rsidRPr="00DF29DD" w:rsidRDefault="00041A95" w:rsidP="004173B6">
            <w:pPr>
              <w:spacing w:after="200" w:line="276" w:lineRule="auto"/>
              <w:jc w:val="center"/>
              <w:rPr>
                <w:rFonts w:ascii="Arial" w:eastAsia="Calibri" w:hAnsi="Arial" w:cs="Arial"/>
                <w:sz w:val="20"/>
                <w:szCs w:val="20"/>
                <w:lang w:val="en-US"/>
              </w:rPr>
            </w:pPr>
            <w:r>
              <w:rPr>
                <w:rFonts w:ascii="Arial" w:eastAsia="Calibri" w:hAnsi="Arial" w:cs="Arial"/>
                <w:sz w:val="20"/>
                <w:szCs w:val="20"/>
              </w:rPr>
              <w:t>26</w:t>
            </w:r>
          </w:p>
        </w:tc>
        <w:tc>
          <w:tcPr>
            <w:tcW w:w="412" w:type="pct"/>
            <w:shd w:val="clear" w:color="auto" w:fill="auto"/>
            <w:tcMar>
              <w:top w:w="15" w:type="dxa"/>
              <w:left w:w="69" w:type="dxa"/>
              <w:bottom w:w="0" w:type="dxa"/>
              <w:right w:w="69" w:type="dxa"/>
            </w:tcMar>
          </w:tcPr>
          <w:p w14:paraId="12BC76DE" w14:textId="535B2EEE" w:rsidR="004173B6" w:rsidRPr="00DF29DD" w:rsidRDefault="00FD74CD" w:rsidP="004173B6">
            <w:pPr>
              <w:spacing w:after="200" w:line="276" w:lineRule="auto"/>
              <w:jc w:val="center"/>
              <w:rPr>
                <w:rFonts w:ascii="Arial" w:eastAsia="Calibri" w:hAnsi="Arial" w:cs="Arial"/>
                <w:sz w:val="20"/>
                <w:szCs w:val="20"/>
                <w:lang w:val="en-US"/>
              </w:rPr>
            </w:pPr>
            <w:r>
              <w:rPr>
                <w:rFonts w:ascii="Arial" w:eastAsia="Calibri" w:hAnsi="Arial" w:cs="Arial"/>
                <w:sz w:val="20"/>
                <w:szCs w:val="20"/>
              </w:rPr>
              <w:t>0.1</w:t>
            </w:r>
            <w:r w:rsidR="004173B6" w:rsidRPr="00DF29DD">
              <w:rPr>
                <w:rFonts w:ascii="Arial" w:eastAsia="Calibri" w:hAnsi="Arial" w:cs="Arial"/>
                <w:sz w:val="20"/>
                <w:szCs w:val="20"/>
              </w:rPr>
              <w:t>x</w:t>
            </w:r>
          </w:p>
        </w:tc>
        <w:tc>
          <w:tcPr>
            <w:tcW w:w="409" w:type="pct"/>
          </w:tcPr>
          <w:p w14:paraId="6328D812" w14:textId="24B8244C" w:rsidR="004173B6" w:rsidRPr="00DF29DD" w:rsidRDefault="004173B6" w:rsidP="004173B6">
            <w:pPr>
              <w:spacing w:after="200" w:line="276" w:lineRule="auto"/>
              <w:jc w:val="center"/>
              <w:rPr>
                <w:rFonts w:ascii="Arial" w:eastAsia="Calibri" w:hAnsi="Arial" w:cs="Arial"/>
                <w:sz w:val="20"/>
                <w:szCs w:val="20"/>
              </w:rPr>
            </w:pPr>
            <w:r>
              <w:rPr>
                <w:rFonts w:ascii="Arial" w:eastAsia="Calibri" w:hAnsi="Arial" w:cs="Arial"/>
                <w:sz w:val="20"/>
                <w:szCs w:val="20"/>
              </w:rPr>
              <w:t>0.4</w:t>
            </w:r>
            <w:r w:rsidRPr="00DF29DD">
              <w:rPr>
                <w:rFonts w:ascii="Arial" w:eastAsia="Calibri" w:hAnsi="Arial" w:cs="Arial"/>
                <w:sz w:val="20"/>
                <w:szCs w:val="20"/>
              </w:rPr>
              <w:t>x</w:t>
            </w:r>
          </w:p>
        </w:tc>
      </w:tr>
      <w:tr w:rsidR="004173B6" w:rsidRPr="00DF29DD" w14:paraId="62E7A007" w14:textId="77777777" w:rsidTr="00AD57E5">
        <w:trPr>
          <w:trHeight w:val="283"/>
        </w:trPr>
        <w:tc>
          <w:tcPr>
            <w:tcW w:w="777" w:type="pct"/>
            <w:shd w:val="clear" w:color="auto" w:fill="auto"/>
            <w:tcMar>
              <w:top w:w="15" w:type="dxa"/>
              <w:left w:w="137" w:type="dxa"/>
              <w:bottom w:w="0" w:type="dxa"/>
              <w:right w:w="15" w:type="dxa"/>
            </w:tcMar>
          </w:tcPr>
          <w:p w14:paraId="3FA22EDD" w14:textId="77777777" w:rsidR="004173B6" w:rsidRPr="00DF29DD" w:rsidRDefault="004173B6" w:rsidP="004173B6">
            <w:pPr>
              <w:rPr>
                <w:rFonts w:ascii="Arial" w:eastAsia="Calibri" w:hAnsi="Arial" w:cs="Arial"/>
                <w:b/>
                <w:sz w:val="20"/>
                <w:szCs w:val="20"/>
                <w:lang w:val="en-US"/>
              </w:rPr>
            </w:pPr>
            <w:r w:rsidRPr="00DF29DD">
              <w:rPr>
                <w:rFonts w:ascii="Arial" w:eastAsia="Calibri" w:hAnsi="Arial" w:cs="Arial"/>
                <w:b/>
                <w:sz w:val="20"/>
                <w:szCs w:val="20"/>
                <w:lang w:val="en-US"/>
              </w:rPr>
              <w:t>Ridgebury</w:t>
            </w:r>
            <w:r>
              <w:rPr>
                <w:rFonts w:ascii="Arial" w:eastAsia="Calibri" w:hAnsi="Arial" w:cs="Arial"/>
                <w:b/>
                <w:sz w:val="20"/>
                <w:szCs w:val="20"/>
                <w:lang w:val="en-US"/>
              </w:rPr>
              <w:t xml:space="preserve"> H3</w:t>
            </w:r>
            <w:r w:rsidRPr="00DF29DD">
              <w:rPr>
                <w:rFonts w:ascii="Arial" w:eastAsia="Calibri" w:hAnsi="Arial" w:cs="Arial"/>
                <w:b/>
                <w:sz w:val="20"/>
                <w:szCs w:val="20"/>
                <w:lang w:val="en-US"/>
              </w:rPr>
              <w:t xml:space="preserve"> </w:t>
            </w:r>
          </w:p>
          <w:p w14:paraId="4BEC9CBE" w14:textId="77777777" w:rsidR="004173B6" w:rsidRPr="00DF29DD" w:rsidRDefault="004173B6" w:rsidP="004173B6">
            <w:pPr>
              <w:rPr>
                <w:rFonts w:ascii="Arial" w:eastAsia="Calibri" w:hAnsi="Arial" w:cs="Arial"/>
                <w:i/>
                <w:sz w:val="20"/>
                <w:szCs w:val="20"/>
                <w:lang w:val="en-US"/>
              </w:rPr>
            </w:pPr>
            <w:r w:rsidRPr="00DF29DD">
              <w:rPr>
                <w:rFonts w:ascii="Arial" w:eastAsia="Calibri" w:hAnsi="Arial" w:cs="Arial"/>
                <w:i/>
                <w:sz w:val="20"/>
                <w:szCs w:val="20"/>
                <w:lang w:val="en-US"/>
              </w:rPr>
              <w:t>(19 Feb 2019)</w:t>
            </w:r>
          </w:p>
          <w:p w14:paraId="0327DE92" w14:textId="77777777" w:rsidR="004173B6" w:rsidRPr="00DF29DD" w:rsidRDefault="004173B6" w:rsidP="004173B6">
            <w:pPr>
              <w:rPr>
                <w:rFonts w:ascii="Arial" w:eastAsia="Calibri" w:hAnsi="Arial" w:cs="Arial"/>
                <w:i/>
                <w:sz w:val="20"/>
                <w:szCs w:val="20"/>
                <w:lang w:val="en-US"/>
              </w:rPr>
            </w:pPr>
          </w:p>
        </w:tc>
        <w:tc>
          <w:tcPr>
            <w:tcW w:w="74" w:type="pct"/>
            <w:shd w:val="clear" w:color="auto" w:fill="auto"/>
            <w:tcMar>
              <w:top w:w="15" w:type="dxa"/>
              <w:left w:w="69" w:type="dxa"/>
              <w:bottom w:w="0" w:type="dxa"/>
              <w:right w:w="69" w:type="dxa"/>
            </w:tcMar>
            <w:vAlign w:val="center"/>
          </w:tcPr>
          <w:p w14:paraId="2B923C04" w14:textId="4F45F14D" w:rsidR="004173B6" w:rsidRPr="00DF29DD" w:rsidRDefault="004173B6" w:rsidP="004173B6">
            <w:pPr>
              <w:spacing w:after="200" w:line="276" w:lineRule="auto"/>
              <w:rPr>
                <w:rFonts w:ascii="Arial" w:eastAsia="Calibri" w:hAnsi="Arial" w:cs="Arial"/>
                <w:color w:val="000000"/>
                <w:sz w:val="20"/>
                <w:szCs w:val="20"/>
                <w:lang w:val="en-US"/>
              </w:rPr>
            </w:pPr>
            <w:r w:rsidRPr="00DF29DD">
              <w:rPr>
                <w:rFonts w:ascii="Arial" w:eastAsia="Calibri" w:hAnsi="Arial" w:cs="Arial"/>
                <w:color w:val="000000"/>
                <w:sz w:val="20"/>
                <w:szCs w:val="20"/>
                <w:lang w:val="en-US"/>
              </w:rPr>
              <w:t> </w:t>
            </w:r>
          </w:p>
        </w:tc>
        <w:tc>
          <w:tcPr>
            <w:tcW w:w="771" w:type="pct"/>
            <w:shd w:val="clear" w:color="auto" w:fill="auto"/>
          </w:tcPr>
          <w:p w14:paraId="2415290B" w14:textId="4946ED5D" w:rsidR="004173B6" w:rsidRPr="00DF29DD" w:rsidRDefault="004173B6" w:rsidP="004173B6">
            <w:pPr>
              <w:spacing w:after="200" w:line="276" w:lineRule="auto"/>
              <w:jc w:val="center"/>
              <w:rPr>
                <w:rFonts w:ascii="Arial" w:eastAsia="Calibri" w:hAnsi="Arial" w:cs="Arial"/>
                <w:color w:val="000000"/>
                <w:sz w:val="20"/>
                <w:szCs w:val="20"/>
                <w:lang w:val="en-US"/>
              </w:rPr>
            </w:pPr>
            <w:r w:rsidRPr="00DF29DD">
              <w:rPr>
                <w:rFonts w:ascii="Arial" w:eastAsia="Calibri" w:hAnsi="Arial" w:cs="Arial"/>
                <w:color w:val="000000"/>
                <w:sz w:val="20"/>
                <w:szCs w:val="20"/>
                <w:lang w:val="en-US"/>
              </w:rPr>
              <w:t>Global</w:t>
            </w:r>
          </w:p>
        </w:tc>
        <w:tc>
          <w:tcPr>
            <w:tcW w:w="535" w:type="pct"/>
            <w:shd w:val="clear" w:color="auto" w:fill="auto"/>
          </w:tcPr>
          <w:p w14:paraId="5AD44F54" w14:textId="471F33A6" w:rsidR="004173B6" w:rsidRPr="00DF29DD" w:rsidRDefault="00166227" w:rsidP="004173B6">
            <w:pPr>
              <w:spacing w:after="200" w:line="276" w:lineRule="auto"/>
              <w:jc w:val="center"/>
              <w:rPr>
                <w:rFonts w:ascii="Arial" w:eastAsia="Calibri" w:hAnsi="Arial" w:cs="Arial"/>
                <w:sz w:val="20"/>
                <w:szCs w:val="20"/>
                <w:lang w:val="en-US"/>
              </w:rPr>
            </w:pPr>
            <w:r>
              <w:rPr>
                <w:rFonts w:ascii="Arial" w:eastAsia="Calibri" w:hAnsi="Arial" w:cs="Arial"/>
                <w:sz w:val="20"/>
                <w:szCs w:val="20"/>
              </w:rPr>
              <w:t>22</w:t>
            </w:r>
          </w:p>
        </w:tc>
        <w:tc>
          <w:tcPr>
            <w:tcW w:w="453" w:type="pct"/>
            <w:shd w:val="clear" w:color="auto" w:fill="auto"/>
            <w:tcMar>
              <w:top w:w="15" w:type="dxa"/>
              <w:left w:w="69" w:type="dxa"/>
              <w:bottom w:w="0" w:type="dxa"/>
              <w:right w:w="69" w:type="dxa"/>
            </w:tcMar>
          </w:tcPr>
          <w:p w14:paraId="1DF43C88" w14:textId="130D506F" w:rsidR="004173B6" w:rsidRPr="00DF29DD" w:rsidRDefault="00166227" w:rsidP="004173B6">
            <w:pPr>
              <w:spacing w:after="200" w:line="276" w:lineRule="auto"/>
              <w:jc w:val="center"/>
              <w:rPr>
                <w:rFonts w:ascii="Arial" w:eastAsia="Calibri" w:hAnsi="Arial" w:cs="Arial"/>
                <w:sz w:val="20"/>
                <w:szCs w:val="20"/>
                <w:lang w:val="en-US"/>
              </w:rPr>
            </w:pPr>
            <w:r>
              <w:rPr>
                <w:rFonts w:ascii="Arial" w:eastAsia="Calibri" w:hAnsi="Arial" w:cs="Arial"/>
                <w:sz w:val="20"/>
                <w:szCs w:val="20"/>
              </w:rPr>
              <w:t>18</w:t>
            </w:r>
          </w:p>
        </w:tc>
        <w:tc>
          <w:tcPr>
            <w:tcW w:w="454" w:type="pct"/>
            <w:shd w:val="clear" w:color="auto" w:fill="auto"/>
            <w:tcMar>
              <w:top w:w="15" w:type="dxa"/>
              <w:left w:w="69" w:type="dxa"/>
              <w:bottom w:w="0" w:type="dxa"/>
              <w:right w:w="69" w:type="dxa"/>
            </w:tcMar>
          </w:tcPr>
          <w:p w14:paraId="3DC30047" w14:textId="00D35FBC" w:rsidR="004173B6" w:rsidRPr="00DF29DD" w:rsidRDefault="00166227" w:rsidP="004173B6">
            <w:pPr>
              <w:spacing w:after="200" w:line="276" w:lineRule="auto"/>
              <w:jc w:val="center"/>
              <w:rPr>
                <w:rFonts w:ascii="Arial" w:eastAsia="Calibri" w:hAnsi="Arial" w:cs="Arial"/>
                <w:color w:val="000000"/>
                <w:sz w:val="20"/>
                <w:szCs w:val="20"/>
                <w:lang w:val="en-US"/>
              </w:rPr>
            </w:pPr>
            <w:r>
              <w:rPr>
                <w:rFonts w:ascii="Arial" w:eastAsia="Calibri" w:hAnsi="Arial" w:cs="Arial"/>
                <w:color w:val="000000"/>
                <w:sz w:val="20"/>
                <w:szCs w:val="20"/>
              </w:rPr>
              <w:t>10</w:t>
            </w:r>
          </w:p>
        </w:tc>
        <w:tc>
          <w:tcPr>
            <w:tcW w:w="496" w:type="pct"/>
            <w:shd w:val="clear" w:color="auto" w:fill="auto"/>
          </w:tcPr>
          <w:p w14:paraId="7CEE7995" w14:textId="480C659F" w:rsidR="004173B6" w:rsidRPr="00DF29DD" w:rsidRDefault="00041A95" w:rsidP="004173B6">
            <w:pPr>
              <w:spacing w:after="200" w:line="276" w:lineRule="auto"/>
              <w:jc w:val="center"/>
              <w:rPr>
                <w:rFonts w:ascii="Arial" w:eastAsia="Calibri" w:hAnsi="Arial" w:cs="Arial"/>
                <w:sz w:val="20"/>
                <w:szCs w:val="20"/>
                <w:lang w:val="en-US"/>
              </w:rPr>
            </w:pPr>
            <w:r>
              <w:rPr>
                <w:rFonts w:ascii="Arial" w:eastAsia="Calibri" w:hAnsi="Arial" w:cs="Arial"/>
                <w:sz w:val="20"/>
                <w:szCs w:val="20"/>
              </w:rPr>
              <w:t>13</w:t>
            </w:r>
          </w:p>
        </w:tc>
        <w:tc>
          <w:tcPr>
            <w:tcW w:w="619" w:type="pct"/>
            <w:shd w:val="clear" w:color="auto" w:fill="auto"/>
          </w:tcPr>
          <w:p w14:paraId="63BB4881" w14:textId="1EA352B1" w:rsidR="004173B6" w:rsidRPr="00DF29DD" w:rsidRDefault="00041A95" w:rsidP="004173B6">
            <w:pPr>
              <w:spacing w:after="200" w:line="276" w:lineRule="auto"/>
              <w:jc w:val="center"/>
              <w:rPr>
                <w:rFonts w:ascii="Arial" w:eastAsia="Calibri" w:hAnsi="Arial" w:cs="Arial"/>
                <w:sz w:val="20"/>
                <w:szCs w:val="20"/>
                <w:lang w:val="en-US"/>
              </w:rPr>
            </w:pPr>
            <w:r>
              <w:rPr>
                <w:rFonts w:ascii="Arial" w:eastAsia="Calibri" w:hAnsi="Arial" w:cs="Arial"/>
                <w:sz w:val="20"/>
                <w:szCs w:val="20"/>
              </w:rPr>
              <w:t>23</w:t>
            </w:r>
          </w:p>
        </w:tc>
        <w:tc>
          <w:tcPr>
            <w:tcW w:w="412" w:type="pct"/>
            <w:shd w:val="clear" w:color="auto" w:fill="auto"/>
            <w:tcMar>
              <w:top w:w="15" w:type="dxa"/>
              <w:left w:w="69" w:type="dxa"/>
              <w:bottom w:w="0" w:type="dxa"/>
              <w:right w:w="69" w:type="dxa"/>
            </w:tcMar>
          </w:tcPr>
          <w:p w14:paraId="22D974FA" w14:textId="7AA80BA4" w:rsidR="004173B6" w:rsidRPr="00DF29DD" w:rsidRDefault="00FD74CD" w:rsidP="004173B6">
            <w:pPr>
              <w:spacing w:after="200" w:line="276" w:lineRule="auto"/>
              <w:jc w:val="center"/>
              <w:rPr>
                <w:rFonts w:ascii="Arial" w:eastAsia="Calibri" w:hAnsi="Arial" w:cs="Arial"/>
                <w:sz w:val="20"/>
                <w:szCs w:val="20"/>
                <w:lang w:val="en-US"/>
              </w:rPr>
            </w:pPr>
            <w:r>
              <w:rPr>
                <w:rFonts w:ascii="Arial" w:eastAsia="Calibri" w:hAnsi="Arial" w:cs="Arial"/>
                <w:sz w:val="20"/>
                <w:szCs w:val="20"/>
              </w:rPr>
              <w:t>1.2</w:t>
            </w:r>
            <w:r w:rsidR="004173B6" w:rsidRPr="00DF29DD">
              <w:rPr>
                <w:rFonts w:ascii="Arial" w:eastAsia="Calibri" w:hAnsi="Arial" w:cs="Arial"/>
                <w:sz w:val="20"/>
                <w:szCs w:val="20"/>
              </w:rPr>
              <w:t>x</w:t>
            </w:r>
          </w:p>
        </w:tc>
        <w:tc>
          <w:tcPr>
            <w:tcW w:w="409" w:type="pct"/>
          </w:tcPr>
          <w:p w14:paraId="0B6954D1" w14:textId="7C410C01" w:rsidR="004173B6" w:rsidRPr="00DF29DD" w:rsidRDefault="004173B6" w:rsidP="004173B6">
            <w:pPr>
              <w:spacing w:after="200" w:line="276" w:lineRule="auto"/>
              <w:jc w:val="center"/>
              <w:rPr>
                <w:rFonts w:ascii="Arial" w:eastAsia="Calibri" w:hAnsi="Arial" w:cs="Arial"/>
                <w:sz w:val="20"/>
                <w:szCs w:val="20"/>
              </w:rPr>
            </w:pPr>
            <w:r>
              <w:rPr>
                <w:rFonts w:ascii="Arial" w:eastAsia="Calibri" w:hAnsi="Arial" w:cs="Arial"/>
                <w:sz w:val="20"/>
                <w:szCs w:val="20"/>
              </w:rPr>
              <w:t>1.2x</w:t>
            </w:r>
          </w:p>
        </w:tc>
      </w:tr>
      <w:tr w:rsidR="004173B6" w:rsidRPr="00DF29DD" w14:paraId="773182F9" w14:textId="77777777" w:rsidTr="00AD57E5">
        <w:trPr>
          <w:trHeight w:val="283"/>
        </w:trPr>
        <w:tc>
          <w:tcPr>
            <w:tcW w:w="777" w:type="pct"/>
            <w:shd w:val="clear" w:color="auto" w:fill="auto"/>
            <w:tcMar>
              <w:top w:w="15" w:type="dxa"/>
              <w:left w:w="137" w:type="dxa"/>
              <w:bottom w:w="0" w:type="dxa"/>
              <w:right w:w="15" w:type="dxa"/>
            </w:tcMar>
          </w:tcPr>
          <w:p w14:paraId="7A25998C" w14:textId="77777777" w:rsidR="004173B6" w:rsidRPr="00DF29DD" w:rsidRDefault="004173B6" w:rsidP="004173B6">
            <w:pPr>
              <w:rPr>
                <w:rFonts w:ascii="Arial" w:eastAsia="Calibri" w:hAnsi="Arial" w:cs="Arial"/>
                <w:b/>
                <w:sz w:val="20"/>
                <w:szCs w:val="20"/>
                <w:lang w:val="en-US"/>
              </w:rPr>
            </w:pPr>
            <w:r w:rsidRPr="00DF29DD">
              <w:rPr>
                <w:rFonts w:ascii="Arial" w:eastAsia="Calibri" w:hAnsi="Arial" w:cs="Arial"/>
                <w:b/>
                <w:sz w:val="20"/>
                <w:szCs w:val="20"/>
                <w:lang w:val="en-US"/>
              </w:rPr>
              <w:t xml:space="preserve">CNOR </w:t>
            </w:r>
          </w:p>
          <w:p w14:paraId="0F8078D6" w14:textId="77777777" w:rsidR="004173B6" w:rsidRPr="00DF29DD" w:rsidRDefault="004173B6" w:rsidP="004173B6">
            <w:pPr>
              <w:rPr>
                <w:rFonts w:ascii="Arial" w:eastAsia="Calibri" w:hAnsi="Arial" w:cs="Arial"/>
                <w:i/>
                <w:sz w:val="20"/>
                <w:szCs w:val="20"/>
                <w:lang w:val="en-US"/>
              </w:rPr>
            </w:pPr>
            <w:r w:rsidRPr="00DF29DD">
              <w:rPr>
                <w:rFonts w:ascii="Arial" w:eastAsia="Calibri" w:hAnsi="Arial" w:cs="Arial"/>
                <w:i/>
                <w:sz w:val="20"/>
                <w:szCs w:val="20"/>
                <w:lang w:val="en-US"/>
              </w:rPr>
              <w:t>(29 Aug 2014)</w:t>
            </w:r>
          </w:p>
          <w:p w14:paraId="320BAA80" w14:textId="77777777" w:rsidR="004173B6" w:rsidRPr="00DF29DD" w:rsidRDefault="004173B6" w:rsidP="004173B6">
            <w:pPr>
              <w:rPr>
                <w:rFonts w:ascii="Arial" w:eastAsia="Calibri" w:hAnsi="Arial" w:cs="Arial"/>
                <w:b/>
                <w:sz w:val="20"/>
                <w:szCs w:val="20"/>
                <w:lang w:val="en-US"/>
              </w:rPr>
            </w:pPr>
          </w:p>
        </w:tc>
        <w:tc>
          <w:tcPr>
            <w:tcW w:w="74" w:type="pct"/>
            <w:shd w:val="clear" w:color="auto" w:fill="auto"/>
            <w:tcMar>
              <w:top w:w="15" w:type="dxa"/>
              <w:left w:w="69" w:type="dxa"/>
              <w:bottom w:w="0" w:type="dxa"/>
              <w:right w:w="69" w:type="dxa"/>
            </w:tcMar>
            <w:vAlign w:val="center"/>
          </w:tcPr>
          <w:p w14:paraId="0498B716" w14:textId="4EA86FA6" w:rsidR="004173B6" w:rsidRPr="00DF29DD" w:rsidRDefault="004173B6" w:rsidP="004173B6">
            <w:pPr>
              <w:spacing w:after="200" w:line="276" w:lineRule="auto"/>
              <w:rPr>
                <w:rFonts w:ascii="Arial" w:eastAsia="Calibri" w:hAnsi="Arial" w:cs="Arial"/>
                <w:color w:val="000000"/>
                <w:sz w:val="20"/>
                <w:szCs w:val="20"/>
                <w:lang w:val="en-US"/>
              </w:rPr>
            </w:pPr>
            <w:r w:rsidRPr="00DF29DD">
              <w:rPr>
                <w:rFonts w:ascii="Arial" w:eastAsia="Calibri" w:hAnsi="Arial" w:cs="Arial"/>
                <w:color w:val="000000"/>
                <w:sz w:val="20"/>
                <w:szCs w:val="20"/>
                <w:lang w:val="en-US"/>
              </w:rPr>
              <w:t> </w:t>
            </w:r>
          </w:p>
        </w:tc>
        <w:tc>
          <w:tcPr>
            <w:tcW w:w="771" w:type="pct"/>
            <w:shd w:val="clear" w:color="auto" w:fill="auto"/>
          </w:tcPr>
          <w:p w14:paraId="71B47E83" w14:textId="2ED01F34" w:rsidR="004173B6" w:rsidRPr="00DF29DD" w:rsidRDefault="004173B6" w:rsidP="004173B6">
            <w:pPr>
              <w:spacing w:after="200" w:line="276" w:lineRule="auto"/>
              <w:jc w:val="center"/>
              <w:rPr>
                <w:rFonts w:ascii="Arial" w:eastAsia="Calibri" w:hAnsi="Arial" w:cs="Arial"/>
                <w:color w:val="000000"/>
                <w:sz w:val="20"/>
                <w:szCs w:val="20"/>
                <w:lang w:val="en-US"/>
              </w:rPr>
            </w:pPr>
            <w:r w:rsidRPr="00DF29DD">
              <w:rPr>
                <w:rFonts w:ascii="Arial" w:eastAsia="Calibri" w:hAnsi="Arial" w:cs="Arial"/>
                <w:color w:val="000000"/>
                <w:sz w:val="20"/>
                <w:szCs w:val="20"/>
                <w:lang w:val="en-US"/>
              </w:rPr>
              <w:t>Western Canada</w:t>
            </w:r>
          </w:p>
        </w:tc>
        <w:tc>
          <w:tcPr>
            <w:tcW w:w="535" w:type="pct"/>
            <w:shd w:val="clear" w:color="auto" w:fill="auto"/>
          </w:tcPr>
          <w:p w14:paraId="34665848" w14:textId="1BD38D63" w:rsidR="004173B6" w:rsidRDefault="00166227" w:rsidP="004173B6">
            <w:pPr>
              <w:spacing w:after="200" w:line="276" w:lineRule="auto"/>
              <w:jc w:val="center"/>
              <w:rPr>
                <w:rFonts w:ascii="Arial" w:eastAsia="Calibri" w:hAnsi="Arial" w:cs="Arial"/>
                <w:sz w:val="20"/>
                <w:szCs w:val="20"/>
              </w:rPr>
            </w:pPr>
            <w:r>
              <w:rPr>
                <w:rFonts w:ascii="Arial" w:eastAsia="Calibri" w:hAnsi="Arial" w:cs="Arial"/>
                <w:sz w:val="20"/>
                <w:szCs w:val="20"/>
              </w:rPr>
              <w:t>90</w:t>
            </w:r>
          </w:p>
        </w:tc>
        <w:tc>
          <w:tcPr>
            <w:tcW w:w="453" w:type="pct"/>
            <w:shd w:val="clear" w:color="auto" w:fill="auto"/>
            <w:tcMar>
              <w:top w:w="15" w:type="dxa"/>
              <w:left w:w="69" w:type="dxa"/>
              <w:bottom w:w="0" w:type="dxa"/>
              <w:right w:w="69" w:type="dxa"/>
            </w:tcMar>
          </w:tcPr>
          <w:p w14:paraId="5555A330" w14:textId="1DE3DDB8" w:rsidR="004173B6" w:rsidRDefault="00166227" w:rsidP="004173B6">
            <w:pPr>
              <w:spacing w:after="200" w:line="276" w:lineRule="auto"/>
              <w:jc w:val="center"/>
              <w:rPr>
                <w:rFonts w:ascii="Arial" w:eastAsia="Calibri" w:hAnsi="Arial" w:cs="Arial"/>
                <w:sz w:val="20"/>
                <w:szCs w:val="20"/>
              </w:rPr>
            </w:pPr>
            <w:r>
              <w:rPr>
                <w:rFonts w:ascii="Arial" w:eastAsia="Calibri" w:hAnsi="Arial" w:cs="Arial"/>
                <w:sz w:val="20"/>
                <w:szCs w:val="20"/>
              </w:rPr>
              <w:t>90</w:t>
            </w:r>
          </w:p>
        </w:tc>
        <w:tc>
          <w:tcPr>
            <w:tcW w:w="454" w:type="pct"/>
            <w:shd w:val="clear" w:color="auto" w:fill="auto"/>
            <w:tcMar>
              <w:top w:w="15" w:type="dxa"/>
              <w:left w:w="69" w:type="dxa"/>
              <w:bottom w:w="0" w:type="dxa"/>
              <w:right w:w="69" w:type="dxa"/>
            </w:tcMar>
          </w:tcPr>
          <w:p w14:paraId="51624AE4" w14:textId="49BD8BA6" w:rsidR="004173B6" w:rsidRDefault="00166227" w:rsidP="004173B6">
            <w:pPr>
              <w:spacing w:after="200" w:line="276" w:lineRule="auto"/>
              <w:jc w:val="center"/>
              <w:rPr>
                <w:rFonts w:ascii="Arial" w:eastAsia="Calibri" w:hAnsi="Arial" w:cs="Arial"/>
                <w:color w:val="000000"/>
                <w:sz w:val="20"/>
                <w:szCs w:val="20"/>
              </w:rPr>
            </w:pPr>
            <w:r>
              <w:rPr>
                <w:rFonts w:ascii="Arial" w:eastAsia="Calibri" w:hAnsi="Arial" w:cs="Arial"/>
                <w:color w:val="000000"/>
                <w:sz w:val="20"/>
                <w:szCs w:val="20"/>
              </w:rPr>
              <w:t>16</w:t>
            </w:r>
          </w:p>
        </w:tc>
        <w:tc>
          <w:tcPr>
            <w:tcW w:w="496" w:type="pct"/>
            <w:shd w:val="clear" w:color="auto" w:fill="auto"/>
          </w:tcPr>
          <w:p w14:paraId="42E00098" w14:textId="07A334CD" w:rsidR="004173B6" w:rsidRDefault="00166227" w:rsidP="004173B6">
            <w:pPr>
              <w:spacing w:after="200" w:line="276" w:lineRule="auto"/>
              <w:jc w:val="center"/>
              <w:rPr>
                <w:rFonts w:ascii="Arial" w:eastAsia="Calibri" w:hAnsi="Arial" w:cs="Arial"/>
                <w:sz w:val="20"/>
                <w:szCs w:val="20"/>
              </w:rPr>
            </w:pPr>
            <w:r>
              <w:rPr>
                <w:rFonts w:ascii="Arial" w:eastAsia="Calibri" w:hAnsi="Arial" w:cs="Arial"/>
                <w:sz w:val="20"/>
                <w:szCs w:val="20"/>
              </w:rPr>
              <w:t>4</w:t>
            </w:r>
          </w:p>
        </w:tc>
        <w:tc>
          <w:tcPr>
            <w:tcW w:w="619" w:type="pct"/>
            <w:shd w:val="clear" w:color="auto" w:fill="auto"/>
          </w:tcPr>
          <w:p w14:paraId="2683930C" w14:textId="1B2D599E" w:rsidR="004173B6" w:rsidRDefault="00166227" w:rsidP="004173B6">
            <w:pPr>
              <w:spacing w:after="200" w:line="276" w:lineRule="auto"/>
              <w:jc w:val="center"/>
              <w:rPr>
                <w:rFonts w:ascii="Arial" w:eastAsia="Calibri" w:hAnsi="Arial" w:cs="Arial"/>
                <w:sz w:val="20"/>
                <w:szCs w:val="20"/>
              </w:rPr>
            </w:pPr>
            <w:r>
              <w:rPr>
                <w:rFonts w:ascii="Arial" w:eastAsia="Calibri" w:hAnsi="Arial" w:cs="Arial"/>
                <w:sz w:val="20"/>
                <w:szCs w:val="20"/>
              </w:rPr>
              <w:t>20</w:t>
            </w:r>
          </w:p>
        </w:tc>
        <w:tc>
          <w:tcPr>
            <w:tcW w:w="412" w:type="pct"/>
            <w:shd w:val="clear" w:color="auto" w:fill="auto"/>
            <w:tcMar>
              <w:top w:w="15" w:type="dxa"/>
              <w:left w:w="69" w:type="dxa"/>
              <w:bottom w:w="0" w:type="dxa"/>
              <w:right w:w="69" w:type="dxa"/>
            </w:tcMar>
          </w:tcPr>
          <w:p w14:paraId="20AD064F" w14:textId="35D3BE44" w:rsidR="004173B6" w:rsidRDefault="00FD74CD" w:rsidP="004173B6">
            <w:pPr>
              <w:spacing w:after="200" w:line="276" w:lineRule="auto"/>
              <w:jc w:val="center"/>
              <w:rPr>
                <w:rFonts w:ascii="Arial" w:eastAsia="Calibri" w:hAnsi="Arial" w:cs="Arial"/>
                <w:sz w:val="20"/>
                <w:szCs w:val="20"/>
              </w:rPr>
            </w:pPr>
            <w:r>
              <w:rPr>
                <w:rFonts w:ascii="Arial" w:eastAsia="Calibri" w:hAnsi="Arial" w:cs="Arial"/>
                <w:sz w:val="20"/>
                <w:szCs w:val="20"/>
              </w:rPr>
              <w:t>0.2</w:t>
            </w:r>
            <w:r w:rsidR="004173B6" w:rsidRPr="00DF29DD">
              <w:rPr>
                <w:rFonts w:ascii="Arial" w:eastAsia="Calibri" w:hAnsi="Arial" w:cs="Arial"/>
                <w:sz w:val="20"/>
                <w:szCs w:val="20"/>
              </w:rPr>
              <w:t>x</w:t>
            </w:r>
          </w:p>
        </w:tc>
        <w:tc>
          <w:tcPr>
            <w:tcW w:w="409" w:type="pct"/>
          </w:tcPr>
          <w:p w14:paraId="28D7BB19" w14:textId="7FB9A2EC" w:rsidR="004173B6" w:rsidRDefault="004173B6" w:rsidP="004173B6">
            <w:pPr>
              <w:spacing w:after="200" w:line="276" w:lineRule="auto"/>
              <w:jc w:val="center"/>
              <w:rPr>
                <w:rFonts w:ascii="Arial" w:eastAsia="Calibri" w:hAnsi="Arial" w:cs="Arial"/>
                <w:sz w:val="20"/>
                <w:szCs w:val="20"/>
              </w:rPr>
            </w:pPr>
            <w:r>
              <w:rPr>
                <w:rFonts w:ascii="Arial" w:eastAsia="Calibri" w:hAnsi="Arial" w:cs="Arial"/>
                <w:sz w:val="20"/>
                <w:szCs w:val="20"/>
              </w:rPr>
              <w:t>0.3</w:t>
            </w:r>
            <w:r w:rsidRPr="00DF29DD">
              <w:rPr>
                <w:rFonts w:ascii="Arial" w:eastAsia="Calibri" w:hAnsi="Arial" w:cs="Arial"/>
                <w:sz w:val="20"/>
                <w:szCs w:val="20"/>
              </w:rPr>
              <w:t>x</w:t>
            </w:r>
          </w:p>
        </w:tc>
      </w:tr>
      <w:tr w:rsidR="008E4612" w:rsidRPr="00DF29DD" w14:paraId="25C9CF2F" w14:textId="77777777" w:rsidTr="00E81DFC">
        <w:trPr>
          <w:trHeight w:val="775"/>
        </w:trPr>
        <w:tc>
          <w:tcPr>
            <w:tcW w:w="777" w:type="pct"/>
            <w:shd w:val="clear" w:color="auto" w:fill="auto"/>
            <w:tcMar>
              <w:top w:w="15" w:type="dxa"/>
              <w:left w:w="137" w:type="dxa"/>
              <w:bottom w:w="0" w:type="dxa"/>
              <w:right w:w="15" w:type="dxa"/>
            </w:tcMar>
          </w:tcPr>
          <w:p w14:paraId="44AEB0E6" w14:textId="77777777" w:rsidR="008E4612" w:rsidRPr="00DF29DD" w:rsidRDefault="008E4612" w:rsidP="00E81DFC">
            <w:pPr>
              <w:rPr>
                <w:rFonts w:ascii="Arial" w:eastAsia="Calibri" w:hAnsi="Arial" w:cs="Arial"/>
                <w:b/>
                <w:sz w:val="20"/>
                <w:szCs w:val="20"/>
                <w:lang w:val="en-US"/>
              </w:rPr>
            </w:pPr>
            <w:r w:rsidRPr="00DF29DD">
              <w:rPr>
                <w:rFonts w:ascii="Arial" w:eastAsia="Calibri" w:hAnsi="Arial" w:cs="Arial"/>
                <w:b/>
                <w:sz w:val="20"/>
                <w:szCs w:val="20"/>
                <w:lang w:val="en-US"/>
              </w:rPr>
              <w:t xml:space="preserve">Liberty II </w:t>
            </w:r>
          </w:p>
          <w:p w14:paraId="7CC552D9" w14:textId="77777777" w:rsidR="008E4612" w:rsidRPr="00DF29DD" w:rsidRDefault="008E4612" w:rsidP="00E81DFC">
            <w:pPr>
              <w:rPr>
                <w:rFonts w:ascii="Arial" w:eastAsia="Calibri" w:hAnsi="Arial" w:cs="Arial"/>
                <w:i/>
                <w:sz w:val="20"/>
                <w:szCs w:val="20"/>
                <w:lang w:val="en-US"/>
              </w:rPr>
            </w:pPr>
            <w:r w:rsidRPr="00DF29DD">
              <w:rPr>
                <w:rFonts w:ascii="Arial" w:eastAsia="Calibri" w:hAnsi="Arial" w:cs="Arial"/>
                <w:i/>
                <w:sz w:val="20"/>
                <w:szCs w:val="20"/>
                <w:lang w:val="en-US"/>
              </w:rPr>
              <w:t>(30 Jan 2014)</w:t>
            </w:r>
          </w:p>
          <w:p w14:paraId="3908533B" w14:textId="77777777" w:rsidR="008E4612" w:rsidRPr="00DF29DD" w:rsidRDefault="008E4612" w:rsidP="00E81DFC">
            <w:pPr>
              <w:rPr>
                <w:rFonts w:ascii="Arial" w:eastAsia="Calibri" w:hAnsi="Arial" w:cs="Arial"/>
                <w:b/>
                <w:sz w:val="20"/>
                <w:szCs w:val="20"/>
                <w:lang w:val="en-US"/>
              </w:rPr>
            </w:pPr>
          </w:p>
        </w:tc>
        <w:tc>
          <w:tcPr>
            <w:tcW w:w="74" w:type="pct"/>
            <w:shd w:val="clear" w:color="auto" w:fill="auto"/>
            <w:tcMar>
              <w:top w:w="15" w:type="dxa"/>
              <w:left w:w="69" w:type="dxa"/>
              <w:bottom w:w="0" w:type="dxa"/>
              <w:right w:w="69" w:type="dxa"/>
            </w:tcMar>
            <w:vAlign w:val="center"/>
          </w:tcPr>
          <w:p w14:paraId="0F6DD6C7" w14:textId="77777777" w:rsidR="008E4612" w:rsidRPr="00DF29DD" w:rsidRDefault="008E4612" w:rsidP="00E81DFC">
            <w:pPr>
              <w:spacing w:after="200" w:line="276" w:lineRule="auto"/>
              <w:rPr>
                <w:rFonts w:ascii="Arial" w:eastAsia="Calibri" w:hAnsi="Arial" w:cs="Arial"/>
                <w:color w:val="000000"/>
                <w:sz w:val="20"/>
                <w:szCs w:val="20"/>
                <w:lang w:val="en-US"/>
              </w:rPr>
            </w:pPr>
          </w:p>
        </w:tc>
        <w:tc>
          <w:tcPr>
            <w:tcW w:w="771" w:type="pct"/>
            <w:shd w:val="clear" w:color="auto" w:fill="auto"/>
          </w:tcPr>
          <w:p w14:paraId="03D549B1" w14:textId="77777777" w:rsidR="008E4612" w:rsidRPr="00DF29DD" w:rsidRDefault="008E4612" w:rsidP="00E81DFC">
            <w:pPr>
              <w:spacing w:after="200" w:line="276" w:lineRule="auto"/>
              <w:jc w:val="center"/>
              <w:rPr>
                <w:rFonts w:ascii="Arial" w:eastAsia="Calibri" w:hAnsi="Arial" w:cs="Arial"/>
                <w:color w:val="000000"/>
                <w:sz w:val="20"/>
                <w:szCs w:val="20"/>
                <w:lang w:val="en-US"/>
              </w:rPr>
            </w:pPr>
            <w:r w:rsidRPr="00DF29DD">
              <w:rPr>
                <w:rFonts w:ascii="Arial" w:eastAsia="Calibri" w:hAnsi="Arial" w:cs="Arial"/>
                <w:color w:val="000000"/>
                <w:sz w:val="20"/>
                <w:szCs w:val="20"/>
                <w:lang w:val="en-US"/>
              </w:rPr>
              <w:t>Bakken, PRB (U.S.)</w:t>
            </w:r>
          </w:p>
        </w:tc>
        <w:tc>
          <w:tcPr>
            <w:tcW w:w="535" w:type="pct"/>
            <w:shd w:val="clear" w:color="auto" w:fill="auto"/>
          </w:tcPr>
          <w:p w14:paraId="2878C406" w14:textId="77777777" w:rsidR="008E4612" w:rsidRDefault="008E4612" w:rsidP="00E81DFC">
            <w:pPr>
              <w:spacing w:after="200" w:line="276" w:lineRule="auto"/>
              <w:jc w:val="center"/>
              <w:rPr>
                <w:rFonts w:ascii="Arial" w:eastAsia="Calibri" w:hAnsi="Arial" w:cs="Arial"/>
                <w:sz w:val="20"/>
                <w:szCs w:val="20"/>
              </w:rPr>
            </w:pPr>
            <w:r>
              <w:rPr>
                <w:rFonts w:ascii="Arial" w:eastAsia="Calibri" w:hAnsi="Arial" w:cs="Arial"/>
                <w:sz w:val="20"/>
                <w:szCs w:val="20"/>
              </w:rPr>
              <w:t>142</w:t>
            </w:r>
          </w:p>
        </w:tc>
        <w:tc>
          <w:tcPr>
            <w:tcW w:w="453" w:type="pct"/>
            <w:shd w:val="clear" w:color="auto" w:fill="auto"/>
            <w:tcMar>
              <w:top w:w="15" w:type="dxa"/>
              <w:left w:w="69" w:type="dxa"/>
              <w:bottom w:w="0" w:type="dxa"/>
              <w:right w:w="69" w:type="dxa"/>
            </w:tcMar>
          </w:tcPr>
          <w:p w14:paraId="3C04E0EA" w14:textId="77777777" w:rsidR="008E4612" w:rsidRDefault="008E4612" w:rsidP="00E81DFC">
            <w:pPr>
              <w:spacing w:after="200" w:line="276" w:lineRule="auto"/>
              <w:jc w:val="center"/>
              <w:rPr>
                <w:rFonts w:ascii="Arial" w:eastAsia="Calibri" w:hAnsi="Arial" w:cs="Arial"/>
                <w:sz w:val="20"/>
                <w:szCs w:val="20"/>
              </w:rPr>
            </w:pPr>
            <w:r>
              <w:rPr>
                <w:rFonts w:ascii="Arial" w:eastAsia="Calibri" w:hAnsi="Arial" w:cs="Arial"/>
                <w:sz w:val="20"/>
                <w:szCs w:val="20"/>
              </w:rPr>
              <w:t>142</w:t>
            </w:r>
          </w:p>
        </w:tc>
        <w:tc>
          <w:tcPr>
            <w:tcW w:w="454" w:type="pct"/>
            <w:shd w:val="clear" w:color="auto" w:fill="auto"/>
            <w:tcMar>
              <w:top w:w="15" w:type="dxa"/>
              <w:left w:w="69" w:type="dxa"/>
              <w:bottom w:w="0" w:type="dxa"/>
              <w:right w:w="69" w:type="dxa"/>
            </w:tcMar>
          </w:tcPr>
          <w:p w14:paraId="22353678" w14:textId="77777777" w:rsidR="008E4612" w:rsidRDefault="008E4612" w:rsidP="00E81DFC">
            <w:pPr>
              <w:spacing w:after="200" w:line="276" w:lineRule="auto"/>
              <w:jc w:val="center"/>
              <w:rPr>
                <w:rFonts w:ascii="Arial" w:eastAsia="Calibri" w:hAnsi="Arial" w:cs="Arial"/>
                <w:color w:val="000000"/>
                <w:sz w:val="20"/>
                <w:szCs w:val="20"/>
              </w:rPr>
            </w:pPr>
            <w:r>
              <w:rPr>
                <w:rFonts w:ascii="Arial" w:eastAsia="Calibri" w:hAnsi="Arial" w:cs="Arial"/>
                <w:color w:val="000000"/>
                <w:sz w:val="20"/>
                <w:szCs w:val="20"/>
              </w:rPr>
              <w:t>-</w:t>
            </w:r>
          </w:p>
        </w:tc>
        <w:tc>
          <w:tcPr>
            <w:tcW w:w="496" w:type="pct"/>
            <w:shd w:val="clear" w:color="auto" w:fill="auto"/>
          </w:tcPr>
          <w:p w14:paraId="6E775BAE" w14:textId="77777777" w:rsidR="008E4612" w:rsidRDefault="008E4612" w:rsidP="00E81DFC">
            <w:pPr>
              <w:spacing w:after="200" w:line="276" w:lineRule="auto"/>
              <w:jc w:val="center"/>
              <w:rPr>
                <w:rFonts w:ascii="Arial" w:eastAsia="Calibri" w:hAnsi="Arial" w:cs="Arial"/>
                <w:sz w:val="20"/>
                <w:szCs w:val="20"/>
              </w:rPr>
            </w:pPr>
            <w:r>
              <w:rPr>
                <w:rFonts w:ascii="Arial" w:eastAsia="Calibri" w:hAnsi="Arial" w:cs="Arial"/>
                <w:sz w:val="20"/>
                <w:szCs w:val="20"/>
              </w:rPr>
              <w:t>14</w:t>
            </w:r>
          </w:p>
        </w:tc>
        <w:tc>
          <w:tcPr>
            <w:tcW w:w="619" w:type="pct"/>
            <w:shd w:val="clear" w:color="auto" w:fill="auto"/>
          </w:tcPr>
          <w:p w14:paraId="740503FD" w14:textId="77777777" w:rsidR="008E4612" w:rsidRDefault="008E4612" w:rsidP="00E81DFC">
            <w:pPr>
              <w:spacing w:after="200" w:line="276" w:lineRule="auto"/>
              <w:jc w:val="center"/>
              <w:rPr>
                <w:rFonts w:ascii="Arial" w:eastAsia="Calibri" w:hAnsi="Arial" w:cs="Arial"/>
                <w:sz w:val="20"/>
                <w:szCs w:val="20"/>
              </w:rPr>
            </w:pPr>
            <w:r>
              <w:rPr>
                <w:rFonts w:ascii="Arial" w:eastAsia="Calibri" w:hAnsi="Arial" w:cs="Arial"/>
                <w:sz w:val="20"/>
                <w:szCs w:val="20"/>
              </w:rPr>
              <w:t>14</w:t>
            </w:r>
          </w:p>
        </w:tc>
        <w:tc>
          <w:tcPr>
            <w:tcW w:w="412" w:type="pct"/>
            <w:shd w:val="clear" w:color="auto" w:fill="auto"/>
            <w:tcMar>
              <w:top w:w="15" w:type="dxa"/>
              <w:left w:w="69" w:type="dxa"/>
              <w:bottom w:w="0" w:type="dxa"/>
              <w:right w:w="69" w:type="dxa"/>
            </w:tcMar>
          </w:tcPr>
          <w:p w14:paraId="7F7702C2" w14:textId="77777777" w:rsidR="008E4612" w:rsidRDefault="008E4612" w:rsidP="00E81DFC">
            <w:pPr>
              <w:spacing w:after="200" w:line="276" w:lineRule="auto"/>
              <w:jc w:val="center"/>
              <w:rPr>
                <w:rFonts w:ascii="Arial" w:eastAsia="Calibri" w:hAnsi="Arial" w:cs="Arial"/>
                <w:sz w:val="20"/>
                <w:szCs w:val="20"/>
              </w:rPr>
            </w:pPr>
            <w:r>
              <w:rPr>
                <w:rFonts w:ascii="Arial" w:eastAsia="Calibri" w:hAnsi="Arial" w:cs="Arial"/>
                <w:sz w:val="20"/>
                <w:szCs w:val="20"/>
              </w:rPr>
              <w:t>0.1</w:t>
            </w:r>
            <w:r w:rsidRPr="00DF29DD">
              <w:rPr>
                <w:rFonts w:ascii="Arial" w:eastAsia="Calibri" w:hAnsi="Arial" w:cs="Arial"/>
                <w:sz w:val="20"/>
                <w:szCs w:val="20"/>
              </w:rPr>
              <w:t>x</w:t>
            </w:r>
          </w:p>
        </w:tc>
        <w:tc>
          <w:tcPr>
            <w:tcW w:w="409" w:type="pct"/>
          </w:tcPr>
          <w:p w14:paraId="13B1C471" w14:textId="77777777" w:rsidR="008E4612" w:rsidRDefault="008E4612" w:rsidP="00E81DFC">
            <w:pPr>
              <w:spacing w:after="200" w:line="276" w:lineRule="auto"/>
              <w:jc w:val="center"/>
              <w:rPr>
                <w:rFonts w:ascii="Arial" w:eastAsia="Calibri" w:hAnsi="Arial" w:cs="Arial"/>
                <w:sz w:val="20"/>
                <w:szCs w:val="20"/>
              </w:rPr>
            </w:pPr>
            <w:r>
              <w:rPr>
                <w:rFonts w:ascii="Arial" w:eastAsia="Calibri" w:hAnsi="Arial" w:cs="Arial"/>
                <w:sz w:val="20"/>
                <w:szCs w:val="20"/>
              </w:rPr>
              <w:t>0.4</w:t>
            </w:r>
            <w:r w:rsidRPr="00DF29DD">
              <w:rPr>
                <w:rFonts w:ascii="Arial" w:eastAsia="Calibri" w:hAnsi="Arial" w:cs="Arial"/>
                <w:sz w:val="20"/>
                <w:szCs w:val="20"/>
              </w:rPr>
              <w:t>x</w:t>
            </w:r>
          </w:p>
        </w:tc>
      </w:tr>
      <w:tr w:rsidR="004173B6" w:rsidRPr="00DF29DD" w14:paraId="3479CACC" w14:textId="77777777" w:rsidTr="00AD57E5">
        <w:trPr>
          <w:trHeight w:val="283"/>
        </w:trPr>
        <w:tc>
          <w:tcPr>
            <w:tcW w:w="777" w:type="pct"/>
            <w:shd w:val="clear" w:color="auto" w:fill="auto"/>
            <w:tcMar>
              <w:top w:w="15" w:type="dxa"/>
              <w:left w:w="137" w:type="dxa"/>
              <w:bottom w:w="0" w:type="dxa"/>
              <w:right w:w="15" w:type="dxa"/>
            </w:tcMar>
          </w:tcPr>
          <w:p w14:paraId="4690DFC6" w14:textId="77777777" w:rsidR="004173B6" w:rsidRPr="00DF29DD" w:rsidRDefault="004173B6" w:rsidP="004173B6">
            <w:pPr>
              <w:rPr>
                <w:rFonts w:ascii="Arial" w:eastAsia="Calibri" w:hAnsi="Arial" w:cs="Arial"/>
                <w:b/>
                <w:sz w:val="20"/>
                <w:szCs w:val="20"/>
                <w:lang w:val="en-US"/>
              </w:rPr>
            </w:pPr>
            <w:r w:rsidRPr="00DF29DD">
              <w:rPr>
                <w:rFonts w:ascii="Arial" w:eastAsia="Calibri" w:hAnsi="Arial" w:cs="Arial"/>
                <w:b/>
                <w:sz w:val="20"/>
                <w:szCs w:val="20"/>
                <w:lang w:val="en-US"/>
              </w:rPr>
              <w:t>Fieldwood</w:t>
            </w:r>
          </w:p>
          <w:p w14:paraId="3EE585C6" w14:textId="77777777" w:rsidR="004173B6" w:rsidRPr="00DF29DD" w:rsidRDefault="004173B6" w:rsidP="004173B6">
            <w:pPr>
              <w:rPr>
                <w:rFonts w:ascii="Arial" w:eastAsia="Calibri" w:hAnsi="Arial" w:cs="Arial"/>
                <w:i/>
                <w:sz w:val="20"/>
                <w:szCs w:val="20"/>
                <w:lang w:val="en-US"/>
              </w:rPr>
            </w:pPr>
            <w:r w:rsidRPr="00DF29DD">
              <w:rPr>
                <w:rFonts w:ascii="Arial" w:eastAsia="Calibri" w:hAnsi="Arial" w:cs="Arial"/>
                <w:i/>
                <w:sz w:val="20"/>
                <w:szCs w:val="20"/>
                <w:lang w:val="en-US"/>
              </w:rPr>
              <w:t>(17 Mar 2014)</w:t>
            </w:r>
          </w:p>
          <w:p w14:paraId="28357123" w14:textId="77777777" w:rsidR="004173B6" w:rsidRPr="00DF29DD" w:rsidRDefault="004173B6" w:rsidP="004173B6">
            <w:pPr>
              <w:rPr>
                <w:rFonts w:ascii="Arial" w:eastAsia="Calibri" w:hAnsi="Arial" w:cs="Arial"/>
                <w:i/>
                <w:sz w:val="20"/>
                <w:szCs w:val="20"/>
                <w:lang w:val="en-US"/>
              </w:rPr>
            </w:pPr>
          </w:p>
        </w:tc>
        <w:tc>
          <w:tcPr>
            <w:tcW w:w="74" w:type="pct"/>
            <w:shd w:val="clear" w:color="auto" w:fill="auto"/>
            <w:tcMar>
              <w:top w:w="15" w:type="dxa"/>
              <w:left w:w="69" w:type="dxa"/>
              <w:bottom w:w="0" w:type="dxa"/>
              <w:right w:w="69" w:type="dxa"/>
            </w:tcMar>
            <w:vAlign w:val="center"/>
          </w:tcPr>
          <w:p w14:paraId="2542228F" w14:textId="0649C46A" w:rsidR="004173B6" w:rsidRPr="00DF29DD" w:rsidRDefault="004173B6" w:rsidP="004173B6">
            <w:pPr>
              <w:spacing w:after="200" w:line="276" w:lineRule="auto"/>
              <w:rPr>
                <w:rFonts w:ascii="Arial" w:eastAsia="Calibri" w:hAnsi="Arial" w:cs="Arial"/>
                <w:color w:val="000000"/>
                <w:sz w:val="20"/>
                <w:szCs w:val="20"/>
                <w:lang w:val="en-US"/>
              </w:rPr>
            </w:pPr>
            <w:r w:rsidRPr="00DF29DD">
              <w:rPr>
                <w:rFonts w:ascii="Arial" w:eastAsia="Calibri" w:hAnsi="Arial" w:cs="Arial"/>
                <w:color w:val="000000"/>
                <w:sz w:val="20"/>
                <w:szCs w:val="20"/>
                <w:lang w:val="en-US"/>
              </w:rPr>
              <w:t> </w:t>
            </w:r>
          </w:p>
        </w:tc>
        <w:tc>
          <w:tcPr>
            <w:tcW w:w="771" w:type="pct"/>
            <w:shd w:val="clear" w:color="auto" w:fill="auto"/>
          </w:tcPr>
          <w:p w14:paraId="75348F6E" w14:textId="5700D4EC" w:rsidR="004173B6" w:rsidRPr="00DF29DD" w:rsidRDefault="004173B6" w:rsidP="004173B6">
            <w:pPr>
              <w:spacing w:after="200" w:line="276" w:lineRule="auto"/>
              <w:jc w:val="center"/>
              <w:rPr>
                <w:rFonts w:ascii="Arial" w:eastAsia="Calibri" w:hAnsi="Arial" w:cs="Arial"/>
                <w:color w:val="000000"/>
                <w:sz w:val="20"/>
                <w:szCs w:val="20"/>
                <w:lang w:val="en-US"/>
              </w:rPr>
            </w:pPr>
            <w:r w:rsidRPr="00DF29DD">
              <w:rPr>
                <w:rFonts w:ascii="Arial" w:eastAsia="Calibri" w:hAnsi="Arial" w:cs="Arial"/>
                <w:color w:val="000000"/>
                <w:sz w:val="20"/>
                <w:szCs w:val="20"/>
                <w:lang w:val="en-US"/>
              </w:rPr>
              <w:t>GoM Shelf (U.S.)</w:t>
            </w:r>
          </w:p>
        </w:tc>
        <w:tc>
          <w:tcPr>
            <w:tcW w:w="535" w:type="pct"/>
            <w:shd w:val="clear" w:color="auto" w:fill="auto"/>
          </w:tcPr>
          <w:p w14:paraId="7C6F53BC" w14:textId="17371591" w:rsidR="004173B6" w:rsidRPr="00DF29DD" w:rsidRDefault="00166227" w:rsidP="004173B6">
            <w:pPr>
              <w:spacing w:after="200" w:line="276" w:lineRule="auto"/>
              <w:jc w:val="center"/>
              <w:rPr>
                <w:rFonts w:ascii="Arial" w:eastAsia="Calibri" w:hAnsi="Arial" w:cs="Arial"/>
                <w:sz w:val="20"/>
                <w:szCs w:val="20"/>
              </w:rPr>
            </w:pPr>
            <w:r>
              <w:rPr>
                <w:rFonts w:ascii="Arial" w:eastAsia="Calibri" w:hAnsi="Arial" w:cs="Arial"/>
                <w:sz w:val="20"/>
                <w:szCs w:val="20"/>
              </w:rPr>
              <w:t>89</w:t>
            </w:r>
          </w:p>
        </w:tc>
        <w:tc>
          <w:tcPr>
            <w:tcW w:w="453" w:type="pct"/>
            <w:shd w:val="clear" w:color="auto" w:fill="auto"/>
            <w:tcMar>
              <w:top w:w="15" w:type="dxa"/>
              <w:left w:w="69" w:type="dxa"/>
              <w:bottom w:w="0" w:type="dxa"/>
              <w:right w:w="69" w:type="dxa"/>
            </w:tcMar>
          </w:tcPr>
          <w:p w14:paraId="55EC5F56" w14:textId="37430D81" w:rsidR="004173B6" w:rsidRPr="00DF29DD" w:rsidRDefault="00166227" w:rsidP="004173B6">
            <w:pPr>
              <w:spacing w:after="200" w:line="276" w:lineRule="auto"/>
              <w:jc w:val="center"/>
              <w:rPr>
                <w:rFonts w:ascii="Arial" w:eastAsia="Calibri" w:hAnsi="Arial" w:cs="Arial"/>
                <w:sz w:val="20"/>
                <w:szCs w:val="20"/>
              </w:rPr>
            </w:pPr>
            <w:r>
              <w:rPr>
                <w:rFonts w:ascii="Arial" w:eastAsia="Calibri" w:hAnsi="Arial" w:cs="Arial"/>
                <w:sz w:val="20"/>
                <w:szCs w:val="20"/>
              </w:rPr>
              <w:t>88</w:t>
            </w:r>
          </w:p>
        </w:tc>
        <w:tc>
          <w:tcPr>
            <w:tcW w:w="454" w:type="pct"/>
            <w:shd w:val="clear" w:color="auto" w:fill="auto"/>
            <w:tcMar>
              <w:top w:w="15" w:type="dxa"/>
              <w:left w:w="69" w:type="dxa"/>
              <w:bottom w:w="0" w:type="dxa"/>
              <w:right w:w="69" w:type="dxa"/>
            </w:tcMar>
          </w:tcPr>
          <w:p w14:paraId="681252D0" w14:textId="2269DFB0" w:rsidR="004173B6" w:rsidRPr="00DF29DD" w:rsidRDefault="00166227" w:rsidP="004173B6">
            <w:pPr>
              <w:spacing w:after="200" w:line="276" w:lineRule="auto"/>
              <w:jc w:val="center"/>
              <w:rPr>
                <w:rFonts w:ascii="Arial" w:eastAsia="Calibri" w:hAnsi="Arial" w:cs="Arial"/>
                <w:color w:val="000000"/>
                <w:sz w:val="20"/>
                <w:szCs w:val="20"/>
              </w:rPr>
            </w:pPr>
            <w:r>
              <w:rPr>
                <w:rFonts w:ascii="Arial" w:eastAsia="Calibri" w:hAnsi="Arial" w:cs="Arial"/>
                <w:color w:val="000000"/>
                <w:sz w:val="20"/>
                <w:szCs w:val="20"/>
              </w:rPr>
              <w:t>8</w:t>
            </w:r>
          </w:p>
        </w:tc>
        <w:tc>
          <w:tcPr>
            <w:tcW w:w="496" w:type="pct"/>
            <w:shd w:val="clear" w:color="auto" w:fill="auto"/>
          </w:tcPr>
          <w:p w14:paraId="21FFD6F9" w14:textId="52B723E6" w:rsidR="004173B6" w:rsidRPr="00DF29DD" w:rsidRDefault="00041A95" w:rsidP="004173B6">
            <w:pPr>
              <w:spacing w:after="200" w:line="276" w:lineRule="auto"/>
              <w:jc w:val="center"/>
              <w:rPr>
                <w:rFonts w:ascii="Arial" w:eastAsia="Calibri" w:hAnsi="Arial" w:cs="Arial"/>
                <w:sz w:val="20"/>
                <w:szCs w:val="20"/>
              </w:rPr>
            </w:pPr>
            <w:r>
              <w:rPr>
                <w:rFonts w:ascii="Arial" w:eastAsia="Calibri" w:hAnsi="Arial" w:cs="Arial"/>
                <w:sz w:val="20"/>
                <w:szCs w:val="20"/>
              </w:rPr>
              <w:t>-</w:t>
            </w:r>
          </w:p>
        </w:tc>
        <w:tc>
          <w:tcPr>
            <w:tcW w:w="619" w:type="pct"/>
            <w:shd w:val="clear" w:color="auto" w:fill="auto"/>
          </w:tcPr>
          <w:p w14:paraId="6EE6C706" w14:textId="56E91AE6" w:rsidR="004173B6" w:rsidRPr="00DF29DD" w:rsidRDefault="00041A95" w:rsidP="004173B6">
            <w:pPr>
              <w:spacing w:after="200" w:line="276" w:lineRule="auto"/>
              <w:jc w:val="center"/>
              <w:rPr>
                <w:rFonts w:ascii="Arial" w:eastAsia="Calibri" w:hAnsi="Arial" w:cs="Arial"/>
                <w:sz w:val="20"/>
                <w:szCs w:val="20"/>
              </w:rPr>
            </w:pPr>
            <w:r>
              <w:rPr>
                <w:rFonts w:ascii="Arial" w:eastAsia="Calibri" w:hAnsi="Arial" w:cs="Arial"/>
                <w:sz w:val="20"/>
                <w:szCs w:val="20"/>
              </w:rPr>
              <w:t>8</w:t>
            </w:r>
          </w:p>
        </w:tc>
        <w:tc>
          <w:tcPr>
            <w:tcW w:w="412" w:type="pct"/>
            <w:shd w:val="clear" w:color="auto" w:fill="auto"/>
            <w:tcMar>
              <w:top w:w="15" w:type="dxa"/>
              <w:left w:w="69" w:type="dxa"/>
              <w:bottom w:w="0" w:type="dxa"/>
              <w:right w:w="69" w:type="dxa"/>
            </w:tcMar>
          </w:tcPr>
          <w:p w14:paraId="266E36B4" w14:textId="47B9DC6B" w:rsidR="004173B6" w:rsidRPr="00DF29DD" w:rsidRDefault="00041A95" w:rsidP="004173B6">
            <w:pPr>
              <w:spacing w:after="200" w:line="276" w:lineRule="auto"/>
              <w:jc w:val="center"/>
              <w:rPr>
                <w:rFonts w:ascii="Arial" w:eastAsia="Calibri" w:hAnsi="Arial" w:cs="Arial"/>
                <w:sz w:val="20"/>
                <w:szCs w:val="20"/>
              </w:rPr>
            </w:pPr>
            <w:r>
              <w:rPr>
                <w:rFonts w:ascii="Arial" w:eastAsia="Calibri" w:hAnsi="Arial" w:cs="Arial"/>
                <w:sz w:val="20"/>
                <w:szCs w:val="20"/>
              </w:rPr>
              <w:t>0.1</w:t>
            </w:r>
            <w:r w:rsidR="004173B6" w:rsidRPr="00DF29DD">
              <w:rPr>
                <w:rFonts w:ascii="Arial" w:eastAsia="Calibri" w:hAnsi="Arial" w:cs="Arial"/>
                <w:sz w:val="20"/>
                <w:szCs w:val="20"/>
              </w:rPr>
              <w:t>x</w:t>
            </w:r>
          </w:p>
        </w:tc>
        <w:tc>
          <w:tcPr>
            <w:tcW w:w="409" w:type="pct"/>
          </w:tcPr>
          <w:p w14:paraId="6D35653D" w14:textId="644621D9" w:rsidR="004173B6" w:rsidRPr="00DF29DD" w:rsidRDefault="004173B6" w:rsidP="004173B6">
            <w:pPr>
              <w:spacing w:after="200" w:line="276" w:lineRule="auto"/>
              <w:jc w:val="center"/>
              <w:rPr>
                <w:rFonts w:ascii="Arial" w:eastAsia="Calibri" w:hAnsi="Arial" w:cs="Arial"/>
                <w:sz w:val="20"/>
                <w:szCs w:val="20"/>
              </w:rPr>
            </w:pPr>
            <w:r>
              <w:rPr>
                <w:rFonts w:ascii="Arial" w:eastAsia="Calibri" w:hAnsi="Arial" w:cs="Arial"/>
                <w:sz w:val="20"/>
                <w:szCs w:val="20"/>
              </w:rPr>
              <w:t>0.5</w:t>
            </w:r>
            <w:r w:rsidRPr="00DF29DD">
              <w:rPr>
                <w:rFonts w:ascii="Arial" w:eastAsia="Calibri" w:hAnsi="Arial" w:cs="Arial"/>
                <w:sz w:val="20"/>
                <w:szCs w:val="20"/>
              </w:rPr>
              <w:t>x</w:t>
            </w:r>
          </w:p>
        </w:tc>
      </w:tr>
      <w:tr w:rsidR="004173B6" w:rsidRPr="00DF29DD" w14:paraId="5D1AE9DA" w14:textId="77777777" w:rsidTr="00AD57E5">
        <w:trPr>
          <w:trHeight w:val="283"/>
        </w:trPr>
        <w:tc>
          <w:tcPr>
            <w:tcW w:w="1622" w:type="pct"/>
            <w:gridSpan w:val="3"/>
            <w:tcBorders>
              <w:top w:val="single" w:sz="4" w:space="0" w:color="auto"/>
              <w:left w:val="nil"/>
              <w:bottom w:val="single" w:sz="4" w:space="0" w:color="auto"/>
              <w:right w:val="nil"/>
            </w:tcBorders>
            <w:shd w:val="clear" w:color="auto" w:fill="auto"/>
            <w:tcMar>
              <w:top w:w="15" w:type="dxa"/>
              <w:left w:w="137" w:type="dxa"/>
              <w:bottom w:w="0" w:type="dxa"/>
              <w:right w:w="15" w:type="dxa"/>
            </w:tcMar>
            <w:hideMark/>
          </w:tcPr>
          <w:p w14:paraId="31CC5603" w14:textId="504B447D" w:rsidR="004173B6" w:rsidRPr="00DF29DD" w:rsidRDefault="004173B6" w:rsidP="004173B6">
            <w:pPr>
              <w:spacing w:after="200" w:line="276" w:lineRule="auto"/>
              <w:rPr>
                <w:rFonts w:ascii="Arial" w:eastAsia="Calibri" w:hAnsi="Arial" w:cs="Arial"/>
                <w:color w:val="000000"/>
                <w:sz w:val="20"/>
                <w:szCs w:val="20"/>
                <w:lang w:val="en-US"/>
              </w:rPr>
            </w:pPr>
            <w:r w:rsidRPr="00DF29DD">
              <w:rPr>
                <w:rFonts w:ascii="Arial" w:eastAsia="Calibri" w:hAnsi="Arial" w:cs="Arial"/>
                <w:b/>
                <w:bCs/>
                <w:color w:val="000000"/>
                <w:sz w:val="20"/>
                <w:szCs w:val="20"/>
                <w:lang w:val="en-US"/>
              </w:rPr>
              <w:t>Total Current Portfolio</w:t>
            </w:r>
            <w:r w:rsidRPr="00DF29DD">
              <w:rPr>
                <w:rFonts w:ascii="Arial" w:eastAsia="Calibri" w:hAnsi="Arial" w:cs="Arial"/>
                <w:b/>
                <w:bCs/>
                <w:color w:val="000000"/>
                <w:sz w:val="20"/>
                <w:szCs w:val="20"/>
                <w:vertAlign w:val="superscript"/>
                <w:lang w:val="en-US"/>
              </w:rPr>
              <w:t>(</w:t>
            </w:r>
            <w:r>
              <w:rPr>
                <w:rFonts w:ascii="Arial" w:eastAsia="Calibri" w:hAnsi="Arial" w:cs="Arial"/>
                <w:b/>
                <w:bCs/>
                <w:color w:val="000000"/>
                <w:sz w:val="20"/>
                <w:szCs w:val="20"/>
                <w:vertAlign w:val="superscript"/>
                <w:lang w:val="en-US"/>
              </w:rPr>
              <w:t>3</w:t>
            </w:r>
            <w:r w:rsidRPr="00DF29DD">
              <w:rPr>
                <w:rFonts w:ascii="Arial" w:eastAsia="Calibri" w:hAnsi="Arial" w:cs="Arial"/>
                <w:b/>
                <w:bCs/>
                <w:color w:val="000000"/>
                <w:sz w:val="20"/>
                <w:szCs w:val="20"/>
                <w:vertAlign w:val="superscript"/>
                <w:lang w:val="en-US"/>
              </w:rPr>
              <w:t>)</w:t>
            </w:r>
          </w:p>
        </w:tc>
        <w:tc>
          <w:tcPr>
            <w:tcW w:w="535" w:type="pct"/>
            <w:tcBorders>
              <w:top w:val="single" w:sz="4" w:space="0" w:color="auto"/>
              <w:left w:val="nil"/>
              <w:bottom w:val="single" w:sz="4" w:space="0" w:color="auto"/>
              <w:right w:val="nil"/>
            </w:tcBorders>
            <w:shd w:val="clear" w:color="auto" w:fill="auto"/>
          </w:tcPr>
          <w:p w14:paraId="070C8A09" w14:textId="4049E02B" w:rsidR="004173B6" w:rsidRPr="00DF29DD" w:rsidRDefault="004173B6" w:rsidP="004173B6">
            <w:pPr>
              <w:spacing w:after="200" w:line="276" w:lineRule="auto"/>
              <w:jc w:val="center"/>
              <w:rPr>
                <w:rFonts w:ascii="Arial" w:eastAsia="Calibri" w:hAnsi="Arial" w:cs="Arial"/>
                <w:sz w:val="20"/>
                <w:szCs w:val="20"/>
                <w:lang w:val="en-US"/>
              </w:rPr>
            </w:pPr>
            <w:r w:rsidRPr="00DF29DD">
              <w:rPr>
                <w:rFonts w:ascii="Arial" w:eastAsia="Calibri" w:hAnsi="Arial" w:cs="Arial"/>
                <w:b/>
                <w:color w:val="000000"/>
                <w:sz w:val="20"/>
                <w:szCs w:val="20"/>
              </w:rPr>
              <w:t>$</w:t>
            </w:r>
            <w:r w:rsidR="00FD74CD">
              <w:rPr>
                <w:rFonts w:ascii="Arial" w:eastAsia="Calibri" w:hAnsi="Arial" w:cs="Arial"/>
                <w:b/>
                <w:color w:val="000000"/>
                <w:sz w:val="20"/>
                <w:szCs w:val="20"/>
              </w:rPr>
              <w:t>1,317</w:t>
            </w:r>
          </w:p>
        </w:tc>
        <w:tc>
          <w:tcPr>
            <w:tcW w:w="453" w:type="pct"/>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07181FB0" w14:textId="65AE302F" w:rsidR="004173B6" w:rsidRPr="00DF29DD" w:rsidRDefault="004173B6" w:rsidP="00C7206C">
            <w:pPr>
              <w:spacing w:after="200" w:line="276" w:lineRule="auto"/>
              <w:jc w:val="center"/>
              <w:rPr>
                <w:rFonts w:ascii="Arial" w:eastAsia="Calibri" w:hAnsi="Arial" w:cs="Arial"/>
                <w:sz w:val="20"/>
                <w:szCs w:val="20"/>
                <w:lang w:val="en-US"/>
              </w:rPr>
            </w:pPr>
            <w:r w:rsidRPr="00DF29DD">
              <w:rPr>
                <w:rFonts w:ascii="Arial" w:eastAsia="Calibri" w:hAnsi="Arial" w:cs="Arial"/>
                <w:b/>
                <w:color w:val="000000"/>
                <w:sz w:val="20"/>
                <w:szCs w:val="20"/>
              </w:rPr>
              <w:t>$</w:t>
            </w:r>
            <w:r w:rsidR="00041A95">
              <w:rPr>
                <w:rFonts w:ascii="Arial" w:eastAsia="Calibri" w:hAnsi="Arial" w:cs="Arial"/>
                <w:b/>
                <w:color w:val="000000"/>
                <w:sz w:val="20"/>
                <w:szCs w:val="20"/>
              </w:rPr>
              <w:t>1,217</w:t>
            </w:r>
          </w:p>
        </w:tc>
        <w:tc>
          <w:tcPr>
            <w:tcW w:w="454" w:type="pct"/>
            <w:tcBorders>
              <w:top w:val="single" w:sz="4" w:space="0" w:color="auto"/>
              <w:left w:val="nil"/>
              <w:bottom w:val="single" w:sz="4" w:space="0" w:color="auto"/>
              <w:right w:val="nil"/>
            </w:tcBorders>
            <w:shd w:val="clear" w:color="auto" w:fill="auto"/>
          </w:tcPr>
          <w:p w14:paraId="4384610E" w14:textId="2A1865C2" w:rsidR="004173B6" w:rsidRPr="00DF29DD" w:rsidRDefault="004173B6" w:rsidP="00C7206C">
            <w:pPr>
              <w:spacing w:after="200" w:line="276" w:lineRule="auto"/>
              <w:jc w:val="center"/>
              <w:rPr>
                <w:rFonts w:ascii="Arial" w:eastAsia="Calibri" w:hAnsi="Arial" w:cs="Arial"/>
                <w:color w:val="000000"/>
                <w:sz w:val="20"/>
                <w:szCs w:val="20"/>
                <w:lang w:val="en-US"/>
              </w:rPr>
            </w:pPr>
            <w:r w:rsidRPr="00DF29DD">
              <w:rPr>
                <w:rFonts w:ascii="Arial" w:eastAsia="Calibri" w:hAnsi="Arial" w:cs="Arial"/>
                <w:b/>
                <w:color w:val="000000"/>
                <w:sz w:val="20"/>
                <w:szCs w:val="20"/>
              </w:rPr>
              <w:t>$</w:t>
            </w:r>
            <w:r w:rsidR="00FD74CD">
              <w:rPr>
                <w:rFonts w:ascii="Arial" w:eastAsia="Calibri" w:hAnsi="Arial" w:cs="Arial"/>
                <w:b/>
                <w:color w:val="000000"/>
                <w:sz w:val="20"/>
                <w:szCs w:val="20"/>
              </w:rPr>
              <w:t>262</w:t>
            </w:r>
          </w:p>
        </w:tc>
        <w:tc>
          <w:tcPr>
            <w:tcW w:w="496" w:type="pct"/>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488C1FD1" w14:textId="2993748D" w:rsidR="004173B6" w:rsidRPr="00DF29DD" w:rsidRDefault="004173B6" w:rsidP="004173B6">
            <w:pPr>
              <w:spacing w:after="200" w:line="276" w:lineRule="auto"/>
              <w:jc w:val="center"/>
              <w:rPr>
                <w:rFonts w:ascii="Arial" w:eastAsia="Calibri" w:hAnsi="Arial" w:cs="Arial"/>
                <w:color w:val="000000"/>
                <w:sz w:val="20"/>
                <w:szCs w:val="20"/>
                <w:lang w:val="en-US"/>
              </w:rPr>
            </w:pPr>
            <w:r w:rsidRPr="00DF29DD">
              <w:rPr>
                <w:rFonts w:ascii="Arial" w:eastAsia="Calibri" w:hAnsi="Arial" w:cs="Arial"/>
                <w:b/>
                <w:color w:val="000000"/>
                <w:sz w:val="20"/>
                <w:szCs w:val="20"/>
              </w:rPr>
              <w:t>$</w:t>
            </w:r>
            <w:r w:rsidR="00041A95">
              <w:rPr>
                <w:rFonts w:ascii="Arial" w:eastAsia="Calibri" w:hAnsi="Arial" w:cs="Arial"/>
                <w:b/>
                <w:color w:val="000000"/>
                <w:sz w:val="20"/>
                <w:szCs w:val="20"/>
              </w:rPr>
              <w:t>217</w:t>
            </w:r>
          </w:p>
        </w:tc>
        <w:tc>
          <w:tcPr>
            <w:tcW w:w="619" w:type="pct"/>
            <w:tcBorders>
              <w:top w:val="single" w:sz="4" w:space="0" w:color="auto"/>
              <w:left w:val="nil"/>
              <w:bottom w:val="single" w:sz="4" w:space="0" w:color="auto"/>
              <w:right w:val="nil"/>
            </w:tcBorders>
            <w:shd w:val="clear" w:color="auto" w:fill="auto"/>
          </w:tcPr>
          <w:p w14:paraId="42AD6493" w14:textId="18EB1014" w:rsidR="004173B6" w:rsidRPr="00DF29DD" w:rsidRDefault="004173B6" w:rsidP="004173B6">
            <w:pPr>
              <w:spacing w:after="200" w:line="276" w:lineRule="auto"/>
              <w:jc w:val="center"/>
              <w:rPr>
                <w:rFonts w:ascii="Arial" w:eastAsia="Calibri" w:hAnsi="Arial" w:cs="Arial"/>
                <w:sz w:val="20"/>
                <w:szCs w:val="20"/>
                <w:lang w:val="en-US"/>
              </w:rPr>
            </w:pPr>
            <w:r w:rsidRPr="00DF29DD">
              <w:rPr>
                <w:rFonts w:ascii="Arial" w:eastAsia="Calibri" w:hAnsi="Arial" w:cs="Arial"/>
                <w:b/>
                <w:color w:val="000000"/>
                <w:sz w:val="20"/>
                <w:szCs w:val="20"/>
              </w:rPr>
              <w:t>$</w:t>
            </w:r>
            <w:r w:rsidR="00041A95">
              <w:rPr>
                <w:rFonts w:ascii="Arial" w:eastAsia="Calibri" w:hAnsi="Arial" w:cs="Arial"/>
                <w:b/>
                <w:color w:val="000000"/>
                <w:sz w:val="20"/>
                <w:szCs w:val="20"/>
              </w:rPr>
              <w:t>479</w:t>
            </w:r>
          </w:p>
        </w:tc>
        <w:tc>
          <w:tcPr>
            <w:tcW w:w="412" w:type="pct"/>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10F83877" w14:textId="0CD4945A" w:rsidR="004173B6" w:rsidRPr="00DF29DD" w:rsidRDefault="00FD74CD" w:rsidP="004173B6">
            <w:pPr>
              <w:spacing w:after="200" w:line="276" w:lineRule="auto"/>
              <w:jc w:val="center"/>
              <w:rPr>
                <w:rFonts w:ascii="Arial" w:eastAsia="Calibri" w:hAnsi="Arial" w:cs="Arial"/>
                <w:sz w:val="20"/>
                <w:szCs w:val="20"/>
                <w:lang w:val="en-US"/>
              </w:rPr>
            </w:pPr>
            <w:r>
              <w:rPr>
                <w:rFonts w:ascii="Arial" w:eastAsia="Calibri" w:hAnsi="Arial" w:cs="Arial"/>
                <w:b/>
                <w:color w:val="000000"/>
                <w:sz w:val="20"/>
                <w:szCs w:val="20"/>
              </w:rPr>
              <w:t>0.4</w:t>
            </w:r>
            <w:r w:rsidR="004173B6" w:rsidRPr="00DF29DD">
              <w:rPr>
                <w:rFonts w:ascii="Arial" w:eastAsia="Calibri" w:hAnsi="Arial" w:cs="Arial"/>
                <w:b/>
                <w:color w:val="000000"/>
                <w:sz w:val="20"/>
                <w:szCs w:val="20"/>
              </w:rPr>
              <w:t>x</w:t>
            </w:r>
          </w:p>
        </w:tc>
        <w:tc>
          <w:tcPr>
            <w:tcW w:w="409" w:type="pct"/>
            <w:tcBorders>
              <w:top w:val="single" w:sz="4" w:space="0" w:color="auto"/>
              <w:left w:val="nil"/>
              <w:bottom w:val="single" w:sz="4" w:space="0" w:color="auto"/>
              <w:right w:val="nil"/>
            </w:tcBorders>
          </w:tcPr>
          <w:p w14:paraId="1D9AF7A3" w14:textId="44F1C3A1" w:rsidR="004173B6" w:rsidRPr="00DF29DD" w:rsidRDefault="004173B6" w:rsidP="004173B6">
            <w:pPr>
              <w:spacing w:after="200" w:line="276" w:lineRule="auto"/>
              <w:jc w:val="center"/>
              <w:rPr>
                <w:rFonts w:ascii="Arial" w:eastAsia="Calibri" w:hAnsi="Arial" w:cs="Arial"/>
                <w:b/>
                <w:color w:val="000000"/>
                <w:sz w:val="20"/>
                <w:szCs w:val="20"/>
              </w:rPr>
            </w:pPr>
            <w:r>
              <w:rPr>
                <w:rFonts w:ascii="Arial" w:eastAsia="Calibri" w:hAnsi="Arial" w:cs="Arial"/>
                <w:b/>
                <w:color w:val="000000"/>
                <w:sz w:val="20"/>
                <w:szCs w:val="20"/>
              </w:rPr>
              <w:t>0.7x</w:t>
            </w:r>
          </w:p>
        </w:tc>
      </w:tr>
    </w:tbl>
    <w:p w14:paraId="6C8A2E87" w14:textId="77777777" w:rsidR="00DF29DD" w:rsidRPr="00DF29DD" w:rsidRDefault="00DF29DD" w:rsidP="00DF29DD">
      <w:pPr>
        <w:jc w:val="both"/>
        <w:rPr>
          <w:rFonts w:ascii="Arial" w:eastAsia="Calibri" w:hAnsi="Arial" w:cs="Arial"/>
          <w:sz w:val="20"/>
          <w:szCs w:val="20"/>
        </w:rPr>
      </w:pPr>
    </w:p>
    <w:p w14:paraId="3D0AA1AF" w14:textId="77777777" w:rsidR="00DF29DD" w:rsidRPr="00DF29DD" w:rsidRDefault="00DF29DD" w:rsidP="00DF29DD">
      <w:pPr>
        <w:rPr>
          <w:rFonts w:ascii="Arial" w:eastAsiaTheme="minorHAnsi" w:hAnsi="Arial" w:cs="Arial"/>
          <w:b/>
          <w:sz w:val="28"/>
          <w:szCs w:val="20"/>
        </w:rPr>
      </w:pPr>
      <w:r w:rsidRPr="00DF29DD">
        <w:rPr>
          <w:rFonts w:ascii="Arial" w:eastAsiaTheme="minorHAnsi" w:hAnsi="Arial" w:cs="Arial"/>
          <w:b/>
          <w:sz w:val="28"/>
          <w:szCs w:val="20"/>
        </w:rPr>
        <w:t>Realisations</w:t>
      </w:r>
    </w:p>
    <w:tbl>
      <w:tblPr>
        <w:tblW w:w="5588" w:type="pct"/>
        <w:tblInd w:w="-430" w:type="dxa"/>
        <w:tblLayout w:type="fixed"/>
        <w:tblCellMar>
          <w:left w:w="0" w:type="dxa"/>
          <w:right w:w="0" w:type="dxa"/>
        </w:tblCellMar>
        <w:tblLook w:val="0420" w:firstRow="1" w:lastRow="0" w:firstColumn="0" w:lastColumn="0" w:noHBand="0" w:noVBand="1"/>
      </w:tblPr>
      <w:tblGrid>
        <w:gridCol w:w="1649"/>
        <w:gridCol w:w="181"/>
        <w:gridCol w:w="1714"/>
        <w:gridCol w:w="1172"/>
        <w:gridCol w:w="990"/>
        <w:gridCol w:w="990"/>
        <w:gridCol w:w="1082"/>
        <w:gridCol w:w="1351"/>
        <w:gridCol w:w="901"/>
        <w:gridCol w:w="901"/>
      </w:tblGrid>
      <w:tr w:rsidR="00DF29DD" w:rsidRPr="00DF29DD" w14:paraId="75106A1C" w14:textId="77777777" w:rsidTr="00213F9C">
        <w:trPr>
          <w:trHeight w:val="1305"/>
        </w:trPr>
        <w:tc>
          <w:tcPr>
            <w:tcW w:w="754" w:type="pct"/>
            <w:tcBorders>
              <w:top w:val="nil"/>
              <w:left w:val="nil"/>
              <w:bottom w:val="single" w:sz="4" w:space="0" w:color="auto"/>
              <w:right w:val="nil"/>
            </w:tcBorders>
            <w:shd w:val="clear" w:color="auto" w:fill="auto"/>
            <w:tcMar>
              <w:top w:w="15" w:type="dxa"/>
              <w:left w:w="137" w:type="dxa"/>
              <w:bottom w:w="0" w:type="dxa"/>
              <w:right w:w="15" w:type="dxa"/>
            </w:tcMar>
            <w:vAlign w:val="bottom"/>
          </w:tcPr>
          <w:p w14:paraId="5BE98D1D" w14:textId="77777777" w:rsidR="00DF29DD" w:rsidRPr="00DF29DD" w:rsidRDefault="00DF29DD" w:rsidP="00A367F2">
            <w:pPr>
              <w:spacing w:line="280" w:lineRule="exact"/>
              <w:rPr>
                <w:rFonts w:ascii="Arial" w:eastAsia="Calibri" w:hAnsi="Arial" w:cs="Arial"/>
                <w:b/>
                <w:sz w:val="20"/>
                <w:szCs w:val="20"/>
                <w:lang w:val="en-US"/>
              </w:rPr>
            </w:pPr>
            <w:r w:rsidRPr="00DF29DD">
              <w:rPr>
                <w:rFonts w:ascii="Arial" w:eastAsia="Calibri" w:hAnsi="Arial" w:cs="Arial"/>
                <w:b/>
                <w:sz w:val="20"/>
                <w:szCs w:val="20"/>
                <w:lang w:val="en-US"/>
              </w:rPr>
              <w:t>Investment</w:t>
            </w:r>
          </w:p>
          <w:p w14:paraId="29D789DF" w14:textId="77777777" w:rsidR="00DF29DD" w:rsidRPr="00DF29DD" w:rsidRDefault="00DF29DD" w:rsidP="00A367F2">
            <w:pPr>
              <w:spacing w:line="280" w:lineRule="exact"/>
              <w:rPr>
                <w:rFonts w:ascii="Arial" w:eastAsia="Calibri" w:hAnsi="Arial" w:cs="Arial"/>
                <w:b/>
                <w:sz w:val="20"/>
                <w:szCs w:val="20"/>
                <w:lang w:val="en-US"/>
              </w:rPr>
            </w:pPr>
            <w:r w:rsidRPr="00DF29DD">
              <w:rPr>
                <w:rFonts w:ascii="Arial" w:eastAsia="Calibri" w:hAnsi="Arial" w:cs="Arial"/>
                <w:i/>
                <w:sz w:val="20"/>
                <w:szCs w:val="20"/>
                <w:lang w:val="en-US"/>
              </w:rPr>
              <w:t>(Initial Investment Date)</w:t>
            </w:r>
          </w:p>
        </w:tc>
        <w:tc>
          <w:tcPr>
            <w:tcW w:w="83" w:type="pct"/>
            <w:tcBorders>
              <w:top w:val="nil"/>
              <w:left w:val="nil"/>
              <w:bottom w:val="single" w:sz="4" w:space="0" w:color="auto"/>
              <w:right w:val="nil"/>
            </w:tcBorders>
            <w:shd w:val="clear" w:color="auto" w:fill="auto"/>
            <w:tcMar>
              <w:top w:w="15" w:type="dxa"/>
              <w:left w:w="69" w:type="dxa"/>
              <w:bottom w:w="0" w:type="dxa"/>
              <w:right w:w="69" w:type="dxa"/>
            </w:tcMar>
            <w:vAlign w:val="bottom"/>
          </w:tcPr>
          <w:p w14:paraId="4CD0FEE9" w14:textId="77777777" w:rsidR="00DF29DD" w:rsidRPr="00DF29DD" w:rsidRDefault="00DF29DD" w:rsidP="00DF29DD">
            <w:pPr>
              <w:spacing w:line="280" w:lineRule="exact"/>
              <w:jc w:val="center"/>
              <w:rPr>
                <w:rFonts w:ascii="Arial" w:eastAsia="Calibri" w:hAnsi="Arial" w:cs="Arial"/>
                <w:color w:val="000000"/>
                <w:sz w:val="20"/>
                <w:szCs w:val="20"/>
                <w:lang w:val="en-US"/>
              </w:rPr>
            </w:pPr>
          </w:p>
        </w:tc>
        <w:tc>
          <w:tcPr>
            <w:tcW w:w="784" w:type="pct"/>
            <w:tcBorders>
              <w:top w:val="nil"/>
              <w:left w:val="nil"/>
              <w:bottom w:val="single" w:sz="4" w:space="0" w:color="auto"/>
              <w:right w:val="nil"/>
            </w:tcBorders>
            <w:shd w:val="clear" w:color="auto" w:fill="auto"/>
            <w:vAlign w:val="bottom"/>
            <w:hideMark/>
          </w:tcPr>
          <w:p w14:paraId="08D014C1" w14:textId="77777777" w:rsidR="00DF29DD" w:rsidRPr="00DF29DD" w:rsidRDefault="00DF29DD" w:rsidP="00DF29DD">
            <w:pPr>
              <w:spacing w:line="280" w:lineRule="exact"/>
              <w:jc w:val="center"/>
              <w:rPr>
                <w:rFonts w:ascii="Arial" w:eastAsia="Calibri" w:hAnsi="Arial" w:cs="Arial"/>
                <w:color w:val="000000"/>
                <w:sz w:val="20"/>
                <w:szCs w:val="20"/>
                <w:lang w:val="en-US"/>
              </w:rPr>
            </w:pPr>
            <w:r w:rsidRPr="00DF29DD">
              <w:rPr>
                <w:rFonts w:ascii="Arial" w:hAnsi="Arial" w:cs="Arial"/>
                <w:b/>
                <w:bCs/>
                <w:sz w:val="20"/>
                <w:szCs w:val="20"/>
                <w:lang w:val="en-US"/>
              </w:rPr>
              <w:t>Target Basin</w:t>
            </w:r>
          </w:p>
        </w:tc>
        <w:tc>
          <w:tcPr>
            <w:tcW w:w="536" w:type="pct"/>
            <w:tcBorders>
              <w:top w:val="nil"/>
              <w:left w:val="nil"/>
              <w:bottom w:val="single" w:sz="4" w:space="0" w:color="auto"/>
              <w:right w:val="nil"/>
            </w:tcBorders>
            <w:shd w:val="clear" w:color="auto" w:fill="auto"/>
            <w:vAlign w:val="bottom"/>
            <w:hideMark/>
          </w:tcPr>
          <w:p w14:paraId="31B8D701" w14:textId="77777777" w:rsidR="00DF29DD" w:rsidRPr="00DF29DD" w:rsidRDefault="00DF29DD" w:rsidP="00DF29DD">
            <w:pPr>
              <w:spacing w:line="280" w:lineRule="exact"/>
              <w:jc w:val="center"/>
              <w:rPr>
                <w:rFonts w:ascii="Arial" w:eastAsia="Calibri" w:hAnsi="Arial" w:cs="Arial"/>
                <w:sz w:val="20"/>
                <w:szCs w:val="20"/>
                <w:lang w:val="en-US"/>
              </w:rPr>
            </w:pPr>
            <w:r w:rsidRPr="00DF29DD">
              <w:rPr>
                <w:rFonts w:ascii="Arial" w:hAnsi="Arial" w:cs="Arial"/>
                <w:b/>
                <w:bCs/>
                <w:sz w:val="20"/>
                <w:szCs w:val="20"/>
                <w:lang w:val="en-US"/>
              </w:rPr>
              <w:t>Gross Committed Capital  ($mm)</w:t>
            </w:r>
          </w:p>
        </w:tc>
        <w:tc>
          <w:tcPr>
            <w:tcW w:w="453" w:type="pct"/>
            <w:tcBorders>
              <w:top w:val="nil"/>
              <w:left w:val="nil"/>
              <w:bottom w:val="single" w:sz="4" w:space="0" w:color="auto"/>
              <w:right w:val="nil"/>
            </w:tcBorders>
            <w:shd w:val="clear" w:color="auto" w:fill="auto"/>
            <w:tcMar>
              <w:top w:w="15" w:type="dxa"/>
              <w:left w:w="69" w:type="dxa"/>
              <w:bottom w:w="0" w:type="dxa"/>
              <w:right w:w="69" w:type="dxa"/>
            </w:tcMar>
            <w:vAlign w:val="bottom"/>
            <w:hideMark/>
          </w:tcPr>
          <w:p w14:paraId="1B1CFF42" w14:textId="77777777" w:rsidR="00DF29DD" w:rsidRPr="00DF29DD" w:rsidRDefault="00DF29DD" w:rsidP="00DF29DD">
            <w:pPr>
              <w:spacing w:line="280" w:lineRule="exact"/>
              <w:jc w:val="center"/>
              <w:rPr>
                <w:rFonts w:ascii="Arial" w:hAnsi="Arial" w:cs="Arial"/>
                <w:b/>
                <w:bCs/>
                <w:sz w:val="20"/>
                <w:szCs w:val="20"/>
                <w:lang w:val="en-US"/>
              </w:rPr>
            </w:pPr>
            <w:r w:rsidRPr="00DF29DD">
              <w:rPr>
                <w:rFonts w:ascii="Arial" w:hAnsi="Arial" w:cs="Arial"/>
                <w:b/>
                <w:bCs/>
                <w:sz w:val="20"/>
                <w:szCs w:val="20"/>
                <w:lang w:val="en-US"/>
              </w:rPr>
              <w:t>Invested</w:t>
            </w:r>
          </w:p>
          <w:p w14:paraId="42793BCD" w14:textId="77777777" w:rsidR="00DF29DD" w:rsidRPr="00DF29DD" w:rsidRDefault="00DF29DD" w:rsidP="00DF29DD">
            <w:pPr>
              <w:spacing w:line="280" w:lineRule="exact"/>
              <w:jc w:val="center"/>
              <w:rPr>
                <w:rFonts w:ascii="Arial" w:eastAsia="Calibri" w:hAnsi="Arial" w:cs="Arial"/>
                <w:sz w:val="20"/>
                <w:szCs w:val="20"/>
                <w:lang w:val="en-US"/>
              </w:rPr>
            </w:pPr>
            <w:r w:rsidRPr="00DF29DD">
              <w:rPr>
                <w:rFonts w:ascii="Arial" w:hAnsi="Arial" w:cs="Arial"/>
                <w:b/>
                <w:bCs/>
                <w:sz w:val="20"/>
                <w:szCs w:val="20"/>
                <w:lang w:val="en-US"/>
              </w:rPr>
              <w:t>Capital ($mm)</w:t>
            </w:r>
          </w:p>
        </w:tc>
        <w:tc>
          <w:tcPr>
            <w:tcW w:w="453" w:type="pct"/>
            <w:tcBorders>
              <w:top w:val="nil"/>
              <w:left w:val="nil"/>
              <w:bottom w:val="single" w:sz="4" w:space="0" w:color="auto"/>
              <w:right w:val="nil"/>
            </w:tcBorders>
            <w:shd w:val="clear" w:color="auto" w:fill="auto"/>
            <w:tcMar>
              <w:top w:w="15" w:type="dxa"/>
              <w:left w:w="69" w:type="dxa"/>
              <w:bottom w:w="0" w:type="dxa"/>
              <w:right w:w="69" w:type="dxa"/>
            </w:tcMar>
            <w:vAlign w:val="bottom"/>
            <w:hideMark/>
          </w:tcPr>
          <w:p w14:paraId="3FF8037C" w14:textId="77777777" w:rsidR="00DF29DD" w:rsidRPr="00DF29DD" w:rsidRDefault="00DF29DD" w:rsidP="00DF29DD">
            <w:pPr>
              <w:spacing w:line="280" w:lineRule="exact"/>
              <w:jc w:val="center"/>
              <w:rPr>
                <w:rFonts w:ascii="Arial" w:hAnsi="Arial" w:cs="Arial"/>
                <w:b/>
                <w:bCs/>
                <w:sz w:val="20"/>
                <w:szCs w:val="20"/>
                <w:lang w:val="en-US"/>
              </w:rPr>
            </w:pPr>
            <w:r w:rsidRPr="00DF29DD">
              <w:rPr>
                <w:rFonts w:ascii="Arial" w:hAnsi="Arial" w:cs="Arial"/>
                <w:b/>
                <w:bCs/>
                <w:sz w:val="20"/>
                <w:szCs w:val="20"/>
                <w:lang w:val="en-US"/>
              </w:rPr>
              <w:t>Gross Realised</w:t>
            </w:r>
          </w:p>
          <w:p w14:paraId="28AA87FC" w14:textId="77777777" w:rsidR="00DF29DD" w:rsidRPr="00DF29DD" w:rsidRDefault="00DF29DD" w:rsidP="00DF29DD">
            <w:pPr>
              <w:spacing w:line="280" w:lineRule="exact"/>
              <w:jc w:val="center"/>
              <w:rPr>
                <w:rFonts w:ascii="Arial" w:eastAsia="Calibri" w:hAnsi="Arial" w:cs="Arial"/>
                <w:color w:val="000000"/>
                <w:sz w:val="20"/>
                <w:szCs w:val="20"/>
                <w:lang w:val="en-US"/>
              </w:rPr>
            </w:pPr>
            <w:r w:rsidRPr="00DF29DD">
              <w:rPr>
                <w:rFonts w:ascii="Arial" w:hAnsi="Arial" w:cs="Arial"/>
                <w:b/>
                <w:bCs/>
                <w:sz w:val="20"/>
                <w:szCs w:val="20"/>
                <w:lang w:val="en-US"/>
              </w:rPr>
              <w:t>Capital ($mm)</w:t>
            </w:r>
            <w:r w:rsidRPr="00DF29DD">
              <w:rPr>
                <w:rFonts w:ascii="Arial" w:hAnsi="Arial" w:cs="Arial"/>
                <w:b/>
                <w:bCs/>
                <w:sz w:val="20"/>
                <w:szCs w:val="20"/>
                <w:vertAlign w:val="superscript"/>
                <w:lang w:val="en-US"/>
              </w:rPr>
              <w:t>(1)</w:t>
            </w:r>
          </w:p>
        </w:tc>
        <w:tc>
          <w:tcPr>
            <w:tcW w:w="495" w:type="pct"/>
            <w:tcBorders>
              <w:top w:val="nil"/>
              <w:left w:val="nil"/>
              <w:bottom w:val="single" w:sz="4" w:space="0" w:color="auto"/>
              <w:right w:val="nil"/>
            </w:tcBorders>
            <w:shd w:val="clear" w:color="auto" w:fill="auto"/>
            <w:vAlign w:val="bottom"/>
          </w:tcPr>
          <w:p w14:paraId="0BA0D80C" w14:textId="77777777" w:rsidR="00DF29DD" w:rsidRPr="00DF29DD" w:rsidRDefault="00DF29DD" w:rsidP="00DF29DD">
            <w:pPr>
              <w:spacing w:line="280" w:lineRule="exact"/>
              <w:jc w:val="center"/>
              <w:rPr>
                <w:rFonts w:ascii="Arial" w:hAnsi="Arial" w:cs="Arial"/>
                <w:b/>
                <w:bCs/>
                <w:sz w:val="20"/>
                <w:szCs w:val="20"/>
                <w:lang w:val="en-US"/>
              </w:rPr>
            </w:pPr>
            <w:r w:rsidRPr="00DF29DD">
              <w:rPr>
                <w:rFonts w:ascii="Arial" w:hAnsi="Arial" w:cs="Arial"/>
                <w:b/>
                <w:bCs/>
                <w:sz w:val="20"/>
                <w:szCs w:val="20"/>
                <w:lang w:val="en-US"/>
              </w:rPr>
              <w:t>Gross Unrealised Value</w:t>
            </w:r>
          </w:p>
          <w:p w14:paraId="348CF6B6" w14:textId="0B0F0001" w:rsidR="00DF29DD" w:rsidRPr="00DF29DD" w:rsidRDefault="00DF29DD" w:rsidP="00DF29DD">
            <w:pPr>
              <w:spacing w:line="280" w:lineRule="exact"/>
              <w:jc w:val="center"/>
              <w:rPr>
                <w:rFonts w:ascii="Arial" w:hAnsi="Arial" w:cs="Arial"/>
                <w:b/>
                <w:bCs/>
                <w:sz w:val="20"/>
                <w:szCs w:val="20"/>
                <w:lang w:val="en-US"/>
              </w:rPr>
            </w:pPr>
            <w:r w:rsidRPr="00DF29DD">
              <w:rPr>
                <w:rFonts w:ascii="Arial" w:hAnsi="Arial" w:cs="Arial"/>
                <w:b/>
                <w:bCs/>
                <w:sz w:val="20"/>
                <w:szCs w:val="20"/>
                <w:lang w:val="en-US"/>
              </w:rPr>
              <w:t>($mm)</w:t>
            </w:r>
          </w:p>
        </w:tc>
        <w:tc>
          <w:tcPr>
            <w:tcW w:w="618" w:type="pct"/>
            <w:tcBorders>
              <w:top w:val="nil"/>
              <w:left w:val="nil"/>
              <w:bottom w:val="single" w:sz="4" w:space="0" w:color="auto"/>
              <w:right w:val="nil"/>
            </w:tcBorders>
            <w:shd w:val="clear" w:color="auto" w:fill="auto"/>
            <w:vAlign w:val="bottom"/>
            <w:hideMark/>
          </w:tcPr>
          <w:p w14:paraId="1EE1805B" w14:textId="2962656D" w:rsidR="00DF29DD" w:rsidRPr="00DF29DD" w:rsidRDefault="00DF29DD" w:rsidP="00C75250">
            <w:pPr>
              <w:spacing w:line="280" w:lineRule="exact"/>
              <w:jc w:val="center"/>
              <w:rPr>
                <w:rFonts w:ascii="Arial" w:eastAsia="Calibri" w:hAnsi="Arial" w:cs="Arial"/>
                <w:sz w:val="20"/>
                <w:szCs w:val="20"/>
                <w:lang w:val="en-US"/>
              </w:rPr>
            </w:pPr>
            <w:r w:rsidRPr="00DF29DD">
              <w:rPr>
                <w:rFonts w:ascii="Arial" w:hAnsi="Arial" w:cs="Arial"/>
                <w:b/>
                <w:bCs/>
                <w:sz w:val="20"/>
                <w:szCs w:val="20"/>
                <w:lang w:val="en-US"/>
              </w:rPr>
              <w:t>Gross Realised Capital &amp; Unrealised Value ($mm)</w:t>
            </w:r>
          </w:p>
        </w:tc>
        <w:tc>
          <w:tcPr>
            <w:tcW w:w="412" w:type="pct"/>
            <w:tcBorders>
              <w:top w:val="nil"/>
              <w:left w:val="nil"/>
              <w:bottom w:val="single" w:sz="4" w:space="0" w:color="auto"/>
              <w:right w:val="nil"/>
            </w:tcBorders>
            <w:shd w:val="clear" w:color="auto" w:fill="auto"/>
            <w:tcMar>
              <w:top w:w="15" w:type="dxa"/>
              <w:left w:w="69" w:type="dxa"/>
              <w:bottom w:w="0" w:type="dxa"/>
              <w:right w:w="69" w:type="dxa"/>
            </w:tcMar>
            <w:vAlign w:val="bottom"/>
            <w:hideMark/>
          </w:tcPr>
          <w:p w14:paraId="4C05ED89" w14:textId="7E8A2A6B" w:rsidR="00DF29DD" w:rsidRPr="00DF29DD" w:rsidRDefault="00823FAA" w:rsidP="00DF29DD">
            <w:pPr>
              <w:spacing w:line="280" w:lineRule="exact"/>
              <w:jc w:val="center"/>
              <w:rPr>
                <w:rFonts w:ascii="Arial" w:eastAsia="Calibri" w:hAnsi="Arial" w:cs="Arial"/>
                <w:sz w:val="20"/>
                <w:szCs w:val="20"/>
                <w:lang w:val="en-US"/>
              </w:rPr>
            </w:pPr>
            <w:r>
              <w:rPr>
                <w:rFonts w:ascii="Arial" w:hAnsi="Arial" w:cs="Arial"/>
                <w:b/>
                <w:bCs/>
                <w:sz w:val="20"/>
                <w:szCs w:val="20"/>
                <w:lang w:val="en-US"/>
              </w:rPr>
              <w:t>30 Jun 2020</w:t>
            </w:r>
            <w:r w:rsidR="00DF29DD" w:rsidRPr="00DF29DD">
              <w:rPr>
                <w:rFonts w:ascii="Arial" w:hAnsi="Arial" w:cs="Arial"/>
                <w:b/>
                <w:bCs/>
                <w:sz w:val="20"/>
                <w:szCs w:val="20"/>
                <w:lang w:val="en-US"/>
              </w:rPr>
              <w:t xml:space="preserve"> Gross MOIC</w:t>
            </w:r>
            <w:r w:rsidR="00C75250">
              <w:rPr>
                <w:rFonts w:ascii="Arial" w:hAnsi="Arial" w:cs="Arial"/>
                <w:b/>
                <w:bCs/>
                <w:sz w:val="20"/>
                <w:szCs w:val="20"/>
                <w:vertAlign w:val="superscript"/>
                <w:lang w:val="en-US"/>
              </w:rPr>
              <w:t>(2</w:t>
            </w:r>
            <w:r w:rsidR="00DF29DD" w:rsidRPr="00DF29DD">
              <w:rPr>
                <w:rFonts w:ascii="Arial" w:hAnsi="Arial" w:cs="Arial"/>
                <w:b/>
                <w:bCs/>
                <w:sz w:val="20"/>
                <w:szCs w:val="20"/>
                <w:vertAlign w:val="superscript"/>
                <w:lang w:val="en-US"/>
              </w:rPr>
              <w:t>)</w:t>
            </w:r>
          </w:p>
        </w:tc>
        <w:tc>
          <w:tcPr>
            <w:tcW w:w="412" w:type="pct"/>
            <w:tcBorders>
              <w:top w:val="nil"/>
              <w:left w:val="nil"/>
              <w:bottom w:val="single" w:sz="4" w:space="0" w:color="auto"/>
              <w:right w:val="nil"/>
            </w:tcBorders>
          </w:tcPr>
          <w:p w14:paraId="1A768FBE" w14:textId="77777777" w:rsidR="00DF29DD" w:rsidRPr="00DF29DD" w:rsidRDefault="00DF29DD" w:rsidP="00DF29DD">
            <w:pPr>
              <w:spacing w:line="280" w:lineRule="exact"/>
              <w:jc w:val="center"/>
              <w:rPr>
                <w:rFonts w:ascii="Arial" w:hAnsi="Arial" w:cs="Arial"/>
                <w:b/>
                <w:bCs/>
                <w:sz w:val="20"/>
                <w:szCs w:val="20"/>
                <w:lang w:val="en-US"/>
              </w:rPr>
            </w:pPr>
          </w:p>
          <w:p w14:paraId="6AEBD9D3" w14:textId="409914E0" w:rsidR="00DF29DD" w:rsidRPr="00DF29DD" w:rsidRDefault="00823FAA" w:rsidP="00DF29DD">
            <w:pPr>
              <w:spacing w:line="280" w:lineRule="exact"/>
              <w:jc w:val="center"/>
              <w:rPr>
                <w:rFonts w:ascii="Arial" w:hAnsi="Arial" w:cs="Arial"/>
                <w:b/>
                <w:bCs/>
                <w:sz w:val="20"/>
                <w:szCs w:val="20"/>
                <w:lang w:val="en-US"/>
              </w:rPr>
            </w:pPr>
            <w:r>
              <w:rPr>
                <w:rFonts w:ascii="Arial" w:hAnsi="Arial" w:cs="Arial"/>
                <w:b/>
                <w:bCs/>
                <w:sz w:val="20"/>
                <w:szCs w:val="20"/>
                <w:lang w:val="en-US"/>
              </w:rPr>
              <w:t>31 Dec 2019</w:t>
            </w:r>
            <w:r w:rsidR="00DF29DD" w:rsidRPr="00DF29DD">
              <w:rPr>
                <w:rFonts w:ascii="Arial" w:hAnsi="Arial" w:cs="Arial"/>
                <w:b/>
                <w:bCs/>
                <w:sz w:val="20"/>
                <w:szCs w:val="20"/>
                <w:lang w:val="en-US"/>
              </w:rPr>
              <w:t xml:space="preserve"> Gross MOIC</w:t>
            </w:r>
            <w:r w:rsidR="00C75250">
              <w:rPr>
                <w:rFonts w:ascii="Arial" w:hAnsi="Arial" w:cs="Arial"/>
                <w:b/>
                <w:bCs/>
                <w:sz w:val="20"/>
                <w:szCs w:val="20"/>
                <w:vertAlign w:val="superscript"/>
                <w:lang w:val="en-US"/>
              </w:rPr>
              <w:t>(2</w:t>
            </w:r>
            <w:r w:rsidR="00DF29DD" w:rsidRPr="00DF29DD">
              <w:rPr>
                <w:rFonts w:ascii="Arial" w:hAnsi="Arial" w:cs="Arial"/>
                <w:b/>
                <w:bCs/>
                <w:sz w:val="20"/>
                <w:szCs w:val="20"/>
                <w:vertAlign w:val="superscript"/>
                <w:lang w:val="en-US"/>
              </w:rPr>
              <w:t>)</w:t>
            </w:r>
          </w:p>
        </w:tc>
      </w:tr>
      <w:tr w:rsidR="00DF29DD" w:rsidRPr="00DF29DD" w14:paraId="63AECDE3" w14:textId="77777777" w:rsidTr="00FD74CD">
        <w:trPr>
          <w:trHeight w:val="717"/>
        </w:trPr>
        <w:tc>
          <w:tcPr>
            <w:tcW w:w="754" w:type="pct"/>
            <w:tcBorders>
              <w:top w:val="single" w:sz="4" w:space="0" w:color="auto"/>
              <w:left w:val="nil"/>
              <w:bottom w:val="nil"/>
              <w:right w:val="nil"/>
            </w:tcBorders>
            <w:shd w:val="clear" w:color="auto" w:fill="auto"/>
            <w:tcMar>
              <w:top w:w="15" w:type="dxa"/>
              <w:left w:w="137" w:type="dxa"/>
              <w:bottom w:w="0" w:type="dxa"/>
              <w:right w:w="15" w:type="dxa"/>
            </w:tcMar>
            <w:hideMark/>
          </w:tcPr>
          <w:p w14:paraId="11C3BB1F" w14:textId="00C88D98" w:rsidR="00DF29DD" w:rsidRPr="00DF29DD" w:rsidRDefault="00DF29DD" w:rsidP="00DF29DD">
            <w:pPr>
              <w:rPr>
                <w:rFonts w:ascii="Arial" w:eastAsia="Calibri" w:hAnsi="Arial" w:cs="Arial"/>
                <w:b/>
                <w:sz w:val="20"/>
                <w:szCs w:val="20"/>
                <w:vertAlign w:val="superscript"/>
                <w:lang w:val="en-US"/>
              </w:rPr>
            </w:pPr>
            <w:r w:rsidRPr="00DF29DD">
              <w:rPr>
                <w:rFonts w:ascii="Arial" w:eastAsia="Calibri" w:hAnsi="Arial" w:cs="Arial"/>
                <w:b/>
                <w:sz w:val="20"/>
                <w:szCs w:val="20"/>
                <w:lang w:val="en-US"/>
              </w:rPr>
              <w:t>Rock Oil</w:t>
            </w:r>
            <w:r w:rsidR="00A367F2">
              <w:rPr>
                <w:rFonts w:ascii="Arial" w:eastAsia="Calibri" w:hAnsi="Arial" w:cs="Arial"/>
                <w:b/>
                <w:sz w:val="20"/>
                <w:szCs w:val="20"/>
                <w:vertAlign w:val="superscript"/>
                <w:lang w:val="en-US"/>
              </w:rPr>
              <w:t>(</w:t>
            </w:r>
            <w:r w:rsidR="004173B6">
              <w:rPr>
                <w:rFonts w:ascii="Arial" w:eastAsia="Calibri" w:hAnsi="Arial" w:cs="Arial"/>
                <w:b/>
                <w:sz w:val="20"/>
                <w:szCs w:val="20"/>
                <w:vertAlign w:val="superscript"/>
                <w:lang w:val="en-US"/>
              </w:rPr>
              <w:t>4</w:t>
            </w:r>
            <w:r w:rsidRPr="00DF29DD">
              <w:rPr>
                <w:rFonts w:ascii="Arial" w:eastAsia="Calibri" w:hAnsi="Arial" w:cs="Arial"/>
                <w:b/>
                <w:sz w:val="20"/>
                <w:szCs w:val="20"/>
                <w:vertAlign w:val="superscript"/>
                <w:lang w:val="en-US"/>
              </w:rPr>
              <w:t>)</w:t>
            </w:r>
          </w:p>
          <w:p w14:paraId="4A6AD409" w14:textId="77777777" w:rsidR="00823FAA" w:rsidRDefault="00DF29DD" w:rsidP="00DF29DD">
            <w:pPr>
              <w:rPr>
                <w:rFonts w:ascii="Arial" w:eastAsia="Calibri" w:hAnsi="Arial" w:cs="Arial"/>
                <w:i/>
                <w:sz w:val="20"/>
                <w:szCs w:val="20"/>
                <w:lang w:val="en-US"/>
              </w:rPr>
            </w:pPr>
            <w:r w:rsidRPr="00DF29DD">
              <w:rPr>
                <w:rFonts w:ascii="Arial" w:eastAsia="Calibri" w:hAnsi="Arial" w:cs="Arial"/>
                <w:b/>
                <w:sz w:val="20"/>
                <w:szCs w:val="20"/>
                <w:lang w:val="en-US"/>
              </w:rPr>
              <w:t xml:space="preserve"> </w:t>
            </w:r>
            <w:r w:rsidR="00823FAA">
              <w:rPr>
                <w:rFonts w:ascii="Arial" w:eastAsia="Calibri" w:hAnsi="Arial" w:cs="Arial"/>
                <w:i/>
                <w:sz w:val="20"/>
                <w:szCs w:val="20"/>
                <w:lang w:val="en-US"/>
              </w:rPr>
              <w:t>(12 Mar 2014)</w:t>
            </w:r>
          </w:p>
          <w:p w14:paraId="7D0C2647" w14:textId="1CCEF3C7" w:rsidR="00823FAA" w:rsidRPr="00DF29DD" w:rsidRDefault="00823FAA" w:rsidP="00DF29DD">
            <w:pPr>
              <w:rPr>
                <w:rFonts w:ascii="Arial" w:eastAsia="Calibri" w:hAnsi="Arial" w:cs="Arial"/>
                <w:i/>
                <w:sz w:val="20"/>
                <w:szCs w:val="20"/>
                <w:lang w:val="en-US"/>
              </w:rPr>
            </w:pPr>
          </w:p>
        </w:tc>
        <w:tc>
          <w:tcPr>
            <w:tcW w:w="83" w:type="pct"/>
            <w:tcBorders>
              <w:top w:val="single" w:sz="4" w:space="0" w:color="auto"/>
              <w:left w:val="nil"/>
              <w:bottom w:val="nil"/>
              <w:right w:val="nil"/>
            </w:tcBorders>
            <w:shd w:val="clear" w:color="auto" w:fill="auto"/>
            <w:tcMar>
              <w:top w:w="15" w:type="dxa"/>
              <w:left w:w="69" w:type="dxa"/>
              <w:bottom w:w="0" w:type="dxa"/>
              <w:right w:w="69" w:type="dxa"/>
            </w:tcMar>
            <w:vAlign w:val="center"/>
            <w:hideMark/>
          </w:tcPr>
          <w:p w14:paraId="56255D9D" w14:textId="77777777" w:rsidR="00DF29DD" w:rsidRPr="00DF29DD" w:rsidRDefault="00DF29DD" w:rsidP="00DF29DD">
            <w:pPr>
              <w:spacing w:after="200" w:line="276" w:lineRule="auto"/>
              <w:rPr>
                <w:rFonts w:ascii="Arial" w:eastAsia="Calibri" w:hAnsi="Arial" w:cs="Arial"/>
                <w:color w:val="000000"/>
                <w:sz w:val="20"/>
                <w:szCs w:val="20"/>
                <w:lang w:val="en-US"/>
              </w:rPr>
            </w:pPr>
            <w:r w:rsidRPr="00DF29DD">
              <w:rPr>
                <w:rFonts w:ascii="Arial" w:eastAsia="Calibri" w:hAnsi="Arial" w:cs="Arial"/>
                <w:color w:val="000000"/>
                <w:sz w:val="20"/>
                <w:szCs w:val="20"/>
                <w:lang w:val="en-US"/>
              </w:rPr>
              <w:t> </w:t>
            </w:r>
          </w:p>
        </w:tc>
        <w:tc>
          <w:tcPr>
            <w:tcW w:w="784" w:type="pct"/>
            <w:tcBorders>
              <w:top w:val="single" w:sz="4" w:space="0" w:color="auto"/>
              <w:left w:val="nil"/>
              <w:bottom w:val="nil"/>
              <w:right w:val="nil"/>
            </w:tcBorders>
            <w:shd w:val="clear" w:color="auto" w:fill="auto"/>
            <w:hideMark/>
          </w:tcPr>
          <w:p w14:paraId="7285388F" w14:textId="77777777" w:rsidR="00DF29DD" w:rsidRPr="00DF29DD" w:rsidRDefault="00DF29DD" w:rsidP="00DF29DD">
            <w:pPr>
              <w:spacing w:after="200" w:line="276" w:lineRule="auto"/>
              <w:jc w:val="center"/>
              <w:rPr>
                <w:rFonts w:ascii="Arial" w:eastAsia="Calibri" w:hAnsi="Arial" w:cs="Arial"/>
                <w:color w:val="000000"/>
                <w:sz w:val="20"/>
                <w:szCs w:val="20"/>
                <w:lang w:val="en-US"/>
              </w:rPr>
            </w:pPr>
            <w:r w:rsidRPr="00DF29DD">
              <w:rPr>
                <w:rFonts w:ascii="Arial" w:eastAsia="Calibri" w:hAnsi="Arial" w:cs="Arial"/>
                <w:color w:val="000000"/>
                <w:sz w:val="20"/>
                <w:szCs w:val="20"/>
                <w:lang w:val="en-US"/>
              </w:rPr>
              <w:t>Permian (U.S.)</w:t>
            </w:r>
          </w:p>
        </w:tc>
        <w:tc>
          <w:tcPr>
            <w:tcW w:w="536" w:type="pct"/>
            <w:tcBorders>
              <w:top w:val="single" w:sz="4" w:space="0" w:color="auto"/>
              <w:left w:val="nil"/>
              <w:bottom w:val="nil"/>
              <w:right w:val="nil"/>
            </w:tcBorders>
            <w:shd w:val="clear" w:color="auto" w:fill="auto"/>
            <w:hideMark/>
          </w:tcPr>
          <w:p w14:paraId="7BD7AEB2" w14:textId="524C064E" w:rsidR="00DF29DD" w:rsidRPr="00DF29DD" w:rsidRDefault="00C75250" w:rsidP="00C75250">
            <w:pPr>
              <w:spacing w:after="200" w:line="276" w:lineRule="auto"/>
              <w:jc w:val="center"/>
              <w:rPr>
                <w:rFonts w:ascii="Arial" w:eastAsia="Calibri" w:hAnsi="Arial" w:cs="Arial"/>
                <w:sz w:val="20"/>
                <w:szCs w:val="20"/>
                <w:lang w:val="en-US"/>
              </w:rPr>
            </w:pPr>
            <w:r>
              <w:rPr>
                <w:rFonts w:ascii="Arial" w:eastAsiaTheme="minorHAnsi" w:hAnsi="Arial" w:cs="Arial"/>
                <w:sz w:val="20"/>
                <w:szCs w:val="20"/>
              </w:rPr>
              <w:t>$</w:t>
            </w:r>
            <w:r w:rsidR="00FD74CD">
              <w:rPr>
                <w:rFonts w:ascii="Arial" w:eastAsiaTheme="minorHAnsi" w:hAnsi="Arial" w:cs="Arial"/>
                <w:sz w:val="20"/>
                <w:szCs w:val="20"/>
              </w:rPr>
              <w:t>114</w:t>
            </w:r>
          </w:p>
        </w:tc>
        <w:tc>
          <w:tcPr>
            <w:tcW w:w="453" w:type="pct"/>
            <w:tcBorders>
              <w:top w:val="single" w:sz="4" w:space="0" w:color="auto"/>
              <w:left w:val="nil"/>
              <w:bottom w:val="nil"/>
              <w:right w:val="nil"/>
            </w:tcBorders>
            <w:shd w:val="clear" w:color="auto" w:fill="auto"/>
            <w:tcMar>
              <w:top w:w="15" w:type="dxa"/>
              <w:left w:w="69" w:type="dxa"/>
              <w:bottom w:w="0" w:type="dxa"/>
              <w:right w:w="69" w:type="dxa"/>
            </w:tcMar>
          </w:tcPr>
          <w:p w14:paraId="1C55E079" w14:textId="499AAE5C" w:rsidR="00DF29DD" w:rsidRPr="00DF29DD" w:rsidRDefault="00C75250" w:rsidP="00C75250">
            <w:pPr>
              <w:spacing w:after="200" w:line="276" w:lineRule="auto"/>
              <w:jc w:val="center"/>
              <w:rPr>
                <w:rFonts w:ascii="Arial" w:eastAsia="Calibri" w:hAnsi="Arial" w:cs="Arial"/>
                <w:sz w:val="20"/>
                <w:szCs w:val="20"/>
                <w:lang w:val="en-US"/>
              </w:rPr>
            </w:pPr>
            <w:r>
              <w:rPr>
                <w:rFonts w:ascii="Arial" w:eastAsiaTheme="minorHAnsi" w:hAnsi="Arial" w:cs="Arial"/>
                <w:sz w:val="20"/>
                <w:szCs w:val="20"/>
              </w:rPr>
              <w:t>$</w:t>
            </w:r>
            <w:r w:rsidR="00FD74CD">
              <w:rPr>
                <w:rFonts w:ascii="Arial" w:eastAsiaTheme="minorHAnsi" w:hAnsi="Arial" w:cs="Arial"/>
                <w:sz w:val="20"/>
                <w:szCs w:val="20"/>
              </w:rPr>
              <w:t>114</w:t>
            </w:r>
          </w:p>
        </w:tc>
        <w:tc>
          <w:tcPr>
            <w:tcW w:w="453" w:type="pct"/>
            <w:tcBorders>
              <w:top w:val="single" w:sz="4" w:space="0" w:color="auto"/>
              <w:left w:val="nil"/>
              <w:bottom w:val="nil"/>
              <w:right w:val="nil"/>
            </w:tcBorders>
            <w:shd w:val="clear" w:color="auto" w:fill="auto"/>
            <w:tcMar>
              <w:top w:w="15" w:type="dxa"/>
              <w:left w:w="69" w:type="dxa"/>
              <w:bottom w:w="0" w:type="dxa"/>
              <w:right w:w="69" w:type="dxa"/>
            </w:tcMar>
          </w:tcPr>
          <w:p w14:paraId="25913489" w14:textId="4E1FD8F6" w:rsidR="00DF29DD" w:rsidRPr="00DF29DD" w:rsidRDefault="00C75250" w:rsidP="00C75250">
            <w:pPr>
              <w:spacing w:after="200" w:line="276" w:lineRule="auto"/>
              <w:jc w:val="center"/>
              <w:rPr>
                <w:rFonts w:ascii="Arial" w:eastAsia="Calibri" w:hAnsi="Arial" w:cs="Arial"/>
                <w:color w:val="000000"/>
                <w:sz w:val="20"/>
                <w:szCs w:val="20"/>
                <w:lang w:val="en-US"/>
              </w:rPr>
            </w:pPr>
            <w:r>
              <w:rPr>
                <w:rFonts w:ascii="Arial" w:eastAsia="Calibri" w:hAnsi="Arial" w:cs="Arial"/>
                <w:color w:val="000000"/>
                <w:sz w:val="20"/>
                <w:szCs w:val="20"/>
              </w:rPr>
              <w:t>$</w:t>
            </w:r>
            <w:r w:rsidR="00FD74CD">
              <w:rPr>
                <w:rFonts w:ascii="Arial" w:eastAsia="Calibri" w:hAnsi="Arial" w:cs="Arial"/>
                <w:color w:val="000000"/>
                <w:sz w:val="20"/>
                <w:szCs w:val="20"/>
              </w:rPr>
              <w:t>231</w:t>
            </w:r>
          </w:p>
        </w:tc>
        <w:tc>
          <w:tcPr>
            <w:tcW w:w="495" w:type="pct"/>
            <w:tcBorders>
              <w:top w:val="single" w:sz="4" w:space="0" w:color="auto"/>
              <w:left w:val="nil"/>
              <w:bottom w:val="nil"/>
              <w:right w:val="nil"/>
            </w:tcBorders>
            <w:shd w:val="clear" w:color="auto" w:fill="auto"/>
          </w:tcPr>
          <w:p w14:paraId="4E99368C" w14:textId="36D33188" w:rsidR="00823FAA" w:rsidRPr="00823FAA" w:rsidRDefault="00C75250" w:rsidP="00C75250">
            <w:pPr>
              <w:spacing w:after="200" w:line="360" w:lineRule="auto"/>
              <w:jc w:val="center"/>
              <w:rPr>
                <w:rFonts w:ascii="Arial" w:eastAsia="Calibri" w:hAnsi="Arial" w:cs="Arial"/>
                <w:color w:val="000000"/>
                <w:sz w:val="20"/>
                <w:szCs w:val="20"/>
              </w:rPr>
            </w:pPr>
            <w:r>
              <w:rPr>
                <w:rFonts w:ascii="Arial" w:eastAsia="Calibri" w:hAnsi="Arial" w:cs="Arial"/>
                <w:color w:val="000000"/>
                <w:sz w:val="20"/>
                <w:szCs w:val="20"/>
              </w:rPr>
              <w:t>$</w:t>
            </w:r>
            <w:r w:rsidR="00FD74CD">
              <w:rPr>
                <w:rFonts w:ascii="Arial" w:eastAsia="Calibri" w:hAnsi="Arial" w:cs="Arial"/>
                <w:color w:val="000000"/>
                <w:sz w:val="20"/>
                <w:szCs w:val="20"/>
              </w:rPr>
              <w:t>2</w:t>
            </w:r>
          </w:p>
        </w:tc>
        <w:tc>
          <w:tcPr>
            <w:tcW w:w="618" w:type="pct"/>
            <w:tcBorders>
              <w:top w:val="single" w:sz="4" w:space="0" w:color="auto"/>
              <w:left w:val="nil"/>
              <w:bottom w:val="nil"/>
              <w:right w:val="nil"/>
            </w:tcBorders>
            <w:shd w:val="clear" w:color="auto" w:fill="auto"/>
          </w:tcPr>
          <w:p w14:paraId="66CE7D56" w14:textId="5F1FF1EA" w:rsidR="00DF29DD" w:rsidRPr="00DF29DD" w:rsidRDefault="00C75250" w:rsidP="00C75250">
            <w:pPr>
              <w:spacing w:after="200" w:line="276" w:lineRule="auto"/>
              <w:jc w:val="center"/>
              <w:rPr>
                <w:rFonts w:ascii="Arial" w:eastAsia="Calibri" w:hAnsi="Arial" w:cs="Arial"/>
                <w:sz w:val="20"/>
                <w:szCs w:val="20"/>
                <w:lang w:val="en-US"/>
              </w:rPr>
            </w:pPr>
            <w:r>
              <w:rPr>
                <w:rFonts w:ascii="Arial" w:eastAsiaTheme="minorHAnsi" w:hAnsi="Arial" w:cs="Arial"/>
                <w:sz w:val="20"/>
                <w:szCs w:val="20"/>
              </w:rPr>
              <w:t>$</w:t>
            </w:r>
            <w:r w:rsidR="00FD74CD">
              <w:rPr>
                <w:rFonts w:ascii="Arial" w:eastAsiaTheme="minorHAnsi" w:hAnsi="Arial" w:cs="Arial"/>
                <w:sz w:val="20"/>
                <w:szCs w:val="20"/>
              </w:rPr>
              <w:t>233</w:t>
            </w:r>
          </w:p>
        </w:tc>
        <w:tc>
          <w:tcPr>
            <w:tcW w:w="412" w:type="pct"/>
            <w:tcBorders>
              <w:top w:val="single" w:sz="4" w:space="0" w:color="auto"/>
              <w:left w:val="nil"/>
              <w:bottom w:val="nil"/>
              <w:right w:val="nil"/>
            </w:tcBorders>
            <w:shd w:val="clear" w:color="auto" w:fill="auto"/>
            <w:tcMar>
              <w:top w:w="15" w:type="dxa"/>
              <w:left w:w="69" w:type="dxa"/>
              <w:bottom w:w="0" w:type="dxa"/>
              <w:right w:w="69" w:type="dxa"/>
            </w:tcMar>
          </w:tcPr>
          <w:p w14:paraId="1AAB3C56" w14:textId="67909118" w:rsidR="00DF29DD" w:rsidRPr="00DF29DD" w:rsidRDefault="00FD74CD" w:rsidP="00C75250">
            <w:pPr>
              <w:spacing w:after="200" w:line="276" w:lineRule="auto"/>
              <w:jc w:val="center"/>
              <w:rPr>
                <w:rFonts w:ascii="Arial" w:eastAsia="Calibri" w:hAnsi="Arial" w:cs="Arial"/>
                <w:sz w:val="20"/>
                <w:szCs w:val="20"/>
                <w:lang w:val="en-US"/>
              </w:rPr>
            </w:pPr>
            <w:r>
              <w:rPr>
                <w:rFonts w:ascii="Arial" w:eastAsiaTheme="minorHAnsi" w:hAnsi="Arial" w:cs="Arial"/>
                <w:sz w:val="20"/>
                <w:szCs w:val="20"/>
              </w:rPr>
              <w:t>2.0</w:t>
            </w:r>
            <w:r w:rsidR="00DF29DD" w:rsidRPr="00DF29DD">
              <w:rPr>
                <w:rFonts w:ascii="Arial" w:eastAsiaTheme="minorHAnsi" w:hAnsi="Arial" w:cs="Arial"/>
                <w:sz w:val="20"/>
                <w:szCs w:val="20"/>
              </w:rPr>
              <w:t>x</w:t>
            </w:r>
          </w:p>
        </w:tc>
        <w:tc>
          <w:tcPr>
            <w:tcW w:w="412" w:type="pct"/>
            <w:tcBorders>
              <w:top w:val="single" w:sz="4" w:space="0" w:color="auto"/>
              <w:left w:val="nil"/>
              <w:bottom w:val="nil"/>
              <w:right w:val="nil"/>
            </w:tcBorders>
          </w:tcPr>
          <w:p w14:paraId="36367EE4" w14:textId="77777777" w:rsidR="00DF29DD" w:rsidRPr="00DF29DD" w:rsidRDefault="00DF29DD" w:rsidP="00DF29DD">
            <w:pPr>
              <w:spacing w:after="200" w:line="276" w:lineRule="auto"/>
              <w:jc w:val="center"/>
              <w:rPr>
                <w:rFonts w:ascii="Arial" w:eastAsiaTheme="minorHAnsi" w:hAnsi="Arial" w:cs="Arial"/>
                <w:sz w:val="20"/>
                <w:szCs w:val="20"/>
              </w:rPr>
            </w:pPr>
            <w:r w:rsidRPr="00DF29DD">
              <w:rPr>
                <w:rFonts w:ascii="Arial" w:eastAsiaTheme="minorHAnsi" w:hAnsi="Arial" w:cs="Arial"/>
                <w:sz w:val="20"/>
                <w:szCs w:val="20"/>
              </w:rPr>
              <w:t>2.1x</w:t>
            </w:r>
          </w:p>
        </w:tc>
      </w:tr>
      <w:tr w:rsidR="00DF29DD" w:rsidRPr="00DF29DD" w14:paraId="3AD1BACF" w14:textId="77777777" w:rsidTr="00213F9C">
        <w:trPr>
          <w:trHeight w:val="265"/>
        </w:trPr>
        <w:tc>
          <w:tcPr>
            <w:tcW w:w="754" w:type="pct"/>
            <w:shd w:val="clear" w:color="auto" w:fill="auto"/>
            <w:tcMar>
              <w:top w:w="15" w:type="dxa"/>
              <w:left w:w="137" w:type="dxa"/>
              <w:bottom w:w="0" w:type="dxa"/>
              <w:right w:w="15" w:type="dxa"/>
            </w:tcMar>
          </w:tcPr>
          <w:p w14:paraId="441D6E3B" w14:textId="7EE0FF94" w:rsidR="00DF29DD" w:rsidRPr="00DF29DD" w:rsidRDefault="00DF29DD" w:rsidP="00DF29DD">
            <w:pPr>
              <w:rPr>
                <w:rFonts w:ascii="Arial" w:eastAsia="Calibri" w:hAnsi="Arial" w:cs="Arial"/>
                <w:b/>
                <w:sz w:val="20"/>
                <w:szCs w:val="20"/>
                <w:vertAlign w:val="superscript"/>
                <w:lang w:val="en-US"/>
              </w:rPr>
            </w:pPr>
            <w:r w:rsidRPr="00DF29DD">
              <w:rPr>
                <w:rFonts w:ascii="Arial" w:eastAsia="Calibri" w:hAnsi="Arial" w:cs="Arial"/>
                <w:b/>
                <w:sz w:val="20"/>
                <w:szCs w:val="20"/>
                <w:lang w:val="en-US"/>
              </w:rPr>
              <w:t>Three Rivers III</w:t>
            </w:r>
          </w:p>
          <w:p w14:paraId="381AB56F" w14:textId="77777777" w:rsidR="00DF29DD" w:rsidRPr="00DF29DD" w:rsidRDefault="00DF29DD" w:rsidP="00DF29DD">
            <w:pPr>
              <w:rPr>
                <w:rFonts w:ascii="Arial" w:eastAsia="Calibri" w:hAnsi="Arial" w:cs="Arial"/>
                <w:i/>
                <w:sz w:val="20"/>
                <w:szCs w:val="20"/>
                <w:lang w:val="en-US"/>
              </w:rPr>
            </w:pPr>
            <w:r w:rsidRPr="00DF29DD">
              <w:rPr>
                <w:rFonts w:ascii="Arial" w:eastAsia="Calibri" w:hAnsi="Arial" w:cs="Arial"/>
                <w:i/>
                <w:sz w:val="20"/>
                <w:szCs w:val="20"/>
                <w:lang w:val="en-US"/>
              </w:rPr>
              <w:t>(7 Apr 2015)</w:t>
            </w:r>
          </w:p>
          <w:p w14:paraId="73AF41A8" w14:textId="77777777" w:rsidR="00DF29DD" w:rsidRPr="00DF29DD" w:rsidRDefault="00DF29DD" w:rsidP="00DF29DD">
            <w:pPr>
              <w:rPr>
                <w:rFonts w:ascii="Arial" w:eastAsia="Calibri" w:hAnsi="Arial" w:cs="Arial"/>
                <w:b/>
                <w:sz w:val="20"/>
                <w:szCs w:val="20"/>
                <w:lang w:val="en-US"/>
              </w:rPr>
            </w:pPr>
          </w:p>
        </w:tc>
        <w:tc>
          <w:tcPr>
            <w:tcW w:w="83" w:type="pct"/>
            <w:shd w:val="clear" w:color="auto" w:fill="auto"/>
            <w:tcMar>
              <w:top w:w="15" w:type="dxa"/>
              <w:left w:w="69" w:type="dxa"/>
              <w:bottom w:w="0" w:type="dxa"/>
              <w:right w:w="69" w:type="dxa"/>
            </w:tcMar>
            <w:vAlign w:val="center"/>
          </w:tcPr>
          <w:p w14:paraId="2576BE2C" w14:textId="77777777" w:rsidR="00DF29DD" w:rsidRPr="00DF29DD" w:rsidRDefault="00DF29DD" w:rsidP="00DF29DD">
            <w:pPr>
              <w:spacing w:after="200" w:line="276" w:lineRule="auto"/>
              <w:rPr>
                <w:rFonts w:ascii="Arial" w:eastAsia="Calibri" w:hAnsi="Arial" w:cs="Arial"/>
                <w:color w:val="000000"/>
                <w:sz w:val="20"/>
                <w:szCs w:val="20"/>
                <w:lang w:val="en-US"/>
              </w:rPr>
            </w:pPr>
          </w:p>
        </w:tc>
        <w:tc>
          <w:tcPr>
            <w:tcW w:w="784" w:type="pct"/>
            <w:shd w:val="clear" w:color="auto" w:fill="auto"/>
          </w:tcPr>
          <w:p w14:paraId="576A6670" w14:textId="77777777" w:rsidR="00DF29DD" w:rsidRPr="00DF29DD" w:rsidRDefault="00DF29DD" w:rsidP="00DF29DD">
            <w:pPr>
              <w:spacing w:after="200" w:line="276" w:lineRule="auto"/>
              <w:jc w:val="center"/>
              <w:rPr>
                <w:rFonts w:ascii="Arial" w:eastAsia="Calibri" w:hAnsi="Arial" w:cs="Arial"/>
                <w:color w:val="000000"/>
                <w:sz w:val="20"/>
                <w:szCs w:val="20"/>
                <w:lang w:val="en-US"/>
              </w:rPr>
            </w:pPr>
            <w:r w:rsidRPr="00DF29DD">
              <w:rPr>
                <w:rFonts w:ascii="Arial" w:eastAsia="Calibri" w:hAnsi="Arial" w:cs="Arial"/>
                <w:color w:val="000000"/>
                <w:sz w:val="20"/>
                <w:szCs w:val="20"/>
                <w:lang w:val="en-US"/>
              </w:rPr>
              <w:t>Permian (U.S.)</w:t>
            </w:r>
          </w:p>
        </w:tc>
        <w:tc>
          <w:tcPr>
            <w:tcW w:w="536" w:type="pct"/>
            <w:shd w:val="clear" w:color="auto" w:fill="auto"/>
          </w:tcPr>
          <w:p w14:paraId="27E8C954" w14:textId="301B45EC" w:rsidR="00DF29DD" w:rsidRPr="00DF29DD" w:rsidRDefault="007257B9" w:rsidP="00DF29DD">
            <w:pPr>
              <w:spacing w:after="200" w:line="276" w:lineRule="auto"/>
              <w:jc w:val="center"/>
              <w:rPr>
                <w:rFonts w:ascii="Arial" w:eastAsiaTheme="minorHAnsi" w:hAnsi="Arial" w:cs="Arial"/>
                <w:sz w:val="20"/>
                <w:szCs w:val="20"/>
              </w:rPr>
            </w:pPr>
            <w:r>
              <w:rPr>
                <w:rFonts w:ascii="Arial" w:eastAsiaTheme="minorHAnsi" w:hAnsi="Arial" w:cs="Arial"/>
                <w:sz w:val="20"/>
                <w:szCs w:val="20"/>
              </w:rPr>
              <w:t>94</w:t>
            </w:r>
          </w:p>
        </w:tc>
        <w:tc>
          <w:tcPr>
            <w:tcW w:w="453" w:type="pct"/>
            <w:shd w:val="clear" w:color="auto" w:fill="auto"/>
            <w:tcMar>
              <w:top w:w="15" w:type="dxa"/>
              <w:left w:w="69" w:type="dxa"/>
              <w:bottom w:w="0" w:type="dxa"/>
              <w:right w:w="69" w:type="dxa"/>
            </w:tcMar>
          </w:tcPr>
          <w:p w14:paraId="288071E9" w14:textId="21564069" w:rsidR="00DF29DD" w:rsidRPr="00DF29DD" w:rsidRDefault="007257B9" w:rsidP="00DF29DD">
            <w:pPr>
              <w:spacing w:after="200" w:line="276" w:lineRule="auto"/>
              <w:jc w:val="center"/>
              <w:rPr>
                <w:rFonts w:ascii="Arial" w:eastAsiaTheme="minorHAnsi" w:hAnsi="Arial" w:cs="Arial"/>
                <w:sz w:val="20"/>
                <w:szCs w:val="20"/>
              </w:rPr>
            </w:pPr>
            <w:r>
              <w:rPr>
                <w:rFonts w:ascii="Arial" w:eastAsiaTheme="minorHAnsi" w:hAnsi="Arial" w:cs="Arial"/>
                <w:sz w:val="20"/>
                <w:szCs w:val="20"/>
              </w:rPr>
              <w:t>94</w:t>
            </w:r>
          </w:p>
        </w:tc>
        <w:tc>
          <w:tcPr>
            <w:tcW w:w="453" w:type="pct"/>
            <w:shd w:val="clear" w:color="auto" w:fill="auto"/>
            <w:tcMar>
              <w:top w:w="15" w:type="dxa"/>
              <w:left w:w="69" w:type="dxa"/>
              <w:bottom w:w="0" w:type="dxa"/>
              <w:right w:w="69" w:type="dxa"/>
            </w:tcMar>
          </w:tcPr>
          <w:p w14:paraId="629EBBAD" w14:textId="04F1AF2D" w:rsidR="00DF29DD" w:rsidRPr="00DF29DD" w:rsidRDefault="007257B9" w:rsidP="00DF29DD">
            <w:pPr>
              <w:spacing w:after="200" w:line="276" w:lineRule="auto"/>
              <w:jc w:val="center"/>
              <w:rPr>
                <w:rFonts w:ascii="Arial" w:eastAsia="Calibri" w:hAnsi="Arial" w:cs="Arial"/>
                <w:color w:val="000000"/>
                <w:sz w:val="20"/>
                <w:szCs w:val="20"/>
              </w:rPr>
            </w:pPr>
            <w:r>
              <w:rPr>
                <w:rFonts w:ascii="Arial" w:eastAsia="Calibri" w:hAnsi="Arial" w:cs="Arial"/>
                <w:color w:val="000000"/>
                <w:sz w:val="20"/>
                <w:szCs w:val="20"/>
              </w:rPr>
              <w:t>204</w:t>
            </w:r>
          </w:p>
        </w:tc>
        <w:tc>
          <w:tcPr>
            <w:tcW w:w="495" w:type="pct"/>
            <w:shd w:val="clear" w:color="auto" w:fill="auto"/>
          </w:tcPr>
          <w:p w14:paraId="7E92D959" w14:textId="46D9F936" w:rsidR="00DF29DD" w:rsidRPr="00DF29DD" w:rsidRDefault="007257B9" w:rsidP="00DF29DD">
            <w:pPr>
              <w:spacing w:after="200" w:line="276" w:lineRule="auto"/>
              <w:jc w:val="center"/>
              <w:rPr>
                <w:rFonts w:ascii="Arial" w:eastAsia="Calibri" w:hAnsi="Arial" w:cs="Arial"/>
                <w:sz w:val="20"/>
                <w:szCs w:val="20"/>
              </w:rPr>
            </w:pPr>
            <w:r>
              <w:rPr>
                <w:rFonts w:ascii="Arial" w:eastAsia="Calibri" w:hAnsi="Arial" w:cs="Arial"/>
                <w:sz w:val="20"/>
                <w:szCs w:val="20"/>
              </w:rPr>
              <w:t>-</w:t>
            </w:r>
          </w:p>
        </w:tc>
        <w:tc>
          <w:tcPr>
            <w:tcW w:w="618" w:type="pct"/>
            <w:shd w:val="clear" w:color="auto" w:fill="auto"/>
          </w:tcPr>
          <w:p w14:paraId="62A9350C" w14:textId="333A585F" w:rsidR="00DF29DD" w:rsidRPr="00DF29DD" w:rsidRDefault="007257B9" w:rsidP="00DF29DD">
            <w:pPr>
              <w:spacing w:after="200" w:line="276" w:lineRule="auto"/>
              <w:jc w:val="center"/>
              <w:rPr>
                <w:rFonts w:ascii="Arial" w:eastAsiaTheme="minorHAnsi" w:hAnsi="Arial" w:cs="Arial"/>
                <w:sz w:val="20"/>
                <w:szCs w:val="20"/>
              </w:rPr>
            </w:pPr>
            <w:r>
              <w:rPr>
                <w:rFonts w:ascii="Arial" w:eastAsiaTheme="minorHAnsi" w:hAnsi="Arial" w:cs="Arial"/>
                <w:sz w:val="20"/>
                <w:szCs w:val="20"/>
              </w:rPr>
              <w:t>204</w:t>
            </w:r>
          </w:p>
        </w:tc>
        <w:tc>
          <w:tcPr>
            <w:tcW w:w="412" w:type="pct"/>
            <w:shd w:val="clear" w:color="auto" w:fill="auto"/>
            <w:tcMar>
              <w:top w:w="15" w:type="dxa"/>
              <w:left w:w="69" w:type="dxa"/>
              <w:bottom w:w="0" w:type="dxa"/>
              <w:right w:w="69" w:type="dxa"/>
            </w:tcMar>
          </w:tcPr>
          <w:p w14:paraId="1065082C" w14:textId="605D007D" w:rsidR="00DF29DD" w:rsidRPr="00DF29DD" w:rsidRDefault="007257B9" w:rsidP="00DF29DD">
            <w:pPr>
              <w:spacing w:after="200" w:line="276" w:lineRule="auto"/>
              <w:jc w:val="center"/>
              <w:rPr>
                <w:rFonts w:ascii="Arial" w:eastAsiaTheme="minorHAnsi" w:hAnsi="Arial" w:cs="Arial"/>
                <w:sz w:val="20"/>
                <w:szCs w:val="20"/>
              </w:rPr>
            </w:pPr>
            <w:r>
              <w:rPr>
                <w:rFonts w:ascii="Arial" w:eastAsiaTheme="minorHAnsi" w:hAnsi="Arial" w:cs="Arial"/>
                <w:sz w:val="20"/>
                <w:szCs w:val="20"/>
              </w:rPr>
              <w:t>2.2</w:t>
            </w:r>
            <w:r w:rsidR="00DF29DD" w:rsidRPr="00DF29DD">
              <w:rPr>
                <w:rFonts w:ascii="Arial" w:eastAsiaTheme="minorHAnsi" w:hAnsi="Arial" w:cs="Arial"/>
                <w:sz w:val="20"/>
                <w:szCs w:val="20"/>
              </w:rPr>
              <w:t>x</w:t>
            </w:r>
          </w:p>
        </w:tc>
        <w:tc>
          <w:tcPr>
            <w:tcW w:w="412" w:type="pct"/>
          </w:tcPr>
          <w:p w14:paraId="0EF7284D" w14:textId="77777777" w:rsidR="00DF29DD" w:rsidRPr="00DF29DD" w:rsidRDefault="00DF29DD" w:rsidP="00DF29DD">
            <w:pPr>
              <w:spacing w:after="200" w:line="276" w:lineRule="auto"/>
              <w:jc w:val="center"/>
              <w:rPr>
                <w:rFonts w:ascii="Arial" w:eastAsiaTheme="minorHAnsi" w:hAnsi="Arial" w:cs="Arial"/>
                <w:sz w:val="20"/>
                <w:szCs w:val="20"/>
              </w:rPr>
            </w:pPr>
            <w:r w:rsidRPr="00DF29DD">
              <w:rPr>
                <w:rFonts w:ascii="Arial" w:eastAsiaTheme="minorHAnsi" w:hAnsi="Arial" w:cs="Arial"/>
                <w:sz w:val="20"/>
                <w:szCs w:val="20"/>
              </w:rPr>
              <w:t>2.2x</w:t>
            </w:r>
          </w:p>
        </w:tc>
      </w:tr>
      <w:tr w:rsidR="00DF29DD" w:rsidRPr="00DF29DD" w14:paraId="29D73E26" w14:textId="77777777" w:rsidTr="007257B9">
        <w:trPr>
          <w:trHeight w:val="637"/>
        </w:trPr>
        <w:tc>
          <w:tcPr>
            <w:tcW w:w="754" w:type="pct"/>
            <w:shd w:val="clear" w:color="auto" w:fill="auto"/>
            <w:tcMar>
              <w:top w:w="15" w:type="dxa"/>
              <w:left w:w="137" w:type="dxa"/>
              <w:bottom w:w="0" w:type="dxa"/>
              <w:right w:w="15" w:type="dxa"/>
            </w:tcMar>
            <w:hideMark/>
          </w:tcPr>
          <w:p w14:paraId="1AF870D1" w14:textId="26D9CC53" w:rsidR="00DF29DD" w:rsidRPr="00DF29DD" w:rsidRDefault="00DF29DD" w:rsidP="00DF29DD">
            <w:pPr>
              <w:rPr>
                <w:rFonts w:ascii="Arial" w:eastAsia="Calibri" w:hAnsi="Arial" w:cs="Arial"/>
                <w:b/>
                <w:sz w:val="20"/>
                <w:szCs w:val="20"/>
                <w:vertAlign w:val="superscript"/>
                <w:lang w:val="en-US"/>
              </w:rPr>
            </w:pPr>
            <w:r w:rsidRPr="00DF29DD">
              <w:rPr>
                <w:rFonts w:ascii="Arial" w:eastAsia="Calibri" w:hAnsi="Arial" w:cs="Arial"/>
                <w:b/>
                <w:sz w:val="20"/>
                <w:szCs w:val="20"/>
                <w:lang w:val="en-US"/>
              </w:rPr>
              <w:t>Meritage III</w:t>
            </w:r>
            <w:r w:rsidRPr="00DF29DD">
              <w:rPr>
                <w:rFonts w:ascii="Arial" w:eastAsia="Calibri" w:hAnsi="Arial" w:cs="Arial"/>
                <w:b/>
                <w:sz w:val="20"/>
                <w:szCs w:val="20"/>
                <w:vertAlign w:val="superscript"/>
                <w:lang w:val="en-US"/>
              </w:rPr>
              <w:t>(</w:t>
            </w:r>
            <w:r w:rsidR="004173B6">
              <w:rPr>
                <w:rFonts w:ascii="Arial" w:eastAsia="Calibri" w:hAnsi="Arial" w:cs="Arial"/>
                <w:b/>
                <w:sz w:val="20"/>
                <w:szCs w:val="20"/>
                <w:vertAlign w:val="superscript"/>
                <w:lang w:val="en-US"/>
              </w:rPr>
              <w:t>5</w:t>
            </w:r>
            <w:r w:rsidRPr="00DF29DD">
              <w:rPr>
                <w:rFonts w:ascii="Arial" w:eastAsia="Calibri" w:hAnsi="Arial" w:cs="Arial"/>
                <w:b/>
                <w:sz w:val="20"/>
                <w:szCs w:val="20"/>
                <w:vertAlign w:val="superscript"/>
                <w:lang w:val="en-US"/>
              </w:rPr>
              <w:t>)</w:t>
            </w:r>
          </w:p>
          <w:p w14:paraId="480CBEB1" w14:textId="77777777" w:rsidR="00DF29DD" w:rsidRPr="00DF29DD" w:rsidRDefault="00DF29DD" w:rsidP="00DF29DD">
            <w:pPr>
              <w:rPr>
                <w:rFonts w:ascii="Arial" w:eastAsia="Calibri" w:hAnsi="Arial" w:cs="Arial"/>
                <w:i/>
                <w:sz w:val="20"/>
                <w:szCs w:val="20"/>
                <w:lang w:val="en-US"/>
              </w:rPr>
            </w:pPr>
            <w:r w:rsidRPr="00DF29DD">
              <w:rPr>
                <w:rFonts w:ascii="Arial" w:eastAsia="Calibri" w:hAnsi="Arial" w:cs="Arial"/>
                <w:i/>
                <w:sz w:val="20"/>
                <w:szCs w:val="20"/>
                <w:lang w:val="en-US"/>
              </w:rPr>
              <w:t>(7 Apr 2015)</w:t>
            </w:r>
          </w:p>
          <w:p w14:paraId="0EB05031" w14:textId="7A6FF975" w:rsidR="00DF29DD" w:rsidRPr="00DF29DD" w:rsidRDefault="00DF29DD" w:rsidP="00DF29DD">
            <w:pPr>
              <w:rPr>
                <w:rFonts w:ascii="Arial" w:eastAsia="Calibri" w:hAnsi="Arial" w:cs="Arial"/>
                <w:i/>
                <w:sz w:val="20"/>
                <w:szCs w:val="20"/>
                <w:lang w:val="en-US"/>
              </w:rPr>
            </w:pPr>
          </w:p>
        </w:tc>
        <w:tc>
          <w:tcPr>
            <w:tcW w:w="83" w:type="pct"/>
            <w:shd w:val="clear" w:color="auto" w:fill="auto"/>
            <w:tcMar>
              <w:top w:w="15" w:type="dxa"/>
              <w:left w:w="69" w:type="dxa"/>
              <w:bottom w:w="0" w:type="dxa"/>
              <w:right w:w="69" w:type="dxa"/>
            </w:tcMar>
            <w:vAlign w:val="center"/>
            <w:hideMark/>
          </w:tcPr>
          <w:p w14:paraId="1D0117C2" w14:textId="77777777" w:rsidR="00DF29DD" w:rsidRPr="00DF29DD" w:rsidRDefault="00DF29DD" w:rsidP="00DF29DD">
            <w:pPr>
              <w:spacing w:after="200" w:line="276" w:lineRule="auto"/>
              <w:rPr>
                <w:rFonts w:ascii="Arial" w:eastAsia="Calibri" w:hAnsi="Arial" w:cs="Arial"/>
                <w:color w:val="000000"/>
                <w:sz w:val="20"/>
                <w:szCs w:val="20"/>
                <w:lang w:val="en-US"/>
              </w:rPr>
            </w:pPr>
            <w:r w:rsidRPr="00DF29DD">
              <w:rPr>
                <w:rFonts w:ascii="Arial" w:eastAsia="Calibri" w:hAnsi="Arial" w:cs="Arial"/>
                <w:color w:val="000000"/>
                <w:sz w:val="20"/>
                <w:szCs w:val="20"/>
                <w:lang w:val="en-US"/>
              </w:rPr>
              <w:t> </w:t>
            </w:r>
          </w:p>
        </w:tc>
        <w:tc>
          <w:tcPr>
            <w:tcW w:w="784" w:type="pct"/>
            <w:shd w:val="clear" w:color="auto" w:fill="auto"/>
            <w:vAlign w:val="center"/>
            <w:hideMark/>
          </w:tcPr>
          <w:p w14:paraId="4DF92A8B" w14:textId="77777777" w:rsidR="00DF29DD" w:rsidRPr="00DF29DD" w:rsidRDefault="00DF29DD" w:rsidP="00DF29DD">
            <w:pPr>
              <w:spacing w:after="200" w:line="276" w:lineRule="auto"/>
              <w:jc w:val="center"/>
              <w:rPr>
                <w:rFonts w:ascii="Arial" w:eastAsia="Calibri" w:hAnsi="Arial" w:cs="Arial"/>
                <w:color w:val="000000"/>
                <w:sz w:val="20"/>
                <w:szCs w:val="20"/>
                <w:lang w:val="en-US"/>
              </w:rPr>
            </w:pPr>
            <w:r w:rsidRPr="00DF29DD">
              <w:rPr>
                <w:rFonts w:ascii="Arial" w:eastAsia="Calibri" w:hAnsi="Arial" w:cs="Arial"/>
                <w:color w:val="000000"/>
                <w:sz w:val="20"/>
                <w:szCs w:val="20"/>
                <w:lang w:val="en-US"/>
              </w:rPr>
              <w:t>Western Canada</w:t>
            </w:r>
          </w:p>
        </w:tc>
        <w:tc>
          <w:tcPr>
            <w:tcW w:w="536" w:type="pct"/>
            <w:shd w:val="clear" w:color="auto" w:fill="auto"/>
            <w:hideMark/>
          </w:tcPr>
          <w:p w14:paraId="6AE1F1C2" w14:textId="6AE89C4A" w:rsidR="00DF29DD" w:rsidRPr="00DF29DD" w:rsidRDefault="007257B9" w:rsidP="00DF29DD">
            <w:pPr>
              <w:spacing w:after="200" w:line="276" w:lineRule="auto"/>
              <w:jc w:val="center"/>
              <w:rPr>
                <w:rFonts w:ascii="Arial" w:eastAsia="Calibri" w:hAnsi="Arial" w:cs="Arial"/>
                <w:sz w:val="20"/>
                <w:szCs w:val="20"/>
                <w:lang w:val="en-US"/>
              </w:rPr>
            </w:pPr>
            <w:r>
              <w:rPr>
                <w:rFonts w:ascii="Arial" w:eastAsiaTheme="minorHAnsi" w:hAnsi="Arial" w:cs="Arial"/>
                <w:sz w:val="20"/>
                <w:szCs w:val="20"/>
              </w:rPr>
              <w:t>40</w:t>
            </w:r>
          </w:p>
        </w:tc>
        <w:tc>
          <w:tcPr>
            <w:tcW w:w="453" w:type="pct"/>
            <w:shd w:val="clear" w:color="auto" w:fill="auto"/>
            <w:tcMar>
              <w:top w:w="15" w:type="dxa"/>
              <w:left w:w="69" w:type="dxa"/>
              <w:bottom w:w="0" w:type="dxa"/>
              <w:right w:w="69" w:type="dxa"/>
            </w:tcMar>
          </w:tcPr>
          <w:p w14:paraId="79048274" w14:textId="78C0BDC3" w:rsidR="00DF29DD" w:rsidRPr="00DF29DD" w:rsidRDefault="007257B9" w:rsidP="00DF29DD">
            <w:pPr>
              <w:spacing w:after="200" w:line="276" w:lineRule="auto"/>
              <w:jc w:val="center"/>
              <w:rPr>
                <w:rFonts w:ascii="Arial" w:eastAsia="Calibri" w:hAnsi="Arial" w:cs="Arial"/>
                <w:sz w:val="20"/>
                <w:szCs w:val="20"/>
                <w:lang w:val="en-US"/>
              </w:rPr>
            </w:pPr>
            <w:r>
              <w:rPr>
                <w:rFonts w:ascii="Arial" w:eastAsiaTheme="minorHAnsi" w:hAnsi="Arial" w:cs="Arial"/>
                <w:sz w:val="20"/>
                <w:szCs w:val="20"/>
              </w:rPr>
              <w:t>40</w:t>
            </w:r>
          </w:p>
        </w:tc>
        <w:tc>
          <w:tcPr>
            <w:tcW w:w="453" w:type="pct"/>
            <w:shd w:val="clear" w:color="auto" w:fill="auto"/>
            <w:tcMar>
              <w:top w:w="15" w:type="dxa"/>
              <w:left w:w="69" w:type="dxa"/>
              <w:bottom w:w="0" w:type="dxa"/>
              <w:right w:w="69" w:type="dxa"/>
            </w:tcMar>
          </w:tcPr>
          <w:p w14:paraId="3D0D9A65" w14:textId="153CDDD9" w:rsidR="00DF29DD" w:rsidRPr="00DF29DD" w:rsidRDefault="007743A1" w:rsidP="00DF29DD">
            <w:pPr>
              <w:spacing w:after="200" w:line="276" w:lineRule="auto"/>
              <w:jc w:val="center"/>
              <w:rPr>
                <w:rFonts w:ascii="Arial" w:eastAsia="Calibri" w:hAnsi="Arial" w:cs="Arial"/>
                <w:color w:val="000000"/>
                <w:sz w:val="20"/>
                <w:szCs w:val="20"/>
                <w:lang w:val="en-US"/>
              </w:rPr>
            </w:pPr>
            <w:r>
              <w:rPr>
                <w:rFonts w:ascii="Arial" w:eastAsia="Calibri" w:hAnsi="Arial" w:cs="Arial"/>
                <w:color w:val="000000"/>
                <w:sz w:val="20"/>
                <w:szCs w:val="20"/>
              </w:rPr>
              <w:t>83</w:t>
            </w:r>
          </w:p>
        </w:tc>
        <w:tc>
          <w:tcPr>
            <w:tcW w:w="495" w:type="pct"/>
            <w:shd w:val="clear" w:color="auto" w:fill="auto"/>
          </w:tcPr>
          <w:p w14:paraId="4DE8F114" w14:textId="5B1798FC" w:rsidR="00DF29DD" w:rsidRPr="00DF29DD" w:rsidRDefault="007743A1" w:rsidP="00DF29DD">
            <w:pPr>
              <w:spacing w:after="200" w:line="276" w:lineRule="auto"/>
              <w:jc w:val="center"/>
              <w:rPr>
                <w:rFonts w:ascii="Arial" w:eastAsia="Calibri" w:hAnsi="Arial" w:cs="Arial"/>
                <w:color w:val="000000"/>
                <w:sz w:val="20"/>
                <w:szCs w:val="20"/>
                <w:lang w:val="en-US"/>
              </w:rPr>
            </w:pPr>
            <w:r>
              <w:rPr>
                <w:rFonts w:ascii="Arial" w:eastAsia="Calibri" w:hAnsi="Arial" w:cs="Arial"/>
                <w:sz w:val="20"/>
                <w:szCs w:val="20"/>
              </w:rPr>
              <w:t>-</w:t>
            </w:r>
          </w:p>
        </w:tc>
        <w:tc>
          <w:tcPr>
            <w:tcW w:w="618" w:type="pct"/>
            <w:shd w:val="clear" w:color="auto" w:fill="auto"/>
          </w:tcPr>
          <w:p w14:paraId="7C7564AD" w14:textId="3354DC81" w:rsidR="00DF29DD" w:rsidRPr="00DF29DD" w:rsidRDefault="007743A1" w:rsidP="00DF29DD">
            <w:pPr>
              <w:spacing w:after="200" w:line="276" w:lineRule="auto"/>
              <w:jc w:val="center"/>
              <w:rPr>
                <w:rFonts w:ascii="Arial" w:eastAsia="Calibri" w:hAnsi="Arial" w:cs="Arial"/>
                <w:sz w:val="20"/>
                <w:szCs w:val="20"/>
                <w:lang w:val="en-US"/>
              </w:rPr>
            </w:pPr>
            <w:r>
              <w:rPr>
                <w:rFonts w:ascii="Arial" w:eastAsiaTheme="minorHAnsi" w:hAnsi="Arial" w:cs="Arial"/>
                <w:sz w:val="20"/>
                <w:szCs w:val="20"/>
              </w:rPr>
              <w:t>83</w:t>
            </w:r>
          </w:p>
        </w:tc>
        <w:tc>
          <w:tcPr>
            <w:tcW w:w="412" w:type="pct"/>
            <w:shd w:val="clear" w:color="auto" w:fill="auto"/>
            <w:tcMar>
              <w:top w:w="15" w:type="dxa"/>
              <w:left w:w="69" w:type="dxa"/>
              <w:bottom w:w="0" w:type="dxa"/>
              <w:right w:w="69" w:type="dxa"/>
            </w:tcMar>
          </w:tcPr>
          <w:p w14:paraId="3EA44DF0" w14:textId="599C1C59" w:rsidR="00DF29DD" w:rsidRPr="00DF29DD" w:rsidRDefault="007743A1" w:rsidP="00DF29DD">
            <w:pPr>
              <w:spacing w:after="200" w:line="276" w:lineRule="auto"/>
              <w:jc w:val="center"/>
              <w:rPr>
                <w:rFonts w:ascii="Arial" w:eastAsia="Calibri" w:hAnsi="Arial" w:cs="Arial"/>
                <w:sz w:val="20"/>
                <w:szCs w:val="20"/>
                <w:lang w:val="en-US"/>
              </w:rPr>
            </w:pPr>
            <w:r>
              <w:rPr>
                <w:rFonts w:ascii="Arial" w:eastAsiaTheme="minorHAnsi" w:hAnsi="Arial" w:cs="Arial"/>
                <w:sz w:val="20"/>
                <w:szCs w:val="20"/>
              </w:rPr>
              <w:t>2.1</w:t>
            </w:r>
            <w:r w:rsidR="00DF29DD" w:rsidRPr="00DF29DD">
              <w:rPr>
                <w:rFonts w:ascii="Arial" w:eastAsiaTheme="minorHAnsi" w:hAnsi="Arial" w:cs="Arial"/>
                <w:sz w:val="20"/>
                <w:szCs w:val="20"/>
              </w:rPr>
              <w:t>x</w:t>
            </w:r>
          </w:p>
        </w:tc>
        <w:tc>
          <w:tcPr>
            <w:tcW w:w="412" w:type="pct"/>
          </w:tcPr>
          <w:p w14:paraId="404ECB3A" w14:textId="4EBE1EB9" w:rsidR="00DF29DD" w:rsidRPr="00DF29DD" w:rsidRDefault="00DF29DD" w:rsidP="00823FAA">
            <w:pPr>
              <w:spacing w:after="200" w:line="276" w:lineRule="auto"/>
              <w:jc w:val="center"/>
              <w:rPr>
                <w:rFonts w:ascii="Arial" w:eastAsiaTheme="minorHAnsi" w:hAnsi="Arial" w:cs="Arial"/>
                <w:sz w:val="20"/>
                <w:szCs w:val="20"/>
              </w:rPr>
            </w:pPr>
            <w:r w:rsidRPr="00DF29DD">
              <w:rPr>
                <w:rFonts w:ascii="Arial" w:eastAsiaTheme="minorHAnsi" w:hAnsi="Arial" w:cs="Arial"/>
                <w:sz w:val="20"/>
                <w:szCs w:val="20"/>
              </w:rPr>
              <w:t>2.</w:t>
            </w:r>
            <w:r w:rsidR="00823FAA">
              <w:rPr>
                <w:rFonts w:ascii="Arial" w:eastAsiaTheme="minorHAnsi" w:hAnsi="Arial" w:cs="Arial"/>
                <w:sz w:val="20"/>
                <w:szCs w:val="20"/>
              </w:rPr>
              <w:t>1</w:t>
            </w:r>
            <w:r w:rsidRPr="00DF29DD">
              <w:rPr>
                <w:rFonts w:ascii="Arial" w:eastAsiaTheme="minorHAnsi" w:hAnsi="Arial" w:cs="Arial"/>
                <w:sz w:val="20"/>
                <w:szCs w:val="20"/>
              </w:rPr>
              <w:t>x</w:t>
            </w:r>
          </w:p>
        </w:tc>
      </w:tr>
      <w:tr w:rsidR="004173B6" w:rsidRPr="00DF29DD" w14:paraId="410E10DC" w14:textId="77777777" w:rsidTr="00E55570">
        <w:trPr>
          <w:trHeight w:val="265"/>
        </w:trPr>
        <w:tc>
          <w:tcPr>
            <w:tcW w:w="754" w:type="pct"/>
            <w:shd w:val="clear" w:color="auto" w:fill="auto"/>
            <w:tcMar>
              <w:top w:w="15" w:type="dxa"/>
              <w:left w:w="137" w:type="dxa"/>
              <w:bottom w:w="0" w:type="dxa"/>
              <w:right w:w="15" w:type="dxa"/>
            </w:tcMar>
          </w:tcPr>
          <w:p w14:paraId="1BF4E0E2" w14:textId="64E45803" w:rsidR="004173B6" w:rsidRPr="00DF29DD" w:rsidRDefault="004173B6" w:rsidP="004173B6">
            <w:pPr>
              <w:rPr>
                <w:rFonts w:ascii="Arial" w:eastAsia="Calibri" w:hAnsi="Arial" w:cs="Arial"/>
                <w:b/>
                <w:sz w:val="20"/>
                <w:szCs w:val="20"/>
                <w:vertAlign w:val="superscript"/>
                <w:lang w:val="en-US"/>
              </w:rPr>
            </w:pPr>
            <w:r w:rsidRPr="00DF29DD">
              <w:rPr>
                <w:rFonts w:ascii="Arial" w:eastAsia="Calibri" w:hAnsi="Arial" w:cs="Arial"/>
                <w:b/>
                <w:sz w:val="20"/>
                <w:szCs w:val="20"/>
                <w:lang w:val="en-US"/>
              </w:rPr>
              <w:t>RCO</w:t>
            </w:r>
            <w:r>
              <w:rPr>
                <w:rFonts w:ascii="Arial" w:eastAsia="Calibri" w:hAnsi="Arial" w:cs="Arial"/>
                <w:b/>
                <w:sz w:val="20"/>
                <w:szCs w:val="20"/>
                <w:vertAlign w:val="superscript"/>
                <w:lang w:val="en-US"/>
              </w:rPr>
              <w:t>(6</w:t>
            </w:r>
            <w:r w:rsidRPr="00DF29DD">
              <w:rPr>
                <w:rFonts w:ascii="Arial" w:eastAsia="Calibri" w:hAnsi="Arial" w:cs="Arial"/>
                <w:b/>
                <w:sz w:val="20"/>
                <w:szCs w:val="20"/>
                <w:vertAlign w:val="superscript"/>
                <w:lang w:val="en-US"/>
              </w:rPr>
              <w:t>)</w:t>
            </w:r>
          </w:p>
          <w:p w14:paraId="1C63EC1C" w14:textId="77777777" w:rsidR="004173B6" w:rsidRPr="00DF29DD" w:rsidRDefault="004173B6" w:rsidP="004173B6">
            <w:pPr>
              <w:rPr>
                <w:rFonts w:ascii="Arial" w:eastAsia="Calibri" w:hAnsi="Arial" w:cs="Arial"/>
                <w:i/>
                <w:sz w:val="20"/>
                <w:szCs w:val="20"/>
                <w:lang w:val="en-US"/>
              </w:rPr>
            </w:pPr>
            <w:r w:rsidRPr="00DF29DD">
              <w:rPr>
                <w:rFonts w:ascii="Arial" w:eastAsia="Calibri" w:hAnsi="Arial" w:cs="Arial"/>
                <w:i/>
                <w:sz w:val="20"/>
                <w:szCs w:val="20"/>
                <w:lang w:val="en-US"/>
              </w:rPr>
              <w:t>(2 Feb 2015)</w:t>
            </w:r>
          </w:p>
          <w:p w14:paraId="037CBD6C" w14:textId="77777777" w:rsidR="004173B6" w:rsidRPr="00DF29DD" w:rsidRDefault="004173B6" w:rsidP="004173B6">
            <w:pPr>
              <w:rPr>
                <w:rFonts w:ascii="Arial" w:eastAsia="Calibri" w:hAnsi="Arial" w:cs="Arial"/>
                <w:b/>
                <w:sz w:val="20"/>
                <w:szCs w:val="20"/>
                <w:lang w:val="en-US"/>
              </w:rPr>
            </w:pPr>
          </w:p>
        </w:tc>
        <w:tc>
          <w:tcPr>
            <w:tcW w:w="83" w:type="pct"/>
            <w:shd w:val="clear" w:color="auto" w:fill="auto"/>
            <w:tcMar>
              <w:top w:w="15" w:type="dxa"/>
              <w:left w:w="69" w:type="dxa"/>
              <w:bottom w:w="0" w:type="dxa"/>
              <w:right w:w="69" w:type="dxa"/>
            </w:tcMar>
            <w:vAlign w:val="center"/>
          </w:tcPr>
          <w:p w14:paraId="637B778D" w14:textId="4065B5E1" w:rsidR="004173B6" w:rsidRPr="00DF29DD" w:rsidRDefault="004173B6" w:rsidP="004173B6">
            <w:pPr>
              <w:spacing w:after="200" w:line="276" w:lineRule="auto"/>
              <w:rPr>
                <w:rFonts w:ascii="Arial" w:eastAsia="Calibri" w:hAnsi="Arial" w:cs="Arial"/>
                <w:color w:val="000000"/>
                <w:sz w:val="20"/>
                <w:szCs w:val="20"/>
                <w:lang w:val="en-US"/>
              </w:rPr>
            </w:pPr>
            <w:r w:rsidRPr="00DF29DD">
              <w:rPr>
                <w:rFonts w:ascii="Arial" w:eastAsia="Calibri" w:hAnsi="Arial" w:cs="Arial"/>
                <w:color w:val="000000"/>
                <w:sz w:val="20"/>
                <w:szCs w:val="20"/>
                <w:lang w:val="en-US"/>
              </w:rPr>
              <w:t> </w:t>
            </w:r>
          </w:p>
        </w:tc>
        <w:tc>
          <w:tcPr>
            <w:tcW w:w="784" w:type="pct"/>
            <w:shd w:val="clear" w:color="auto" w:fill="auto"/>
          </w:tcPr>
          <w:p w14:paraId="12A65995" w14:textId="18FF4C10" w:rsidR="004173B6" w:rsidRPr="00DF29DD" w:rsidRDefault="004173B6" w:rsidP="004173B6">
            <w:pPr>
              <w:spacing w:after="200" w:line="276" w:lineRule="auto"/>
              <w:jc w:val="center"/>
              <w:rPr>
                <w:rFonts w:ascii="Arial" w:eastAsia="Calibri" w:hAnsi="Arial" w:cs="Arial"/>
                <w:color w:val="000000"/>
                <w:sz w:val="20"/>
                <w:szCs w:val="20"/>
                <w:lang w:val="en-US"/>
              </w:rPr>
            </w:pPr>
            <w:r w:rsidRPr="00DF29DD">
              <w:rPr>
                <w:rFonts w:ascii="Arial" w:eastAsia="Calibri" w:hAnsi="Arial" w:cs="Arial"/>
                <w:color w:val="000000"/>
                <w:sz w:val="20"/>
                <w:szCs w:val="20"/>
                <w:lang w:val="en-US"/>
              </w:rPr>
              <w:t>North America</w:t>
            </w:r>
          </w:p>
        </w:tc>
        <w:tc>
          <w:tcPr>
            <w:tcW w:w="536" w:type="pct"/>
            <w:shd w:val="clear" w:color="auto" w:fill="auto"/>
          </w:tcPr>
          <w:p w14:paraId="12C75830" w14:textId="54F87A37" w:rsidR="004173B6" w:rsidRDefault="007743A1" w:rsidP="004173B6">
            <w:pPr>
              <w:spacing w:after="200" w:line="276" w:lineRule="auto"/>
              <w:jc w:val="center"/>
              <w:rPr>
                <w:rFonts w:ascii="Arial" w:eastAsiaTheme="minorHAnsi" w:hAnsi="Arial" w:cs="Arial"/>
                <w:sz w:val="20"/>
                <w:szCs w:val="20"/>
              </w:rPr>
            </w:pPr>
            <w:r>
              <w:rPr>
                <w:rFonts w:ascii="Arial" w:eastAsia="Calibri" w:hAnsi="Arial" w:cs="Arial"/>
                <w:sz w:val="20"/>
                <w:szCs w:val="20"/>
              </w:rPr>
              <w:t>80</w:t>
            </w:r>
          </w:p>
        </w:tc>
        <w:tc>
          <w:tcPr>
            <w:tcW w:w="453" w:type="pct"/>
            <w:shd w:val="clear" w:color="auto" w:fill="auto"/>
            <w:tcMar>
              <w:top w:w="15" w:type="dxa"/>
              <w:left w:w="69" w:type="dxa"/>
              <w:bottom w:w="0" w:type="dxa"/>
              <w:right w:w="69" w:type="dxa"/>
            </w:tcMar>
          </w:tcPr>
          <w:p w14:paraId="048EDF9D" w14:textId="5B7581CC" w:rsidR="004173B6" w:rsidRDefault="00330082" w:rsidP="004173B6">
            <w:pPr>
              <w:spacing w:after="200" w:line="276" w:lineRule="auto"/>
              <w:jc w:val="center"/>
              <w:rPr>
                <w:rFonts w:ascii="Arial" w:eastAsiaTheme="minorHAnsi" w:hAnsi="Arial" w:cs="Arial"/>
                <w:sz w:val="20"/>
                <w:szCs w:val="20"/>
              </w:rPr>
            </w:pPr>
            <w:r>
              <w:rPr>
                <w:rFonts w:ascii="Arial" w:eastAsia="Calibri" w:hAnsi="Arial" w:cs="Arial"/>
                <w:sz w:val="20"/>
                <w:szCs w:val="20"/>
              </w:rPr>
              <w:t>80</w:t>
            </w:r>
          </w:p>
        </w:tc>
        <w:tc>
          <w:tcPr>
            <w:tcW w:w="453" w:type="pct"/>
            <w:shd w:val="clear" w:color="auto" w:fill="auto"/>
            <w:tcMar>
              <w:top w:w="15" w:type="dxa"/>
              <w:left w:w="69" w:type="dxa"/>
              <w:bottom w:w="0" w:type="dxa"/>
              <w:right w:w="69" w:type="dxa"/>
            </w:tcMar>
          </w:tcPr>
          <w:p w14:paraId="78254A05" w14:textId="46014594" w:rsidR="004173B6" w:rsidRDefault="004253F3" w:rsidP="004173B6">
            <w:pPr>
              <w:spacing w:after="200" w:line="276" w:lineRule="auto"/>
              <w:jc w:val="center"/>
              <w:rPr>
                <w:rFonts w:ascii="Arial" w:eastAsia="Calibri" w:hAnsi="Arial" w:cs="Arial"/>
                <w:color w:val="000000"/>
                <w:sz w:val="20"/>
                <w:szCs w:val="20"/>
              </w:rPr>
            </w:pPr>
            <w:r>
              <w:rPr>
                <w:rFonts w:ascii="Arial" w:eastAsia="Calibri" w:hAnsi="Arial" w:cs="Arial"/>
                <w:color w:val="000000"/>
                <w:sz w:val="20"/>
                <w:szCs w:val="20"/>
              </w:rPr>
              <w:t>80</w:t>
            </w:r>
          </w:p>
        </w:tc>
        <w:tc>
          <w:tcPr>
            <w:tcW w:w="495" w:type="pct"/>
            <w:shd w:val="clear" w:color="auto" w:fill="auto"/>
          </w:tcPr>
          <w:p w14:paraId="4995A6AA" w14:textId="099E9D97" w:rsidR="004173B6" w:rsidRDefault="004253F3" w:rsidP="004173B6">
            <w:pPr>
              <w:spacing w:after="200" w:line="276" w:lineRule="auto"/>
              <w:jc w:val="center"/>
              <w:rPr>
                <w:rFonts w:ascii="Arial" w:eastAsia="Calibri" w:hAnsi="Arial" w:cs="Arial"/>
                <w:sz w:val="20"/>
                <w:szCs w:val="20"/>
              </w:rPr>
            </w:pPr>
            <w:r>
              <w:rPr>
                <w:rFonts w:ascii="Arial" w:eastAsia="Calibri" w:hAnsi="Arial" w:cs="Arial"/>
                <w:sz w:val="20"/>
                <w:szCs w:val="20"/>
              </w:rPr>
              <w:t>-</w:t>
            </w:r>
          </w:p>
        </w:tc>
        <w:tc>
          <w:tcPr>
            <w:tcW w:w="618" w:type="pct"/>
            <w:shd w:val="clear" w:color="auto" w:fill="auto"/>
          </w:tcPr>
          <w:p w14:paraId="0D27A38C" w14:textId="0154C67C" w:rsidR="004173B6" w:rsidRDefault="00330082" w:rsidP="004173B6">
            <w:pPr>
              <w:spacing w:after="200" w:line="276" w:lineRule="auto"/>
              <w:jc w:val="center"/>
              <w:rPr>
                <w:rFonts w:ascii="Arial" w:eastAsiaTheme="minorHAnsi" w:hAnsi="Arial" w:cs="Arial"/>
                <w:sz w:val="20"/>
                <w:szCs w:val="20"/>
              </w:rPr>
            </w:pPr>
            <w:r>
              <w:rPr>
                <w:rFonts w:ascii="Arial" w:eastAsia="Calibri" w:hAnsi="Arial" w:cs="Arial"/>
                <w:sz w:val="20"/>
                <w:szCs w:val="20"/>
              </w:rPr>
              <w:t>80</w:t>
            </w:r>
          </w:p>
        </w:tc>
        <w:tc>
          <w:tcPr>
            <w:tcW w:w="412" w:type="pct"/>
            <w:shd w:val="clear" w:color="auto" w:fill="auto"/>
            <w:tcMar>
              <w:top w:w="15" w:type="dxa"/>
              <w:left w:w="69" w:type="dxa"/>
              <w:bottom w:w="0" w:type="dxa"/>
              <w:right w:w="69" w:type="dxa"/>
            </w:tcMar>
          </w:tcPr>
          <w:p w14:paraId="44B9F8E4" w14:textId="2C4F2F2E" w:rsidR="004173B6" w:rsidRDefault="00330082" w:rsidP="004173B6">
            <w:pPr>
              <w:spacing w:after="200" w:line="276" w:lineRule="auto"/>
              <w:jc w:val="center"/>
              <w:rPr>
                <w:rFonts w:ascii="Arial" w:eastAsiaTheme="minorHAnsi" w:hAnsi="Arial" w:cs="Arial"/>
                <w:sz w:val="20"/>
                <w:szCs w:val="20"/>
              </w:rPr>
            </w:pPr>
            <w:r>
              <w:rPr>
                <w:rFonts w:ascii="Arial" w:eastAsia="Calibri" w:hAnsi="Arial" w:cs="Arial"/>
                <w:sz w:val="20"/>
                <w:szCs w:val="20"/>
              </w:rPr>
              <w:t>1.0</w:t>
            </w:r>
            <w:r w:rsidR="004173B6" w:rsidRPr="00DF29DD">
              <w:rPr>
                <w:rFonts w:ascii="Arial" w:eastAsia="Calibri" w:hAnsi="Arial" w:cs="Arial"/>
                <w:sz w:val="20"/>
                <w:szCs w:val="20"/>
              </w:rPr>
              <w:t>x</w:t>
            </w:r>
          </w:p>
        </w:tc>
        <w:tc>
          <w:tcPr>
            <w:tcW w:w="412" w:type="pct"/>
          </w:tcPr>
          <w:p w14:paraId="2D8E2429" w14:textId="30562B71" w:rsidR="004173B6" w:rsidRDefault="004173B6" w:rsidP="004173B6">
            <w:pPr>
              <w:spacing w:after="200" w:line="276" w:lineRule="auto"/>
              <w:jc w:val="center"/>
              <w:rPr>
                <w:rFonts w:ascii="Arial" w:eastAsiaTheme="minorHAnsi" w:hAnsi="Arial" w:cs="Arial"/>
                <w:sz w:val="20"/>
                <w:szCs w:val="20"/>
              </w:rPr>
            </w:pPr>
            <w:r>
              <w:rPr>
                <w:rFonts w:ascii="Arial" w:eastAsia="Calibri" w:hAnsi="Arial" w:cs="Arial"/>
                <w:sz w:val="20"/>
                <w:szCs w:val="20"/>
              </w:rPr>
              <w:t>1.0</w:t>
            </w:r>
            <w:r w:rsidRPr="00DF29DD">
              <w:rPr>
                <w:rFonts w:ascii="Arial" w:eastAsia="Calibri" w:hAnsi="Arial" w:cs="Arial"/>
                <w:sz w:val="20"/>
                <w:szCs w:val="20"/>
              </w:rPr>
              <w:t>x</w:t>
            </w:r>
          </w:p>
        </w:tc>
      </w:tr>
      <w:tr w:rsidR="004173B6" w:rsidRPr="00DF29DD" w14:paraId="78C6CD54" w14:textId="77777777" w:rsidTr="00C75250">
        <w:trPr>
          <w:trHeight w:val="265"/>
        </w:trPr>
        <w:tc>
          <w:tcPr>
            <w:tcW w:w="754" w:type="pct"/>
            <w:shd w:val="clear" w:color="auto" w:fill="auto"/>
            <w:tcMar>
              <w:top w:w="15" w:type="dxa"/>
              <w:left w:w="137" w:type="dxa"/>
              <w:bottom w:w="0" w:type="dxa"/>
              <w:right w:w="15" w:type="dxa"/>
            </w:tcMar>
          </w:tcPr>
          <w:p w14:paraId="4177F59F" w14:textId="77777777" w:rsidR="004173B6" w:rsidRPr="00DF29DD" w:rsidRDefault="004173B6" w:rsidP="004173B6">
            <w:pPr>
              <w:rPr>
                <w:rFonts w:ascii="Arial" w:eastAsia="Calibri" w:hAnsi="Arial" w:cs="Arial"/>
                <w:b/>
                <w:sz w:val="20"/>
                <w:szCs w:val="20"/>
                <w:lang w:val="en-US"/>
              </w:rPr>
            </w:pPr>
            <w:r w:rsidRPr="00DF29DD">
              <w:rPr>
                <w:rFonts w:ascii="Arial" w:eastAsia="Calibri" w:hAnsi="Arial" w:cs="Arial"/>
                <w:b/>
                <w:sz w:val="20"/>
                <w:szCs w:val="20"/>
                <w:lang w:val="en-US"/>
              </w:rPr>
              <w:t>Sierra</w:t>
            </w:r>
          </w:p>
          <w:p w14:paraId="3216A8FB" w14:textId="77777777" w:rsidR="004173B6" w:rsidRPr="00DF29DD" w:rsidRDefault="004173B6" w:rsidP="004173B6">
            <w:pPr>
              <w:rPr>
                <w:rFonts w:ascii="Arial" w:eastAsia="Calibri" w:hAnsi="Arial" w:cs="Arial"/>
                <w:i/>
                <w:sz w:val="20"/>
                <w:szCs w:val="20"/>
                <w:lang w:val="en-US"/>
              </w:rPr>
            </w:pPr>
            <w:r w:rsidRPr="00DF29DD">
              <w:rPr>
                <w:rFonts w:ascii="Arial" w:eastAsia="Calibri" w:hAnsi="Arial" w:cs="Arial"/>
                <w:i/>
                <w:sz w:val="20"/>
                <w:szCs w:val="20"/>
                <w:lang w:val="en-US"/>
              </w:rPr>
              <w:t>(24 Sept 2014)</w:t>
            </w:r>
          </w:p>
          <w:p w14:paraId="2A5D8551" w14:textId="77777777" w:rsidR="004173B6" w:rsidRPr="00DF29DD" w:rsidRDefault="004173B6" w:rsidP="004173B6">
            <w:pPr>
              <w:rPr>
                <w:rFonts w:ascii="Arial" w:eastAsia="Calibri" w:hAnsi="Arial" w:cs="Arial"/>
                <w:b/>
                <w:sz w:val="20"/>
                <w:szCs w:val="20"/>
                <w:lang w:val="en-US"/>
              </w:rPr>
            </w:pPr>
          </w:p>
        </w:tc>
        <w:tc>
          <w:tcPr>
            <w:tcW w:w="83" w:type="pct"/>
            <w:shd w:val="clear" w:color="auto" w:fill="auto"/>
            <w:tcMar>
              <w:top w:w="15" w:type="dxa"/>
              <w:left w:w="69" w:type="dxa"/>
              <w:bottom w:w="0" w:type="dxa"/>
              <w:right w:w="69" w:type="dxa"/>
            </w:tcMar>
          </w:tcPr>
          <w:p w14:paraId="60D04FFD" w14:textId="77777777" w:rsidR="004173B6" w:rsidRPr="00DF29DD" w:rsidRDefault="004173B6" w:rsidP="004173B6">
            <w:pPr>
              <w:spacing w:after="200" w:line="276" w:lineRule="auto"/>
              <w:rPr>
                <w:rFonts w:ascii="Arial" w:eastAsia="Calibri" w:hAnsi="Arial" w:cs="Arial"/>
                <w:color w:val="000000"/>
                <w:sz w:val="20"/>
                <w:szCs w:val="20"/>
                <w:lang w:val="en-US"/>
              </w:rPr>
            </w:pPr>
          </w:p>
        </w:tc>
        <w:tc>
          <w:tcPr>
            <w:tcW w:w="784" w:type="pct"/>
            <w:shd w:val="clear" w:color="auto" w:fill="auto"/>
          </w:tcPr>
          <w:p w14:paraId="32997567" w14:textId="77777777" w:rsidR="004173B6" w:rsidRPr="00DF29DD" w:rsidRDefault="004173B6" w:rsidP="004173B6">
            <w:pPr>
              <w:spacing w:after="200" w:line="276" w:lineRule="auto"/>
              <w:jc w:val="center"/>
              <w:rPr>
                <w:rFonts w:ascii="Arial" w:eastAsia="Calibri" w:hAnsi="Arial" w:cs="Arial"/>
                <w:color w:val="000000"/>
                <w:sz w:val="20"/>
                <w:szCs w:val="20"/>
                <w:lang w:val="en-US"/>
              </w:rPr>
            </w:pPr>
            <w:r w:rsidRPr="00DF29DD">
              <w:rPr>
                <w:rFonts w:ascii="Arial" w:eastAsia="Calibri" w:hAnsi="Arial" w:cs="Arial"/>
                <w:color w:val="000000"/>
                <w:sz w:val="20"/>
                <w:szCs w:val="20"/>
                <w:lang w:val="en-US"/>
              </w:rPr>
              <w:t>Mexico</w:t>
            </w:r>
          </w:p>
        </w:tc>
        <w:tc>
          <w:tcPr>
            <w:tcW w:w="536" w:type="pct"/>
            <w:shd w:val="clear" w:color="auto" w:fill="auto"/>
          </w:tcPr>
          <w:p w14:paraId="4439B7C0" w14:textId="74D1D106" w:rsidR="004173B6" w:rsidRPr="00DF29DD" w:rsidRDefault="00330082" w:rsidP="004173B6">
            <w:pPr>
              <w:spacing w:after="200" w:line="276" w:lineRule="auto"/>
              <w:jc w:val="center"/>
              <w:rPr>
                <w:rFonts w:ascii="Arial" w:eastAsiaTheme="minorHAnsi" w:hAnsi="Arial" w:cs="Arial"/>
                <w:sz w:val="20"/>
                <w:szCs w:val="20"/>
              </w:rPr>
            </w:pPr>
            <w:r>
              <w:rPr>
                <w:rFonts w:ascii="Arial" w:eastAsiaTheme="minorHAnsi" w:hAnsi="Arial" w:cs="Arial"/>
                <w:sz w:val="20"/>
                <w:szCs w:val="20"/>
              </w:rPr>
              <w:t>18</w:t>
            </w:r>
          </w:p>
        </w:tc>
        <w:tc>
          <w:tcPr>
            <w:tcW w:w="453" w:type="pct"/>
            <w:shd w:val="clear" w:color="auto" w:fill="auto"/>
            <w:tcMar>
              <w:top w:w="15" w:type="dxa"/>
              <w:left w:w="69" w:type="dxa"/>
              <w:bottom w:w="0" w:type="dxa"/>
              <w:right w:w="69" w:type="dxa"/>
            </w:tcMar>
          </w:tcPr>
          <w:p w14:paraId="754B1797" w14:textId="304CCC4D" w:rsidR="004173B6" w:rsidRPr="00DF29DD" w:rsidRDefault="00330082" w:rsidP="004173B6">
            <w:pPr>
              <w:spacing w:after="200" w:line="276" w:lineRule="auto"/>
              <w:jc w:val="center"/>
              <w:rPr>
                <w:rFonts w:ascii="Arial" w:eastAsiaTheme="minorHAnsi" w:hAnsi="Arial" w:cs="Arial"/>
                <w:sz w:val="20"/>
                <w:szCs w:val="20"/>
              </w:rPr>
            </w:pPr>
            <w:r>
              <w:rPr>
                <w:rFonts w:ascii="Arial" w:eastAsiaTheme="minorHAnsi" w:hAnsi="Arial" w:cs="Arial"/>
                <w:sz w:val="20"/>
                <w:szCs w:val="20"/>
              </w:rPr>
              <w:t>18</w:t>
            </w:r>
          </w:p>
        </w:tc>
        <w:tc>
          <w:tcPr>
            <w:tcW w:w="453" w:type="pct"/>
            <w:shd w:val="clear" w:color="auto" w:fill="auto"/>
            <w:tcMar>
              <w:top w:w="15" w:type="dxa"/>
              <w:left w:w="69" w:type="dxa"/>
              <w:bottom w:w="0" w:type="dxa"/>
              <w:right w:w="69" w:type="dxa"/>
            </w:tcMar>
          </w:tcPr>
          <w:p w14:paraId="5CD4E9B3" w14:textId="0D46849C" w:rsidR="004173B6" w:rsidRPr="00DF29DD" w:rsidRDefault="00330082" w:rsidP="004173B6">
            <w:pPr>
              <w:spacing w:after="200" w:line="276" w:lineRule="auto"/>
              <w:jc w:val="center"/>
              <w:rPr>
                <w:rFonts w:ascii="Arial" w:eastAsia="Calibri" w:hAnsi="Arial" w:cs="Arial"/>
                <w:color w:val="000000"/>
                <w:sz w:val="20"/>
                <w:szCs w:val="20"/>
              </w:rPr>
            </w:pPr>
            <w:r>
              <w:rPr>
                <w:rFonts w:ascii="Arial" w:eastAsia="Calibri" w:hAnsi="Arial" w:cs="Arial"/>
                <w:color w:val="000000"/>
                <w:sz w:val="20"/>
                <w:szCs w:val="20"/>
              </w:rPr>
              <w:t>39</w:t>
            </w:r>
          </w:p>
        </w:tc>
        <w:tc>
          <w:tcPr>
            <w:tcW w:w="495" w:type="pct"/>
            <w:shd w:val="clear" w:color="auto" w:fill="auto"/>
          </w:tcPr>
          <w:p w14:paraId="6F165CF4" w14:textId="655A17F5" w:rsidR="004173B6" w:rsidRPr="00DF29DD" w:rsidRDefault="00330082" w:rsidP="004173B6">
            <w:pPr>
              <w:spacing w:after="200" w:line="276" w:lineRule="auto"/>
              <w:jc w:val="center"/>
              <w:rPr>
                <w:rFonts w:ascii="Arial" w:eastAsia="Calibri" w:hAnsi="Arial" w:cs="Arial"/>
                <w:sz w:val="20"/>
                <w:szCs w:val="20"/>
              </w:rPr>
            </w:pPr>
            <w:r>
              <w:rPr>
                <w:rFonts w:ascii="Arial" w:eastAsia="Calibri" w:hAnsi="Arial" w:cs="Arial"/>
                <w:sz w:val="20"/>
                <w:szCs w:val="20"/>
              </w:rPr>
              <w:t>-</w:t>
            </w:r>
          </w:p>
        </w:tc>
        <w:tc>
          <w:tcPr>
            <w:tcW w:w="618" w:type="pct"/>
            <w:shd w:val="clear" w:color="auto" w:fill="auto"/>
          </w:tcPr>
          <w:p w14:paraId="47F8F02E" w14:textId="4C55F030" w:rsidR="004173B6" w:rsidRPr="00DF29DD" w:rsidRDefault="00330082" w:rsidP="004173B6">
            <w:pPr>
              <w:spacing w:after="200" w:line="276" w:lineRule="auto"/>
              <w:jc w:val="center"/>
              <w:rPr>
                <w:rFonts w:ascii="Arial" w:eastAsiaTheme="minorHAnsi" w:hAnsi="Arial" w:cs="Arial"/>
                <w:sz w:val="20"/>
                <w:szCs w:val="20"/>
              </w:rPr>
            </w:pPr>
            <w:r>
              <w:rPr>
                <w:rFonts w:ascii="Arial" w:eastAsiaTheme="minorHAnsi" w:hAnsi="Arial" w:cs="Arial"/>
                <w:sz w:val="20"/>
                <w:szCs w:val="20"/>
              </w:rPr>
              <w:t>39</w:t>
            </w:r>
          </w:p>
        </w:tc>
        <w:tc>
          <w:tcPr>
            <w:tcW w:w="412" w:type="pct"/>
            <w:shd w:val="clear" w:color="auto" w:fill="auto"/>
            <w:tcMar>
              <w:top w:w="15" w:type="dxa"/>
              <w:left w:w="69" w:type="dxa"/>
              <w:bottom w:w="0" w:type="dxa"/>
              <w:right w:w="69" w:type="dxa"/>
            </w:tcMar>
          </w:tcPr>
          <w:p w14:paraId="3422F226" w14:textId="17EC47A4" w:rsidR="004173B6" w:rsidRPr="00DF29DD" w:rsidRDefault="00330082" w:rsidP="004173B6">
            <w:pPr>
              <w:spacing w:after="200" w:line="276" w:lineRule="auto"/>
              <w:jc w:val="center"/>
              <w:rPr>
                <w:rFonts w:ascii="Arial" w:eastAsiaTheme="minorHAnsi" w:hAnsi="Arial" w:cs="Arial"/>
                <w:sz w:val="20"/>
                <w:szCs w:val="20"/>
              </w:rPr>
            </w:pPr>
            <w:r>
              <w:rPr>
                <w:rFonts w:ascii="Arial" w:eastAsiaTheme="minorHAnsi" w:hAnsi="Arial" w:cs="Arial"/>
                <w:sz w:val="20"/>
                <w:szCs w:val="20"/>
              </w:rPr>
              <w:t>2.1</w:t>
            </w:r>
            <w:r w:rsidR="004173B6" w:rsidRPr="00DF29DD">
              <w:rPr>
                <w:rFonts w:ascii="Arial" w:eastAsiaTheme="minorHAnsi" w:hAnsi="Arial" w:cs="Arial"/>
                <w:sz w:val="20"/>
                <w:szCs w:val="20"/>
              </w:rPr>
              <w:t>x</w:t>
            </w:r>
          </w:p>
        </w:tc>
        <w:tc>
          <w:tcPr>
            <w:tcW w:w="412" w:type="pct"/>
          </w:tcPr>
          <w:p w14:paraId="3BB062B0" w14:textId="325ED075" w:rsidR="004173B6" w:rsidRPr="00DF29DD" w:rsidRDefault="004173B6" w:rsidP="004173B6">
            <w:pPr>
              <w:spacing w:after="200" w:line="276" w:lineRule="auto"/>
              <w:jc w:val="center"/>
              <w:rPr>
                <w:rFonts w:ascii="Arial" w:eastAsiaTheme="minorHAnsi" w:hAnsi="Arial" w:cs="Arial"/>
                <w:sz w:val="20"/>
                <w:szCs w:val="20"/>
              </w:rPr>
            </w:pPr>
            <w:r>
              <w:rPr>
                <w:rFonts w:ascii="Arial" w:eastAsiaTheme="minorHAnsi" w:hAnsi="Arial" w:cs="Arial"/>
                <w:sz w:val="20"/>
                <w:szCs w:val="20"/>
              </w:rPr>
              <w:t>2.1</w:t>
            </w:r>
            <w:r w:rsidRPr="00DF29DD">
              <w:rPr>
                <w:rFonts w:ascii="Arial" w:eastAsiaTheme="minorHAnsi" w:hAnsi="Arial" w:cs="Arial"/>
                <w:sz w:val="20"/>
                <w:szCs w:val="20"/>
              </w:rPr>
              <w:t>x</w:t>
            </w:r>
          </w:p>
        </w:tc>
      </w:tr>
      <w:tr w:rsidR="004173B6" w:rsidRPr="00DF29DD" w14:paraId="7CA4326C" w14:textId="77777777" w:rsidTr="00C75250">
        <w:trPr>
          <w:trHeight w:val="265"/>
        </w:trPr>
        <w:tc>
          <w:tcPr>
            <w:tcW w:w="754" w:type="pct"/>
            <w:shd w:val="clear" w:color="auto" w:fill="auto"/>
            <w:tcMar>
              <w:top w:w="15" w:type="dxa"/>
              <w:left w:w="137" w:type="dxa"/>
              <w:bottom w:w="0" w:type="dxa"/>
              <w:right w:w="15" w:type="dxa"/>
            </w:tcMar>
          </w:tcPr>
          <w:p w14:paraId="1EBD75D6" w14:textId="5C1B8FED" w:rsidR="004173B6" w:rsidRPr="00DF29DD" w:rsidRDefault="004173B6" w:rsidP="004173B6">
            <w:pPr>
              <w:rPr>
                <w:rFonts w:ascii="Arial" w:eastAsia="Calibri" w:hAnsi="Arial" w:cs="Arial"/>
                <w:b/>
                <w:sz w:val="20"/>
                <w:szCs w:val="20"/>
                <w:lang w:val="en-US"/>
              </w:rPr>
            </w:pPr>
            <w:r>
              <w:rPr>
                <w:rFonts w:ascii="Arial" w:eastAsia="Calibri" w:hAnsi="Arial" w:cs="Arial"/>
                <w:b/>
                <w:sz w:val="20"/>
                <w:szCs w:val="20"/>
                <w:lang w:val="en-US"/>
              </w:rPr>
              <w:t>Aleph Midstream</w:t>
            </w:r>
          </w:p>
          <w:p w14:paraId="655E5A5F" w14:textId="77777777" w:rsidR="004173B6" w:rsidRPr="00DF29DD" w:rsidRDefault="004173B6" w:rsidP="004173B6">
            <w:pPr>
              <w:rPr>
                <w:rFonts w:ascii="Arial" w:eastAsia="Calibri" w:hAnsi="Arial" w:cs="Arial"/>
                <w:i/>
                <w:sz w:val="20"/>
                <w:szCs w:val="20"/>
                <w:lang w:val="en-US"/>
              </w:rPr>
            </w:pPr>
            <w:r>
              <w:rPr>
                <w:rFonts w:ascii="Arial" w:eastAsia="Calibri" w:hAnsi="Arial" w:cs="Arial"/>
                <w:i/>
                <w:sz w:val="20"/>
                <w:szCs w:val="20"/>
                <w:lang w:val="en-US"/>
              </w:rPr>
              <w:t>(</w:t>
            </w:r>
            <w:r w:rsidRPr="00DF29DD">
              <w:rPr>
                <w:rFonts w:ascii="Arial" w:eastAsia="Calibri" w:hAnsi="Arial" w:cs="Arial"/>
                <w:i/>
                <w:sz w:val="20"/>
                <w:szCs w:val="20"/>
                <w:lang w:val="en-US"/>
              </w:rPr>
              <w:t xml:space="preserve">9 </w:t>
            </w:r>
            <w:r>
              <w:rPr>
                <w:rFonts w:ascii="Arial" w:eastAsia="Calibri" w:hAnsi="Arial" w:cs="Arial"/>
                <w:i/>
                <w:sz w:val="20"/>
                <w:szCs w:val="20"/>
                <w:lang w:val="en-US"/>
              </w:rPr>
              <w:t>Jul 2019</w:t>
            </w:r>
            <w:r w:rsidRPr="00DF29DD">
              <w:rPr>
                <w:rFonts w:ascii="Arial" w:eastAsia="Calibri" w:hAnsi="Arial" w:cs="Arial"/>
                <w:i/>
                <w:sz w:val="20"/>
                <w:szCs w:val="20"/>
                <w:lang w:val="en-US"/>
              </w:rPr>
              <w:t>)</w:t>
            </w:r>
          </w:p>
          <w:p w14:paraId="5FD036B3" w14:textId="77777777" w:rsidR="004173B6" w:rsidRPr="00DF29DD" w:rsidRDefault="004173B6" w:rsidP="004173B6">
            <w:pPr>
              <w:rPr>
                <w:rFonts w:ascii="Arial" w:eastAsia="Calibri" w:hAnsi="Arial" w:cs="Arial"/>
                <w:b/>
                <w:sz w:val="20"/>
                <w:szCs w:val="20"/>
                <w:lang w:val="en-US"/>
              </w:rPr>
            </w:pPr>
          </w:p>
        </w:tc>
        <w:tc>
          <w:tcPr>
            <w:tcW w:w="83" w:type="pct"/>
            <w:shd w:val="clear" w:color="auto" w:fill="auto"/>
            <w:tcMar>
              <w:top w:w="15" w:type="dxa"/>
              <w:left w:w="69" w:type="dxa"/>
              <w:bottom w:w="0" w:type="dxa"/>
              <w:right w:w="69" w:type="dxa"/>
            </w:tcMar>
            <w:vAlign w:val="center"/>
          </w:tcPr>
          <w:p w14:paraId="51CF605F" w14:textId="6FBDE139" w:rsidR="004173B6" w:rsidRPr="00DF29DD" w:rsidRDefault="004173B6" w:rsidP="004173B6">
            <w:pPr>
              <w:spacing w:after="200" w:line="276" w:lineRule="auto"/>
              <w:rPr>
                <w:rFonts w:ascii="Arial" w:eastAsia="Calibri" w:hAnsi="Arial" w:cs="Arial"/>
                <w:color w:val="000000"/>
                <w:sz w:val="20"/>
                <w:szCs w:val="20"/>
                <w:lang w:val="en-US"/>
              </w:rPr>
            </w:pPr>
            <w:r w:rsidRPr="00DF29DD">
              <w:rPr>
                <w:rFonts w:ascii="Arial" w:eastAsia="Calibri" w:hAnsi="Arial" w:cs="Arial"/>
                <w:color w:val="000000"/>
                <w:sz w:val="20"/>
                <w:szCs w:val="20"/>
                <w:lang w:val="en-US"/>
              </w:rPr>
              <w:t> </w:t>
            </w:r>
          </w:p>
        </w:tc>
        <w:tc>
          <w:tcPr>
            <w:tcW w:w="784" w:type="pct"/>
            <w:shd w:val="clear" w:color="auto" w:fill="auto"/>
          </w:tcPr>
          <w:p w14:paraId="1BB0F335" w14:textId="62764B6E" w:rsidR="004173B6" w:rsidRPr="00DF29DD" w:rsidRDefault="004173B6" w:rsidP="004173B6">
            <w:pPr>
              <w:spacing w:after="200" w:line="276" w:lineRule="auto"/>
              <w:jc w:val="center"/>
              <w:rPr>
                <w:rFonts w:ascii="Arial" w:eastAsia="Calibri" w:hAnsi="Arial" w:cs="Arial"/>
                <w:color w:val="000000"/>
                <w:sz w:val="20"/>
                <w:szCs w:val="20"/>
                <w:lang w:val="en-US"/>
              </w:rPr>
            </w:pPr>
            <w:r>
              <w:rPr>
                <w:rFonts w:ascii="Arial" w:eastAsia="Calibri" w:hAnsi="Arial" w:cs="Arial"/>
                <w:color w:val="000000"/>
                <w:sz w:val="20"/>
                <w:szCs w:val="20"/>
                <w:lang w:val="en-US"/>
              </w:rPr>
              <w:t>Vaca Muerta (Argentina)</w:t>
            </w:r>
          </w:p>
        </w:tc>
        <w:tc>
          <w:tcPr>
            <w:tcW w:w="536" w:type="pct"/>
            <w:shd w:val="clear" w:color="auto" w:fill="auto"/>
          </w:tcPr>
          <w:p w14:paraId="6E6EF1CC" w14:textId="5E852F20" w:rsidR="004173B6" w:rsidRDefault="00330082" w:rsidP="004173B6">
            <w:pPr>
              <w:spacing w:after="200" w:line="276" w:lineRule="auto"/>
              <w:jc w:val="center"/>
              <w:rPr>
                <w:rFonts w:ascii="Arial" w:eastAsiaTheme="minorHAnsi" w:hAnsi="Arial" w:cs="Arial"/>
                <w:sz w:val="20"/>
                <w:szCs w:val="20"/>
              </w:rPr>
            </w:pPr>
            <w:r>
              <w:rPr>
                <w:rFonts w:ascii="Arial" w:eastAsia="Calibri" w:hAnsi="Arial" w:cs="Arial"/>
                <w:sz w:val="20"/>
                <w:szCs w:val="20"/>
              </w:rPr>
              <w:t>23</w:t>
            </w:r>
          </w:p>
        </w:tc>
        <w:tc>
          <w:tcPr>
            <w:tcW w:w="453" w:type="pct"/>
            <w:shd w:val="clear" w:color="auto" w:fill="auto"/>
            <w:tcMar>
              <w:top w:w="15" w:type="dxa"/>
              <w:left w:w="69" w:type="dxa"/>
              <w:bottom w:w="0" w:type="dxa"/>
              <w:right w:w="69" w:type="dxa"/>
            </w:tcMar>
          </w:tcPr>
          <w:p w14:paraId="313F0C22" w14:textId="366DC295" w:rsidR="004173B6" w:rsidRDefault="00330082" w:rsidP="004173B6">
            <w:pPr>
              <w:spacing w:after="200" w:line="276" w:lineRule="auto"/>
              <w:jc w:val="center"/>
              <w:rPr>
                <w:rFonts w:ascii="Arial" w:eastAsiaTheme="minorHAnsi" w:hAnsi="Arial" w:cs="Arial"/>
                <w:sz w:val="20"/>
                <w:szCs w:val="20"/>
              </w:rPr>
            </w:pPr>
            <w:r>
              <w:rPr>
                <w:rFonts w:ascii="Arial" w:eastAsia="Calibri" w:hAnsi="Arial" w:cs="Arial"/>
                <w:sz w:val="20"/>
                <w:szCs w:val="20"/>
              </w:rPr>
              <w:t>23</w:t>
            </w:r>
          </w:p>
        </w:tc>
        <w:tc>
          <w:tcPr>
            <w:tcW w:w="453" w:type="pct"/>
            <w:shd w:val="clear" w:color="auto" w:fill="auto"/>
            <w:tcMar>
              <w:top w:w="15" w:type="dxa"/>
              <w:left w:w="69" w:type="dxa"/>
              <w:bottom w:w="0" w:type="dxa"/>
              <w:right w:w="69" w:type="dxa"/>
            </w:tcMar>
          </w:tcPr>
          <w:p w14:paraId="5AC132EA" w14:textId="2BCE8D72" w:rsidR="004173B6" w:rsidRDefault="00330082" w:rsidP="004173B6">
            <w:pPr>
              <w:spacing w:after="200" w:line="276" w:lineRule="auto"/>
              <w:jc w:val="center"/>
              <w:rPr>
                <w:rFonts w:ascii="Arial" w:eastAsia="Calibri" w:hAnsi="Arial" w:cs="Arial"/>
                <w:color w:val="000000"/>
                <w:sz w:val="20"/>
                <w:szCs w:val="20"/>
              </w:rPr>
            </w:pPr>
            <w:r>
              <w:rPr>
                <w:rFonts w:ascii="Arial" w:eastAsia="Calibri" w:hAnsi="Arial" w:cs="Arial"/>
                <w:color w:val="000000"/>
                <w:sz w:val="20"/>
                <w:szCs w:val="20"/>
              </w:rPr>
              <w:t>23</w:t>
            </w:r>
          </w:p>
        </w:tc>
        <w:tc>
          <w:tcPr>
            <w:tcW w:w="495" w:type="pct"/>
            <w:shd w:val="clear" w:color="auto" w:fill="auto"/>
          </w:tcPr>
          <w:p w14:paraId="40CB2E8C" w14:textId="2E15148C" w:rsidR="004173B6" w:rsidRDefault="00330082" w:rsidP="004173B6">
            <w:pPr>
              <w:spacing w:after="200" w:line="276" w:lineRule="auto"/>
              <w:jc w:val="center"/>
              <w:rPr>
                <w:rFonts w:ascii="Arial" w:eastAsia="Calibri" w:hAnsi="Arial" w:cs="Arial"/>
                <w:sz w:val="20"/>
                <w:szCs w:val="20"/>
              </w:rPr>
            </w:pPr>
            <w:r>
              <w:rPr>
                <w:rFonts w:ascii="Arial" w:eastAsia="Calibri" w:hAnsi="Arial" w:cs="Arial"/>
                <w:sz w:val="20"/>
                <w:szCs w:val="20"/>
              </w:rPr>
              <w:t>-</w:t>
            </w:r>
          </w:p>
        </w:tc>
        <w:tc>
          <w:tcPr>
            <w:tcW w:w="618" w:type="pct"/>
            <w:shd w:val="clear" w:color="auto" w:fill="auto"/>
          </w:tcPr>
          <w:p w14:paraId="4DC58E25" w14:textId="79C2194B" w:rsidR="004173B6" w:rsidRDefault="00330082" w:rsidP="004173B6">
            <w:pPr>
              <w:spacing w:after="200" w:line="276" w:lineRule="auto"/>
              <w:jc w:val="center"/>
              <w:rPr>
                <w:rFonts w:ascii="Arial" w:eastAsiaTheme="minorHAnsi" w:hAnsi="Arial" w:cs="Arial"/>
                <w:sz w:val="20"/>
                <w:szCs w:val="20"/>
              </w:rPr>
            </w:pPr>
            <w:r>
              <w:rPr>
                <w:rFonts w:ascii="Arial" w:eastAsia="Calibri" w:hAnsi="Arial" w:cs="Arial"/>
                <w:sz w:val="20"/>
                <w:szCs w:val="20"/>
              </w:rPr>
              <w:t>23</w:t>
            </w:r>
          </w:p>
        </w:tc>
        <w:tc>
          <w:tcPr>
            <w:tcW w:w="412" w:type="pct"/>
            <w:shd w:val="clear" w:color="auto" w:fill="auto"/>
            <w:tcMar>
              <w:top w:w="15" w:type="dxa"/>
              <w:left w:w="69" w:type="dxa"/>
              <w:bottom w:w="0" w:type="dxa"/>
              <w:right w:w="69" w:type="dxa"/>
            </w:tcMar>
          </w:tcPr>
          <w:p w14:paraId="2EEB00C0" w14:textId="26515BAB" w:rsidR="004173B6" w:rsidRDefault="00330082" w:rsidP="004173B6">
            <w:pPr>
              <w:spacing w:after="200" w:line="276" w:lineRule="auto"/>
              <w:jc w:val="center"/>
              <w:rPr>
                <w:rFonts w:ascii="Arial" w:eastAsiaTheme="minorHAnsi" w:hAnsi="Arial" w:cs="Arial"/>
                <w:sz w:val="20"/>
                <w:szCs w:val="20"/>
              </w:rPr>
            </w:pPr>
            <w:r>
              <w:rPr>
                <w:rFonts w:ascii="Arial" w:eastAsia="Calibri" w:hAnsi="Arial" w:cs="Arial"/>
                <w:sz w:val="20"/>
                <w:szCs w:val="20"/>
              </w:rPr>
              <w:t>1.0</w:t>
            </w:r>
            <w:r w:rsidR="004173B6" w:rsidRPr="00DF29DD">
              <w:rPr>
                <w:rFonts w:ascii="Arial" w:eastAsia="Calibri" w:hAnsi="Arial" w:cs="Arial"/>
                <w:sz w:val="20"/>
                <w:szCs w:val="20"/>
              </w:rPr>
              <w:t>x</w:t>
            </w:r>
          </w:p>
        </w:tc>
        <w:tc>
          <w:tcPr>
            <w:tcW w:w="412" w:type="pct"/>
          </w:tcPr>
          <w:p w14:paraId="0888A164" w14:textId="7EA0E8F3" w:rsidR="004173B6" w:rsidRDefault="004173B6" w:rsidP="004173B6">
            <w:pPr>
              <w:spacing w:after="200" w:line="276" w:lineRule="auto"/>
              <w:jc w:val="center"/>
              <w:rPr>
                <w:rFonts w:ascii="Arial" w:eastAsiaTheme="minorHAnsi" w:hAnsi="Arial" w:cs="Arial"/>
                <w:sz w:val="20"/>
                <w:szCs w:val="20"/>
              </w:rPr>
            </w:pPr>
            <w:r>
              <w:rPr>
                <w:rFonts w:ascii="Arial" w:eastAsia="Calibri" w:hAnsi="Arial" w:cs="Arial"/>
                <w:sz w:val="20"/>
                <w:szCs w:val="20"/>
              </w:rPr>
              <w:t>1.0</w:t>
            </w:r>
            <w:r w:rsidRPr="00DF29DD">
              <w:rPr>
                <w:rFonts w:ascii="Arial" w:eastAsia="Calibri" w:hAnsi="Arial" w:cs="Arial"/>
                <w:sz w:val="20"/>
                <w:szCs w:val="20"/>
              </w:rPr>
              <w:t>x</w:t>
            </w:r>
          </w:p>
        </w:tc>
      </w:tr>
      <w:tr w:rsidR="004173B6" w:rsidRPr="00DF29DD" w14:paraId="1C795353" w14:textId="77777777" w:rsidTr="00C75250">
        <w:trPr>
          <w:trHeight w:val="265"/>
        </w:trPr>
        <w:tc>
          <w:tcPr>
            <w:tcW w:w="754" w:type="pct"/>
            <w:shd w:val="clear" w:color="auto" w:fill="auto"/>
            <w:tcMar>
              <w:top w:w="15" w:type="dxa"/>
              <w:left w:w="137" w:type="dxa"/>
              <w:bottom w:w="0" w:type="dxa"/>
              <w:right w:w="15" w:type="dxa"/>
            </w:tcMar>
          </w:tcPr>
          <w:p w14:paraId="1704C587" w14:textId="77777777" w:rsidR="004173B6" w:rsidRPr="00DF29DD" w:rsidRDefault="004173B6" w:rsidP="004173B6">
            <w:pPr>
              <w:rPr>
                <w:rFonts w:ascii="Arial" w:eastAsia="Calibri" w:hAnsi="Arial" w:cs="Arial"/>
                <w:b/>
                <w:sz w:val="20"/>
                <w:szCs w:val="20"/>
                <w:lang w:val="en-US"/>
              </w:rPr>
            </w:pPr>
            <w:r w:rsidRPr="00DF29DD">
              <w:rPr>
                <w:rFonts w:ascii="Arial" w:eastAsia="Calibri" w:hAnsi="Arial" w:cs="Arial"/>
                <w:b/>
                <w:sz w:val="20"/>
                <w:szCs w:val="20"/>
                <w:lang w:val="en-US"/>
              </w:rPr>
              <w:t>Castex 2014</w:t>
            </w:r>
          </w:p>
          <w:p w14:paraId="2D1A7DB9" w14:textId="77777777" w:rsidR="004173B6" w:rsidRPr="00DF29DD" w:rsidRDefault="004173B6" w:rsidP="004173B6">
            <w:pPr>
              <w:rPr>
                <w:rFonts w:ascii="Arial" w:eastAsia="Calibri" w:hAnsi="Arial" w:cs="Arial"/>
                <w:i/>
                <w:sz w:val="20"/>
                <w:szCs w:val="20"/>
                <w:lang w:val="en-US"/>
              </w:rPr>
            </w:pPr>
            <w:r w:rsidRPr="00DF29DD">
              <w:rPr>
                <w:rFonts w:ascii="Arial" w:eastAsia="Calibri" w:hAnsi="Arial" w:cs="Arial"/>
                <w:i/>
                <w:sz w:val="20"/>
                <w:szCs w:val="20"/>
                <w:lang w:val="en-US"/>
              </w:rPr>
              <w:t>(3 Sept 2014)</w:t>
            </w:r>
          </w:p>
          <w:p w14:paraId="03C2D624" w14:textId="77777777" w:rsidR="004173B6" w:rsidRPr="00DF29DD" w:rsidRDefault="004173B6" w:rsidP="004173B6">
            <w:pPr>
              <w:rPr>
                <w:rFonts w:ascii="Arial" w:eastAsia="Calibri" w:hAnsi="Arial" w:cs="Arial"/>
                <w:b/>
                <w:sz w:val="20"/>
                <w:szCs w:val="20"/>
                <w:lang w:val="en-US"/>
              </w:rPr>
            </w:pPr>
          </w:p>
        </w:tc>
        <w:tc>
          <w:tcPr>
            <w:tcW w:w="83" w:type="pct"/>
            <w:shd w:val="clear" w:color="auto" w:fill="auto"/>
            <w:tcMar>
              <w:top w:w="15" w:type="dxa"/>
              <w:left w:w="69" w:type="dxa"/>
              <w:bottom w:w="0" w:type="dxa"/>
              <w:right w:w="69" w:type="dxa"/>
            </w:tcMar>
            <w:vAlign w:val="center"/>
          </w:tcPr>
          <w:p w14:paraId="649DCF82" w14:textId="6C55E617" w:rsidR="004173B6" w:rsidRPr="00DF29DD" w:rsidRDefault="004173B6" w:rsidP="004173B6">
            <w:pPr>
              <w:spacing w:after="200" w:line="276" w:lineRule="auto"/>
              <w:rPr>
                <w:rFonts w:ascii="Arial" w:eastAsia="Calibri" w:hAnsi="Arial" w:cs="Arial"/>
                <w:color w:val="000000"/>
                <w:sz w:val="20"/>
                <w:szCs w:val="20"/>
                <w:lang w:val="en-US"/>
              </w:rPr>
            </w:pPr>
            <w:r w:rsidRPr="00DF29DD">
              <w:rPr>
                <w:rFonts w:ascii="Arial" w:eastAsia="Calibri" w:hAnsi="Arial" w:cs="Arial"/>
                <w:color w:val="000000"/>
                <w:sz w:val="20"/>
                <w:szCs w:val="20"/>
                <w:lang w:val="en-US"/>
              </w:rPr>
              <w:t> </w:t>
            </w:r>
          </w:p>
        </w:tc>
        <w:tc>
          <w:tcPr>
            <w:tcW w:w="784" w:type="pct"/>
            <w:shd w:val="clear" w:color="auto" w:fill="auto"/>
          </w:tcPr>
          <w:p w14:paraId="152EA36B" w14:textId="3668EFED" w:rsidR="004173B6" w:rsidRPr="00DF29DD" w:rsidRDefault="004173B6" w:rsidP="004173B6">
            <w:pPr>
              <w:spacing w:after="200" w:line="276" w:lineRule="auto"/>
              <w:jc w:val="center"/>
              <w:rPr>
                <w:rFonts w:ascii="Arial" w:eastAsia="Calibri" w:hAnsi="Arial" w:cs="Arial"/>
                <w:color w:val="000000"/>
                <w:sz w:val="20"/>
                <w:szCs w:val="20"/>
                <w:lang w:val="en-US"/>
              </w:rPr>
            </w:pPr>
            <w:r w:rsidRPr="00DF29DD">
              <w:rPr>
                <w:rFonts w:ascii="Arial" w:eastAsia="Calibri" w:hAnsi="Arial" w:cs="Arial"/>
                <w:color w:val="000000"/>
                <w:sz w:val="20"/>
                <w:szCs w:val="20"/>
                <w:lang w:val="en-US"/>
              </w:rPr>
              <w:t>Gulf Coast Region (U.S.)</w:t>
            </w:r>
          </w:p>
        </w:tc>
        <w:tc>
          <w:tcPr>
            <w:tcW w:w="536" w:type="pct"/>
            <w:shd w:val="clear" w:color="auto" w:fill="auto"/>
          </w:tcPr>
          <w:p w14:paraId="393FF6A5" w14:textId="1A3667B2" w:rsidR="004173B6" w:rsidRDefault="0098097B" w:rsidP="004173B6">
            <w:pPr>
              <w:spacing w:after="200" w:line="276" w:lineRule="auto"/>
              <w:jc w:val="center"/>
              <w:rPr>
                <w:rFonts w:ascii="Arial" w:eastAsiaTheme="minorHAnsi" w:hAnsi="Arial" w:cs="Arial"/>
                <w:sz w:val="20"/>
                <w:szCs w:val="20"/>
              </w:rPr>
            </w:pPr>
            <w:r>
              <w:rPr>
                <w:rFonts w:ascii="Arial" w:eastAsia="Calibri" w:hAnsi="Arial" w:cs="Arial"/>
                <w:sz w:val="20"/>
                <w:szCs w:val="20"/>
              </w:rPr>
              <w:t>52</w:t>
            </w:r>
          </w:p>
        </w:tc>
        <w:tc>
          <w:tcPr>
            <w:tcW w:w="453" w:type="pct"/>
            <w:shd w:val="clear" w:color="auto" w:fill="auto"/>
            <w:tcMar>
              <w:top w:w="15" w:type="dxa"/>
              <w:left w:w="69" w:type="dxa"/>
              <w:bottom w:w="0" w:type="dxa"/>
              <w:right w:w="69" w:type="dxa"/>
            </w:tcMar>
          </w:tcPr>
          <w:p w14:paraId="65E5E950" w14:textId="3434D076" w:rsidR="004173B6" w:rsidRDefault="0098097B" w:rsidP="004173B6">
            <w:pPr>
              <w:spacing w:after="200" w:line="276" w:lineRule="auto"/>
              <w:jc w:val="center"/>
              <w:rPr>
                <w:rFonts w:ascii="Arial" w:eastAsiaTheme="minorHAnsi" w:hAnsi="Arial" w:cs="Arial"/>
                <w:sz w:val="20"/>
                <w:szCs w:val="20"/>
              </w:rPr>
            </w:pPr>
            <w:r>
              <w:rPr>
                <w:rFonts w:ascii="Arial" w:eastAsia="Calibri" w:hAnsi="Arial" w:cs="Arial"/>
                <w:sz w:val="20"/>
                <w:szCs w:val="20"/>
              </w:rPr>
              <w:t>52</w:t>
            </w:r>
          </w:p>
        </w:tc>
        <w:tc>
          <w:tcPr>
            <w:tcW w:w="453" w:type="pct"/>
            <w:shd w:val="clear" w:color="auto" w:fill="auto"/>
            <w:tcMar>
              <w:top w:w="15" w:type="dxa"/>
              <w:left w:w="69" w:type="dxa"/>
              <w:bottom w:w="0" w:type="dxa"/>
              <w:right w:w="69" w:type="dxa"/>
            </w:tcMar>
          </w:tcPr>
          <w:p w14:paraId="403485F1" w14:textId="692E0C91" w:rsidR="004173B6" w:rsidRDefault="0098097B" w:rsidP="004173B6">
            <w:pPr>
              <w:spacing w:after="200" w:line="276" w:lineRule="auto"/>
              <w:jc w:val="center"/>
              <w:rPr>
                <w:rFonts w:ascii="Arial" w:eastAsia="Calibri" w:hAnsi="Arial" w:cs="Arial"/>
                <w:color w:val="000000"/>
                <w:sz w:val="20"/>
                <w:szCs w:val="20"/>
              </w:rPr>
            </w:pPr>
            <w:r>
              <w:rPr>
                <w:rFonts w:ascii="Arial" w:eastAsia="Calibri" w:hAnsi="Arial" w:cs="Arial"/>
                <w:color w:val="000000"/>
                <w:sz w:val="20"/>
                <w:szCs w:val="20"/>
              </w:rPr>
              <w:t>8</w:t>
            </w:r>
          </w:p>
        </w:tc>
        <w:tc>
          <w:tcPr>
            <w:tcW w:w="495" w:type="pct"/>
            <w:shd w:val="clear" w:color="auto" w:fill="auto"/>
          </w:tcPr>
          <w:p w14:paraId="3A034D43" w14:textId="26A4FE61" w:rsidR="004173B6" w:rsidRDefault="00C74AAB" w:rsidP="004173B6">
            <w:pPr>
              <w:spacing w:after="200" w:line="276" w:lineRule="auto"/>
              <w:jc w:val="center"/>
              <w:rPr>
                <w:rFonts w:ascii="Arial" w:eastAsia="Calibri" w:hAnsi="Arial" w:cs="Arial"/>
                <w:sz w:val="20"/>
                <w:szCs w:val="20"/>
              </w:rPr>
            </w:pPr>
            <w:r>
              <w:rPr>
                <w:rFonts w:ascii="Arial" w:eastAsia="Calibri" w:hAnsi="Arial" w:cs="Arial"/>
                <w:sz w:val="20"/>
                <w:szCs w:val="20"/>
              </w:rPr>
              <w:t>3</w:t>
            </w:r>
          </w:p>
        </w:tc>
        <w:tc>
          <w:tcPr>
            <w:tcW w:w="618" w:type="pct"/>
            <w:shd w:val="clear" w:color="auto" w:fill="auto"/>
          </w:tcPr>
          <w:p w14:paraId="2BB7CD98" w14:textId="22BF91B4" w:rsidR="004173B6" w:rsidRDefault="00C74AAB" w:rsidP="004173B6">
            <w:pPr>
              <w:spacing w:after="200" w:line="276" w:lineRule="auto"/>
              <w:jc w:val="center"/>
              <w:rPr>
                <w:rFonts w:ascii="Arial" w:eastAsiaTheme="minorHAnsi" w:hAnsi="Arial" w:cs="Arial"/>
                <w:sz w:val="20"/>
                <w:szCs w:val="20"/>
              </w:rPr>
            </w:pPr>
            <w:r>
              <w:rPr>
                <w:rFonts w:ascii="Arial" w:eastAsia="Calibri" w:hAnsi="Arial" w:cs="Arial"/>
                <w:sz w:val="20"/>
                <w:szCs w:val="20"/>
              </w:rPr>
              <w:t>11</w:t>
            </w:r>
          </w:p>
        </w:tc>
        <w:tc>
          <w:tcPr>
            <w:tcW w:w="412" w:type="pct"/>
            <w:shd w:val="clear" w:color="auto" w:fill="auto"/>
            <w:tcMar>
              <w:top w:w="15" w:type="dxa"/>
              <w:left w:w="69" w:type="dxa"/>
              <w:bottom w:w="0" w:type="dxa"/>
              <w:right w:w="69" w:type="dxa"/>
            </w:tcMar>
          </w:tcPr>
          <w:p w14:paraId="45571A48" w14:textId="2A455E4A" w:rsidR="004173B6" w:rsidRDefault="0098097B" w:rsidP="004173B6">
            <w:pPr>
              <w:spacing w:after="200" w:line="276" w:lineRule="auto"/>
              <w:jc w:val="center"/>
              <w:rPr>
                <w:rFonts w:ascii="Arial" w:eastAsiaTheme="minorHAnsi" w:hAnsi="Arial" w:cs="Arial"/>
                <w:sz w:val="20"/>
                <w:szCs w:val="20"/>
              </w:rPr>
            </w:pPr>
            <w:r>
              <w:rPr>
                <w:rFonts w:ascii="Arial" w:eastAsia="Calibri" w:hAnsi="Arial" w:cs="Arial"/>
                <w:sz w:val="20"/>
                <w:szCs w:val="20"/>
              </w:rPr>
              <w:t>0.2</w:t>
            </w:r>
            <w:r w:rsidR="004173B6" w:rsidRPr="00DF29DD">
              <w:rPr>
                <w:rFonts w:ascii="Arial" w:eastAsia="Calibri" w:hAnsi="Arial" w:cs="Arial"/>
                <w:sz w:val="20"/>
                <w:szCs w:val="20"/>
              </w:rPr>
              <w:t>x</w:t>
            </w:r>
          </w:p>
        </w:tc>
        <w:tc>
          <w:tcPr>
            <w:tcW w:w="412" w:type="pct"/>
          </w:tcPr>
          <w:p w14:paraId="399822BC" w14:textId="49B6255D" w:rsidR="004173B6" w:rsidRDefault="004173B6" w:rsidP="004173B6">
            <w:pPr>
              <w:spacing w:after="200" w:line="276" w:lineRule="auto"/>
              <w:jc w:val="center"/>
              <w:rPr>
                <w:rFonts w:ascii="Arial" w:eastAsiaTheme="minorHAnsi" w:hAnsi="Arial" w:cs="Arial"/>
                <w:sz w:val="20"/>
                <w:szCs w:val="20"/>
              </w:rPr>
            </w:pPr>
            <w:r>
              <w:rPr>
                <w:rFonts w:ascii="Arial" w:eastAsia="Calibri" w:hAnsi="Arial" w:cs="Arial"/>
                <w:sz w:val="20"/>
                <w:szCs w:val="20"/>
              </w:rPr>
              <w:t>0</w:t>
            </w:r>
            <w:r w:rsidRPr="00DF29DD">
              <w:rPr>
                <w:rFonts w:ascii="Arial" w:eastAsia="Calibri" w:hAnsi="Arial" w:cs="Arial"/>
                <w:sz w:val="20"/>
                <w:szCs w:val="20"/>
              </w:rPr>
              <w:t>.</w:t>
            </w:r>
            <w:r>
              <w:rPr>
                <w:rFonts w:ascii="Arial" w:eastAsia="Calibri" w:hAnsi="Arial" w:cs="Arial"/>
                <w:sz w:val="20"/>
                <w:szCs w:val="20"/>
              </w:rPr>
              <w:t>4</w:t>
            </w:r>
            <w:r w:rsidRPr="00DF29DD">
              <w:rPr>
                <w:rFonts w:ascii="Arial" w:eastAsia="Calibri" w:hAnsi="Arial" w:cs="Arial"/>
                <w:sz w:val="20"/>
                <w:szCs w:val="20"/>
              </w:rPr>
              <w:t>x</w:t>
            </w:r>
          </w:p>
        </w:tc>
      </w:tr>
      <w:tr w:rsidR="004173B6" w:rsidRPr="00DF29DD" w14:paraId="3901B87F" w14:textId="77777777" w:rsidTr="00C75250">
        <w:trPr>
          <w:trHeight w:val="491"/>
        </w:trPr>
        <w:tc>
          <w:tcPr>
            <w:tcW w:w="1621" w:type="pct"/>
            <w:gridSpan w:val="3"/>
            <w:tcBorders>
              <w:top w:val="single" w:sz="4" w:space="0" w:color="auto"/>
              <w:left w:val="nil"/>
              <w:bottom w:val="single" w:sz="4" w:space="0" w:color="auto"/>
            </w:tcBorders>
            <w:shd w:val="clear" w:color="auto" w:fill="auto"/>
            <w:tcMar>
              <w:top w:w="15" w:type="dxa"/>
              <w:left w:w="137" w:type="dxa"/>
              <w:bottom w:w="0" w:type="dxa"/>
              <w:right w:w="15" w:type="dxa"/>
            </w:tcMar>
            <w:hideMark/>
          </w:tcPr>
          <w:p w14:paraId="4CE4E520" w14:textId="5EDCE598" w:rsidR="004173B6" w:rsidRPr="00DF29DD" w:rsidRDefault="004173B6" w:rsidP="004173B6">
            <w:pPr>
              <w:spacing w:after="200" w:line="276" w:lineRule="auto"/>
              <w:rPr>
                <w:rFonts w:ascii="Arial" w:eastAsia="Calibri" w:hAnsi="Arial" w:cs="Arial"/>
                <w:color w:val="000000"/>
                <w:sz w:val="20"/>
                <w:szCs w:val="20"/>
                <w:lang w:val="en-US"/>
              </w:rPr>
            </w:pPr>
            <w:r w:rsidRPr="00DF29DD">
              <w:rPr>
                <w:rFonts w:ascii="Arial" w:eastAsia="Calibri" w:hAnsi="Arial" w:cs="Arial"/>
                <w:b/>
                <w:bCs/>
                <w:color w:val="000000"/>
                <w:sz w:val="20"/>
                <w:szCs w:val="20"/>
                <w:lang w:val="en-US"/>
              </w:rPr>
              <w:t>Total Realisations</w:t>
            </w:r>
            <w:r w:rsidRPr="00DF29DD">
              <w:rPr>
                <w:rFonts w:ascii="Arial" w:eastAsia="Calibri" w:hAnsi="Arial" w:cs="Arial"/>
                <w:b/>
                <w:bCs/>
                <w:color w:val="000000"/>
                <w:sz w:val="20"/>
                <w:szCs w:val="20"/>
                <w:vertAlign w:val="superscript"/>
                <w:lang w:val="en-US"/>
              </w:rPr>
              <w:t>(</w:t>
            </w:r>
            <w:r>
              <w:rPr>
                <w:rFonts w:ascii="Arial" w:eastAsia="Calibri" w:hAnsi="Arial" w:cs="Arial"/>
                <w:b/>
                <w:bCs/>
                <w:color w:val="000000"/>
                <w:sz w:val="20"/>
                <w:szCs w:val="20"/>
                <w:vertAlign w:val="superscript"/>
                <w:lang w:val="en-US"/>
              </w:rPr>
              <w:t>3</w:t>
            </w:r>
            <w:r w:rsidRPr="00DF29DD">
              <w:rPr>
                <w:rFonts w:ascii="Arial" w:eastAsia="Calibri" w:hAnsi="Arial" w:cs="Arial"/>
                <w:b/>
                <w:bCs/>
                <w:color w:val="000000"/>
                <w:sz w:val="20"/>
                <w:szCs w:val="20"/>
                <w:vertAlign w:val="superscript"/>
                <w:lang w:val="en-US"/>
              </w:rPr>
              <w:t>)</w:t>
            </w:r>
          </w:p>
        </w:tc>
        <w:tc>
          <w:tcPr>
            <w:tcW w:w="536" w:type="pct"/>
            <w:tcBorders>
              <w:top w:val="single" w:sz="4" w:space="0" w:color="auto"/>
              <w:left w:val="nil"/>
              <w:bottom w:val="single" w:sz="4" w:space="0" w:color="auto"/>
              <w:right w:val="nil"/>
            </w:tcBorders>
            <w:shd w:val="clear" w:color="auto" w:fill="auto"/>
          </w:tcPr>
          <w:p w14:paraId="0436CB4E" w14:textId="0D0B2E63" w:rsidR="004173B6" w:rsidRPr="00DF29DD" w:rsidRDefault="004173B6" w:rsidP="00C25AFD">
            <w:pPr>
              <w:spacing w:after="200" w:line="276" w:lineRule="auto"/>
              <w:jc w:val="center"/>
              <w:rPr>
                <w:rFonts w:ascii="Arial" w:eastAsia="Calibri" w:hAnsi="Arial" w:cs="Arial"/>
                <w:sz w:val="20"/>
                <w:szCs w:val="20"/>
                <w:lang w:val="en-US"/>
              </w:rPr>
            </w:pPr>
            <w:r w:rsidRPr="00DF29DD">
              <w:rPr>
                <w:rFonts w:ascii="Arial" w:eastAsiaTheme="minorHAnsi" w:hAnsi="Arial" w:cs="Arial"/>
                <w:b/>
                <w:color w:val="000000"/>
                <w:sz w:val="20"/>
                <w:szCs w:val="20"/>
              </w:rPr>
              <w:t>$</w:t>
            </w:r>
            <w:r w:rsidR="0098097B">
              <w:rPr>
                <w:rFonts w:ascii="Arial" w:eastAsiaTheme="minorHAnsi" w:hAnsi="Arial" w:cs="Arial"/>
                <w:b/>
                <w:color w:val="000000"/>
                <w:sz w:val="20"/>
                <w:szCs w:val="20"/>
              </w:rPr>
              <w:t>422</w:t>
            </w:r>
          </w:p>
        </w:tc>
        <w:tc>
          <w:tcPr>
            <w:tcW w:w="453" w:type="pct"/>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4522182C" w14:textId="00FF4AD5" w:rsidR="004173B6" w:rsidRPr="00DF29DD" w:rsidRDefault="004173B6" w:rsidP="00C25AFD">
            <w:pPr>
              <w:spacing w:after="200" w:line="276" w:lineRule="auto"/>
              <w:jc w:val="center"/>
              <w:rPr>
                <w:rFonts w:ascii="Arial" w:eastAsia="Calibri" w:hAnsi="Arial" w:cs="Arial"/>
                <w:sz w:val="20"/>
                <w:szCs w:val="20"/>
                <w:lang w:val="en-US"/>
              </w:rPr>
            </w:pPr>
            <w:r w:rsidRPr="00DF29DD">
              <w:rPr>
                <w:rFonts w:ascii="Arial" w:eastAsiaTheme="minorHAnsi" w:hAnsi="Arial" w:cs="Arial"/>
                <w:b/>
                <w:color w:val="000000"/>
                <w:sz w:val="20"/>
                <w:szCs w:val="20"/>
              </w:rPr>
              <w:t>$</w:t>
            </w:r>
            <w:r w:rsidR="0098097B">
              <w:rPr>
                <w:rFonts w:ascii="Arial" w:eastAsiaTheme="minorHAnsi" w:hAnsi="Arial" w:cs="Arial"/>
                <w:b/>
                <w:color w:val="000000"/>
                <w:sz w:val="20"/>
                <w:szCs w:val="20"/>
              </w:rPr>
              <w:t>422</w:t>
            </w:r>
          </w:p>
        </w:tc>
        <w:tc>
          <w:tcPr>
            <w:tcW w:w="453" w:type="pct"/>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48062999" w14:textId="5CE69010" w:rsidR="004173B6" w:rsidRPr="00DF29DD" w:rsidRDefault="004173B6" w:rsidP="00C25AFD">
            <w:pPr>
              <w:spacing w:after="200" w:line="276" w:lineRule="auto"/>
              <w:jc w:val="center"/>
              <w:rPr>
                <w:rFonts w:ascii="Arial" w:eastAsia="Calibri" w:hAnsi="Arial" w:cs="Arial"/>
                <w:color w:val="000000"/>
                <w:sz w:val="20"/>
                <w:szCs w:val="20"/>
                <w:lang w:val="en-US"/>
              </w:rPr>
            </w:pPr>
            <w:r w:rsidRPr="00DF29DD">
              <w:rPr>
                <w:rFonts w:ascii="Arial" w:eastAsiaTheme="minorHAnsi" w:hAnsi="Arial" w:cs="Arial"/>
                <w:b/>
                <w:color w:val="000000"/>
                <w:sz w:val="20"/>
                <w:szCs w:val="20"/>
              </w:rPr>
              <w:t>$</w:t>
            </w:r>
            <w:r w:rsidR="0098097B">
              <w:rPr>
                <w:rFonts w:ascii="Arial" w:eastAsiaTheme="minorHAnsi" w:hAnsi="Arial" w:cs="Arial"/>
                <w:b/>
                <w:color w:val="000000"/>
                <w:sz w:val="20"/>
                <w:szCs w:val="20"/>
              </w:rPr>
              <w:t>66</w:t>
            </w:r>
            <w:r w:rsidR="00C74AAB">
              <w:rPr>
                <w:rFonts w:ascii="Arial" w:eastAsiaTheme="minorHAnsi" w:hAnsi="Arial" w:cs="Arial"/>
                <w:b/>
                <w:color w:val="000000"/>
                <w:sz w:val="20"/>
                <w:szCs w:val="20"/>
              </w:rPr>
              <w:t>9</w:t>
            </w:r>
          </w:p>
        </w:tc>
        <w:tc>
          <w:tcPr>
            <w:tcW w:w="495" w:type="pct"/>
            <w:tcBorders>
              <w:top w:val="single" w:sz="4" w:space="0" w:color="auto"/>
              <w:left w:val="nil"/>
              <w:bottom w:val="single" w:sz="4" w:space="0" w:color="auto"/>
              <w:right w:val="nil"/>
            </w:tcBorders>
            <w:shd w:val="clear" w:color="auto" w:fill="auto"/>
          </w:tcPr>
          <w:p w14:paraId="2F76B5B7" w14:textId="0BECA1B7" w:rsidR="004173B6" w:rsidRPr="00DF29DD" w:rsidRDefault="004173B6" w:rsidP="004173B6">
            <w:pPr>
              <w:spacing w:after="200" w:line="276" w:lineRule="auto"/>
              <w:jc w:val="center"/>
              <w:rPr>
                <w:rFonts w:ascii="Arial" w:eastAsia="Calibri" w:hAnsi="Arial" w:cs="Arial"/>
                <w:sz w:val="20"/>
                <w:szCs w:val="20"/>
                <w:lang w:val="en-US"/>
              </w:rPr>
            </w:pPr>
            <w:r w:rsidRPr="00DF29DD">
              <w:rPr>
                <w:rFonts w:ascii="Arial" w:eastAsiaTheme="minorHAnsi" w:hAnsi="Arial" w:cs="Arial"/>
                <w:b/>
                <w:sz w:val="20"/>
                <w:szCs w:val="20"/>
              </w:rPr>
              <w:t>$</w:t>
            </w:r>
            <w:r w:rsidR="0098097B">
              <w:rPr>
                <w:rFonts w:ascii="Arial" w:eastAsiaTheme="minorHAnsi" w:hAnsi="Arial" w:cs="Arial"/>
                <w:b/>
                <w:sz w:val="20"/>
                <w:szCs w:val="20"/>
              </w:rPr>
              <w:t>5</w:t>
            </w:r>
          </w:p>
        </w:tc>
        <w:tc>
          <w:tcPr>
            <w:tcW w:w="618" w:type="pct"/>
            <w:tcBorders>
              <w:top w:val="single" w:sz="4" w:space="0" w:color="auto"/>
              <w:left w:val="nil"/>
              <w:bottom w:val="single" w:sz="4" w:space="0" w:color="auto"/>
              <w:right w:val="nil"/>
            </w:tcBorders>
            <w:shd w:val="clear" w:color="auto" w:fill="auto"/>
          </w:tcPr>
          <w:p w14:paraId="7825ECDE" w14:textId="4DE502CA" w:rsidR="004173B6" w:rsidRPr="00DF29DD" w:rsidRDefault="004173B6" w:rsidP="004173B6">
            <w:pPr>
              <w:spacing w:after="200" w:line="276" w:lineRule="auto"/>
              <w:jc w:val="center"/>
              <w:rPr>
                <w:rFonts w:ascii="Arial" w:eastAsia="Calibri" w:hAnsi="Arial" w:cs="Arial"/>
                <w:sz w:val="20"/>
                <w:szCs w:val="20"/>
                <w:lang w:val="en-US"/>
              </w:rPr>
            </w:pPr>
            <w:r w:rsidRPr="00DF29DD">
              <w:rPr>
                <w:rFonts w:ascii="Arial" w:eastAsiaTheme="minorHAnsi" w:hAnsi="Arial" w:cs="Arial"/>
                <w:b/>
                <w:color w:val="000000"/>
                <w:sz w:val="20"/>
                <w:szCs w:val="20"/>
              </w:rPr>
              <w:t>$</w:t>
            </w:r>
            <w:r w:rsidR="0098097B">
              <w:rPr>
                <w:rFonts w:ascii="Arial" w:eastAsiaTheme="minorHAnsi" w:hAnsi="Arial" w:cs="Arial"/>
                <w:b/>
                <w:color w:val="000000"/>
                <w:sz w:val="20"/>
                <w:szCs w:val="20"/>
              </w:rPr>
              <w:t>67</w:t>
            </w:r>
            <w:r w:rsidR="00230CE1">
              <w:rPr>
                <w:rFonts w:ascii="Arial" w:eastAsiaTheme="minorHAnsi" w:hAnsi="Arial" w:cs="Arial"/>
                <w:b/>
                <w:color w:val="000000"/>
                <w:sz w:val="20"/>
                <w:szCs w:val="20"/>
              </w:rPr>
              <w:t>4</w:t>
            </w:r>
          </w:p>
        </w:tc>
        <w:tc>
          <w:tcPr>
            <w:tcW w:w="412" w:type="pct"/>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61FCF41C" w14:textId="1BBB780A" w:rsidR="004173B6" w:rsidRPr="00DF29DD" w:rsidRDefault="0098097B" w:rsidP="004173B6">
            <w:pPr>
              <w:spacing w:after="200" w:line="276" w:lineRule="auto"/>
              <w:jc w:val="center"/>
              <w:rPr>
                <w:rFonts w:ascii="Arial" w:eastAsia="Calibri" w:hAnsi="Arial" w:cs="Arial"/>
                <w:sz w:val="20"/>
                <w:szCs w:val="20"/>
                <w:lang w:val="en-US"/>
              </w:rPr>
            </w:pPr>
            <w:r>
              <w:rPr>
                <w:rFonts w:ascii="Arial" w:eastAsiaTheme="minorHAnsi" w:hAnsi="Arial" w:cs="Arial"/>
                <w:b/>
                <w:color w:val="000000"/>
                <w:sz w:val="20"/>
                <w:szCs w:val="20"/>
              </w:rPr>
              <w:t>1.6</w:t>
            </w:r>
            <w:r w:rsidR="004173B6" w:rsidRPr="00DF29DD">
              <w:rPr>
                <w:rFonts w:ascii="Arial" w:eastAsiaTheme="minorHAnsi" w:hAnsi="Arial" w:cs="Arial"/>
                <w:b/>
                <w:color w:val="000000"/>
                <w:sz w:val="20"/>
                <w:szCs w:val="20"/>
              </w:rPr>
              <w:t>x</w:t>
            </w:r>
          </w:p>
        </w:tc>
        <w:tc>
          <w:tcPr>
            <w:tcW w:w="412" w:type="pct"/>
            <w:tcBorders>
              <w:top w:val="single" w:sz="4" w:space="0" w:color="auto"/>
              <w:left w:val="nil"/>
              <w:bottom w:val="single" w:sz="4" w:space="0" w:color="auto"/>
              <w:right w:val="nil"/>
            </w:tcBorders>
          </w:tcPr>
          <w:p w14:paraId="402DD2EE" w14:textId="40045ED0" w:rsidR="004173B6" w:rsidRPr="00DF29DD" w:rsidRDefault="004173B6" w:rsidP="004173B6">
            <w:pPr>
              <w:spacing w:after="200" w:line="276" w:lineRule="auto"/>
              <w:jc w:val="center"/>
              <w:rPr>
                <w:rFonts w:ascii="Arial" w:eastAsiaTheme="minorHAnsi" w:hAnsi="Arial" w:cs="Arial"/>
                <w:b/>
                <w:color w:val="000000"/>
                <w:sz w:val="20"/>
                <w:szCs w:val="20"/>
              </w:rPr>
            </w:pPr>
            <w:r>
              <w:rPr>
                <w:rFonts w:ascii="Arial" w:eastAsiaTheme="minorHAnsi" w:hAnsi="Arial" w:cs="Arial"/>
                <w:b/>
                <w:color w:val="000000"/>
                <w:sz w:val="20"/>
                <w:szCs w:val="20"/>
              </w:rPr>
              <w:t>1.6</w:t>
            </w:r>
            <w:r w:rsidRPr="00DF29DD">
              <w:rPr>
                <w:rFonts w:ascii="Arial" w:eastAsiaTheme="minorHAnsi" w:hAnsi="Arial" w:cs="Arial"/>
                <w:b/>
                <w:color w:val="000000"/>
                <w:sz w:val="20"/>
                <w:szCs w:val="20"/>
              </w:rPr>
              <w:t>x</w:t>
            </w:r>
          </w:p>
        </w:tc>
      </w:tr>
      <w:tr w:rsidR="004173B6" w:rsidRPr="00DF29DD" w14:paraId="2386E073" w14:textId="77777777" w:rsidTr="00F738C3">
        <w:trPr>
          <w:trHeight w:val="755"/>
        </w:trPr>
        <w:tc>
          <w:tcPr>
            <w:tcW w:w="1621" w:type="pct"/>
            <w:gridSpan w:val="3"/>
            <w:tcBorders>
              <w:top w:val="single" w:sz="4" w:space="0" w:color="auto"/>
              <w:left w:val="nil"/>
              <w:bottom w:val="single" w:sz="4" w:space="0" w:color="auto"/>
            </w:tcBorders>
            <w:shd w:val="clear" w:color="auto" w:fill="auto"/>
            <w:tcMar>
              <w:top w:w="15" w:type="dxa"/>
              <w:left w:w="137" w:type="dxa"/>
              <w:bottom w:w="0" w:type="dxa"/>
              <w:right w:w="15" w:type="dxa"/>
            </w:tcMar>
          </w:tcPr>
          <w:p w14:paraId="421A4019" w14:textId="2764F728" w:rsidR="004173B6" w:rsidRPr="00DF29DD" w:rsidRDefault="004173B6" w:rsidP="004173B6">
            <w:pPr>
              <w:spacing w:after="200" w:line="276" w:lineRule="auto"/>
              <w:rPr>
                <w:rFonts w:ascii="Arial" w:eastAsia="Calibri" w:hAnsi="Arial" w:cs="Arial"/>
                <w:b/>
                <w:bCs/>
                <w:color w:val="000000"/>
                <w:sz w:val="20"/>
                <w:szCs w:val="20"/>
                <w:lang w:val="en-US"/>
              </w:rPr>
            </w:pPr>
            <w:r w:rsidRPr="00C75250">
              <w:rPr>
                <w:rFonts w:ascii="Arial" w:eastAsia="Calibri" w:hAnsi="Arial" w:cs="Arial"/>
                <w:bCs/>
                <w:color w:val="000000"/>
                <w:sz w:val="20"/>
                <w:szCs w:val="20"/>
                <w:lang w:val="en-US"/>
              </w:rPr>
              <w:t>Withdrawn Commitments and Impairments</w:t>
            </w:r>
            <w:r w:rsidRPr="00C75250">
              <w:rPr>
                <w:rFonts w:ascii="Arial" w:eastAsia="Calibri" w:hAnsi="Arial" w:cs="Arial"/>
                <w:bCs/>
                <w:color w:val="000000"/>
                <w:sz w:val="20"/>
                <w:szCs w:val="20"/>
                <w:vertAlign w:val="superscript"/>
                <w:lang w:val="en-US"/>
              </w:rPr>
              <w:t>(7)</w:t>
            </w:r>
          </w:p>
        </w:tc>
        <w:tc>
          <w:tcPr>
            <w:tcW w:w="536" w:type="pct"/>
            <w:tcBorders>
              <w:top w:val="single" w:sz="4" w:space="0" w:color="auto"/>
              <w:left w:val="nil"/>
              <w:bottom w:val="single" w:sz="4" w:space="0" w:color="auto"/>
              <w:right w:val="nil"/>
            </w:tcBorders>
            <w:shd w:val="clear" w:color="auto" w:fill="auto"/>
          </w:tcPr>
          <w:p w14:paraId="0419E643" w14:textId="01F8E915" w:rsidR="004173B6" w:rsidRPr="00DF29DD" w:rsidRDefault="0098097B" w:rsidP="004173B6">
            <w:pPr>
              <w:spacing w:after="200" w:line="276" w:lineRule="auto"/>
              <w:jc w:val="center"/>
              <w:rPr>
                <w:rFonts w:ascii="Arial" w:eastAsia="Calibri" w:hAnsi="Arial" w:cs="Arial"/>
                <w:sz w:val="20"/>
                <w:szCs w:val="20"/>
                <w:lang w:val="en-US"/>
              </w:rPr>
            </w:pPr>
            <w:r>
              <w:rPr>
                <w:rFonts w:ascii="Arial" w:eastAsiaTheme="minorHAnsi" w:hAnsi="Arial" w:cs="Arial"/>
                <w:sz w:val="20"/>
                <w:szCs w:val="20"/>
              </w:rPr>
              <w:t>121</w:t>
            </w:r>
          </w:p>
        </w:tc>
        <w:tc>
          <w:tcPr>
            <w:tcW w:w="453" w:type="pct"/>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70A35062" w14:textId="45128F1D" w:rsidR="004173B6" w:rsidRPr="00DF29DD" w:rsidRDefault="0098097B" w:rsidP="004173B6">
            <w:pPr>
              <w:spacing w:after="200" w:line="276" w:lineRule="auto"/>
              <w:jc w:val="center"/>
              <w:rPr>
                <w:rFonts w:ascii="Arial" w:eastAsia="Calibri" w:hAnsi="Arial" w:cs="Arial"/>
                <w:sz w:val="20"/>
                <w:szCs w:val="20"/>
                <w:lang w:val="en-US"/>
              </w:rPr>
            </w:pPr>
            <w:r>
              <w:rPr>
                <w:rFonts w:ascii="Arial" w:eastAsiaTheme="minorHAnsi" w:hAnsi="Arial" w:cs="Arial"/>
                <w:sz w:val="20"/>
                <w:szCs w:val="20"/>
              </w:rPr>
              <w:t>121</w:t>
            </w:r>
          </w:p>
        </w:tc>
        <w:tc>
          <w:tcPr>
            <w:tcW w:w="453" w:type="pct"/>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444FBAB5" w14:textId="7409261F" w:rsidR="004173B6" w:rsidRPr="00DF29DD" w:rsidRDefault="0098097B" w:rsidP="004173B6">
            <w:pPr>
              <w:spacing w:after="200" w:line="276" w:lineRule="auto"/>
              <w:jc w:val="center"/>
              <w:rPr>
                <w:rFonts w:ascii="Arial" w:eastAsia="Calibri" w:hAnsi="Arial" w:cs="Arial"/>
                <w:color w:val="000000"/>
                <w:sz w:val="20"/>
                <w:szCs w:val="20"/>
                <w:lang w:val="en-US"/>
              </w:rPr>
            </w:pPr>
            <w:r>
              <w:rPr>
                <w:rFonts w:ascii="Arial" w:eastAsiaTheme="minorHAnsi" w:hAnsi="Arial" w:cs="Arial"/>
                <w:color w:val="000000"/>
                <w:sz w:val="20"/>
                <w:szCs w:val="20"/>
              </w:rPr>
              <w:t>1</w:t>
            </w:r>
          </w:p>
        </w:tc>
        <w:tc>
          <w:tcPr>
            <w:tcW w:w="495" w:type="pct"/>
            <w:tcBorders>
              <w:top w:val="single" w:sz="4" w:space="0" w:color="auto"/>
              <w:left w:val="nil"/>
              <w:bottom w:val="single" w:sz="4" w:space="0" w:color="auto"/>
              <w:right w:val="nil"/>
            </w:tcBorders>
            <w:shd w:val="clear" w:color="auto" w:fill="auto"/>
          </w:tcPr>
          <w:p w14:paraId="41BA9C61" w14:textId="1E087B42" w:rsidR="004173B6" w:rsidRPr="00DF29DD" w:rsidRDefault="0098097B" w:rsidP="004173B6">
            <w:pPr>
              <w:spacing w:after="200" w:line="276" w:lineRule="auto"/>
              <w:jc w:val="center"/>
              <w:rPr>
                <w:rFonts w:ascii="Arial" w:eastAsia="Calibri" w:hAnsi="Arial" w:cs="Arial"/>
                <w:sz w:val="20"/>
                <w:szCs w:val="20"/>
                <w:lang w:val="en-US"/>
              </w:rPr>
            </w:pPr>
            <w:r>
              <w:rPr>
                <w:rFonts w:ascii="Arial" w:eastAsiaTheme="minorHAnsi" w:hAnsi="Arial" w:cs="Arial"/>
                <w:sz w:val="20"/>
                <w:szCs w:val="20"/>
              </w:rPr>
              <w:t>-</w:t>
            </w:r>
          </w:p>
        </w:tc>
        <w:tc>
          <w:tcPr>
            <w:tcW w:w="618" w:type="pct"/>
            <w:tcBorders>
              <w:top w:val="single" w:sz="4" w:space="0" w:color="auto"/>
              <w:left w:val="nil"/>
              <w:bottom w:val="single" w:sz="4" w:space="0" w:color="auto"/>
              <w:right w:val="nil"/>
            </w:tcBorders>
            <w:shd w:val="clear" w:color="auto" w:fill="auto"/>
          </w:tcPr>
          <w:p w14:paraId="2F0DFAEC" w14:textId="466D6087" w:rsidR="004173B6" w:rsidRPr="00DF29DD" w:rsidRDefault="0098097B" w:rsidP="004173B6">
            <w:pPr>
              <w:spacing w:after="200" w:line="276" w:lineRule="auto"/>
              <w:jc w:val="center"/>
              <w:rPr>
                <w:rFonts w:ascii="Arial" w:eastAsia="Calibri" w:hAnsi="Arial" w:cs="Arial"/>
                <w:sz w:val="20"/>
                <w:szCs w:val="20"/>
                <w:lang w:val="en-US"/>
              </w:rPr>
            </w:pPr>
            <w:r>
              <w:rPr>
                <w:rFonts w:ascii="Arial" w:eastAsiaTheme="minorHAnsi" w:hAnsi="Arial" w:cs="Arial"/>
                <w:sz w:val="20"/>
                <w:szCs w:val="20"/>
              </w:rPr>
              <w:t>1</w:t>
            </w:r>
          </w:p>
        </w:tc>
        <w:tc>
          <w:tcPr>
            <w:tcW w:w="412" w:type="pct"/>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466006BA" w14:textId="6D1CF4CE" w:rsidR="004173B6" w:rsidRPr="00DF29DD" w:rsidRDefault="0098097B" w:rsidP="004173B6">
            <w:pPr>
              <w:spacing w:after="200" w:line="276" w:lineRule="auto"/>
              <w:jc w:val="center"/>
              <w:rPr>
                <w:rFonts w:ascii="Arial" w:eastAsia="Calibri" w:hAnsi="Arial" w:cs="Arial"/>
                <w:sz w:val="20"/>
                <w:szCs w:val="20"/>
                <w:lang w:val="en-US"/>
              </w:rPr>
            </w:pPr>
            <w:r>
              <w:rPr>
                <w:rFonts w:ascii="Arial" w:eastAsiaTheme="minorHAnsi" w:hAnsi="Arial" w:cs="Arial"/>
                <w:sz w:val="20"/>
                <w:szCs w:val="20"/>
              </w:rPr>
              <w:t>0.0</w:t>
            </w:r>
            <w:r w:rsidR="004173B6" w:rsidRPr="00DF29DD">
              <w:rPr>
                <w:rFonts w:ascii="Arial" w:eastAsiaTheme="minorHAnsi" w:hAnsi="Arial" w:cs="Arial"/>
                <w:sz w:val="20"/>
                <w:szCs w:val="20"/>
              </w:rPr>
              <w:t>x</w:t>
            </w:r>
          </w:p>
        </w:tc>
        <w:tc>
          <w:tcPr>
            <w:tcW w:w="412" w:type="pct"/>
            <w:tcBorders>
              <w:top w:val="single" w:sz="4" w:space="0" w:color="auto"/>
              <w:left w:val="nil"/>
              <w:bottom w:val="single" w:sz="4" w:space="0" w:color="auto"/>
              <w:right w:val="nil"/>
            </w:tcBorders>
          </w:tcPr>
          <w:p w14:paraId="6CEEE2FC" w14:textId="343873FE" w:rsidR="004173B6" w:rsidRPr="00DF29DD" w:rsidRDefault="004173B6" w:rsidP="004173B6">
            <w:pPr>
              <w:spacing w:after="200" w:line="276" w:lineRule="auto"/>
              <w:jc w:val="center"/>
              <w:rPr>
                <w:rFonts w:ascii="Arial" w:eastAsiaTheme="minorHAnsi" w:hAnsi="Arial" w:cs="Arial"/>
                <w:sz w:val="20"/>
                <w:szCs w:val="20"/>
              </w:rPr>
            </w:pPr>
            <w:r>
              <w:rPr>
                <w:rFonts w:ascii="Arial" w:eastAsiaTheme="minorHAnsi" w:hAnsi="Arial" w:cs="Arial"/>
                <w:sz w:val="20"/>
                <w:szCs w:val="20"/>
              </w:rPr>
              <w:t>0.0</w:t>
            </w:r>
            <w:r w:rsidRPr="00DF29DD">
              <w:rPr>
                <w:rFonts w:ascii="Arial" w:eastAsiaTheme="minorHAnsi" w:hAnsi="Arial" w:cs="Arial"/>
                <w:sz w:val="20"/>
                <w:szCs w:val="20"/>
              </w:rPr>
              <w:t>x</w:t>
            </w:r>
          </w:p>
        </w:tc>
      </w:tr>
      <w:tr w:rsidR="004173B6" w:rsidRPr="00DF29DD" w14:paraId="5C996777" w14:textId="77777777" w:rsidTr="00F738C3">
        <w:trPr>
          <w:trHeight w:val="539"/>
        </w:trPr>
        <w:tc>
          <w:tcPr>
            <w:tcW w:w="1621" w:type="pct"/>
            <w:gridSpan w:val="3"/>
            <w:tcBorders>
              <w:top w:val="single" w:sz="4" w:space="0" w:color="auto"/>
              <w:left w:val="nil"/>
              <w:bottom w:val="single" w:sz="4" w:space="0" w:color="auto"/>
            </w:tcBorders>
            <w:shd w:val="clear" w:color="auto" w:fill="auto"/>
            <w:tcMar>
              <w:top w:w="15" w:type="dxa"/>
              <w:left w:w="137" w:type="dxa"/>
              <w:bottom w:w="0" w:type="dxa"/>
              <w:right w:w="15" w:type="dxa"/>
            </w:tcMar>
          </w:tcPr>
          <w:p w14:paraId="0F4F418B" w14:textId="2C6D1ADD" w:rsidR="004173B6" w:rsidRPr="00DF29DD" w:rsidRDefault="004173B6" w:rsidP="004173B6">
            <w:pPr>
              <w:spacing w:after="200" w:line="276" w:lineRule="auto"/>
              <w:rPr>
                <w:rFonts w:ascii="Arial" w:eastAsia="Calibri" w:hAnsi="Arial" w:cs="Arial"/>
                <w:b/>
                <w:bCs/>
                <w:color w:val="000000"/>
                <w:sz w:val="20"/>
                <w:szCs w:val="20"/>
                <w:lang w:val="en-US"/>
              </w:rPr>
            </w:pPr>
            <w:r w:rsidRPr="00DF29DD">
              <w:rPr>
                <w:rFonts w:ascii="Arial" w:eastAsia="Calibri" w:hAnsi="Arial" w:cs="Arial"/>
                <w:b/>
                <w:bCs/>
                <w:color w:val="000000"/>
                <w:sz w:val="20"/>
                <w:szCs w:val="20"/>
                <w:lang w:val="en-US"/>
              </w:rPr>
              <w:t>Total Investments</w:t>
            </w:r>
            <w:r>
              <w:rPr>
                <w:rFonts w:ascii="Arial" w:eastAsia="Calibri" w:hAnsi="Arial" w:cs="Arial"/>
                <w:b/>
                <w:bCs/>
                <w:color w:val="000000"/>
                <w:sz w:val="20"/>
                <w:szCs w:val="20"/>
                <w:vertAlign w:val="superscript"/>
                <w:lang w:val="en-US"/>
              </w:rPr>
              <w:t>(3</w:t>
            </w:r>
            <w:r w:rsidRPr="00DF29DD">
              <w:rPr>
                <w:rFonts w:ascii="Arial" w:eastAsia="Calibri" w:hAnsi="Arial" w:cs="Arial"/>
                <w:b/>
                <w:bCs/>
                <w:color w:val="000000"/>
                <w:sz w:val="20"/>
                <w:szCs w:val="20"/>
                <w:vertAlign w:val="superscript"/>
                <w:lang w:val="en-US"/>
              </w:rPr>
              <w:t>)</w:t>
            </w:r>
          </w:p>
        </w:tc>
        <w:tc>
          <w:tcPr>
            <w:tcW w:w="536" w:type="pct"/>
            <w:tcBorders>
              <w:top w:val="single" w:sz="4" w:space="0" w:color="auto"/>
              <w:left w:val="nil"/>
              <w:bottom w:val="single" w:sz="4" w:space="0" w:color="auto"/>
              <w:right w:val="nil"/>
            </w:tcBorders>
            <w:shd w:val="clear" w:color="auto" w:fill="auto"/>
          </w:tcPr>
          <w:p w14:paraId="6E9231EF" w14:textId="502C6B17" w:rsidR="004173B6" w:rsidRPr="00DF29DD" w:rsidRDefault="004173B6" w:rsidP="004173B6">
            <w:pPr>
              <w:spacing w:after="200" w:line="276" w:lineRule="auto"/>
              <w:jc w:val="center"/>
              <w:rPr>
                <w:rFonts w:ascii="Arial" w:eastAsia="Calibri" w:hAnsi="Arial" w:cs="Arial"/>
                <w:sz w:val="20"/>
                <w:szCs w:val="20"/>
                <w:lang w:val="en-US"/>
              </w:rPr>
            </w:pPr>
            <w:r w:rsidRPr="00DF29DD">
              <w:rPr>
                <w:rFonts w:ascii="Arial" w:eastAsiaTheme="minorHAnsi" w:hAnsi="Arial" w:cs="Arial"/>
                <w:b/>
                <w:sz w:val="20"/>
                <w:szCs w:val="20"/>
              </w:rPr>
              <w:t>$</w:t>
            </w:r>
            <w:r w:rsidR="0098097B">
              <w:rPr>
                <w:rFonts w:ascii="Arial" w:eastAsiaTheme="minorHAnsi" w:hAnsi="Arial" w:cs="Arial"/>
                <w:b/>
                <w:sz w:val="20"/>
                <w:szCs w:val="20"/>
              </w:rPr>
              <w:t>1,860</w:t>
            </w:r>
          </w:p>
        </w:tc>
        <w:tc>
          <w:tcPr>
            <w:tcW w:w="453" w:type="pct"/>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79928B41" w14:textId="53153D40" w:rsidR="004173B6" w:rsidRPr="00DF29DD" w:rsidRDefault="004173B6" w:rsidP="004173B6">
            <w:pPr>
              <w:spacing w:after="200" w:line="276" w:lineRule="auto"/>
              <w:jc w:val="center"/>
              <w:rPr>
                <w:rFonts w:ascii="Arial" w:eastAsia="Calibri" w:hAnsi="Arial" w:cs="Arial"/>
                <w:sz w:val="20"/>
                <w:szCs w:val="20"/>
                <w:lang w:val="en-US"/>
              </w:rPr>
            </w:pPr>
            <w:r w:rsidRPr="00DF29DD">
              <w:rPr>
                <w:rFonts w:ascii="Arial" w:eastAsiaTheme="minorHAnsi" w:hAnsi="Arial" w:cs="Arial"/>
                <w:b/>
                <w:sz w:val="20"/>
                <w:szCs w:val="20"/>
              </w:rPr>
              <w:t>$</w:t>
            </w:r>
            <w:r w:rsidR="00676E42">
              <w:rPr>
                <w:rFonts w:ascii="Arial" w:eastAsiaTheme="minorHAnsi" w:hAnsi="Arial" w:cs="Arial"/>
                <w:b/>
                <w:sz w:val="20"/>
                <w:szCs w:val="20"/>
              </w:rPr>
              <w:t>1,760</w:t>
            </w:r>
          </w:p>
        </w:tc>
        <w:tc>
          <w:tcPr>
            <w:tcW w:w="453" w:type="pct"/>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05F534BA" w14:textId="70DBAFAA" w:rsidR="004173B6" w:rsidRPr="00DF29DD" w:rsidRDefault="004173B6" w:rsidP="004173B6">
            <w:pPr>
              <w:spacing w:after="200" w:line="276" w:lineRule="auto"/>
              <w:jc w:val="center"/>
              <w:rPr>
                <w:rFonts w:ascii="Arial" w:eastAsia="Calibri" w:hAnsi="Arial" w:cs="Arial"/>
                <w:color w:val="000000"/>
                <w:sz w:val="20"/>
                <w:szCs w:val="20"/>
                <w:lang w:val="en-US"/>
              </w:rPr>
            </w:pPr>
            <w:r w:rsidRPr="00DF29DD">
              <w:rPr>
                <w:rFonts w:ascii="Arial" w:eastAsiaTheme="minorHAnsi" w:hAnsi="Arial" w:cs="Arial"/>
                <w:b/>
                <w:color w:val="000000"/>
                <w:sz w:val="20"/>
                <w:szCs w:val="20"/>
              </w:rPr>
              <w:t>$</w:t>
            </w:r>
            <w:r w:rsidR="00676E42">
              <w:rPr>
                <w:rFonts w:ascii="Arial" w:eastAsiaTheme="minorHAnsi" w:hAnsi="Arial" w:cs="Arial"/>
                <w:b/>
                <w:color w:val="000000"/>
                <w:sz w:val="20"/>
                <w:szCs w:val="20"/>
              </w:rPr>
              <w:t>932</w:t>
            </w:r>
          </w:p>
        </w:tc>
        <w:tc>
          <w:tcPr>
            <w:tcW w:w="495" w:type="pct"/>
            <w:tcBorders>
              <w:top w:val="single" w:sz="4" w:space="0" w:color="auto"/>
              <w:left w:val="nil"/>
              <w:bottom w:val="single" w:sz="4" w:space="0" w:color="auto"/>
              <w:right w:val="nil"/>
            </w:tcBorders>
            <w:shd w:val="clear" w:color="auto" w:fill="auto"/>
          </w:tcPr>
          <w:p w14:paraId="2AF47DA4" w14:textId="0064BBBB" w:rsidR="004173B6" w:rsidRPr="00DF29DD" w:rsidRDefault="004173B6" w:rsidP="004173B6">
            <w:pPr>
              <w:spacing w:after="200" w:line="276" w:lineRule="auto"/>
              <w:jc w:val="center"/>
              <w:rPr>
                <w:rFonts w:ascii="Arial" w:eastAsia="Calibri" w:hAnsi="Arial" w:cs="Arial"/>
                <w:sz w:val="20"/>
                <w:szCs w:val="20"/>
                <w:lang w:val="en-US"/>
              </w:rPr>
            </w:pPr>
            <w:r w:rsidRPr="00DF29DD">
              <w:rPr>
                <w:rFonts w:ascii="Arial" w:eastAsiaTheme="minorHAnsi" w:hAnsi="Arial" w:cs="Arial"/>
                <w:b/>
                <w:color w:val="000000"/>
                <w:sz w:val="20"/>
                <w:szCs w:val="20"/>
              </w:rPr>
              <w:t>$</w:t>
            </w:r>
            <w:r w:rsidR="00676E42">
              <w:rPr>
                <w:rFonts w:ascii="Arial" w:eastAsiaTheme="minorHAnsi" w:hAnsi="Arial" w:cs="Arial"/>
                <w:b/>
                <w:color w:val="000000"/>
                <w:sz w:val="20"/>
                <w:szCs w:val="20"/>
              </w:rPr>
              <w:t>222</w:t>
            </w:r>
          </w:p>
        </w:tc>
        <w:tc>
          <w:tcPr>
            <w:tcW w:w="618" w:type="pct"/>
            <w:tcBorders>
              <w:top w:val="single" w:sz="4" w:space="0" w:color="auto"/>
              <w:left w:val="nil"/>
              <w:bottom w:val="single" w:sz="4" w:space="0" w:color="auto"/>
              <w:right w:val="nil"/>
            </w:tcBorders>
            <w:shd w:val="clear" w:color="auto" w:fill="auto"/>
          </w:tcPr>
          <w:p w14:paraId="0084CDA8" w14:textId="65A8D82C" w:rsidR="004173B6" w:rsidRPr="00DF29DD" w:rsidRDefault="004173B6" w:rsidP="00C25AFD">
            <w:pPr>
              <w:spacing w:after="200" w:line="276" w:lineRule="auto"/>
              <w:jc w:val="center"/>
              <w:rPr>
                <w:rFonts w:ascii="Arial" w:eastAsia="Calibri" w:hAnsi="Arial" w:cs="Arial"/>
                <w:sz w:val="20"/>
                <w:szCs w:val="20"/>
                <w:lang w:val="en-US"/>
              </w:rPr>
            </w:pPr>
            <w:r w:rsidRPr="00DF29DD">
              <w:rPr>
                <w:rFonts w:ascii="Arial" w:eastAsiaTheme="minorHAnsi" w:hAnsi="Arial" w:cs="Arial"/>
                <w:b/>
                <w:sz w:val="20"/>
                <w:szCs w:val="20"/>
              </w:rPr>
              <w:t>$</w:t>
            </w:r>
            <w:r w:rsidR="00676E42">
              <w:rPr>
                <w:rFonts w:ascii="Arial" w:eastAsiaTheme="minorHAnsi" w:hAnsi="Arial" w:cs="Arial"/>
                <w:b/>
                <w:sz w:val="20"/>
                <w:szCs w:val="20"/>
              </w:rPr>
              <w:t>1,15</w:t>
            </w:r>
            <w:r w:rsidR="00230CE1">
              <w:rPr>
                <w:rFonts w:ascii="Arial" w:eastAsiaTheme="minorHAnsi" w:hAnsi="Arial" w:cs="Arial"/>
                <w:b/>
                <w:sz w:val="20"/>
                <w:szCs w:val="20"/>
              </w:rPr>
              <w:t>4</w:t>
            </w:r>
          </w:p>
        </w:tc>
        <w:tc>
          <w:tcPr>
            <w:tcW w:w="412" w:type="pct"/>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01D247AE" w14:textId="3794C087" w:rsidR="004173B6" w:rsidRPr="00DF29DD" w:rsidRDefault="0098097B" w:rsidP="004173B6">
            <w:pPr>
              <w:spacing w:after="200" w:line="276" w:lineRule="auto"/>
              <w:jc w:val="center"/>
              <w:rPr>
                <w:rFonts w:ascii="Arial" w:eastAsia="Calibri" w:hAnsi="Arial" w:cs="Arial"/>
                <w:sz w:val="20"/>
                <w:szCs w:val="20"/>
                <w:lang w:val="en-US"/>
              </w:rPr>
            </w:pPr>
            <w:r>
              <w:rPr>
                <w:rFonts w:ascii="Arial" w:eastAsiaTheme="minorHAnsi" w:hAnsi="Arial" w:cs="Arial"/>
                <w:b/>
                <w:sz w:val="20"/>
                <w:szCs w:val="20"/>
              </w:rPr>
              <w:t>0.7</w:t>
            </w:r>
            <w:r w:rsidR="004173B6" w:rsidRPr="00DF29DD">
              <w:rPr>
                <w:rFonts w:ascii="Arial" w:eastAsiaTheme="minorHAnsi" w:hAnsi="Arial" w:cs="Arial"/>
                <w:b/>
                <w:sz w:val="20"/>
                <w:szCs w:val="20"/>
              </w:rPr>
              <w:t>x</w:t>
            </w:r>
          </w:p>
        </w:tc>
        <w:tc>
          <w:tcPr>
            <w:tcW w:w="412" w:type="pct"/>
            <w:tcBorders>
              <w:top w:val="single" w:sz="4" w:space="0" w:color="auto"/>
              <w:left w:val="nil"/>
              <w:bottom w:val="single" w:sz="4" w:space="0" w:color="auto"/>
              <w:right w:val="nil"/>
            </w:tcBorders>
          </w:tcPr>
          <w:p w14:paraId="7B1480AD" w14:textId="010DDEA2" w:rsidR="004173B6" w:rsidRPr="00DF29DD" w:rsidRDefault="004173B6" w:rsidP="004173B6">
            <w:pPr>
              <w:spacing w:after="200" w:line="276" w:lineRule="auto"/>
              <w:jc w:val="center"/>
              <w:rPr>
                <w:rFonts w:ascii="Arial" w:eastAsiaTheme="minorHAnsi" w:hAnsi="Arial" w:cs="Arial"/>
                <w:b/>
                <w:sz w:val="20"/>
                <w:szCs w:val="20"/>
              </w:rPr>
            </w:pPr>
            <w:r>
              <w:rPr>
                <w:rFonts w:ascii="Arial" w:eastAsiaTheme="minorHAnsi" w:hAnsi="Arial" w:cs="Arial"/>
                <w:b/>
                <w:sz w:val="20"/>
                <w:szCs w:val="20"/>
              </w:rPr>
              <w:t>0.9</w:t>
            </w:r>
            <w:r w:rsidRPr="00DF29DD">
              <w:rPr>
                <w:rFonts w:ascii="Arial" w:eastAsiaTheme="minorHAnsi" w:hAnsi="Arial" w:cs="Arial"/>
                <w:b/>
                <w:sz w:val="20"/>
                <w:szCs w:val="20"/>
              </w:rPr>
              <w:t>x</w:t>
            </w:r>
          </w:p>
        </w:tc>
      </w:tr>
      <w:tr w:rsidR="004173B6" w:rsidRPr="00DF29DD" w14:paraId="7983E2B5" w14:textId="77777777" w:rsidTr="00C75250">
        <w:trPr>
          <w:trHeight w:val="607"/>
        </w:trPr>
        <w:tc>
          <w:tcPr>
            <w:tcW w:w="1621" w:type="pct"/>
            <w:gridSpan w:val="3"/>
            <w:tcBorders>
              <w:top w:val="single" w:sz="4" w:space="0" w:color="auto"/>
              <w:left w:val="nil"/>
              <w:bottom w:val="single" w:sz="4" w:space="0" w:color="auto"/>
            </w:tcBorders>
            <w:shd w:val="clear" w:color="auto" w:fill="auto"/>
            <w:tcMar>
              <w:top w:w="15" w:type="dxa"/>
              <w:left w:w="137" w:type="dxa"/>
              <w:bottom w:w="0" w:type="dxa"/>
              <w:right w:w="15" w:type="dxa"/>
            </w:tcMar>
          </w:tcPr>
          <w:p w14:paraId="43126643" w14:textId="4066B4A3" w:rsidR="004173B6" w:rsidRPr="00DF29DD" w:rsidRDefault="004173B6" w:rsidP="004173B6">
            <w:pPr>
              <w:spacing w:after="200" w:line="276" w:lineRule="auto"/>
              <w:rPr>
                <w:rFonts w:ascii="Arial" w:eastAsia="Calibri" w:hAnsi="Arial" w:cs="Arial"/>
                <w:b/>
                <w:bCs/>
                <w:color w:val="000000"/>
                <w:sz w:val="20"/>
                <w:szCs w:val="20"/>
                <w:lang w:val="en-US"/>
              </w:rPr>
            </w:pPr>
            <w:r w:rsidRPr="00DF29DD">
              <w:rPr>
                <w:rFonts w:ascii="Arial" w:eastAsia="Calibri" w:hAnsi="Arial" w:cs="Arial"/>
                <w:b/>
                <w:bCs/>
                <w:color w:val="000000"/>
                <w:sz w:val="20"/>
                <w:szCs w:val="20"/>
                <w:lang w:val="en-US"/>
              </w:rPr>
              <w:t>Cash and Cash Equivalents</w:t>
            </w:r>
            <w:r>
              <w:rPr>
                <w:rFonts w:ascii="Arial" w:eastAsia="Calibri" w:hAnsi="Arial" w:cs="Arial"/>
                <w:b/>
                <w:bCs/>
                <w:color w:val="000000"/>
                <w:sz w:val="20"/>
                <w:szCs w:val="20"/>
                <w:vertAlign w:val="superscript"/>
                <w:lang w:val="en-US"/>
              </w:rPr>
              <w:t>(8</w:t>
            </w:r>
            <w:r w:rsidRPr="00DF29DD">
              <w:rPr>
                <w:rFonts w:ascii="Arial" w:eastAsia="Calibri" w:hAnsi="Arial" w:cs="Arial"/>
                <w:b/>
                <w:bCs/>
                <w:color w:val="000000"/>
                <w:sz w:val="20"/>
                <w:szCs w:val="20"/>
                <w:vertAlign w:val="superscript"/>
                <w:lang w:val="en-US"/>
              </w:rPr>
              <w:t>)</w:t>
            </w:r>
          </w:p>
        </w:tc>
        <w:tc>
          <w:tcPr>
            <w:tcW w:w="536" w:type="pct"/>
            <w:tcBorders>
              <w:top w:val="single" w:sz="4" w:space="0" w:color="auto"/>
              <w:left w:val="nil"/>
              <w:bottom w:val="single" w:sz="4" w:space="0" w:color="auto"/>
              <w:right w:val="nil"/>
            </w:tcBorders>
            <w:shd w:val="clear" w:color="auto" w:fill="auto"/>
          </w:tcPr>
          <w:p w14:paraId="33E9DE2D" w14:textId="77777777" w:rsidR="004173B6" w:rsidRPr="00DF29DD" w:rsidRDefault="004173B6" w:rsidP="004173B6">
            <w:pPr>
              <w:spacing w:after="200" w:line="276" w:lineRule="auto"/>
              <w:jc w:val="center"/>
              <w:rPr>
                <w:rFonts w:ascii="Arial" w:eastAsia="Calibri" w:hAnsi="Arial" w:cs="Arial"/>
                <w:sz w:val="20"/>
                <w:szCs w:val="20"/>
                <w:lang w:val="en-US"/>
              </w:rPr>
            </w:pPr>
          </w:p>
        </w:tc>
        <w:tc>
          <w:tcPr>
            <w:tcW w:w="453" w:type="pct"/>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2DFD22EA" w14:textId="77777777" w:rsidR="004173B6" w:rsidRPr="00DF29DD" w:rsidRDefault="004173B6" w:rsidP="004173B6">
            <w:pPr>
              <w:spacing w:after="200" w:line="276" w:lineRule="auto"/>
              <w:jc w:val="center"/>
              <w:rPr>
                <w:rFonts w:ascii="Arial" w:eastAsia="Calibri" w:hAnsi="Arial" w:cs="Arial"/>
                <w:sz w:val="20"/>
                <w:szCs w:val="20"/>
                <w:lang w:val="en-US"/>
              </w:rPr>
            </w:pPr>
          </w:p>
        </w:tc>
        <w:tc>
          <w:tcPr>
            <w:tcW w:w="453" w:type="pct"/>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6331382F" w14:textId="77777777" w:rsidR="004173B6" w:rsidRPr="00DF29DD" w:rsidRDefault="004173B6" w:rsidP="004173B6">
            <w:pPr>
              <w:spacing w:after="200" w:line="276" w:lineRule="auto"/>
              <w:jc w:val="center"/>
              <w:rPr>
                <w:rFonts w:ascii="Arial" w:eastAsia="Calibri" w:hAnsi="Arial" w:cs="Arial"/>
                <w:color w:val="000000"/>
                <w:sz w:val="20"/>
                <w:szCs w:val="20"/>
                <w:lang w:val="en-US"/>
              </w:rPr>
            </w:pPr>
          </w:p>
        </w:tc>
        <w:tc>
          <w:tcPr>
            <w:tcW w:w="495" w:type="pct"/>
            <w:tcBorders>
              <w:top w:val="single" w:sz="4" w:space="0" w:color="auto"/>
              <w:left w:val="nil"/>
              <w:bottom w:val="single" w:sz="4" w:space="0" w:color="auto"/>
              <w:right w:val="nil"/>
            </w:tcBorders>
            <w:shd w:val="clear" w:color="auto" w:fill="auto"/>
          </w:tcPr>
          <w:p w14:paraId="7245405B" w14:textId="6CA9DEFE" w:rsidR="004173B6" w:rsidRPr="00DF29DD" w:rsidRDefault="004173B6" w:rsidP="00DE7B33">
            <w:pPr>
              <w:spacing w:after="200" w:line="276" w:lineRule="auto"/>
              <w:jc w:val="center"/>
              <w:rPr>
                <w:rFonts w:ascii="Arial" w:eastAsia="Calibri" w:hAnsi="Arial" w:cs="Arial"/>
                <w:b/>
                <w:sz w:val="20"/>
                <w:szCs w:val="20"/>
                <w:lang w:val="en-US"/>
              </w:rPr>
            </w:pPr>
            <w:r w:rsidRPr="00DF29DD">
              <w:rPr>
                <w:rFonts w:ascii="Arial" w:eastAsia="Calibri" w:hAnsi="Arial" w:cs="Arial"/>
                <w:b/>
                <w:sz w:val="20"/>
                <w:szCs w:val="20"/>
                <w:lang w:val="en-US"/>
              </w:rPr>
              <w:t>$</w:t>
            </w:r>
            <w:r w:rsidR="00E81DFC">
              <w:rPr>
                <w:rFonts w:ascii="Arial" w:eastAsia="Calibri" w:hAnsi="Arial" w:cs="Arial"/>
                <w:b/>
                <w:sz w:val="20"/>
                <w:szCs w:val="20"/>
                <w:lang w:val="en-US"/>
              </w:rPr>
              <w:t>164</w:t>
            </w:r>
          </w:p>
        </w:tc>
        <w:tc>
          <w:tcPr>
            <w:tcW w:w="618" w:type="pct"/>
            <w:tcBorders>
              <w:top w:val="single" w:sz="4" w:space="0" w:color="auto"/>
              <w:left w:val="nil"/>
              <w:bottom w:val="single" w:sz="4" w:space="0" w:color="auto"/>
              <w:right w:val="nil"/>
            </w:tcBorders>
            <w:shd w:val="clear" w:color="auto" w:fill="auto"/>
            <w:vAlign w:val="center"/>
          </w:tcPr>
          <w:p w14:paraId="65C2E8BB" w14:textId="77777777" w:rsidR="004173B6" w:rsidRPr="00DF29DD" w:rsidRDefault="004173B6" w:rsidP="004173B6">
            <w:pPr>
              <w:spacing w:after="200" w:line="276" w:lineRule="auto"/>
              <w:jc w:val="center"/>
              <w:rPr>
                <w:rFonts w:ascii="Arial" w:eastAsia="Calibri" w:hAnsi="Arial" w:cs="Arial"/>
                <w:sz w:val="20"/>
                <w:szCs w:val="20"/>
                <w:lang w:val="en-US"/>
              </w:rPr>
            </w:pPr>
          </w:p>
        </w:tc>
        <w:tc>
          <w:tcPr>
            <w:tcW w:w="412" w:type="pct"/>
            <w:tcBorders>
              <w:top w:val="single" w:sz="4" w:space="0" w:color="auto"/>
              <w:left w:val="nil"/>
              <w:bottom w:val="single" w:sz="4" w:space="0" w:color="auto"/>
              <w:right w:val="nil"/>
            </w:tcBorders>
            <w:shd w:val="clear" w:color="auto" w:fill="auto"/>
            <w:tcMar>
              <w:top w:w="15" w:type="dxa"/>
              <w:left w:w="69" w:type="dxa"/>
              <w:bottom w:w="0" w:type="dxa"/>
              <w:right w:w="69" w:type="dxa"/>
            </w:tcMar>
            <w:vAlign w:val="center"/>
          </w:tcPr>
          <w:p w14:paraId="01672993" w14:textId="77777777" w:rsidR="004173B6" w:rsidRPr="00DF29DD" w:rsidRDefault="004173B6" w:rsidP="004173B6">
            <w:pPr>
              <w:spacing w:after="200" w:line="276" w:lineRule="auto"/>
              <w:jc w:val="center"/>
              <w:rPr>
                <w:rFonts w:ascii="Arial" w:eastAsia="Calibri" w:hAnsi="Arial" w:cs="Arial"/>
                <w:sz w:val="20"/>
                <w:szCs w:val="20"/>
                <w:lang w:val="en-US"/>
              </w:rPr>
            </w:pPr>
          </w:p>
        </w:tc>
        <w:tc>
          <w:tcPr>
            <w:tcW w:w="412" w:type="pct"/>
            <w:tcBorders>
              <w:top w:val="single" w:sz="4" w:space="0" w:color="auto"/>
              <w:left w:val="nil"/>
              <w:bottom w:val="single" w:sz="4" w:space="0" w:color="auto"/>
              <w:right w:val="nil"/>
            </w:tcBorders>
          </w:tcPr>
          <w:p w14:paraId="6DB2A57F" w14:textId="77777777" w:rsidR="004173B6" w:rsidRPr="00DF29DD" w:rsidRDefault="004173B6" w:rsidP="004173B6">
            <w:pPr>
              <w:spacing w:after="200" w:line="276" w:lineRule="auto"/>
              <w:jc w:val="center"/>
              <w:rPr>
                <w:rFonts w:ascii="Arial" w:eastAsia="Calibri" w:hAnsi="Arial" w:cs="Arial"/>
                <w:sz w:val="20"/>
                <w:szCs w:val="20"/>
                <w:lang w:val="en-US"/>
              </w:rPr>
            </w:pPr>
          </w:p>
        </w:tc>
      </w:tr>
      <w:tr w:rsidR="004173B6" w:rsidRPr="00DF29DD" w14:paraId="7D29FBE7" w14:textId="77777777" w:rsidTr="00C75250">
        <w:trPr>
          <w:trHeight w:val="761"/>
        </w:trPr>
        <w:tc>
          <w:tcPr>
            <w:tcW w:w="1621" w:type="pct"/>
            <w:gridSpan w:val="3"/>
            <w:tcBorders>
              <w:top w:val="single" w:sz="4" w:space="0" w:color="auto"/>
              <w:left w:val="nil"/>
              <w:bottom w:val="single" w:sz="4" w:space="0" w:color="auto"/>
            </w:tcBorders>
            <w:shd w:val="clear" w:color="auto" w:fill="auto"/>
            <w:tcMar>
              <w:top w:w="15" w:type="dxa"/>
              <w:left w:w="137" w:type="dxa"/>
              <w:bottom w:w="0" w:type="dxa"/>
              <w:right w:w="15" w:type="dxa"/>
            </w:tcMar>
          </w:tcPr>
          <w:p w14:paraId="47E071FD" w14:textId="2022AE4D" w:rsidR="004173B6" w:rsidRPr="00DF29DD" w:rsidRDefault="004173B6" w:rsidP="004173B6">
            <w:pPr>
              <w:spacing w:line="276" w:lineRule="auto"/>
              <w:rPr>
                <w:rFonts w:ascii="Arial" w:eastAsia="Calibri" w:hAnsi="Arial" w:cs="Arial"/>
                <w:b/>
                <w:bCs/>
                <w:color w:val="000000"/>
                <w:sz w:val="20"/>
                <w:szCs w:val="20"/>
                <w:lang w:val="en-US"/>
              </w:rPr>
            </w:pPr>
            <w:r w:rsidRPr="00DF29DD">
              <w:rPr>
                <w:rFonts w:ascii="Arial" w:eastAsia="Calibri" w:hAnsi="Arial" w:cs="Arial"/>
                <w:b/>
                <w:bCs/>
                <w:color w:val="000000"/>
                <w:sz w:val="20"/>
                <w:szCs w:val="20"/>
                <w:lang w:val="en-US"/>
              </w:rPr>
              <w:lastRenderedPageBreak/>
              <w:t xml:space="preserve">Total Investments </w:t>
            </w:r>
            <w:r>
              <w:rPr>
                <w:rFonts w:ascii="Arial" w:eastAsia="Calibri" w:hAnsi="Arial" w:cs="Arial"/>
                <w:b/>
                <w:bCs/>
                <w:color w:val="000000"/>
                <w:sz w:val="20"/>
                <w:szCs w:val="20"/>
                <w:lang w:val="en-US"/>
              </w:rPr>
              <w:t>&amp;</w:t>
            </w:r>
            <w:r w:rsidRPr="00DF29DD">
              <w:rPr>
                <w:rFonts w:ascii="Arial" w:eastAsia="Calibri" w:hAnsi="Arial" w:cs="Arial"/>
                <w:b/>
                <w:bCs/>
                <w:color w:val="000000"/>
                <w:sz w:val="20"/>
                <w:szCs w:val="20"/>
                <w:lang w:val="en-US"/>
              </w:rPr>
              <w:t xml:space="preserve"> Cash and Cash Equivalents</w:t>
            </w:r>
            <w:r>
              <w:rPr>
                <w:rFonts w:ascii="Arial" w:eastAsia="Calibri" w:hAnsi="Arial" w:cs="Arial"/>
                <w:b/>
                <w:bCs/>
                <w:color w:val="000000"/>
                <w:sz w:val="20"/>
                <w:szCs w:val="20"/>
                <w:vertAlign w:val="superscript"/>
                <w:lang w:val="en-US"/>
              </w:rPr>
              <w:t>(3</w:t>
            </w:r>
            <w:r w:rsidRPr="00DF29DD">
              <w:rPr>
                <w:rFonts w:ascii="Arial" w:eastAsia="Calibri" w:hAnsi="Arial" w:cs="Arial"/>
                <w:b/>
                <w:bCs/>
                <w:color w:val="000000"/>
                <w:sz w:val="20"/>
                <w:szCs w:val="20"/>
                <w:vertAlign w:val="superscript"/>
                <w:lang w:val="en-US"/>
              </w:rPr>
              <w:t>)</w:t>
            </w:r>
          </w:p>
        </w:tc>
        <w:tc>
          <w:tcPr>
            <w:tcW w:w="536" w:type="pct"/>
            <w:tcBorders>
              <w:top w:val="single" w:sz="4" w:space="0" w:color="auto"/>
              <w:left w:val="nil"/>
              <w:bottom w:val="single" w:sz="4" w:space="0" w:color="auto"/>
              <w:right w:val="nil"/>
            </w:tcBorders>
            <w:shd w:val="clear" w:color="auto" w:fill="auto"/>
          </w:tcPr>
          <w:p w14:paraId="0881C79D" w14:textId="77777777" w:rsidR="004173B6" w:rsidRPr="00DF29DD" w:rsidRDefault="004173B6" w:rsidP="004173B6">
            <w:pPr>
              <w:spacing w:line="276" w:lineRule="auto"/>
              <w:jc w:val="center"/>
              <w:rPr>
                <w:rFonts w:ascii="Arial" w:eastAsia="Calibri" w:hAnsi="Arial" w:cs="Arial"/>
                <w:sz w:val="20"/>
                <w:szCs w:val="20"/>
                <w:lang w:val="en-US"/>
              </w:rPr>
            </w:pPr>
          </w:p>
        </w:tc>
        <w:tc>
          <w:tcPr>
            <w:tcW w:w="453" w:type="pct"/>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75D37732" w14:textId="77777777" w:rsidR="004173B6" w:rsidRPr="00DF29DD" w:rsidRDefault="004173B6" w:rsidP="004173B6">
            <w:pPr>
              <w:spacing w:line="276" w:lineRule="auto"/>
              <w:jc w:val="center"/>
              <w:rPr>
                <w:rFonts w:ascii="Arial" w:eastAsia="Calibri" w:hAnsi="Arial" w:cs="Arial"/>
                <w:sz w:val="20"/>
                <w:szCs w:val="20"/>
                <w:lang w:val="en-US"/>
              </w:rPr>
            </w:pPr>
          </w:p>
        </w:tc>
        <w:tc>
          <w:tcPr>
            <w:tcW w:w="453" w:type="pct"/>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4C90BCF6" w14:textId="77777777" w:rsidR="004173B6" w:rsidRPr="00DF29DD" w:rsidRDefault="004173B6" w:rsidP="004173B6">
            <w:pPr>
              <w:spacing w:line="276" w:lineRule="auto"/>
              <w:jc w:val="center"/>
              <w:rPr>
                <w:rFonts w:ascii="Arial" w:eastAsia="Calibri" w:hAnsi="Arial" w:cs="Arial"/>
                <w:color w:val="000000"/>
                <w:sz w:val="20"/>
                <w:szCs w:val="20"/>
                <w:lang w:val="en-US"/>
              </w:rPr>
            </w:pPr>
          </w:p>
        </w:tc>
        <w:tc>
          <w:tcPr>
            <w:tcW w:w="495" w:type="pct"/>
            <w:tcBorders>
              <w:top w:val="single" w:sz="4" w:space="0" w:color="auto"/>
              <w:left w:val="nil"/>
              <w:bottom w:val="single" w:sz="4" w:space="0" w:color="auto"/>
              <w:right w:val="nil"/>
            </w:tcBorders>
            <w:shd w:val="clear" w:color="auto" w:fill="auto"/>
          </w:tcPr>
          <w:p w14:paraId="67AE16AF" w14:textId="6885B627" w:rsidR="004173B6" w:rsidRPr="00DF29DD" w:rsidRDefault="004173B6" w:rsidP="00E10245">
            <w:pPr>
              <w:spacing w:line="276" w:lineRule="auto"/>
              <w:jc w:val="center"/>
              <w:rPr>
                <w:rFonts w:ascii="Arial" w:eastAsia="Calibri" w:hAnsi="Arial" w:cs="Arial"/>
                <w:b/>
                <w:sz w:val="20"/>
                <w:szCs w:val="20"/>
                <w:lang w:val="en-US"/>
              </w:rPr>
            </w:pPr>
            <w:r w:rsidRPr="00DF29DD">
              <w:rPr>
                <w:rFonts w:ascii="Arial" w:eastAsia="Calibri" w:hAnsi="Arial" w:cs="Arial"/>
                <w:b/>
                <w:sz w:val="20"/>
                <w:szCs w:val="20"/>
                <w:lang w:val="en-US"/>
              </w:rPr>
              <w:t>$</w:t>
            </w:r>
            <w:r w:rsidR="00E81DFC">
              <w:rPr>
                <w:rFonts w:ascii="Arial" w:eastAsia="Calibri" w:hAnsi="Arial" w:cs="Arial"/>
                <w:b/>
                <w:sz w:val="20"/>
                <w:szCs w:val="20"/>
                <w:lang w:val="en-US"/>
              </w:rPr>
              <w:t>386</w:t>
            </w:r>
          </w:p>
        </w:tc>
        <w:tc>
          <w:tcPr>
            <w:tcW w:w="618" w:type="pct"/>
            <w:tcBorders>
              <w:top w:val="single" w:sz="4" w:space="0" w:color="auto"/>
              <w:left w:val="nil"/>
              <w:bottom w:val="single" w:sz="4" w:space="0" w:color="auto"/>
              <w:right w:val="nil"/>
            </w:tcBorders>
            <w:shd w:val="clear" w:color="auto" w:fill="auto"/>
            <w:vAlign w:val="center"/>
          </w:tcPr>
          <w:p w14:paraId="1CA9384E" w14:textId="77777777" w:rsidR="004173B6" w:rsidRPr="00DF29DD" w:rsidRDefault="004173B6" w:rsidP="004173B6">
            <w:pPr>
              <w:spacing w:line="276" w:lineRule="auto"/>
              <w:jc w:val="center"/>
              <w:rPr>
                <w:rFonts w:ascii="Arial" w:eastAsia="Calibri" w:hAnsi="Arial" w:cs="Arial"/>
                <w:sz w:val="20"/>
                <w:szCs w:val="20"/>
                <w:lang w:val="en-US"/>
              </w:rPr>
            </w:pPr>
          </w:p>
        </w:tc>
        <w:tc>
          <w:tcPr>
            <w:tcW w:w="412" w:type="pct"/>
            <w:tcBorders>
              <w:top w:val="single" w:sz="4" w:space="0" w:color="auto"/>
              <w:left w:val="nil"/>
              <w:bottom w:val="single" w:sz="4" w:space="0" w:color="auto"/>
              <w:right w:val="nil"/>
            </w:tcBorders>
            <w:shd w:val="clear" w:color="auto" w:fill="auto"/>
            <w:tcMar>
              <w:top w:w="15" w:type="dxa"/>
              <w:left w:w="69" w:type="dxa"/>
              <w:bottom w:w="0" w:type="dxa"/>
              <w:right w:w="69" w:type="dxa"/>
            </w:tcMar>
            <w:vAlign w:val="center"/>
          </w:tcPr>
          <w:p w14:paraId="22E1BE10" w14:textId="77777777" w:rsidR="004173B6" w:rsidRPr="00DF29DD" w:rsidRDefault="004173B6" w:rsidP="004173B6">
            <w:pPr>
              <w:spacing w:line="276" w:lineRule="auto"/>
              <w:jc w:val="center"/>
              <w:rPr>
                <w:rFonts w:ascii="Arial" w:eastAsia="Calibri" w:hAnsi="Arial" w:cs="Arial"/>
                <w:sz w:val="20"/>
                <w:szCs w:val="20"/>
                <w:lang w:val="en-US"/>
              </w:rPr>
            </w:pPr>
          </w:p>
        </w:tc>
        <w:tc>
          <w:tcPr>
            <w:tcW w:w="412" w:type="pct"/>
            <w:tcBorders>
              <w:top w:val="single" w:sz="4" w:space="0" w:color="auto"/>
              <w:left w:val="nil"/>
              <w:bottom w:val="single" w:sz="4" w:space="0" w:color="auto"/>
              <w:right w:val="nil"/>
            </w:tcBorders>
          </w:tcPr>
          <w:p w14:paraId="4945285B" w14:textId="77777777" w:rsidR="004173B6" w:rsidRPr="00DF29DD" w:rsidRDefault="004173B6" w:rsidP="004173B6">
            <w:pPr>
              <w:spacing w:line="276" w:lineRule="auto"/>
              <w:jc w:val="center"/>
              <w:rPr>
                <w:rFonts w:ascii="Arial" w:eastAsia="Calibri" w:hAnsi="Arial" w:cs="Arial"/>
                <w:sz w:val="20"/>
                <w:szCs w:val="20"/>
                <w:lang w:val="en-US"/>
              </w:rPr>
            </w:pPr>
          </w:p>
        </w:tc>
      </w:tr>
    </w:tbl>
    <w:p w14:paraId="4EB1CCBF" w14:textId="77777777" w:rsidR="00DF29DD" w:rsidRPr="00DF29DD" w:rsidRDefault="00DF29DD" w:rsidP="00DF29DD">
      <w:pPr>
        <w:rPr>
          <w:rFonts w:ascii="Arial" w:eastAsiaTheme="minorHAnsi" w:hAnsi="Arial" w:cs="Arial"/>
          <w:sz w:val="16"/>
          <w:szCs w:val="16"/>
          <w:vertAlign w:val="superscript"/>
          <w:lang w:val="en-US"/>
        </w:rPr>
      </w:pPr>
    </w:p>
    <w:p w14:paraId="516D760D" w14:textId="77777777" w:rsidR="00213F9C" w:rsidRPr="00213F9C" w:rsidRDefault="00213F9C" w:rsidP="00DF29DD">
      <w:pPr>
        <w:rPr>
          <w:rFonts w:ascii="Arial" w:eastAsiaTheme="minorHAnsi" w:hAnsi="Arial" w:cs="Arial"/>
          <w:sz w:val="18"/>
          <w:szCs w:val="18"/>
          <w:vertAlign w:val="superscript"/>
          <w:lang w:val="en-US"/>
        </w:rPr>
      </w:pPr>
    </w:p>
    <w:p w14:paraId="1882B7FA" w14:textId="2590971F" w:rsidR="00DF29DD" w:rsidRPr="00DF29DD" w:rsidRDefault="00F865C3" w:rsidP="00DF29DD">
      <w:pPr>
        <w:rPr>
          <w:rFonts w:ascii="Arial" w:eastAsiaTheme="minorHAnsi" w:hAnsi="Arial" w:cs="Arial"/>
          <w:sz w:val="16"/>
          <w:szCs w:val="16"/>
          <w:lang w:val="en-US"/>
        </w:rPr>
      </w:pPr>
      <w:r>
        <w:rPr>
          <w:rFonts w:ascii="Arial" w:eastAsiaTheme="minorHAnsi" w:hAnsi="Arial" w:cs="Arial"/>
          <w:sz w:val="16"/>
          <w:szCs w:val="16"/>
          <w:vertAlign w:val="superscript"/>
          <w:lang w:val="en-US"/>
        </w:rPr>
        <w:t xml:space="preserve">(1) </w:t>
      </w:r>
      <w:r w:rsidR="00DF29DD" w:rsidRPr="00DF29DD">
        <w:rPr>
          <w:rFonts w:ascii="Arial" w:eastAsiaTheme="minorHAnsi" w:hAnsi="Arial" w:cs="Arial"/>
          <w:sz w:val="16"/>
          <w:szCs w:val="16"/>
          <w:lang w:val="en-US"/>
        </w:rPr>
        <w:t>Gross realised capital is total gross proceeds realised on invested capital. Of the $</w:t>
      </w:r>
      <w:r w:rsidR="00164AF6">
        <w:rPr>
          <w:rFonts w:ascii="Arial" w:eastAsiaTheme="minorHAnsi" w:hAnsi="Arial" w:cs="Arial"/>
          <w:sz w:val="16"/>
          <w:szCs w:val="16"/>
          <w:lang w:val="en-US"/>
        </w:rPr>
        <w:t>932</w:t>
      </w:r>
      <w:r w:rsidR="00DF29DD" w:rsidRPr="00DF29DD">
        <w:rPr>
          <w:rFonts w:ascii="Arial" w:eastAsiaTheme="minorHAnsi" w:hAnsi="Arial" w:cs="Arial"/>
          <w:sz w:val="16"/>
          <w:szCs w:val="16"/>
          <w:lang w:val="en-US"/>
        </w:rPr>
        <w:t xml:space="preserve"> million of capital realised to date, $</w:t>
      </w:r>
      <w:r w:rsidR="00164AF6">
        <w:rPr>
          <w:rFonts w:ascii="Arial" w:eastAsiaTheme="minorHAnsi" w:hAnsi="Arial" w:cs="Arial"/>
          <w:sz w:val="16"/>
          <w:szCs w:val="16"/>
          <w:lang w:val="en-US"/>
        </w:rPr>
        <w:t>641</w:t>
      </w:r>
      <w:r w:rsidR="00DF29DD" w:rsidRPr="00DF29DD">
        <w:rPr>
          <w:rFonts w:ascii="Arial" w:eastAsiaTheme="minorHAnsi" w:hAnsi="Arial" w:cs="Arial"/>
          <w:sz w:val="16"/>
          <w:szCs w:val="16"/>
          <w:lang w:val="en-US"/>
        </w:rPr>
        <w:t xml:space="preserve"> million is the return of the cost basis, and the remainder is profit</w:t>
      </w:r>
    </w:p>
    <w:p w14:paraId="37EDFEE9" w14:textId="7E764EAC" w:rsidR="00DF29DD" w:rsidRPr="00DF29DD" w:rsidRDefault="00DF29DD" w:rsidP="00DF29DD">
      <w:pPr>
        <w:rPr>
          <w:rFonts w:ascii="Arial" w:eastAsiaTheme="minorHAnsi" w:hAnsi="Arial" w:cs="Arial"/>
          <w:sz w:val="16"/>
          <w:szCs w:val="16"/>
          <w:lang w:val="en-US"/>
        </w:rPr>
      </w:pPr>
      <w:r w:rsidRPr="00DF29DD">
        <w:rPr>
          <w:rFonts w:ascii="Arial" w:eastAsiaTheme="minorHAnsi" w:hAnsi="Arial" w:cs="Arial"/>
          <w:sz w:val="16"/>
          <w:szCs w:val="16"/>
          <w:vertAlign w:val="superscript"/>
          <w:lang w:val="en-US"/>
        </w:rPr>
        <w:t>(</w:t>
      </w:r>
      <w:r w:rsidR="0098020C">
        <w:rPr>
          <w:rFonts w:ascii="Arial" w:eastAsiaTheme="minorHAnsi" w:hAnsi="Arial" w:cs="Arial"/>
          <w:sz w:val="16"/>
          <w:szCs w:val="16"/>
          <w:vertAlign w:val="superscript"/>
          <w:lang w:val="en-US"/>
        </w:rPr>
        <w:t>2</w:t>
      </w:r>
      <w:r w:rsidRPr="00DF29DD">
        <w:rPr>
          <w:rFonts w:ascii="Arial" w:eastAsiaTheme="minorHAnsi" w:hAnsi="Arial" w:cs="Arial"/>
          <w:sz w:val="16"/>
          <w:szCs w:val="16"/>
          <w:vertAlign w:val="superscript"/>
          <w:lang w:val="en-US"/>
        </w:rPr>
        <w:t>)</w:t>
      </w:r>
      <w:r w:rsidRPr="00DF29DD">
        <w:rPr>
          <w:rFonts w:ascii="Arial" w:eastAsiaTheme="minorHAnsi" w:hAnsi="Arial" w:cs="Arial"/>
          <w:sz w:val="16"/>
          <w:szCs w:val="16"/>
          <w:lang w:val="en-US"/>
        </w:rPr>
        <w:t xml:space="preserve"> Gross Unrealised Value and Gross MOIC</w:t>
      </w:r>
      <w:r w:rsidR="0098020C">
        <w:rPr>
          <w:rFonts w:ascii="Arial" w:eastAsiaTheme="minorHAnsi" w:hAnsi="Arial" w:cs="Arial"/>
          <w:sz w:val="16"/>
          <w:szCs w:val="16"/>
          <w:lang w:val="en-US"/>
        </w:rPr>
        <w:t xml:space="preserve"> </w:t>
      </w:r>
      <w:r w:rsidR="0098020C" w:rsidRPr="0098020C">
        <w:rPr>
          <w:rFonts w:ascii="Arial" w:eastAsiaTheme="minorHAnsi" w:hAnsi="Arial" w:cs="Arial"/>
          <w:sz w:val="16"/>
          <w:szCs w:val="16"/>
          <w:lang w:val="en-US"/>
        </w:rPr>
        <w:t xml:space="preserve">(Gross Multiple of Invested Capital) </w:t>
      </w:r>
      <w:r w:rsidRPr="00DF29DD">
        <w:rPr>
          <w:rFonts w:ascii="Arial" w:eastAsiaTheme="minorHAnsi" w:hAnsi="Arial" w:cs="Arial"/>
          <w:sz w:val="16"/>
          <w:szCs w:val="16"/>
          <w:lang w:val="en-US"/>
        </w:rPr>
        <w:t xml:space="preserve">are before transaction costs, taxes (approximately </w:t>
      </w:r>
      <w:r w:rsidR="0098020C">
        <w:rPr>
          <w:rFonts w:ascii="Arial" w:eastAsiaTheme="minorHAnsi" w:hAnsi="Arial" w:cs="Arial"/>
          <w:sz w:val="16"/>
          <w:szCs w:val="16"/>
          <w:lang w:val="en-US"/>
        </w:rPr>
        <w:t>21</w:t>
      </w:r>
      <w:r w:rsidRPr="00DF29DD">
        <w:rPr>
          <w:rFonts w:ascii="Arial" w:eastAsiaTheme="minorHAnsi" w:hAnsi="Arial" w:cs="Arial"/>
          <w:sz w:val="16"/>
          <w:szCs w:val="16"/>
          <w:lang w:val="en-US"/>
        </w:rPr>
        <w:t xml:space="preserve"> to </w:t>
      </w:r>
      <w:r w:rsidR="0098020C">
        <w:rPr>
          <w:rFonts w:ascii="Arial" w:eastAsiaTheme="minorHAnsi" w:hAnsi="Arial" w:cs="Arial"/>
          <w:sz w:val="16"/>
          <w:szCs w:val="16"/>
          <w:lang w:val="en-US"/>
        </w:rPr>
        <w:t>27.5</w:t>
      </w:r>
      <w:r w:rsidRPr="00DF29DD">
        <w:rPr>
          <w:rFonts w:ascii="Arial" w:eastAsiaTheme="minorHAnsi" w:hAnsi="Arial" w:cs="Arial"/>
          <w:sz w:val="16"/>
          <w:szCs w:val="16"/>
          <w:lang w:val="en-US"/>
        </w:rPr>
        <w:t xml:space="preserve"> per cent. of U.S. sourced taxable income) and </w:t>
      </w:r>
      <w:r w:rsidR="0098020C">
        <w:rPr>
          <w:rFonts w:ascii="Arial" w:eastAsiaTheme="minorHAnsi" w:hAnsi="Arial" w:cs="Arial"/>
          <w:sz w:val="16"/>
          <w:szCs w:val="16"/>
          <w:lang w:val="en-US"/>
        </w:rPr>
        <w:t>20</w:t>
      </w:r>
      <w:r w:rsidRPr="00DF29DD">
        <w:rPr>
          <w:rFonts w:ascii="Arial" w:eastAsiaTheme="minorHAnsi" w:hAnsi="Arial" w:cs="Arial"/>
          <w:sz w:val="16"/>
          <w:szCs w:val="16"/>
          <w:lang w:val="en-US"/>
        </w:rPr>
        <w:t xml:space="preserve"> per cent. carried interest on </w:t>
      </w:r>
      <w:r w:rsidR="0098020C">
        <w:rPr>
          <w:rFonts w:ascii="Arial" w:eastAsiaTheme="minorHAnsi" w:hAnsi="Arial" w:cs="Arial"/>
          <w:sz w:val="16"/>
          <w:szCs w:val="16"/>
          <w:lang w:val="en-US"/>
        </w:rPr>
        <w:t xml:space="preserve">applicable </w:t>
      </w:r>
      <w:r w:rsidRPr="00DF29DD">
        <w:rPr>
          <w:rFonts w:ascii="Arial" w:eastAsiaTheme="minorHAnsi" w:hAnsi="Arial" w:cs="Arial"/>
          <w:sz w:val="16"/>
          <w:szCs w:val="16"/>
          <w:lang w:val="en-US"/>
        </w:rPr>
        <w:t xml:space="preserve">gross profits </w:t>
      </w:r>
      <w:r w:rsidR="0098020C" w:rsidRPr="0098020C">
        <w:rPr>
          <w:rFonts w:ascii="Arial" w:eastAsiaTheme="minorHAnsi" w:hAnsi="Arial" w:cs="Arial"/>
          <w:sz w:val="16"/>
          <w:szCs w:val="16"/>
          <w:lang w:val="en-US"/>
        </w:rPr>
        <w:t>in accordance with the revised terms announced on 3 January 2020, but effective 30 June 2019.</w:t>
      </w:r>
      <w:r w:rsidRPr="00DF29DD">
        <w:rPr>
          <w:rFonts w:ascii="Arial" w:eastAsiaTheme="minorHAnsi" w:hAnsi="Arial" w:cs="Arial"/>
          <w:sz w:val="16"/>
          <w:szCs w:val="16"/>
          <w:lang w:val="en-US"/>
        </w:rPr>
        <w:t xml:space="preserve"> Since there </w:t>
      </w:r>
      <w:r w:rsidR="0098020C">
        <w:rPr>
          <w:rFonts w:ascii="Arial" w:eastAsiaTheme="minorHAnsi" w:hAnsi="Arial" w:cs="Arial"/>
          <w:sz w:val="16"/>
          <w:szCs w:val="16"/>
          <w:lang w:val="en-US"/>
        </w:rPr>
        <w:t>wa</w:t>
      </w:r>
      <w:r w:rsidRPr="00DF29DD">
        <w:rPr>
          <w:rFonts w:ascii="Arial" w:eastAsiaTheme="minorHAnsi" w:hAnsi="Arial" w:cs="Arial"/>
          <w:sz w:val="16"/>
          <w:szCs w:val="16"/>
          <w:lang w:val="en-US"/>
        </w:rPr>
        <w:t>s no netting of losses against gains</w:t>
      </w:r>
      <w:r w:rsidR="0098020C">
        <w:rPr>
          <w:rFonts w:ascii="Arial" w:eastAsiaTheme="minorHAnsi" w:hAnsi="Arial" w:cs="Arial"/>
          <w:sz w:val="16"/>
          <w:szCs w:val="16"/>
          <w:lang w:val="en-US"/>
        </w:rPr>
        <w:t xml:space="preserve"> before the aforementioned revised terms</w:t>
      </w:r>
      <w:r w:rsidRPr="00DF29DD">
        <w:rPr>
          <w:rFonts w:ascii="Arial" w:eastAsiaTheme="minorHAnsi" w:hAnsi="Arial" w:cs="Arial"/>
          <w:sz w:val="16"/>
          <w:szCs w:val="16"/>
          <w:lang w:val="en-US"/>
        </w:rPr>
        <w:t>, the effective carried interest rate on the portfolio a</w:t>
      </w:r>
      <w:r w:rsidR="00F83E1A">
        <w:rPr>
          <w:rFonts w:ascii="Arial" w:eastAsiaTheme="minorHAnsi" w:hAnsi="Arial" w:cs="Arial"/>
          <w:sz w:val="16"/>
          <w:szCs w:val="16"/>
          <w:lang w:val="en-US"/>
        </w:rPr>
        <w:t xml:space="preserve">s a whole will be greater than </w:t>
      </w:r>
      <w:r w:rsidR="0098020C">
        <w:rPr>
          <w:rFonts w:ascii="Arial" w:eastAsiaTheme="minorHAnsi" w:hAnsi="Arial" w:cs="Arial"/>
          <w:sz w:val="16"/>
          <w:szCs w:val="16"/>
          <w:lang w:val="en-US"/>
        </w:rPr>
        <w:t>20</w:t>
      </w:r>
      <w:r w:rsidRPr="00DF29DD">
        <w:rPr>
          <w:rFonts w:ascii="Arial" w:eastAsiaTheme="minorHAnsi" w:hAnsi="Arial" w:cs="Arial"/>
          <w:sz w:val="16"/>
          <w:szCs w:val="16"/>
          <w:lang w:val="en-US"/>
        </w:rPr>
        <w:t xml:space="preserve"> per cent.. In addition, there is a management fee of </w:t>
      </w:r>
      <w:r w:rsidR="0098020C">
        <w:rPr>
          <w:rFonts w:ascii="Arial" w:eastAsiaTheme="minorHAnsi" w:hAnsi="Arial" w:cs="Arial"/>
          <w:sz w:val="16"/>
          <w:szCs w:val="16"/>
          <w:lang w:val="en-US"/>
        </w:rPr>
        <w:t>1.5</w:t>
      </w:r>
      <w:r w:rsidRPr="00DF29DD">
        <w:rPr>
          <w:rFonts w:ascii="Arial" w:eastAsiaTheme="minorHAnsi" w:hAnsi="Arial" w:cs="Arial"/>
          <w:sz w:val="16"/>
          <w:szCs w:val="16"/>
          <w:lang w:val="en-US"/>
        </w:rPr>
        <w:t xml:space="preserve"> per cent. of net assets (including cash) per annum and other expenses. Given these costs, fees and expenses are in aggregate expected to be considerable, Total Net Value and Net MOIC will be materially less than Gross Unrealised Value and Gross MOIC.  Local taxes, primarily on U.S. assets, may apply at the jurisdictional level on profits arising in operating entity investments. Further withholding taxes may apply on distributions from such operating entity investments. In the normal course of </w:t>
      </w:r>
      <w:r w:rsidR="0098020C">
        <w:rPr>
          <w:rFonts w:ascii="Arial" w:eastAsiaTheme="minorHAnsi" w:hAnsi="Arial" w:cs="Arial"/>
          <w:sz w:val="16"/>
          <w:szCs w:val="16"/>
          <w:lang w:val="en-US"/>
        </w:rPr>
        <w:t>b</w:t>
      </w:r>
      <w:r w:rsidRPr="00DF29DD">
        <w:rPr>
          <w:rFonts w:ascii="Arial" w:eastAsiaTheme="minorHAnsi" w:hAnsi="Arial" w:cs="Arial"/>
          <w:sz w:val="16"/>
          <w:szCs w:val="16"/>
          <w:lang w:val="en-US"/>
        </w:rPr>
        <w:t>usiness, REL may form wholly-owned subsidiaries, to be treated as C Corporations for U.S. tax purposes. The C Corporations serve to protect REL’s public investors from incurring U.S. ECI. The C Corporations file U.S. corporate tax returns with the U.S. IRS and pay U.S. corporate taxes on its taxable income</w:t>
      </w:r>
    </w:p>
    <w:p w14:paraId="220BBB0F" w14:textId="77777777" w:rsidR="004173B6" w:rsidRDefault="00DF29DD" w:rsidP="00DF29DD">
      <w:pPr>
        <w:rPr>
          <w:rFonts w:ascii="Arial" w:eastAsiaTheme="minorHAnsi" w:hAnsi="Arial" w:cs="Arial"/>
          <w:sz w:val="16"/>
          <w:szCs w:val="16"/>
        </w:rPr>
      </w:pPr>
      <w:r w:rsidRPr="00DF29DD">
        <w:rPr>
          <w:rFonts w:ascii="Arial" w:eastAsiaTheme="minorHAnsi" w:hAnsi="Arial" w:cs="Arial"/>
          <w:sz w:val="16"/>
          <w:szCs w:val="16"/>
          <w:vertAlign w:val="superscript"/>
          <w:lang w:val="en-US"/>
        </w:rPr>
        <w:t>(</w:t>
      </w:r>
      <w:r w:rsidR="0098020C">
        <w:rPr>
          <w:rFonts w:ascii="Arial" w:eastAsiaTheme="minorHAnsi" w:hAnsi="Arial" w:cs="Arial"/>
          <w:sz w:val="16"/>
          <w:szCs w:val="16"/>
          <w:vertAlign w:val="superscript"/>
          <w:lang w:val="en-US"/>
        </w:rPr>
        <w:t>3</w:t>
      </w:r>
      <w:r w:rsidRPr="00DF29DD">
        <w:rPr>
          <w:rFonts w:ascii="Arial" w:eastAsiaTheme="minorHAnsi" w:hAnsi="Arial" w:cs="Arial"/>
          <w:sz w:val="16"/>
          <w:szCs w:val="16"/>
          <w:vertAlign w:val="superscript"/>
          <w:lang w:val="en-US"/>
        </w:rPr>
        <w:t>)</w:t>
      </w:r>
      <w:r w:rsidRPr="00DF29DD">
        <w:rPr>
          <w:rFonts w:ascii="Arial" w:eastAsiaTheme="minorHAnsi" w:hAnsi="Arial" w:cs="Arial"/>
          <w:sz w:val="16"/>
          <w:szCs w:val="16"/>
          <w:lang w:val="en-US"/>
        </w:rPr>
        <w:t xml:space="preserve"> </w:t>
      </w:r>
      <w:r w:rsidR="004173B6" w:rsidRPr="00DF29DD">
        <w:rPr>
          <w:rFonts w:ascii="Arial" w:eastAsiaTheme="minorHAnsi" w:hAnsi="Arial" w:cs="Arial"/>
          <w:sz w:val="16"/>
          <w:szCs w:val="16"/>
          <w:lang w:val="en-US"/>
        </w:rPr>
        <w:t>Amounts may vary due to rounding</w:t>
      </w:r>
      <w:r w:rsidR="004173B6" w:rsidRPr="00DF29DD">
        <w:rPr>
          <w:rFonts w:ascii="Arial" w:eastAsiaTheme="minorHAnsi" w:hAnsi="Arial" w:cs="Arial"/>
          <w:sz w:val="16"/>
          <w:szCs w:val="16"/>
        </w:rPr>
        <w:t xml:space="preserve"> </w:t>
      </w:r>
    </w:p>
    <w:p w14:paraId="36D537A1" w14:textId="5350A321" w:rsidR="004173B6" w:rsidRPr="00DF29DD" w:rsidRDefault="00DF29DD" w:rsidP="004173B6">
      <w:pPr>
        <w:rPr>
          <w:rFonts w:ascii="Arial" w:eastAsiaTheme="minorHAnsi" w:hAnsi="Arial" w:cs="Arial"/>
          <w:sz w:val="16"/>
          <w:szCs w:val="16"/>
        </w:rPr>
      </w:pPr>
      <w:r w:rsidRPr="00DF29DD">
        <w:rPr>
          <w:rFonts w:ascii="Arial" w:eastAsiaTheme="minorHAnsi" w:hAnsi="Arial" w:cs="Arial"/>
          <w:sz w:val="16"/>
          <w:szCs w:val="16"/>
          <w:vertAlign w:val="superscript"/>
          <w:lang w:val="en-US"/>
        </w:rPr>
        <w:t>(</w:t>
      </w:r>
      <w:r w:rsidR="0098020C">
        <w:rPr>
          <w:rFonts w:ascii="Arial" w:eastAsiaTheme="minorHAnsi" w:hAnsi="Arial" w:cs="Arial"/>
          <w:sz w:val="16"/>
          <w:szCs w:val="16"/>
          <w:vertAlign w:val="superscript"/>
          <w:lang w:val="en-US"/>
        </w:rPr>
        <w:t>4</w:t>
      </w:r>
      <w:r w:rsidRPr="00DF29DD">
        <w:rPr>
          <w:rFonts w:ascii="Arial" w:eastAsiaTheme="minorHAnsi" w:hAnsi="Arial" w:cs="Arial"/>
          <w:sz w:val="16"/>
          <w:szCs w:val="16"/>
          <w:vertAlign w:val="superscript"/>
          <w:lang w:val="en-US"/>
        </w:rPr>
        <w:t>)</w:t>
      </w:r>
      <w:r w:rsidRPr="00DF29DD">
        <w:rPr>
          <w:rFonts w:ascii="Arial" w:eastAsiaTheme="minorHAnsi" w:hAnsi="Arial" w:cs="Arial"/>
          <w:sz w:val="16"/>
          <w:szCs w:val="16"/>
          <w:lang w:val="en-US"/>
        </w:rPr>
        <w:t xml:space="preserve"> </w:t>
      </w:r>
      <w:r w:rsidR="004173B6" w:rsidRPr="00DF29DD">
        <w:rPr>
          <w:rFonts w:ascii="Arial" w:eastAsiaTheme="minorHAnsi" w:hAnsi="Arial" w:cs="Arial"/>
          <w:sz w:val="16"/>
          <w:szCs w:val="16"/>
        </w:rPr>
        <w:t xml:space="preserve">The unrealised value of the Rock Oil investment consists of rights to mineral acres </w:t>
      </w:r>
    </w:p>
    <w:p w14:paraId="1E04C9C8" w14:textId="0C80068D" w:rsidR="00DF29DD" w:rsidRPr="00DF29DD" w:rsidRDefault="00DF29DD" w:rsidP="00DF29DD">
      <w:pPr>
        <w:rPr>
          <w:rFonts w:ascii="Arial" w:eastAsiaTheme="minorHAnsi" w:hAnsi="Arial" w:cs="Arial"/>
          <w:sz w:val="16"/>
          <w:szCs w:val="16"/>
        </w:rPr>
      </w:pPr>
      <w:r w:rsidRPr="00DF29DD">
        <w:rPr>
          <w:rFonts w:ascii="Arial" w:eastAsiaTheme="minorHAnsi" w:hAnsi="Arial" w:cs="Arial"/>
          <w:sz w:val="16"/>
          <w:szCs w:val="16"/>
          <w:vertAlign w:val="superscript"/>
        </w:rPr>
        <w:t>(</w:t>
      </w:r>
      <w:r w:rsidR="0098020C">
        <w:rPr>
          <w:rFonts w:ascii="Arial" w:eastAsiaTheme="minorHAnsi" w:hAnsi="Arial" w:cs="Arial"/>
          <w:sz w:val="16"/>
          <w:szCs w:val="16"/>
          <w:vertAlign w:val="superscript"/>
        </w:rPr>
        <w:t>5</w:t>
      </w:r>
      <w:r w:rsidRPr="00DF29DD">
        <w:rPr>
          <w:rFonts w:ascii="Arial" w:eastAsiaTheme="minorHAnsi" w:hAnsi="Arial" w:cs="Arial"/>
          <w:sz w:val="16"/>
          <w:szCs w:val="16"/>
          <w:vertAlign w:val="superscript"/>
        </w:rPr>
        <w:t>)</w:t>
      </w:r>
      <w:r w:rsidRPr="00DF29DD">
        <w:rPr>
          <w:rFonts w:ascii="Arial" w:eastAsiaTheme="minorHAnsi" w:hAnsi="Arial" w:cs="Arial"/>
          <w:sz w:val="16"/>
          <w:szCs w:val="16"/>
        </w:rPr>
        <w:t xml:space="preserve"> </w:t>
      </w:r>
      <w:r w:rsidR="004173B6" w:rsidRPr="00DF29DD">
        <w:rPr>
          <w:rFonts w:ascii="Arial" w:eastAsiaTheme="minorHAnsi" w:hAnsi="Arial" w:cs="Arial"/>
          <w:sz w:val="16"/>
          <w:szCs w:val="16"/>
        </w:rPr>
        <w:t>Midstream investment</w:t>
      </w:r>
    </w:p>
    <w:p w14:paraId="68C11BB3" w14:textId="77777777" w:rsidR="004173B6" w:rsidRPr="00DF29DD" w:rsidRDefault="00DF29DD" w:rsidP="004173B6">
      <w:pPr>
        <w:rPr>
          <w:rFonts w:ascii="Arial" w:eastAsiaTheme="minorHAnsi" w:hAnsi="Arial" w:cs="Arial"/>
          <w:sz w:val="16"/>
          <w:szCs w:val="16"/>
          <w:lang w:val="en-US"/>
        </w:rPr>
      </w:pPr>
      <w:r w:rsidRPr="00DF29DD">
        <w:rPr>
          <w:rFonts w:ascii="Arial" w:eastAsiaTheme="minorHAnsi" w:hAnsi="Arial" w:cs="Arial"/>
          <w:sz w:val="16"/>
          <w:szCs w:val="16"/>
          <w:vertAlign w:val="superscript"/>
        </w:rPr>
        <w:t>(</w:t>
      </w:r>
      <w:r w:rsidR="0098020C">
        <w:rPr>
          <w:rFonts w:ascii="Arial" w:eastAsiaTheme="minorHAnsi" w:hAnsi="Arial" w:cs="Arial"/>
          <w:sz w:val="16"/>
          <w:szCs w:val="16"/>
          <w:vertAlign w:val="superscript"/>
        </w:rPr>
        <w:t>6</w:t>
      </w:r>
      <w:r w:rsidRPr="00DF29DD">
        <w:rPr>
          <w:rFonts w:ascii="Arial" w:eastAsiaTheme="minorHAnsi" w:hAnsi="Arial" w:cs="Arial"/>
          <w:sz w:val="16"/>
          <w:szCs w:val="16"/>
          <w:vertAlign w:val="superscript"/>
        </w:rPr>
        <w:t xml:space="preserve">)  </w:t>
      </w:r>
      <w:r w:rsidR="004173B6" w:rsidRPr="00DF29DD">
        <w:rPr>
          <w:rFonts w:ascii="Arial" w:eastAsiaTheme="minorHAnsi" w:hAnsi="Arial" w:cs="Arial"/>
          <w:sz w:val="16"/>
          <w:szCs w:val="16"/>
        </w:rPr>
        <w:t>Credit investment</w:t>
      </w:r>
    </w:p>
    <w:p w14:paraId="62DE03B2" w14:textId="6513FC7D" w:rsidR="00DF29DD" w:rsidRDefault="00DF29DD" w:rsidP="00DF29DD">
      <w:pPr>
        <w:rPr>
          <w:rFonts w:ascii="Arial" w:eastAsiaTheme="minorHAnsi" w:hAnsi="Arial" w:cs="Arial"/>
          <w:sz w:val="16"/>
          <w:szCs w:val="16"/>
        </w:rPr>
      </w:pPr>
      <w:r w:rsidRPr="00DF29DD">
        <w:rPr>
          <w:rFonts w:ascii="Arial" w:eastAsiaTheme="minorHAnsi" w:hAnsi="Arial" w:cs="Arial"/>
          <w:sz w:val="16"/>
          <w:szCs w:val="16"/>
          <w:vertAlign w:val="superscript"/>
        </w:rPr>
        <w:t>(</w:t>
      </w:r>
      <w:r w:rsidR="0098020C">
        <w:rPr>
          <w:rFonts w:ascii="Arial" w:eastAsiaTheme="minorHAnsi" w:hAnsi="Arial" w:cs="Arial"/>
          <w:sz w:val="16"/>
          <w:szCs w:val="16"/>
          <w:vertAlign w:val="superscript"/>
        </w:rPr>
        <w:t>7</w:t>
      </w:r>
      <w:r w:rsidRPr="00DF29DD">
        <w:rPr>
          <w:rFonts w:ascii="Arial" w:eastAsiaTheme="minorHAnsi" w:hAnsi="Arial" w:cs="Arial"/>
          <w:sz w:val="16"/>
          <w:szCs w:val="16"/>
          <w:vertAlign w:val="superscript"/>
        </w:rPr>
        <w:t>)</w:t>
      </w:r>
      <w:r w:rsidRPr="00DF29DD">
        <w:rPr>
          <w:rFonts w:ascii="Arial" w:eastAsiaTheme="minorHAnsi" w:hAnsi="Arial" w:cs="Arial"/>
          <w:sz w:val="16"/>
          <w:szCs w:val="16"/>
        </w:rPr>
        <w:t xml:space="preserve"> Withdrawn commitments consist of Origo ($</w:t>
      </w:r>
      <w:r w:rsidR="0098020C">
        <w:rPr>
          <w:rFonts w:ascii="Arial" w:eastAsiaTheme="minorHAnsi" w:hAnsi="Arial" w:cs="Arial"/>
          <w:sz w:val="16"/>
          <w:szCs w:val="16"/>
        </w:rPr>
        <w:t>9</w:t>
      </w:r>
      <w:r w:rsidRPr="00DF29DD">
        <w:rPr>
          <w:rFonts w:ascii="Arial" w:eastAsiaTheme="minorHAnsi" w:hAnsi="Arial" w:cs="Arial"/>
          <w:sz w:val="16"/>
          <w:szCs w:val="16"/>
        </w:rPr>
        <w:t xml:space="preserve"> million) and CanEra III ($</w:t>
      </w:r>
      <w:r w:rsidR="0098020C">
        <w:rPr>
          <w:rFonts w:ascii="Arial" w:eastAsiaTheme="minorHAnsi" w:hAnsi="Arial" w:cs="Arial"/>
          <w:sz w:val="16"/>
          <w:szCs w:val="16"/>
        </w:rPr>
        <w:t>1</w:t>
      </w:r>
      <w:r w:rsidRPr="00DF29DD">
        <w:rPr>
          <w:rFonts w:ascii="Arial" w:eastAsiaTheme="minorHAnsi" w:hAnsi="Arial" w:cs="Arial"/>
          <w:sz w:val="16"/>
          <w:szCs w:val="16"/>
        </w:rPr>
        <w:t xml:space="preserve"> million), and impairments consist of Eagle II ($</w:t>
      </w:r>
      <w:r w:rsidR="0098020C">
        <w:rPr>
          <w:rFonts w:ascii="Arial" w:eastAsiaTheme="minorHAnsi" w:hAnsi="Arial" w:cs="Arial"/>
          <w:sz w:val="16"/>
          <w:szCs w:val="16"/>
        </w:rPr>
        <w:t>62</w:t>
      </w:r>
      <w:r w:rsidRPr="00DF29DD">
        <w:rPr>
          <w:rFonts w:ascii="Arial" w:eastAsiaTheme="minorHAnsi" w:hAnsi="Arial" w:cs="Arial"/>
          <w:sz w:val="16"/>
          <w:szCs w:val="16"/>
        </w:rPr>
        <w:t xml:space="preserve"> million) and Castex 2005 ($</w:t>
      </w:r>
      <w:r w:rsidR="0098020C">
        <w:rPr>
          <w:rFonts w:ascii="Arial" w:eastAsiaTheme="minorHAnsi" w:hAnsi="Arial" w:cs="Arial"/>
          <w:sz w:val="16"/>
          <w:szCs w:val="16"/>
        </w:rPr>
        <w:t>48</w:t>
      </w:r>
      <w:r w:rsidRPr="00DF29DD">
        <w:rPr>
          <w:rFonts w:ascii="Arial" w:eastAsiaTheme="minorHAnsi" w:hAnsi="Arial" w:cs="Arial"/>
          <w:sz w:val="16"/>
          <w:szCs w:val="16"/>
        </w:rPr>
        <w:t xml:space="preserve"> million)</w:t>
      </w:r>
    </w:p>
    <w:p w14:paraId="4ACA2692" w14:textId="40589822" w:rsidR="0098020C" w:rsidRDefault="0098020C" w:rsidP="00DF29DD">
      <w:pPr>
        <w:rPr>
          <w:rFonts w:ascii="Arial" w:eastAsiaTheme="minorHAnsi" w:hAnsi="Arial" w:cs="Arial"/>
          <w:sz w:val="16"/>
          <w:szCs w:val="16"/>
        </w:rPr>
      </w:pPr>
      <w:r w:rsidRPr="00DF29DD">
        <w:rPr>
          <w:rFonts w:ascii="Arial" w:eastAsiaTheme="minorHAnsi" w:hAnsi="Arial" w:cs="Arial"/>
          <w:sz w:val="16"/>
          <w:szCs w:val="16"/>
          <w:vertAlign w:val="superscript"/>
        </w:rPr>
        <w:t>(</w:t>
      </w:r>
      <w:r>
        <w:rPr>
          <w:rFonts w:ascii="Arial" w:eastAsiaTheme="minorHAnsi" w:hAnsi="Arial" w:cs="Arial"/>
          <w:sz w:val="16"/>
          <w:szCs w:val="16"/>
          <w:vertAlign w:val="superscript"/>
        </w:rPr>
        <w:t>8</w:t>
      </w:r>
      <w:r w:rsidRPr="00DF29DD">
        <w:rPr>
          <w:rFonts w:ascii="Arial" w:eastAsiaTheme="minorHAnsi" w:hAnsi="Arial" w:cs="Arial"/>
          <w:sz w:val="16"/>
          <w:szCs w:val="16"/>
          <w:vertAlign w:val="superscript"/>
        </w:rPr>
        <w:t>)</w:t>
      </w:r>
      <w:r w:rsidRPr="00DF29DD">
        <w:rPr>
          <w:rFonts w:ascii="Arial" w:eastAsiaTheme="minorHAnsi" w:hAnsi="Arial" w:cs="Arial"/>
          <w:sz w:val="16"/>
          <w:szCs w:val="16"/>
        </w:rPr>
        <w:t xml:space="preserve"> </w:t>
      </w:r>
      <w:r w:rsidRPr="0098020C">
        <w:rPr>
          <w:rFonts w:ascii="Arial" w:eastAsiaTheme="minorHAnsi" w:hAnsi="Arial" w:cs="Arial"/>
          <w:sz w:val="16"/>
          <w:szCs w:val="16"/>
        </w:rPr>
        <w:t>This figure is comprised of $</w:t>
      </w:r>
      <w:r w:rsidR="001B171A">
        <w:rPr>
          <w:rFonts w:ascii="Arial" w:eastAsiaTheme="minorHAnsi" w:hAnsi="Arial" w:cs="Arial"/>
          <w:sz w:val="16"/>
          <w:szCs w:val="16"/>
          <w:lang w:val="en-US"/>
        </w:rPr>
        <w:t>6</w:t>
      </w:r>
      <w:r w:rsidR="00500531">
        <w:rPr>
          <w:rFonts w:ascii="Arial" w:eastAsiaTheme="minorHAnsi" w:hAnsi="Arial" w:cs="Arial"/>
          <w:sz w:val="16"/>
          <w:szCs w:val="16"/>
          <w:lang w:val="en-US"/>
        </w:rPr>
        <w:t>.4</w:t>
      </w:r>
      <w:r>
        <w:rPr>
          <w:rFonts w:ascii="Arial" w:eastAsiaTheme="minorHAnsi" w:hAnsi="Arial" w:cs="Arial"/>
          <w:sz w:val="16"/>
          <w:szCs w:val="16"/>
          <w:lang w:val="en-US"/>
        </w:rPr>
        <w:t xml:space="preserve"> </w:t>
      </w:r>
      <w:r w:rsidRPr="0098020C">
        <w:rPr>
          <w:rFonts w:ascii="Arial" w:eastAsiaTheme="minorHAnsi" w:hAnsi="Arial" w:cs="Arial"/>
          <w:sz w:val="16"/>
          <w:szCs w:val="16"/>
        </w:rPr>
        <w:t>million held at the Company, $</w:t>
      </w:r>
      <w:r w:rsidR="001B171A">
        <w:rPr>
          <w:rFonts w:ascii="Arial" w:eastAsiaTheme="minorHAnsi" w:hAnsi="Arial" w:cs="Arial"/>
          <w:sz w:val="16"/>
          <w:szCs w:val="16"/>
          <w:lang w:val="en-US"/>
        </w:rPr>
        <w:t>13</w:t>
      </w:r>
      <w:r w:rsidR="00500531">
        <w:rPr>
          <w:rFonts w:ascii="Arial" w:eastAsiaTheme="minorHAnsi" w:hAnsi="Arial" w:cs="Arial"/>
          <w:sz w:val="16"/>
          <w:szCs w:val="16"/>
          <w:lang w:val="en-US"/>
        </w:rPr>
        <w:t>5.</w:t>
      </w:r>
      <w:r w:rsidR="006729B3">
        <w:rPr>
          <w:rFonts w:ascii="Arial" w:eastAsiaTheme="minorHAnsi" w:hAnsi="Arial" w:cs="Arial"/>
          <w:sz w:val="16"/>
          <w:szCs w:val="16"/>
          <w:lang w:val="en-US"/>
        </w:rPr>
        <w:t>5</w:t>
      </w:r>
      <w:r>
        <w:rPr>
          <w:rFonts w:ascii="Arial" w:eastAsiaTheme="minorHAnsi" w:hAnsi="Arial" w:cs="Arial"/>
          <w:sz w:val="16"/>
          <w:szCs w:val="16"/>
          <w:lang w:val="en-US"/>
        </w:rPr>
        <w:t xml:space="preserve"> </w:t>
      </w:r>
      <w:r w:rsidRPr="0098020C">
        <w:rPr>
          <w:rFonts w:ascii="Arial" w:eastAsiaTheme="minorHAnsi" w:hAnsi="Arial" w:cs="Arial"/>
          <w:sz w:val="16"/>
          <w:szCs w:val="16"/>
        </w:rPr>
        <w:t>million held at the Partnership and $</w:t>
      </w:r>
      <w:r w:rsidR="001B171A">
        <w:rPr>
          <w:rFonts w:ascii="Arial" w:eastAsiaTheme="minorHAnsi" w:hAnsi="Arial" w:cs="Arial"/>
          <w:sz w:val="16"/>
          <w:szCs w:val="16"/>
          <w:lang w:val="en-US"/>
        </w:rPr>
        <w:t>2</w:t>
      </w:r>
      <w:r w:rsidR="00500531">
        <w:rPr>
          <w:rFonts w:ascii="Arial" w:eastAsiaTheme="minorHAnsi" w:hAnsi="Arial" w:cs="Arial"/>
          <w:sz w:val="16"/>
          <w:szCs w:val="16"/>
          <w:lang w:val="en-US"/>
        </w:rPr>
        <w:t>1.7</w:t>
      </w:r>
      <w:r>
        <w:rPr>
          <w:rFonts w:ascii="Arial" w:eastAsiaTheme="minorHAnsi" w:hAnsi="Arial" w:cs="Arial"/>
          <w:sz w:val="16"/>
          <w:szCs w:val="16"/>
          <w:lang w:val="en-US"/>
        </w:rPr>
        <w:t xml:space="preserve"> </w:t>
      </w:r>
      <w:r w:rsidRPr="0098020C">
        <w:rPr>
          <w:rFonts w:ascii="Arial" w:eastAsiaTheme="minorHAnsi" w:hAnsi="Arial" w:cs="Arial"/>
          <w:sz w:val="16"/>
          <w:szCs w:val="16"/>
        </w:rPr>
        <w:t>million held at REL US Corp</w:t>
      </w:r>
    </w:p>
    <w:p w14:paraId="7A40B1E1" w14:textId="77777777" w:rsidR="00DF29DD" w:rsidRPr="00DF29DD" w:rsidRDefault="00DF29DD" w:rsidP="00DF29DD">
      <w:pPr>
        <w:rPr>
          <w:rFonts w:ascii="Arial" w:eastAsiaTheme="minorHAnsi" w:hAnsi="Arial" w:cs="Arial"/>
          <w:sz w:val="20"/>
          <w:szCs w:val="20"/>
        </w:rPr>
      </w:pPr>
    </w:p>
    <w:p w14:paraId="1EF50C5C" w14:textId="4D081CC0" w:rsidR="00DF29DD" w:rsidRDefault="00DF29DD" w:rsidP="00DF29DD">
      <w:pPr>
        <w:ind w:left="567" w:hanging="567"/>
        <w:outlineLvl w:val="1"/>
        <w:rPr>
          <w:rFonts w:ascii="Arial" w:eastAsiaTheme="minorHAnsi" w:hAnsi="Arial" w:cs="Arial"/>
          <w:b/>
          <w:sz w:val="28"/>
          <w:szCs w:val="20"/>
        </w:rPr>
      </w:pPr>
      <w:r w:rsidRPr="00DF29DD">
        <w:rPr>
          <w:rFonts w:ascii="Arial" w:eastAsiaTheme="minorHAnsi" w:hAnsi="Arial" w:cs="Arial"/>
          <w:b/>
          <w:sz w:val="28"/>
          <w:szCs w:val="20"/>
        </w:rPr>
        <w:t>Investment Portfolio Summary</w:t>
      </w:r>
    </w:p>
    <w:p w14:paraId="39E7F692" w14:textId="19D25143" w:rsidR="00DF29DD" w:rsidRPr="00DF29DD" w:rsidRDefault="00F83E1A" w:rsidP="00DF29DD">
      <w:pPr>
        <w:rPr>
          <w:rFonts w:ascii="Arial" w:eastAsiaTheme="minorHAnsi" w:hAnsi="Arial" w:cs="Arial"/>
          <w:sz w:val="20"/>
          <w:szCs w:val="20"/>
        </w:rPr>
      </w:pPr>
      <w:r>
        <w:rPr>
          <w:rFonts w:ascii="Arial" w:eastAsiaTheme="minorHAnsi" w:hAnsi="Arial" w:cs="Arial"/>
          <w:sz w:val="20"/>
          <w:szCs w:val="20"/>
        </w:rPr>
        <w:t>As of 30 June 2020</w:t>
      </w:r>
      <w:r w:rsidR="00DF29DD" w:rsidRPr="00DF29DD">
        <w:rPr>
          <w:rFonts w:ascii="Arial" w:eastAsiaTheme="minorHAnsi" w:hAnsi="Arial" w:cs="Arial"/>
          <w:sz w:val="20"/>
          <w:szCs w:val="20"/>
        </w:rPr>
        <w:t xml:space="preserve">, </w:t>
      </w:r>
      <w:r w:rsidR="00DF29DD" w:rsidRPr="00DF29DD">
        <w:rPr>
          <w:rFonts w:ascii="Arial" w:eastAsia="Calibri" w:hAnsi="Arial" w:cs="Arial"/>
          <w:sz w:val="20"/>
          <w:szCs w:val="20"/>
        </w:rPr>
        <w:t xml:space="preserve">REL’s portfolio comprised </w:t>
      </w:r>
      <w:r w:rsidR="004173B6">
        <w:rPr>
          <w:rFonts w:ascii="Arial" w:eastAsiaTheme="minorHAnsi" w:hAnsi="Arial" w:cs="Arial"/>
          <w:color w:val="000000" w:themeColor="text1"/>
          <w:sz w:val="20"/>
          <w:szCs w:val="20"/>
        </w:rPr>
        <w:t>nine</w:t>
      </w:r>
      <w:r w:rsidR="00DF29DD" w:rsidRPr="00DF29DD">
        <w:rPr>
          <w:rFonts w:ascii="Arial" w:eastAsiaTheme="minorHAnsi" w:hAnsi="Arial" w:cs="Arial"/>
          <w:sz w:val="20"/>
          <w:szCs w:val="20"/>
        </w:rPr>
        <w:t xml:space="preserve"> </w:t>
      </w:r>
      <w:r w:rsidR="00DF29DD" w:rsidRPr="00DF29DD">
        <w:rPr>
          <w:rFonts w:ascii="Arial" w:eastAsia="Calibri" w:hAnsi="Arial" w:cs="Arial"/>
          <w:sz w:val="20"/>
          <w:szCs w:val="20"/>
        </w:rPr>
        <w:t xml:space="preserve">active investments including </w:t>
      </w:r>
      <w:r w:rsidR="004173B6">
        <w:rPr>
          <w:rFonts w:ascii="Arial" w:eastAsiaTheme="minorHAnsi" w:hAnsi="Arial" w:cs="Arial"/>
          <w:color w:val="000000" w:themeColor="text1"/>
          <w:sz w:val="20"/>
          <w:szCs w:val="20"/>
        </w:rPr>
        <w:t>seven</w:t>
      </w:r>
      <w:r w:rsidR="00DF29DD" w:rsidRPr="00DF29DD">
        <w:rPr>
          <w:rFonts w:ascii="Arial" w:eastAsiaTheme="minorHAnsi" w:hAnsi="Arial" w:cs="Arial"/>
          <w:sz w:val="20"/>
          <w:szCs w:val="20"/>
        </w:rPr>
        <w:t xml:space="preserve"> </w:t>
      </w:r>
      <w:r w:rsidR="00DF29DD" w:rsidRPr="00DF29DD">
        <w:rPr>
          <w:rFonts w:ascii="Arial" w:eastAsia="Calibri" w:hAnsi="Arial" w:cs="Arial"/>
          <w:sz w:val="20"/>
          <w:szCs w:val="20"/>
        </w:rPr>
        <w:t xml:space="preserve">E&amp;P investments, </w:t>
      </w:r>
      <w:r w:rsidR="00DF29DD" w:rsidRPr="00DF29DD">
        <w:rPr>
          <w:rFonts w:ascii="Arial" w:eastAsiaTheme="minorHAnsi" w:hAnsi="Arial" w:cs="Arial"/>
          <w:color w:val="000000" w:themeColor="text1"/>
          <w:sz w:val="20"/>
          <w:szCs w:val="20"/>
        </w:rPr>
        <w:t>one</w:t>
      </w:r>
      <w:r w:rsidR="00DF29DD" w:rsidRPr="00DF29DD">
        <w:rPr>
          <w:rFonts w:ascii="Arial" w:eastAsia="Calibri" w:hAnsi="Arial" w:cs="Arial"/>
          <w:sz w:val="20"/>
          <w:szCs w:val="20"/>
        </w:rPr>
        <w:t xml:space="preserve"> </w:t>
      </w:r>
      <w:r w:rsidR="004173B6">
        <w:rPr>
          <w:rFonts w:ascii="Arial" w:eastAsia="Calibri" w:hAnsi="Arial" w:cs="Arial"/>
          <w:sz w:val="20"/>
          <w:szCs w:val="20"/>
        </w:rPr>
        <w:t xml:space="preserve">transportation </w:t>
      </w:r>
      <w:r w:rsidR="00DF29DD" w:rsidRPr="00DF29DD">
        <w:rPr>
          <w:rFonts w:ascii="Arial" w:eastAsia="Calibri" w:hAnsi="Arial" w:cs="Arial"/>
          <w:sz w:val="20"/>
          <w:szCs w:val="20"/>
        </w:rPr>
        <w:t>energy services investment</w:t>
      </w:r>
      <w:r w:rsidR="004173B6">
        <w:rPr>
          <w:rFonts w:ascii="Arial" w:eastAsia="Calibri" w:hAnsi="Arial" w:cs="Arial"/>
          <w:sz w:val="20"/>
          <w:szCs w:val="20"/>
        </w:rPr>
        <w:t xml:space="preserve"> and one power investment</w:t>
      </w:r>
      <w:r w:rsidR="00DF29DD" w:rsidRPr="00DF29DD">
        <w:rPr>
          <w:rFonts w:ascii="Arial" w:eastAsia="Calibri" w:hAnsi="Arial" w:cs="Arial"/>
          <w:sz w:val="20"/>
          <w:szCs w:val="20"/>
        </w:rPr>
        <w:t>.</w:t>
      </w:r>
    </w:p>
    <w:p w14:paraId="12EB0E04" w14:textId="77777777" w:rsidR="00DF29DD" w:rsidRPr="00DF29DD" w:rsidRDefault="00DF29DD" w:rsidP="00DF29DD">
      <w:pPr>
        <w:rPr>
          <w:rFonts w:ascii="Arial" w:eastAsiaTheme="majorEastAsia" w:hAnsi="Arial" w:cstheme="majorBidi"/>
          <w:bCs/>
          <w:sz w:val="26"/>
          <w:szCs w:val="20"/>
          <w:highlight w:val="yellow"/>
        </w:rPr>
      </w:pPr>
    </w:p>
    <w:p w14:paraId="7DA918A1" w14:textId="77777777" w:rsidR="00D65748" w:rsidRPr="00D65748" w:rsidRDefault="00D65748" w:rsidP="00D65748">
      <w:pPr>
        <w:rPr>
          <w:rFonts w:ascii="Arial" w:eastAsiaTheme="majorEastAsia" w:hAnsi="Arial" w:cstheme="majorBidi"/>
          <w:bCs/>
          <w:sz w:val="26"/>
          <w:szCs w:val="20"/>
        </w:rPr>
      </w:pPr>
      <w:r w:rsidRPr="00D65748">
        <w:rPr>
          <w:rFonts w:ascii="Arial" w:eastAsiaTheme="majorEastAsia" w:hAnsi="Arial" w:cstheme="majorBidi"/>
          <w:bCs/>
          <w:sz w:val="26"/>
          <w:szCs w:val="20"/>
        </w:rPr>
        <w:t xml:space="preserve">Centennial </w:t>
      </w:r>
    </w:p>
    <w:p w14:paraId="5B22D684" w14:textId="77777777" w:rsidR="00D65748" w:rsidRPr="00D65748" w:rsidRDefault="00D65748" w:rsidP="00D65748">
      <w:pPr>
        <w:rPr>
          <w:rFonts w:ascii="Arial" w:eastAsia="Calibri" w:hAnsi="Arial" w:cs="Arial"/>
          <w:color w:val="000000"/>
          <w:sz w:val="20"/>
          <w:szCs w:val="20"/>
        </w:rPr>
      </w:pPr>
      <w:r w:rsidRPr="00D65748">
        <w:rPr>
          <w:rFonts w:ascii="Arial" w:eastAsia="Calibri" w:hAnsi="Arial" w:cs="Arial"/>
          <w:color w:val="000000"/>
          <w:sz w:val="20"/>
          <w:szCs w:val="20"/>
        </w:rPr>
        <w:t xml:space="preserve">As of </w:t>
      </w:r>
      <w:r w:rsidRPr="00D65748">
        <w:rPr>
          <w:rFonts w:ascii="Arial" w:eastAsia="Cambria" w:hAnsi="Arial" w:cs="Arial"/>
          <w:color w:val="000000"/>
          <w:sz w:val="20"/>
          <w:szCs w:val="20"/>
        </w:rPr>
        <w:t>30 June 2020</w:t>
      </w:r>
      <w:r w:rsidRPr="00D65748">
        <w:rPr>
          <w:rFonts w:ascii="Arial" w:eastAsia="Calibri" w:hAnsi="Arial" w:cs="Arial"/>
          <w:color w:val="000000"/>
          <w:sz w:val="20"/>
          <w:szCs w:val="20"/>
        </w:rPr>
        <w:t>, REL, through the Partnership, has invested in full its $268 million commitment to Centennial. Centennial is an E&amp;P company focussed on the acquisition and development of oil and liquids-rich natural gas resources in the Permian Delaware Basin, West Texas. The company has rapidly aggregated an 80,200 net acre position in its targeted basin.</w:t>
      </w:r>
    </w:p>
    <w:p w14:paraId="628C73DF" w14:textId="77777777" w:rsidR="00D65748" w:rsidRPr="00D65748" w:rsidRDefault="00D65748" w:rsidP="00D65748">
      <w:pPr>
        <w:rPr>
          <w:rFonts w:ascii="Arial" w:eastAsia="Calibri" w:hAnsi="Arial" w:cs="Arial"/>
          <w:color w:val="000000"/>
          <w:sz w:val="20"/>
          <w:szCs w:val="20"/>
        </w:rPr>
      </w:pPr>
    </w:p>
    <w:p w14:paraId="41461DC2" w14:textId="77777777" w:rsidR="00D65748" w:rsidRPr="00D65748" w:rsidRDefault="00D65748" w:rsidP="00D65748">
      <w:pPr>
        <w:rPr>
          <w:rFonts w:ascii="Arial" w:eastAsia="Calibri" w:hAnsi="Arial" w:cs="Arial"/>
          <w:color w:val="000000"/>
          <w:sz w:val="20"/>
          <w:szCs w:val="20"/>
        </w:rPr>
      </w:pPr>
      <w:r w:rsidRPr="00D65748">
        <w:rPr>
          <w:rFonts w:ascii="Arial" w:eastAsia="Calibri" w:hAnsi="Arial" w:cs="Arial"/>
          <w:color w:val="000000"/>
          <w:sz w:val="20"/>
          <w:szCs w:val="20"/>
        </w:rPr>
        <w:t xml:space="preserve">Centennial has significantly reduced drilling activity and does not plan on running any rigs until the current commodity price environment materially improves. The company is currently focussed on preserving balance sheet strength and liquidity and completed an 8.00% second lien senior secured up-tier exchange extinguishing approximately $127 million of debt from its capital structure. Current 2020 FY guidance contemplates a 17 per cent. reduction in oil equivalent production during the 2020. To-date, Centennial has hedged approximately 19,404 barrels of oil per day through 2020 at a weighted average price of $26.95 per barrel.   </w:t>
      </w:r>
    </w:p>
    <w:p w14:paraId="39F07CF5" w14:textId="77777777" w:rsidR="00D65748" w:rsidRPr="00D65748" w:rsidRDefault="00D65748" w:rsidP="00D65748">
      <w:pPr>
        <w:rPr>
          <w:rFonts w:ascii="Arial" w:eastAsia="Calibri" w:hAnsi="Arial" w:cs="Arial"/>
          <w:color w:val="000000"/>
          <w:sz w:val="20"/>
          <w:szCs w:val="20"/>
        </w:rPr>
      </w:pPr>
    </w:p>
    <w:p w14:paraId="59F6A8E8" w14:textId="77777777" w:rsidR="00D65748" w:rsidRPr="00D65748" w:rsidRDefault="00D65748" w:rsidP="00D65748">
      <w:pPr>
        <w:rPr>
          <w:rFonts w:ascii="Arial" w:eastAsia="Calibri" w:hAnsi="Arial" w:cs="Arial"/>
          <w:color w:val="000000"/>
          <w:sz w:val="20"/>
          <w:szCs w:val="20"/>
        </w:rPr>
      </w:pPr>
      <w:r w:rsidRPr="00D65748">
        <w:rPr>
          <w:rFonts w:ascii="Arial" w:eastAsia="Calibri" w:hAnsi="Arial" w:cs="Arial"/>
          <w:color w:val="000000"/>
          <w:sz w:val="20"/>
          <w:szCs w:val="20"/>
        </w:rPr>
        <w:t xml:space="preserve">REL, through the Partnership, owns approximately 15.2 million shares which are publicly traded (NASDAQ:CDEV), at a weighted average purchase price of $11.21. </w:t>
      </w:r>
    </w:p>
    <w:p w14:paraId="66BAA751" w14:textId="77777777" w:rsidR="00D65748" w:rsidRPr="00D65748" w:rsidRDefault="00D65748" w:rsidP="00D65748">
      <w:pPr>
        <w:rPr>
          <w:rFonts w:ascii="Arial" w:eastAsia="Calibri" w:hAnsi="Arial" w:cs="Arial"/>
          <w:color w:val="000000"/>
        </w:rPr>
      </w:pPr>
    </w:p>
    <w:p w14:paraId="21B1C2DE" w14:textId="77777777" w:rsidR="00D65748" w:rsidRPr="00D65748" w:rsidRDefault="00D65748" w:rsidP="00D65748">
      <w:pPr>
        <w:rPr>
          <w:rFonts w:ascii="Arial" w:eastAsia="Calibri" w:hAnsi="Arial" w:cs="Arial"/>
          <w:color w:val="000000" w:themeColor="text1"/>
        </w:rPr>
      </w:pPr>
      <w:r w:rsidRPr="00D65748">
        <w:rPr>
          <w:rFonts w:ascii="Arial" w:eastAsia="Calibri" w:hAnsi="Arial" w:cs="Arial"/>
          <w:color w:val="000000"/>
          <w:sz w:val="20"/>
          <w:szCs w:val="20"/>
        </w:rPr>
        <w:t>As of 30</w:t>
      </w:r>
      <w:r w:rsidRPr="00D65748">
        <w:rPr>
          <w:rFonts w:ascii="Arial" w:eastAsia="Cambria" w:hAnsi="Arial" w:cs="Arial"/>
          <w:color w:val="000000"/>
          <w:sz w:val="20"/>
          <w:szCs w:val="20"/>
        </w:rPr>
        <w:t xml:space="preserve"> June 2020</w:t>
      </w:r>
      <w:r w:rsidRPr="00D65748">
        <w:rPr>
          <w:rFonts w:ascii="Arial" w:eastAsia="Calibri" w:hAnsi="Arial" w:cs="Arial"/>
          <w:color w:val="000000"/>
          <w:sz w:val="20"/>
          <w:szCs w:val="20"/>
        </w:rPr>
        <w:t>, REL’s interest in Centennial, through the Partnership, was valued at 0.7x Gross MOIC</w:t>
      </w:r>
      <w:r w:rsidRPr="00D65748">
        <w:rPr>
          <w:rFonts w:ascii="Arial" w:eastAsia="Calibri" w:hAnsi="Arial" w:cs="Arial"/>
          <w:color w:val="000000"/>
          <w:sz w:val="20"/>
          <w:szCs w:val="20"/>
          <w:vertAlign w:val="superscript"/>
        </w:rPr>
        <w:t>(1)</w:t>
      </w:r>
      <w:r w:rsidRPr="00D65748">
        <w:rPr>
          <w:rFonts w:ascii="Arial" w:eastAsia="Calibri" w:hAnsi="Arial" w:cs="Arial"/>
          <w:color w:val="000000"/>
          <w:sz w:val="20"/>
          <w:szCs w:val="20"/>
        </w:rPr>
        <w:t xml:space="preserve"> or $185 million </w:t>
      </w:r>
      <w:r w:rsidRPr="00D65748">
        <w:rPr>
          <w:rFonts w:ascii="Arial" w:eastAsia="Cambria" w:hAnsi="Arial" w:cs="Arial"/>
          <w:color w:val="000000"/>
          <w:sz w:val="20"/>
          <w:szCs w:val="20"/>
        </w:rPr>
        <w:t>(Realised: $172 million, Unrealised: $13 million)</w:t>
      </w:r>
      <w:r w:rsidRPr="00D65748">
        <w:rPr>
          <w:rFonts w:ascii="Arial" w:eastAsia="Calibri" w:hAnsi="Arial" w:cs="Arial"/>
          <w:color w:val="000000"/>
          <w:sz w:val="20"/>
          <w:szCs w:val="20"/>
        </w:rPr>
        <w:t>. The Gross MOIC</w:t>
      </w:r>
      <w:r w:rsidRPr="00D65748">
        <w:rPr>
          <w:rFonts w:ascii="Arial" w:eastAsia="Cambria" w:hAnsi="Arial" w:cs="Arial"/>
          <w:color w:val="000000"/>
          <w:sz w:val="20"/>
          <w:szCs w:val="20"/>
          <w:vertAlign w:val="superscript"/>
        </w:rPr>
        <w:t>(1)</w:t>
      </w:r>
      <w:r w:rsidRPr="00D65748">
        <w:rPr>
          <w:rFonts w:ascii="Arial" w:eastAsia="Calibri" w:hAnsi="Arial" w:cs="Arial"/>
          <w:color w:val="000000"/>
          <w:sz w:val="20"/>
          <w:szCs w:val="20"/>
        </w:rPr>
        <w:t>, which reflects the mark-to-market value of REL’s shareholding, decreased over the period.</w:t>
      </w:r>
      <w:r w:rsidRPr="00D65748">
        <w:rPr>
          <w:rFonts w:ascii="Arial" w:eastAsia="Calibri" w:hAnsi="Arial" w:cs="Arial"/>
          <w:color w:val="000000" w:themeColor="text1"/>
        </w:rPr>
        <w:t xml:space="preserve"> </w:t>
      </w:r>
    </w:p>
    <w:p w14:paraId="3B8D7C77" w14:textId="77777777" w:rsidR="00D65748" w:rsidRPr="00DF29DD" w:rsidRDefault="00D65748" w:rsidP="00D65748">
      <w:pPr>
        <w:rPr>
          <w:rFonts w:eastAsia="Calibri"/>
          <w:color w:val="000000" w:themeColor="text1"/>
        </w:rPr>
      </w:pPr>
    </w:p>
    <w:p w14:paraId="3DECB573" w14:textId="77777777" w:rsidR="00D65748" w:rsidRPr="00D65748" w:rsidDel="00B6143B" w:rsidRDefault="00D65748" w:rsidP="00D65748">
      <w:pPr>
        <w:keepNext/>
        <w:keepLines/>
        <w:outlineLvl w:val="2"/>
        <w:rPr>
          <w:rFonts w:ascii="Arial" w:eastAsiaTheme="majorEastAsia" w:hAnsi="Arial" w:cstheme="majorBidi"/>
          <w:bCs/>
          <w:sz w:val="26"/>
          <w:szCs w:val="20"/>
        </w:rPr>
      </w:pPr>
      <w:r w:rsidRPr="00D65748" w:rsidDel="00B6143B">
        <w:rPr>
          <w:rFonts w:ascii="Arial" w:eastAsiaTheme="majorEastAsia" w:hAnsi="Arial" w:cstheme="majorBidi"/>
          <w:bCs/>
          <w:sz w:val="26"/>
          <w:szCs w:val="20"/>
        </w:rPr>
        <w:t xml:space="preserve">ILX III </w:t>
      </w:r>
    </w:p>
    <w:p w14:paraId="3CF9DCE9" w14:textId="77777777" w:rsidR="00D65748" w:rsidRPr="00D65748" w:rsidRDefault="00D65748" w:rsidP="00D65748">
      <w:pPr>
        <w:rPr>
          <w:rFonts w:ascii="Arial" w:eastAsia="Cambria" w:hAnsi="Arial" w:cs="Arial"/>
          <w:color w:val="000000"/>
          <w:sz w:val="20"/>
          <w:szCs w:val="20"/>
        </w:rPr>
      </w:pPr>
      <w:r w:rsidRPr="00D65748">
        <w:rPr>
          <w:rFonts w:ascii="Arial" w:eastAsia="Cambria" w:hAnsi="Arial" w:cs="Arial"/>
          <w:color w:val="000000"/>
          <w:sz w:val="20"/>
          <w:szCs w:val="20"/>
        </w:rPr>
        <w:t xml:space="preserve">As of 30 June 2020, REL, through the Partnership, has invested $160 million of its $200 million commitment to ILX III. ILX III, based in Houston, Texas, is a joint-venture with Ridgewood Energy Corporation and pursues a strategy of acquiring non-operated working interests in oil-focussed exploration projects in the Gulf of Mexico. To date, the company has participated in nine commercial discoveries, of which three are currently producing oil, and two are temporarily shut-in. </w:t>
      </w:r>
    </w:p>
    <w:p w14:paraId="589CB235" w14:textId="77777777" w:rsidR="00D65748" w:rsidRPr="00D65748" w:rsidRDefault="00D65748" w:rsidP="00D65748">
      <w:pPr>
        <w:rPr>
          <w:rFonts w:ascii="Arial" w:eastAsia="Cambria" w:hAnsi="Arial" w:cs="Arial"/>
          <w:color w:val="000000"/>
          <w:sz w:val="20"/>
          <w:szCs w:val="20"/>
        </w:rPr>
      </w:pPr>
    </w:p>
    <w:p w14:paraId="0E6D73BF" w14:textId="21D117C3" w:rsidR="00D65748" w:rsidRPr="00D65748" w:rsidRDefault="00D65748" w:rsidP="00D65748">
      <w:pPr>
        <w:rPr>
          <w:rFonts w:ascii="Arial" w:eastAsia="Cambria" w:hAnsi="Arial" w:cs="Arial"/>
          <w:color w:val="000000"/>
          <w:sz w:val="20"/>
          <w:szCs w:val="20"/>
        </w:rPr>
      </w:pPr>
      <w:r w:rsidRPr="00D65748">
        <w:rPr>
          <w:rFonts w:ascii="Arial" w:eastAsia="Cambria" w:hAnsi="Arial" w:cs="Arial"/>
          <w:color w:val="000000"/>
          <w:sz w:val="20"/>
          <w:szCs w:val="20"/>
        </w:rPr>
        <w:t xml:space="preserve">In 2019, ILX III divested its interest in ten undrilled prospects through transactions with Ridgewood Energy Corporation and Murphy Oil Corporation (NYSE: MUR). Additionally, in February, ILX III closed the sale of its 18 remaining undrilled exploration leases to Talos for cash proceeds and Talos shares. During the month of June, ILX III hedged approximately 642,000 barrels of forecasted oil production, at a weighted average price of $42 per barrel, to protect against additional downside risk. </w:t>
      </w:r>
    </w:p>
    <w:p w14:paraId="17FE2DB9" w14:textId="77777777" w:rsidR="00D65748" w:rsidRPr="00D65748" w:rsidRDefault="00D65748" w:rsidP="00D65748">
      <w:pPr>
        <w:rPr>
          <w:rFonts w:ascii="Arial" w:eastAsia="Cambria" w:hAnsi="Arial" w:cs="Arial"/>
          <w:color w:val="000000"/>
          <w:sz w:val="20"/>
          <w:szCs w:val="20"/>
        </w:rPr>
      </w:pPr>
    </w:p>
    <w:p w14:paraId="0D2CC2B0" w14:textId="77777777" w:rsidR="00D65748" w:rsidRPr="00D65748" w:rsidRDefault="00D65748" w:rsidP="00D65748">
      <w:pPr>
        <w:rPr>
          <w:rFonts w:ascii="Arial" w:eastAsia="Cambria" w:hAnsi="Arial" w:cs="Arial"/>
          <w:color w:val="000000"/>
          <w:sz w:val="20"/>
          <w:szCs w:val="20"/>
        </w:rPr>
      </w:pPr>
      <w:r w:rsidRPr="00D65748">
        <w:rPr>
          <w:rFonts w:ascii="Arial" w:eastAsia="Cambria" w:hAnsi="Arial" w:cs="Arial"/>
          <w:color w:val="000000"/>
          <w:sz w:val="20"/>
          <w:szCs w:val="20"/>
        </w:rPr>
        <w:t>As of 30 June 2020, REL’s interest in ILX III, through the Partnership, was valued at 0.7x Gross MOIC</w:t>
      </w:r>
      <w:r w:rsidRPr="00D65748">
        <w:rPr>
          <w:rFonts w:ascii="Arial" w:eastAsia="Cambria" w:hAnsi="Arial" w:cs="Arial"/>
          <w:color w:val="000000"/>
          <w:sz w:val="20"/>
          <w:szCs w:val="20"/>
          <w:vertAlign w:val="superscript"/>
        </w:rPr>
        <w:t>(1)</w:t>
      </w:r>
      <w:r w:rsidRPr="00D65748">
        <w:rPr>
          <w:rFonts w:ascii="Arial" w:eastAsia="Cambria" w:hAnsi="Arial" w:cs="Arial"/>
          <w:color w:val="000000"/>
          <w:sz w:val="20"/>
          <w:szCs w:val="20"/>
        </w:rPr>
        <w:t xml:space="preserve"> or $112 million (Realised: $5 million, Unrealised: $107 million). The Gross MOIC</w:t>
      </w:r>
      <w:r w:rsidRPr="00D65748">
        <w:rPr>
          <w:rFonts w:ascii="Arial" w:eastAsia="Cambria" w:hAnsi="Arial" w:cs="Arial"/>
          <w:color w:val="000000"/>
          <w:sz w:val="20"/>
          <w:szCs w:val="20"/>
          <w:vertAlign w:val="superscript"/>
        </w:rPr>
        <w:t>(1)</w:t>
      </w:r>
      <w:r w:rsidRPr="00D65748">
        <w:rPr>
          <w:rFonts w:ascii="Arial" w:eastAsia="Cambria" w:hAnsi="Arial" w:cs="Arial"/>
          <w:color w:val="000000"/>
          <w:sz w:val="20"/>
          <w:szCs w:val="20"/>
        </w:rPr>
        <w:t xml:space="preserve"> decreased over the period.</w:t>
      </w:r>
    </w:p>
    <w:p w14:paraId="0935A16C" w14:textId="77777777" w:rsidR="00D65748" w:rsidRDefault="00D65748" w:rsidP="00D65748">
      <w:pPr>
        <w:rPr>
          <w:rFonts w:eastAsiaTheme="majorEastAsia" w:cstheme="majorBidi"/>
          <w:bCs/>
          <w:sz w:val="26"/>
        </w:rPr>
      </w:pPr>
    </w:p>
    <w:p w14:paraId="697E6AA6" w14:textId="77777777" w:rsidR="00D65748" w:rsidRPr="00D65748" w:rsidRDefault="00D65748" w:rsidP="00D65748">
      <w:pPr>
        <w:keepNext/>
        <w:keepLines/>
        <w:outlineLvl w:val="2"/>
        <w:rPr>
          <w:rFonts w:ascii="Arial" w:eastAsiaTheme="majorEastAsia" w:hAnsi="Arial" w:cstheme="majorBidi"/>
          <w:bCs/>
          <w:sz w:val="26"/>
          <w:szCs w:val="20"/>
        </w:rPr>
      </w:pPr>
      <w:r w:rsidRPr="00D65748">
        <w:rPr>
          <w:rFonts w:ascii="Arial" w:eastAsiaTheme="majorEastAsia" w:hAnsi="Arial" w:cstheme="majorBidi"/>
          <w:bCs/>
          <w:sz w:val="26"/>
          <w:szCs w:val="20"/>
        </w:rPr>
        <w:lastRenderedPageBreak/>
        <w:t xml:space="preserve">Carrier II </w:t>
      </w:r>
    </w:p>
    <w:p w14:paraId="31CE47E9" w14:textId="77777777" w:rsidR="00D65748" w:rsidRPr="00D65748" w:rsidRDefault="00D65748" w:rsidP="00D65748">
      <w:pPr>
        <w:rPr>
          <w:rFonts w:ascii="Arial" w:eastAsia="Calibri" w:hAnsi="Arial" w:cs="Arial"/>
          <w:color w:val="000000"/>
          <w:sz w:val="20"/>
          <w:szCs w:val="20"/>
        </w:rPr>
      </w:pPr>
      <w:r w:rsidRPr="00D65748">
        <w:rPr>
          <w:rFonts w:ascii="Arial" w:eastAsia="Cambria" w:hAnsi="Arial" w:cs="Arial"/>
          <w:color w:val="000000"/>
          <w:sz w:val="20"/>
          <w:szCs w:val="20"/>
        </w:rPr>
        <w:t>As of 30 June 2020, REL, through the Partnership, has invested $110 million of its $133 million commitment to Carrier II</w:t>
      </w:r>
      <w:r w:rsidRPr="00D65748">
        <w:rPr>
          <w:rFonts w:ascii="Arial" w:eastAsia="Calibri" w:hAnsi="Arial" w:cs="Arial"/>
          <w:color w:val="000000"/>
          <w:sz w:val="20"/>
          <w:szCs w:val="20"/>
        </w:rPr>
        <w:t xml:space="preserve">. Carrier II is focussed on the acquisition and exploitation of upstream oil and gas assets by partnering with select operators that are developing both unconventional and conventional reservoirs in North America. Shortly after its establishment in May 2015, Carrier II entered into a joint venture agreement with a highly experienced operator group made up of Henry Resources, LLC and PT Petroleum, LLC, targeting 19,131 net acres for development in the southern Midland Basin (subsequently increased to 20,260 net acres). In addition, through three separate acquisitions, the company has acquired 3,892 net acres in Karnes County in the Eagle Ford basin, targeting the Sugarloaf Project and the Chisholm Project, both operated by Marathon Oil Corp. </w:t>
      </w:r>
    </w:p>
    <w:p w14:paraId="51A974CF" w14:textId="77777777" w:rsidR="00D65748" w:rsidRPr="00D65748" w:rsidRDefault="00D65748" w:rsidP="00D65748">
      <w:pPr>
        <w:rPr>
          <w:rFonts w:ascii="Arial" w:eastAsia="Calibri" w:hAnsi="Arial" w:cs="Arial"/>
          <w:color w:val="000000"/>
          <w:sz w:val="20"/>
          <w:szCs w:val="20"/>
        </w:rPr>
      </w:pPr>
    </w:p>
    <w:p w14:paraId="6CF307C2" w14:textId="77777777" w:rsidR="00D65748" w:rsidRPr="00D65748" w:rsidRDefault="00D65748" w:rsidP="00D65748">
      <w:pPr>
        <w:rPr>
          <w:rFonts w:ascii="Arial" w:eastAsia="Calibri" w:hAnsi="Arial" w:cs="Arial"/>
          <w:color w:val="000000"/>
          <w:sz w:val="20"/>
          <w:szCs w:val="20"/>
        </w:rPr>
      </w:pPr>
      <w:r w:rsidRPr="00D65748">
        <w:rPr>
          <w:rFonts w:ascii="Arial" w:eastAsia="Calibri" w:hAnsi="Arial" w:cs="Arial"/>
          <w:color w:val="000000"/>
          <w:sz w:val="20"/>
          <w:szCs w:val="20"/>
        </w:rPr>
        <w:t xml:space="preserve">During the fourth quarter of 2019, Carrier successfully completed the sale of its Southern Midland Basin assets and brought six additional Eagle Ford wells online, resulting in a total of 34 new wells in 2019. As at 30 June 2020, Carrier II was producing approximately </w:t>
      </w:r>
      <w:r w:rsidRPr="00D65748">
        <w:rPr>
          <w:rFonts w:ascii="Arial" w:eastAsia="Cambria" w:hAnsi="Arial" w:cs="Arial"/>
          <w:color w:val="000000"/>
          <w:sz w:val="20"/>
          <w:szCs w:val="20"/>
        </w:rPr>
        <w:t xml:space="preserve">4,295 </w:t>
      </w:r>
      <w:r w:rsidRPr="00D65748">
        <w:rPr>
          <w:rFonts w:ascii="Arial" w:eastAsia="Calibri" w:hAnsi="Arial" w:cs="Arial"/>
          <w:color w:val="000000"/>
          <w:sz w:val="20"/>
          <w:szCs w:val="20"/>
        </w:rPr>
        <w:t xml:space="preserve">boepd and the company had hedged approximately 88 per cent. of forecasted PDP oil production at a weighted average price of $60.06 per barrel. </w:t>
      </w:r>
    </w:p>
    <w:p w14:paraId="427D8028" w14:textId="77777777" w:rsidR="00D65748" w:rsidRPr="00D65748" w:rsidRDefault="00D65748" w:rsidP="00D65748">
      <w:pPr>
        <w:rPr>
          <w:rFonts w:ascii="Arial" w:eastAsia="Cambria" w:hAnsi="Arial" w:cs="Arial"/>
          <w:color w:val="000000"/>
          <w:sz w:val="20"/>
          <w:szCs w:val="20"/>
          <w:highlight w:val="yellow"/>
        </w:rPr>
      </w:pPr>
    </w:p>
    <w:p w14:paraId="63AA60E9" w14:textId="77777777" w:rsidR="00D65748" w:rsidRPr="00D65748" w:rsidRDefault="00D65748" w:rsidP="00D65748">
      <w:pPr>
        <w:rPr>
          <w:rFonts w:ascii="Arial" w:eastAsia="Calibri" w:hAnsi="Arial" w:cs="Arial"/>
          <w:color w:val="000000" w:themeColor="text1"/>
          <w:sz w:val="20"/>
          <w:szCs w:val="20"/>
          <w:highlight w:val="yellow"/>
        </w:rPr>
      </w:pPr>
      <w:r w:rsidRPr="00D65748">
        <w:rPr>
          <w:rFonts w:ascii="Arial" w:eastAsia="Cambria" w:hAnsi="Arial" w:cs="Arial"/>
          <w:color w:val="000000"/>
          <w:sz w:val="20"/>
          <w:szCs w:val="20"/>
        </w:rPr>
        <w:t>Since inception, Carrier II has distributed $29 million through dividends to REL, through the Partnership,</w:t>
      </w:r>
      <w:r w:rsidRPr="00D65748">
        <w:rPr>
          <w:rFonts w:ascii="Arial" w:hAnsi="Arial" w:cs="Arial"/>
          <w:sz w:val="20"/>
          <w:szCs w:val="20"/>
        </w:rPr>
        <w:t xml:space="preserve"> </w:t>
      </w:r>
      <w:r w:rsidRPr="00D65748">
        <w:rPr>
          <w:rFonts w:ascii="Arial" w:eastAsia="Cambria" w:hAnsi="Arial" w:cs="Arial"/>
          <w:color w:val="000000"/>
          <w:sz w:val="20"/>
          <w:szCs w:val="20"/>
        </w:rPr>
        <w:t>representing approximately 26 per cent. of REL’s invested capital. As of 30 June 2020, REL’s interest in Carrier II, through the Partnership, was valued at 0.4x Gross MOIC</w:t>
      </w:r>
      <w:r w:rsidRPr="00D65748">
        <w:rPr>
          <w:rFonts w:ascii="Arial" w:eastAsia="Cambria" w:hAnsi="Arial" w:cs="Arial"/>
          <w:color w:val="000000"/>
          <w:sz w:val="20"/>
          <w:szCs w:val="20"/>
          <w:vertAlign w:val="superscript"/>
        </w:rPr>
        <w:t>(1)</w:t>
      </w:r>
      <w:r w:rsidRPr="00D65748">
        <w:rPr>
          <w:rFonts w:ascii="Arial" w:eastAsia="Cambria" w:hAnsi="Arial" w:cs="Arial"/>
          <w:color w:val="000000"/>
          <w:sz w:val="20"/>
          <w:szCs w:val="20"/>
        </w:rPr>
        <w:t xml:space="preserve"> or $44 million (Realised: $29 million, Unrealised: $15 million)</w:t>
      </w:r>
      <w:r w:rsidRPr="00D65748">
        <w:rPr>
          <w:rFonts w:ascii="Arial" w:eastAsia="Calibri" w:hAnsi="Arial" w:cs="Arial"/>
          <w:color w:val="000000"/>
          <w:sz w:val="20"/>
          <w:szCs w:val="20"/>
        </w:rPr>
        <w:t>. The Gross MOIC</w:t>
      </w:r>
      <w:r w:rsidRPr="00D65748">
        <w:rPr>
          <w:rFonts w:ascii="Arial" w:eastAsia="Cambria" w:hAnsi="Arial" w:cs="Arial"/>
          <w:color w:val="000000"/>
          <w:sz w:val="20"/>
          <w:szCs w:val="20"/>
          <w:vertAlign w:val="superscript"/>
        </w:rPr>
        <w:t>(1)</w:t>
      </w:r>
      <w:r w:rsidRPr="00D65748">
        <w:rPr>
          <w:rFonts w:ascii="Arial" w:eastAsia="Calibri" w:hAnsi="Arial" w:cs="Arial"/>
          <w:color w:val="000000"/>
          <w:sz w:val="20"/>
          <w:szCs w:val="20"/>
        </w:rPr>
        <w:t xml:space="preserve"> decreased over the period.</w:t>
      </w:r>
    </w:p>
    <w:p w14:paraId="1A54B771" w14:textId="77777777" w:rsidR="00D65748" w:rsidRDefault="00D65748" w:rsidP="00D65748">
      <w:pPr>
        <w:rPr>
          <w:rFonts w:eastAsiaTheme="majorEastAsia" w:cstheme="majorBidi"/>
          <w:bCs/>
          <w:sz w:val="26"/>
        </w:rPr>
      </w:pPr>
    </w:p>
    <w:p w14:paraId="3F0E3A00" w14:textId="77777777" w:rsidR="00D65748" w:rsidRPr="00D65748" w:rsidRDefault="00D65748" w:rsidP="00D65748">
      <w:pPr>
        <w:keepNext/>
        <w:keepLines/>
        <w:outlineLvl w:val="2"/>
        <w:rPr>
          <w:rFonts w:ascii="Arial" w:eastAsiaTheme="majorEastAsia" w:hAnsi="Arial" w:cstheme="majorBidi"/>
          <w:bCs/>
          <w:sz w:val="26"/>
          <w:szCs w:val="20"/>
        </w:rPr>
      </w:pPr>
      <w:r w:rsidRPr="00D65748">
        <w:rPr>
          <w:rFonts w:ascii="Arial" w:eastAsiaTheme="majorEastAsia" w:hAnsi="Arial" w:cstheme="majorBidi"/>
          <w:bCs/>
          <w:sz w:val="26"/>
          <w:szCs w:val="20"/>
        </w:rPr>
        <w:t>Onyx Power</w:t>
      </w:r>
    </w:p>
    <w:p w14:paraId="1FD3E493" w14:textId="77777777" w:rsidR="00D65748" w:rsidRPr="00D65748" w:rsidRDefault="00D65748" w:rsidP="00D65748">
      <w:pPr>
        <w:rPr>
          <w:rFonts w:ascii="Arial" w:eastAsia="Cambria" w:hAnsi="Arial" w:cs="Arial"/>
          <w:color w:val="000000"/>
          <w:sz w:val="20"/>
          <w:szCs w:val="20"/>
        </w:rPr>
      </w:pPr>
      <w:r w:rsidRPr="00D65748">
        <w:rPr>
          <w:rFonts w:ascii="Arial" w:eastAsia="Cambria" w:hAnsi="Arial" w:cs="Arial"/>
          <w:color w:val="000000"/>
          <w:sz w:val="20"/>
          <w:szCs w:val="20"/>
        </w:rPr>
        <w:t xml:space="preserve">As of 30 June 2020, REL, through the Partnership, has invested $47 million of its $66 million commitment to Onyx. Onyx is a European-based independent power producer that was created through the successful acquisition of 2,350MW of gross installed capacity (1,941MW of net installed capacity) of five coal- and biomass-fired power plants in Germany and the Netherlands from Engie SA. Two of the facilities in the current portfolio are among Europe’s most recently constructed thermal plants, which benefit from high efficiencies, substantial environmental controls, very low emissions profiles and the potential use of sustainable biomass. </w:t>
      </w:r>
    </w:p>
    <w:p w14:paraId="1EF49553" w14:textId="1F9C26D9" w:rsidR="00D65748" w:rsidRDefault="00D65748" w:rsidP="00D65748">
      <w:pPr>
        <w:rPr>
          <w:rFonts w:ascii="Arial" w:eastAsia="Cambria" w:hAnsi="Arial" w:cs="Arial"/>
          <w:color w:val="000000"/>
          <w:sz w:val="20"/>
          <w:szCs w:val="20"/>
        </w:rPr>
      </w:pPr>
    </w:p>
    <w:p w14:paraId="64159B3E" w14:textId="1979F331" w:rsidR="00E25E7B" w:rsidRPr="00E25E7B" w:rsidRDefault="00E25E7B" w:rsidP="00E25E7B">
      <w:pPr>
        <w:rPr>
          <w:rFonts w:ascii="Arial" w:eastAsia="Cambria" w:hAnsi="Arial" w:cs="Arial"/>
          <w:color w:val="000000"/>
          <w:sz w:val="20"/>
          <w:szCs w:val="20"/>
        </w:rPr>
      </w:pPr>
      <w:r w:rsidRPr="00E25E7B">
        <w:rPr>
          <w:rFonts w:ascii="Arial" w:eastAsia="Cambria" w:hAnsi="Arial" w:cs="Arial"/>
          <w:color w:val="000000"/>
          <w:sz w:val="20"/>
          <w:szCs w:val="20"/>
        </w:rPr>
        <w:t>Since January 2020, the Rotterdam plant has been in an unplanned outage after damage to the boiler. The company’s outage insurance claim was approved and the business interruption and repair costs will be fully covered, with the plant expecting to return to service in advance of the higher-margin winter period. European power markets are at historic lows due to power demand destruction and a gas glut as a result of the global COVID-19 pandemic. While the company faces these near-term market headwinds, the newly installed management team has been working on several key value creation opportunities related to regulatory developments, potential partnerships, and working capital optimi</w:t>
      </w:r>
      <w:r w:rsidR="001A20FF">
        <w:rPr>
          <w:rFonts w:ascii="Arial" w:eastAsia="Cambria" w:hAnsi="Arial" w:cs="Arial"/>
          <w:color w:val="000000"/>
          <w:sz w:val="20"/>
          <w:szCs w:val="20"/>
        </w:rPr>
        <w:t>s</w:t>
      </w:r>
      <w:r w:rsidRPr="00E25E7B">
        <w:rPr>
          <w:rFonts w:ascii="Arial" w:eastAsia="Cambria" w:hAnsi="Arial" w:cs="Arial"/>
          <w:color w:val="000000"/>
          <w:sz w:val="20"/>
          <w:szCs w:val="20"/>
        </w:rPr>
        <w:t>ation.</w:t>
      </w:r>
    </w:p>
    <w:p w14:paraId="448B1571" w14:textId="77777777" w:rsidR="00E25E7B" w:rsidRPr="00D65748" w:rsidRDefault="00E25E7B" w:rsidP="00D65748">
      <w:pPr>
        <w:rPr>
          <w:rFonts w:ascii="Arial" w:eastAsia="Cambria" w:hAnsi="Arial" w:cs="Arial"/>
          <w:color w:val="000000"/>
          <w:sz w:val="20"/>
          <w:szCs w:val="20"/>
        </w:rPr>
      </w:pPr>
    </w:p>
    <w:p w14:paraId="2811544A" w14:textId="7B1BFA1B" w:rsidR="00D65748" w:rsidRPr="00D65748" w:rsidRDefault="00D65748" w:rsidP="00D65748">
      <w:pPr>
        <w:rPr>
          <w:rFonts w:ascii="Arial" w:eastAsia="Cambria" w:hAnsi="Arial" w:cs="Arial"/>
          <w:color w:val="000000"/>
          <w:sz w:val="20"/>
          <w:szCs w:val="20"/>
        </w:rPr>
      </w:pPr>
      <w:r w:rsidRPr="00D65748">
        <w:rPr>
          <w:rFonts w:ascii="Arial" w:eastAsia="Cambria" w:hAnsi="Arial" w:cs="Arial"/>
          <w:color w:val="000000"/>
          <w:sz w:val="20"/>
          <w:szCs w:val="20"/>
        </w:rPr>
        <w:t>As of 30 June 2020, REL’s interest in Onyx, through the Partnership, was valued at 1.0x Gross MOIC</w:t>
      </w:r>
      <w:r w:rsidRPr="00D65748">
        <w:rPr>
          <w:rFonts w:ascii="Arial" w:eastAsia="Cambria" w:hAnsi="Arial" w:cs="Arial"/>
          <w:color w:val="000000"/>
          <w:sz w:val="20"/>
          <w:szCs w:val="20"/>
          <w:vertAlign w:val="superscript"/>
        </w:rPr>
        <w:t>(1)</w:t>
      </w:r>
      <w:r w:rsidRPr="00D65748">
        <w:rPr>
          <w:rFonts w:ascii="Arial" w:eastAsia="Cambria" w:hAnsi="Arial" w:cs="Arial"/>
          <w:color w:val="000000"/>
          <w:sz w:val="20"/>
          <w:szCs w:val="20"/>
        </w:rPr>
        <w:t xml:space="preserve"> or $47 million.</w:t>
      </w:r>
    </w:p>
    <w:p w14:paraId="0942C898" w14:textId="77777777" w:rsidR="00D15270" w:rsidRDefault="00D15270" w:rsidP="00D65748">
      <w:pPr>
        <w:rPr>
          <w:rFonts w:eastAsiaTheme="majorEastAsia" w:cstheme="majorBidi"/>
          <w:bCs/>
          <w:sz w:val="26"/>
        </w:rPr>
      </w:pPr>
    </w:p>
    <w:p w14:paraId="6BA9BF6E" w14:textId="77777777" w:rsidR="00D65748" w:rsidRPr="00D65748" w:rsidRDefault="00D65748" w:rsidP="00D65748">
      <w:pPr>
        <w:keepNext/>
        <w:keepLines/>
        <w:outlineLvl w:val="2"/>
        <w:rPr>
          <w:rFonts w:ascii="Arial" w:eastAsiaTheme="majorEastAsia" w:hAnsi="Arial" w:cstheme="majorBidi"/>
          <w:bCs/>
          <w:sz w:val="26"/>
          <w:szCs w:val="20"/>
        </w:rPr>
      </w:pPr>
      <w:r w:rsidRPr="00D65748">
        <w:rPr>
          <w:rFonts w:ascii="Arial" w:eastAsiaTheme="majorEastAsia" w:hAnsi="Arial" w:cstheme="majorBidi"/>
          <w:bCs/>
          <w:sz w:val="26"/>
          <w:szCs w:val="20"/>
        </w:rPr>
        <w:t xml:space="preserve">Liberty II </w:t>
      </w:r>
    </w:p>
    <w:p w14:paraId="6A21D51F" w14:textId="77777777" w:rsidR="00D65748" w:rsidRPr="00D65748" w:rsidRDefault="00D65748" w:rsidP="00D65748">
      <w:pPr>
        <w:rPr>
          <w:rFonts w:ascii="Arial" w:eastAsia="Calibri" w:hAnsi="Arial" w:cs="Arial"/>
          <w:color w:val="000000"/>
          <w:sz w:val="20"/>
          <w:szCs w:val="20"/>
          <w:highlight w:val="yellow"/>
        </w:rPr>
      </w:pPr>
      <w:r w:rsidRPr="00D65748">
        <w:rPr>
          <w:rFonts w:ascii="Arial" w:eastAsia="Cambria" w:hAnsi="Arial" w:cs="Arial"/>
          <w:color w:val="000000"/>
          <w:sz w:val="20"/>
          <w:szCs w:val="20"/>
        </w:rPr>
        <w:t>As of 30 June 2020, REL, through the Partnership, has invested in full its $142 million commitment to Liberty II</w:t>
      </w:r>
      <w:r w:rsidRPr="00D65748">
        <w:rPr>
          <w:rFonts w:ascii="Arial" w:eastAsia="Calibri" w:hAnsi="Arial" w:cs="Arial"/>
          <w:color w:val="000000"/>
          <w:sz w:val="20"/>
          <w:szCs w:val="20"/>
        </w:rPr>
        <w:t xml:space="preserve">. Liberty II established positions in the Williston (Bakken) and Powder River Basins through a series of acquisitions expected to benefit from Liberty II’s sophisticated and proprietary well completion technology. Liberty II subsequently sold its position in the Powder River Basin and is currently focussed on the development of its Bakken acreage, which has grown to approximately 104,000 net acres through aggressive grassroots leasing efforts in the East Nesson and bolt-on acquisitions. Acquisitions have resulted in an extensive drilling inventory and many contiguous acreage positions of scale. </w:t>
      </w:r>
    </w:p>
    <w:p w14:paraId="2EF9F156" w14:textId="77777777" w:rsidR="00D65748" w:rsidRPr="00D65748" w:rsidRDefault="00D65748" w:rsidP="00D65748">
      <w:pPr>
        <w:rPr>
          <w:rFonts w:ascii="Arial" w:eastAsia="Calibri" w:hAnsi="Arial" w:cs="Arial"/>
          <w:color w:val="000000"/>
          <w:sz w:val="20"/>
          <w:szCs w:val="20"/>
          <w:highlight w:val="yellow"/>
        </w:rPr>
      </w:pPr>
    </w:p>
    <w:p w14:paraId="45AC395F" w14:textId="6D894B49" w:rsidR="00D65748" w:rsidRPr="00D65748" w:rsidRDefault="00D65748" w:rsidP="00D65748">
      <w:pPr>
        <w:keepNext/>
        <w:keepLines/>
        <w:outlineLvl w:val="2"/>
        <w:rPr>
          <w:rFonts w:ascii="Arial" w:eastAsia="Calibri" w:hAnsi="Arial" w:cs="Arial"/>
          <w:color w:val="000000"/>
          <w:sz w:val="20"/>
          <w:szCs w:val="20"/>
        </w:rPr>
      </w:pPr>
      <w:r w:rsidRPr="00D65748">
        <w:rPr>
          <w:rFonts w:ascii="Arial" w:eastAsia="Calibri" w:hAnsi="Arial" w:cs="Arial"/>
          <w:color w:val="000000"/>
          <w:sz w:val="20"/>
          <w:szCs w:val="20"/>
        </w:rPr>
        <w:t xml:space="preserve">Liberty II is currently producing approximately 4,765 boepd and has curbed near-term development activities given the current commodity environment. The company is currently negotiating the restructuring of its existing RBL facility with the lenders in order to implement a longer-term solution. As of 30 June 2020, Liberty </w:t>
      </w:r>
      <w:r w:rsidR="0061312D">
        <w:rPr>
          <w:rFonts w:ascii="Arial" w:eastAsia="Calibri" w:hAnsi="Arial" w:cs="Arial"/>
          <w:color w:val="000000"/>
          <w:sz w:val="20"/>
          <w:szCs w:val="20"/>
        </w:rPr>
        <w:t>has</w:t>
      </w:r>
      <w:r w:rsidR="0061312D" w:rsidRPr="00D65748">
        <w:rPr>
          <w:rFonts w:ascii="Arial" w:eastAsia="Calibri" w:hAnsi="Arial" w:cs="Arial"/>
          <w:color w:val="000000"/>
          <w:sz w:val="20"/>
          <w:szCs w:val="20"/>
        </w:rPr>
        <w:t xml:space="preserve"> </w:t>
      </w:r>
      <w:r w:rsidRPr="00D65748">
        <w:rPr>
          <w:rFonts w:ascii="Arial" w:eastAsia="Calibri" w:hAnsi="Arial" w:cs="Arial"/>
          <w:color w:val="000000"/>
          <w:sz w:val="20"/>
          <w:szCs w:val="20"/>
        </w:rPr>
        <w:t>hedged approximately 95% of forecasted 2020 and 2021 oil PDP production and 45% of forecasted 2022 oil PDP production at a weighted average price of approximately $55/bbl.</w:t>
      </w:r>
    </w:p>
    <w:p w14:paraId="7B21D623" w14:textId="77777777" w:rsidR="00D65748" w:rsidRPr="00D65748" w:rsidRDefault="00D65748" w:rsidP="00D65748">
      <w:pPr>
        <w:keepNext/>
        <w:keepLines/>
        <w:outlineLvl w:val="2"/>
        <w:rPr>
          <w:rFonts w:ascii="Arial" w:eastAsia="Cambria" w:hAnsi="Arial" w:cs="Arial"/>
          <w:bCs/>
          <w:color w:val="000000"/>
          <w:sz w:val="20"/>
          <w:szCs w:val="20"/>
          <w:highlight w:val="yellow"/>
        </w:rPr>
      </w:pPr>
    </w:p>
    <w:p w14:paraId="5C20FABE" w14:textId="377519F9" w:rsidR="00D65748" w:rsidRPr="00D65748" w:rsidRDefault="00D65748" w:rsidP="00D65748">
      <w:pPr>
        <w:rPr>
          <w:rFonts w:ascii="Arial" w:eastAsia="Calibri" w:hAnsi="Arial" w:cs="Arial"/>
          <w:color w:val="000000"/>
          <w:sz w:val="20"/>
          <w:szCs w:val="20"/>
        </w:rPr>
      </w:pPr>
      <w:r w:rsidRPr="00D65748">
        <w:rPr>
          <w:rFonts w:ascii="Arial" w:eastAsia="Cambria" w:hAnsi="Arial" w:cs="Arial"/>
          <w:color w:val="000000"/>
          <w:sz w:val="20"/>
          <w:szCs w:val="20"/>
        </w:rPr>
        <w:t>As of 30 June 2020, REL’s interest in Liberty II, through the Partnership, was valued at 0.1x Gross MOIC</w:t>
      </w:r>
      <w:r w:rsidRPr="00D65748">
        <w:rPr>
          <w:rFonts w:ascii="Arial" w:eastAsia="Cambria" w:hAnsi="Arial" w:cs="Arial"/>
          <w:color w:val="000000"/>
          <w:sz w:val="20"/>
          <w:szCs w:val="20"/>
          <w:vertAlign w:val="superscript"/>
        </w:rPr>
        <w:t>(1)</w:t>
      </w:r>
      <w:r w:rsidRPr="00D65748">
        <w:rPr>
          <w:rFonts w:ascii="Arial" w:eastAsia="Cambria" w:hAnsi="Arial" w:cs="Arial"/>
          <w:color w:val="000000"/>
          <w:sz w:val="20"/>
          <w:szCs w:val="20"/>
        </w:rPr>
        <w:t xml:space="preserve"> or $14 million</w:t>
      </w:r>
      <w:r w:rsidRPr="00D65748">
        <w:rPr>
          <w:rFonts w:ascii="Arial" w:eastAsia="Calibri" w:hAnsi="Arial" w:cs="Arial"/>
          <w:color w:val="000000"/>
          <w:sz w:val="20"/>
          <w:szCs w:val="20"/>
        </w:rPr>
        <w:t>. The Gross MOIC</w:t>
      </w:r>
      <w:r w:rsidRPr="00D65748">
        <w:rPr>
          <w:rFonts w:ascii="Arial" w:eastAsia="Cambria" w:hAnsi="Arial" w:cs="Arial"/>
          <w:color w:val="000000"/>
          <w:sz w:val="20"/>
          <w:szCs w:val="20"/>
          <w:vertAlign w:val="superscript"/>
        </w:rPr>
        <w:t>(1)</w:t>
      </w:r>
      <w:r w:rsidRPr="00D65748">
        <w:rPr>
          <w:rFonts w:ascii="Arial" w:eastAsia="Calibri" w:hAnsi="Arial" w:cs="Arial"/>
          <w:color w:val="000000"/>
          <w:sz w:val="20"/>
          <w:szCs w:val="20"/>
        </w:rPr>
        <w:t xml:space="preserve"> decreased over the period.</w:t>
      </w:r>
    </w:p>
    <w:p w14:paraId="784038F1" w14:textId="77777777" w:rsidR="00D65748" w:rsidRDefault="00D65748" w:rsidP="00D65748">
      <w:pPr>
        <w:rPr>
          <w:rFonts w:eastAsiaTheme="majorEastAsia" w:cstheme="majorBidi"/>
          <w:bCs/>
          <w:sz w:val="26"/>
        </w:rPr>
      </w:pPr>
    </w:p>
    <w:p w14:paraId="52D5614C" w14:textId="77777777" w:rsidR="00D65748" w:rsidRPr="00D65748" w:rsidRDefault="00D65748" w:rsidP="00D65748">
      <w:pPr>
        <w:keepNext/>
        <w:keepLines/>
        <w:outlineLvl w:val="2"/>
        <w:rPr>
          <w:rFonts w:ascii="Arial" w:eastAsiaTheme="majorEastAsia" w:hAnsi="Arial" w:cstheme="majorBidi"/>
          <w:bCs/>
          <w:sz w:val="26"/>
          <w:szCs w:val="20"/>
        </w:rPr>
      </w:pPr>
      <w:r w:rsidRPr="00D65748">
        <w:rPr>
          <w:rFonts w:ascii="Arial" w:eastAsiaTheme="majorEastAsia" w:hAnsi="Arial" w:cstheme="majorBidi"/>
          <w:bCs/>
          <w:sz w:val="26"/>
          <w:szCs w:val="20"/>
        </w:rPr>
        <w:t xml:space="preserve">Hammerhead </w:t>
      </w:r>
    </w:p>
    <w:p w14:paraId="5F02823D" w14:textId="77777777" w:rsidR="00D65748" w:rsidRPr="00D65748" w:rsidRDefault="00D65748" w:rsidP="00D65748">
      <w:pPr>
        <w:rPr>
          <w:rFonts w:ascii="Arial" w:eastAsia="Cambria" w:hAnsi="Arial" w:cs="Arial"/>
          <w:color w:val="000000"/>
          <w:sz w:val="20"/>
          <w:szCs w:val="20"/>
        </w:rPr>
      </w:pPr>
      <w:r w:rsidRPr="00D65748">
        <w:rPr>
          <w:rFonts w:ascii="Arial" w:eastAsia="Cambria" w:hAnsi="Arial" w:cs="Arial"/>
          <w:color w:val="000000"/>
          <w:sz w:val="20"/>
          <w:szCs w:val="20"/>
        </w:rPr>
        <w:t xml:space="preserve">As of 30 June 2020, REL, through the Partnership, has invested $295 million of its $307 million commitment to Hammerhead. Hammerhead is a private E&amp;P company focussed on liquids-rich unconventional resources in the Montney and Duvernay resource play in Western Canada. Since its establishment in 2010, Hammerhead has aggregated one of the largest and most advantaged land positions in the emerging Montney and </w:t>
      </w:r>
      <w:r w:rsidRPr="00D65748">
        <w:rPr>
          <w:rFonts w:ascii="Arial" w:eastAsia="Cambria" w:hAnsi="Arial" w:cs="Arial"/>
          <w:color w:val="000000"/>
          <w:sz w:val="20"/>
          <w:szCs w:val="20"/>
        </w:rPr>
        <w:lastRenderedPageBreak/>
        <w:t>Duvernay formations of Western Canada’s Deep Basin. The company controls and operates 100 per cent. of this asset base, which comprises over 2,000 net drilling locations across approximately 200,000 Montney net acres. Since Riverstone’s initial investment, Hammerhead has increased production almost ten-fold and has significantly grown reserves to 410 mmboe. As at 30 June 2020, the company was currently producing approximately 27,000 boepd.</w:t>
      </w:r>
    </w:p>
    <w:p w14:paraId="7E4B51FF" w14:textId="77777777" w:rsidR="00D65748" w:rsidRPr="00D65748" w:rsidRDefault="00D65748" w:rsidP="00D65748">
      <w:pPr>
        <w:rPr>
          <w:rFonts w:ascii="Arial" w:eastAsia="Cambria" w:hAnsi="Arial" w:cs="Arial"/>
          <w:color w:val="000000"/>
          <w:sz w:val="20"/>
          <w:szCs w:val="20"/>
        </w:rPr>
      </w:pPr>
    </w:p>
    <w:p w14:paraId="2A959CCC" w14:textId="77777777" w:rsidR="00D65748" w:rsidRPr="00D65748" w:rsidRDefault="00D65748" w:rsidP="00D65748">
      <w:pPr>
        <w:rPr>
          <w:rFonts w:ascii="Arial" w:eastAsia="Cambria" w:hAnsi="Arial" w:cs="Arial"/>
          <w:color w:val="000000"/>
          <w:sz w:val="20"/>
          <w:szCs w:val="20"/>
        </w:rPr>
      </w:pPr>
      <w:r w:rsidRPr="00D65748">
        <w:rPr>
          <w:rFonts w:ascii="Arial" w:eastAsia="Cambria" w:hAnsi="Arial" w:cs="Arial"/>
          <w:color w:val="000000"/>
          <w:sz w:val="20"/>
          <w:szCs w:val="20"/>
        </w:rPr>
        <w:t xml:space="preserve">The company continues to focus on preserving liquidity to provide Hammerhead with a runway to a more favourable commodity price environment. For the remainder of 2020, the company has elected to reduce capital expenditures, curbing production growth. As at 30 June 2020, Hammerhead had hedged approximately 100 per cent. of forecasted 2020 PDP oil production at a weighted average price of CAD$79/bbl. </w:t>
      </w:r>
    </w:p>
    <w:p w14:paraId="48AD0D02" w14:textId="77777777" w:rsidR="00D65748" w:rsidRPr="00D65748" w:rsidRDefault="00D65748" w:rsidP="00D65748">
      <w:pPr>
        <w:rPr>
          <w:rFonts w:ascii="Arial" w:eastAsia="Cambria" w:hAnsi="Arial" w:cs="Arial"/>
          <w:color w:val="000000"/>
          <w:sz w:val="20"/>
          <w:szCs w:val="20"/>
        </w:rPr>
      </w:pPr>
    </w:p>
    <w:p w14:paraId="31D8E9D5" w14:textId="77777777" w:rsidR="00D65748" w:rsidRPr="00D65748" w:rsidRDefault="00D65748" w:rsidP="00D65748">
      <w:pPr>
        <w:rPr>
          <w:rFonts w:ascii="Arial" w:eastAsia="Cambria" w:hAnsi="Arial" w:cs="Arial"/>
          <w:color w:val="000000"/>
          <w:sz w:val="20"/>
          <w:szCs w:val="20"/>
        </w:rPr>
      </w:pPr>
      <w:r w:rsidRPr="00D65748">
        <w:rPr>
          <w:rFonts w:ascii="Arial" w:eastAsia="Cambria" w:hAnsi="Arial" w:cs="Arial"/>
          <w:color w:val="000000"/>
          <w:sz w:val="20"/>
          <w:szCs w:val="20"/>
        </w:rPr>
        <w:t>As of 30 June 2020, REL’s interest in Hammerhead, through the Partnership, was valued at 0.1x Gross MOIC</w:t>
      </w:r>
      <w:r w:rsidRPr="00D65748">
        <w:rPr>
          <w:rFonts w:ascii="Arial" w:eastAsia="Cambria" w:hAnsi="Arial" w:cs="Arial"/>
          <w:color w:val="000000"/>
          <w:sz w:val="20"/>
          <w:szCs w:val="20"/>
          <w:vertAlign w:val="superscript"/>
        </w:rPr>
        <w:t>(1)</w:t>
      </w:r>
      <w:r w:rsidRPr="00D65748">
        <w:rPr>
          <w:rFonts w:ascii="Arial" w:eastAsia="Cambria" w:hAnsi="Arial" w:cs="Arial"/>
          <w:color w:val="000000"/>
          <w:sz w:val="20"/>
          <w:szCs w:val="20"/>
        </w:rPr>
        <w:t xml:space="preserve"> or $26 million (Realised: $23 million, Unrealised: $3 million). The Gross MOIC</w:t>
      </w:r>
      <w:r w:rsidRPr="00D65748">
        <w:rPr>
          <w:rFonts w:ascii="Arial" w:eastAsia="Cambria" w:hAnsi="Arial" w:cs="Arial"/>
          <w:color w:val="000000"/>
          <w:sz w:val="20"/>
          <w:szCs w:val="20"/>
          <w:vertAlign w:val="superscript"/>
        </w:rPr>
        <w:t>(1)</w:t>
      </w:r>
      <w:r w:rsidRPr="00D65748">
        <w:rPr>
          <w:rFonts w:ascii="Arial" w:eastAsia="Cambria" w:hAnsi="Arial" w:cs="Arial"/>
          <w:color w:val="000000"/>
          <w:sz w:val="20"/>
          <w:szCs w:val="20"/>
        </w:rPr>
        <w:t xml:space="preserve"> decreased over the period.</w:t>
      </w:r>
    </w:p>
    <w:p w14:paraId="698F5DA1" w14:textId="77777777" w:rsidR="00D65748" w:rsidRPr="00DF29DD" w:rsidRDefault="00D65748" w:rsidP="00D65748">
      <w:pPr>
        <w:rPr>
          <w:rFonts w:eastAsiaTheme="majorEastAsia" w:cstheme="majorBidi"/>
          <w:bCs/>
          <w:sz w:val="26"/>
          <w:highlight w:val="yellow"/>
        </w:rPr>
      </w:pPr>
    </w:p>
    <w:p w14:paraId="3C07CDBE" w14:textId="77777777" w:rsidR="00D65748" w:rsidRPr="00D65748" w:rsidRDefault="00D65748" w:rsidP="00D65748">
      <w:pPr>
        <w:keepNext/>
        <w:keepLines/>
        <w:outlineLvl w:val="2"/>
        <w:rPr>
          <w:rFonts w:ascii="Arial" w:eastAsiaTheme="majorEastAsia" w:hAnsi="Arial" w:cstheme="majorBidi"/>
          <w:bCs/>
          <w:sz w:val="26"/>
          <w:szCs w:val="20"/>
        </w:rPr>
      </w:pPr>
      <w:r w:rsidRPr="00D65748">
        <w:rPr>
          <w:rFonts w:ascii="Arial" w:eastAsiaTheme="majorEastAsia" w:hAnsi="Arial" w:cstheme="majorBidi"/>
          <w:bCs/>
          <w:sz w:val="26"/>
          <w:szCs w:val="20"/>
        </w:rPr>
        <w:t>Ridgebury H3</w:t>
      </w:r>
    </w:p>
    <w:p w14:paraId="126CCD37" w14:textId="77777777" w:rsidR="00D65748" w:rsidRPr="00D65748" w:rsidRDefault="00D65748" w:rsidP="00D65748">
      <w:pPr>
        <w:rPr>
          <w:rFonts w:ascii="Arial" w:eastAsia="Calibri" w:hAnsi="Arial" w:cs="Arial"/>
          <w:color w:val="000000"/>
          <w:sz w:val="20"/>
          <w:szCs w:val="20"/>
        </w:rPr>
      </w:pPr>
      <w:r w:rsidRPr="00D65748">
        <w:rPr>
          <w:rFonts w:ascii="Arial" w:eastAsia="Cambria" w:hAnsi="Arial" w:cs="Arial"/>
          <w:color w:val="000000"/>
          <w:sz w:val="20"/>
          <w:szCs w:val="20"/>
        </w:rPr>
        <w:t xml:space="preserve">As of 30 June 2020, REL, through the Partnership, has invested $18 million of its $22 million commitment to Ridgebury H3. </w:t>
      </w:r>
      <w:r w:rsidRPr="00D65748">
        <w:rPr>
          <w:rFonts w:ascii="Arial" w:eastAsia="Calibri" w:hAnsi="Arial" w:cs="Arial"/>
          <w:color w:val="000000"/>
          <w:sz w:val="20"/>
          <w:szCs w:val="20"/>
        </w:rPr>
        <w:t>Ridgebury H3 is an international shipping company, targeting the Handy size tanker markets, and initially owned three approximately 10-year old Handy size product tankers. Ridgebury H3 is managed by the same team as Ridgebury Tankers, a Riverstone portfolio company led by Bob Burke, a long-time shipping executive with 30 years of shipping industry experience.</w:t>
      </w:r>
    </w:p>
    <w:p w14:paraId="73096CA0" w14:textId="77777777" w:rsidR="00D65748" w:rsidRPr="00D65748" w:rsidRDefault="00D65748" w:rsidP="00D65748">
      <w:pPr>
        <w:rPr>
          <w:rFonts w:ascii="Arial" w:eastAsia="Calibri" w:hAnsi="Arial" w:cs="Arial"/>
          <w:color w:val="000000"/>
          <w:sz w:val="20"/>
          <w:szCs w:val="20"/>
        </w:rPr>
      </w:pPr>
    </w:p>
    <w:p w14:paraId="4B99386D" w14:textId="77777777" w:rsidR="00D65748" w:rsidRPr="00D65748" w:rsidRDefault="00D65748" w:rsidP="00D65748">
      <w:pPr>
        <w:rPr>
          <w:rFonts w:ascii="Arial" w:eastAsia="Calibri" w:hAnsi="Arial" w:cs="Arial"/>
          <w:color w:val="000000"/>
          <w:sz w:val="20"/>
          <w:szCs w:val="20"/>
        </w:rPr>
      </w:pPr>
      <w:r w:rsidRPr="00D65748">
        <w:rPr>
          <w:rFonts w:ascii="Arial" w:eastAsia="Calibri" w:hAnsi="Arial" w:cs="Arial"/>
          <w:color w:val="000000"/>
          <w:sz w:val="20"/>
          <w:szCs w:val="20"/>
        </w:rPr>
        <w:t>In January 2020, Ridgebury H3 sold its spot vessel, the Nalini D, one of the three Handy vessels purchased in April 2019, to Tufton Oceanic, at a premium to its original purchase price. This sale substantially de-risked REL’s investment in the company.</w:t>
      </w:r>
    </w:p>
    <w:p w14:paraId="501682A4" w14:textId="77777777" w:rsidR="00D65748" w:rsidRPr="00D65748" w:rsidRDefault="00D65748" w:rsidP="00D65748">
      <w:pPr>
        <w:rPr>
          <w:rFonts w:ascii="Arial" w:eastAsia="Cambria" w:hAnsi="Arial" w:cs="Arial"/>
          <w:color w:val="000000"/>
          <w:sz w:val="20"/>
          <w:szCs w:val="20"/>
          <w:highlight w:val="yellow"/>
        </w:rPr>
      </w:pPr>
    </w:p>
    <w:p w14:paraId="0A9EADA4" w14:textId="77777777" w:rsidR="00D65748" w:rsidRPr="00D65748" w:rsidRDefault="00D65748" w:rsidP="00D65748">
      <w:pPr>
        <w:rPr>
          <w:rFonts w:ascii="Arial" w:eastAsia="Calibri" w:hAnsi="Arial" w:cs="Arial"/>
          <w:color w:val="000000"/>
          <w:sz w:val="20"/>
          <w:szCs w:val="20"/>
        </w:rPr>
      </w:pPr>
      <w:r w:rsidRPr="00D65748">
        <w:rPr>
          <w:rFonts w:ascii="Arial" w:eastAsia="Cambria" w:hAnsi="Arial" w:cs="Arial"/>
          <w:color w:val="000000"/>
          <w:sz w:val="20"/>
          <w:szCs w:val="20"/>
        </w:rPr>
        <w:t>As of 30 June 2020, REL’s interest in Ridgebury H3, through the Partnership, was valued at 1.2x Gross MOIC</w:t>
      </w:r>
      <w:r w:rsidRPr="00D65748">
        <w:rPr>
          <w:rFonts w:ascii="Arial" w:eastAsia="Cambria" w:hAnsi="Arial" w:cs="Arial"/>
          <w:color w:val="000000"/>
          <w:sz w:val="20"/>
          <w:szCs w:val="20"/>
          <w:vertAlign w:val="superscript"/>
        </w:rPr>
        <w:t>(1)</w:t>
      </w:r>
      <w:r w:rsidRPr="00D65748">
        <w:rPr>
          <w:rFonts w:ascii="Arial" w:eastAsia="Cambria" w:hAnsi="Arial" w:cs="Arial"/>
          <w:color w:val="000000"/>
          <w:sz w:val="20"/>
          <w:szCs w:val="20"/>
        </w:rPr>
        <w:t xml:space="preserve"> or $23 million (Realised: $10 million, Unrealised: $13 million). </w:t>
      </w:r>
      <w:r w:rsidRPr="00D65748">
        <w:rPr>
          <w:rFonts w:ascii="Arial" w:eastAsia="Calibri" w:hAnsi="Arial" w:cs="Arial"/>
          <w:color w:val="000000"/>
          <w:sz w:val="20"/>
          <w:szCs w:val="20"/>
        </w:rPr>
        <w:t>The Gross MOIC</w:t>
      </w:r>
      <w:r w:rsidRPr="00D65748">
        <w:rPr>
          <w:rFonts w:ascii="Arial" w:eastAsia="Cambria" w:hAnsi="Arial" w:cs="Arial"/>
          <w:color w:val="000000"/>
          <w:sz w:val="20"/>
          <w:szCs w:val="20"/>
          <w:vertAlign w:val="superscript"/>
        </w:rPr>
        <w:t>(1)</w:t>
      </w:r>
      <w:r w:rsidRPr="00D65748">
        <w:rPr>
          <w:rFonts w:ascii="Arial" w:eastAsia="Calibri" w:hAnsi="Arial" w:cs="Arial"/>
          <w:color w:val="000000"/>
          <w:sz w:val="20"/>
          <w:szCs w:val="20"/>
        </w:rPr>
        <w:t xml:space="preserve"> slightly increased over the period.</w:t>
      </w:r>
    </w:p>
    <w:p w14:paraId="04781AD0" w14:textId="77777777" w:rsidR="00D65748" w:rsidRPr="00DF29DD" w:rsidRDefault="00D65748" w:rsidP="00D65748">
      <w:pPr>
        <w:rPr>
          <w:rFonts w:eastAsiaTheme="majorEastAsia" w:cstheme="majorBidi"/>
          <w:bCs/>
          <w:sz w:val="26"/>
          <w:highlight w:val="yellow"/>
        </w:rPr>
      </w:pPr>
    </w:p>
    <w:p w14:paraId="0EA953D0" w14:textId="77777777" w:rsidR="00D65748" w:rsidRPr="00D65748" w:rsidRDefault="00D65748" w:rsidP="00D65748">
      <w:pPr>
        <w:keepNext/>
        <w:keepLines/>
        <w:outlineLvl w:val="2"/>
        <w:rPr>
          <w:rFonts w:ascii="Arial" w:eastAsiaTheme="majorEastAsia" w:hAnsi="Arial" w:cstheme="majorBidi"/>
          <w:bCs/>
          <w:sz w:val="26"/>
          <w:szCs w:val="20"/>
        </w:rPr>
      </w:pPr>
      <w:r w:rsidRPr="00D65748">
        <w:rPr>
          <w:rFonts w:ascii="Arial" w:eastAsiaTheme="majorEastAsia" w:hAnsi="Arial" w:cstheme="majorBidi"/>
          <w:bCs/>
          <w:sz w:val="26"/>
          <w:szCs w:val="20"/>
        </w:rPr>
        <w:t xml:space="preserve">CNOR </w:t>
      </w:r>
    </w:p>
    <w:p w14:paraId="11011986" w14:textId="77777777" w:rsidR="00D65748" w:rsidRPr="00D65748" w:rsidRDefault="00D65748" w:rsidP="00D65748">
      <w:pPr>
        <w:rPr>
          <w:rFonts w:ascii="Arial" w:eastAsia="Cambria" w:hAnsi="Arial" w:cs="Arial"/>
          <w:color w:val="000000"/>
          <w:sz w:val="20"/>
          <w:szCs w:val="20"/>
        </w:rPr>
      </w:pPr>
      <w:r w:rsidRPr="00D65748">
        <w:rPr>
          <w:rFonts w:ascii="Arial" w:eastAsia="Cambria" w:hAnsi="Arial" w:cs="Arial"/>
          <w:color w:val="000000"/>
          <w:sz w:val="20"/>
          <w:szCs w:val="20"/>
        </w:rPr>
        <w:t>As of 30 June 2020, REL, through the Partnership, has invested in full its $90 million commitment to CNOR. CNOR is a Calgary-based oil and gas company focussed on the Western Canadian Sedimentary Basin. The company invested in a joint venture with Tourmaline Oil Corp. targeting the Peace River High area (126,000 net acres), which it sold in 3Q19 for C$175 million. Earlier in 2019, CNOR closed on a strategic combination with publicly-traded Blackbird Energy to consolidate its ~25,000 net acre Pipestone Montney position with that of Blackbird’s offsetting ~73,000 acres. The pro forma company is named Pipestone Energy Corporation and trades under TSX-V: PIPE. During 2019, Pipestone brought incremental production online, following the completion of required infrastructure. During the first quarter of 2020, the company averaged production of 14,066 boepd.</w:t>
      </w:r>
    </w:p>
    <w:p w14:paraId="723CDDAD" w14:textId="77777777" w:rsidR="00D65748" w:rsidRPr="00D65748" w:rsidRDefault="00D65748" w:rsidP="00D65748">
      <w:pPr>
        <w:rPr>
          <w:rFonts w:ascii="Arial" w:eastAsia="Cambria" w:hAnsi="Arial" w:cs="Arial"/>
          <w:color w:val="000000"/>
          <w:sz w:val="20"/>
          <w:szCs w:val="20"/>
        </w:rPr>
      </w:pPr>
    </w:p>
    <w:p w14:paraId="2411384D" w14:textId="77777777" w:rsidR="00D65748" w:rsidRPr="00D65748" w:rsidRDefault="00D65748" w:rsidP="00D65748">
      <w:pPr>
        <w:rPr>
          <w:rFonts w:ascii="Arial" w:eastAsia="Cambria" w:hAnsi="Arial" w:cs="Arial"/>
          <w:color w:val="000000"/>
          <w:sz w:val="20"/>
          <w:szCs w:val="20"/>
        </w:rPr>
      </w:pPr>
      <w:r w:rsidRPr="00D65748">
        <w:rPr>
          <w:rFonts w:ascii="Arial" w:eastAsia="Cambria" w:hAnsi="Arial" w:cs="Arial"/>
          <w:color w:val="000000"/>
          <w:sz w:val="20"/>
          <w:szCs w:val="20"/>
        </w:rPr>
        <w:t>As of 30 June 2020, REL’s interest in CNOR, through the Partnership, was valued at 0.2x Gross MOIC</w:t>
      </w:r>
      <w:r w:rsidRPr="00D65748">
        <w:rPr>
          <w:rFonts w:ascii="Arial" w:eastAsia="Cambria" w:hAnsi="Arial" w:cs="Arial"/>
          <w:color w:val="000000"/>
          <w:sz w:val="20"/>
          <w:szCs w:val="20"/>
          <w:vertAlign w:val="superscript"/>
        </w:rPr>
        <w:t>(1)</w:t>
      </w:r>
      <w:r w:rsidRPr="00D65748">
        <w:rPr>
          <w:rFonts w:ascii="Arial" w:eastAsia="Cambria" w:hAnsi="Arial" w:cs="Arial"/>
          <w:color w:val="000000"/>
          <w:sz w:val="20"/>
          <w:szCs w:val="20"/>
        </w:rPr>
        <w:t xml:space="preserve"> or $20 million (Realised: $16 million, Unrealised: $4 million). The Gross MOIC</w:t>
      </w:r>
      <w:r w:rsidRPr="00D65748">
        <w:rPr>
          <w:rFonts w:ascii="Arial" w:eastAsia="Cambria" w:hAnsi="Arial" w:cs="Arial"/>
          <w:color w:val="000000"/>
          <w:sz w:val="20"/>
          <w:szCs w:val="20"/>
          <w:vertAlign w:val="superscript"/>
        </w:rPr>
        <w:t>(1)</w:t>
      </w:r>
      <w:r w:rsidRPr="00D65748">
        <w:rPr>
          <w:rFonts w:ascii="Arial" w:eastAsia="Cambria" w:hAnsi="Arial" w:cs="Arial"/>
          <w:color w:val="000000"/>
          <w:sz w:val="20"/>
          <w:szCs w:val="20"/>
        </w:rPr>
        <w:t xml:space="preserve"> decreased over the period.</w:t>
      </w:r>
    </w:p>
    <w:p w14:paraId="43A99E97" w14:textId="77777777" w:rsidR="00D65748" w:rsidRDefault="00D65748" w:rsidP="00D65748">
      <w:pPr>
        <w:rPr>
          <w:rFonts w:eastAsiaTheme="majorEastAsia" w:cstheme="majorBidi"/>
          <w:bCs/>
          <w:sz w:val="26"/>
        </w:rPr>
      </w:pPr>
    </w:p>
    <w:p w14:paraId="5D35DEAC" w14:textId="77777777" w:rsidR="00D65748" w:rsidRPr="00D65748" w:rsidRDefault="00D65748" w:rsidP="00D65748">
      <w:pPr>
        <w:keepNext/>
        <w:keepLines/>
        <w:outlineLvl w:val="2"/>
        <w:rPr>
          <w:rFonts w:ascii="Arial" w:eastAsiaTheme="majorEastAsia" w:hAnsi="Arial" w:cstheme="majorBidi"/>
          <w:bCs/>
          <w:sz w:val="26"/>
          <w:szCs w:val="20"/>
        </w:rPr>
      </w:pPr>
      <w:r w:rsidRPr="00D65748">
        <w:rPr>
          <w:rFonts w:ascii="Arial" w:eastAsiaTheme="majorEastAsia" w:hAnsi="Arial" w:cstheme="majorBidi"/>
          <w:bCs/>
          <w:sz w:val="26"/>
          <w:szCs w:val="20"/>
        </w:rPr>
        <w:t xml:space="preserve">Fieldwood </w:t>
      </w:r>
    </w:p>
    <w:p w14:paraId="76AC41D3" w14:textId="77777777" w:rsidR="00D65748" w:rsidRPr="00D65748" w:rsidRDefault="00D65748" w:rsidP="00D65748">
      <w:pPr>
        <w:rPr>
          <w:rFonts w:ascii="Arial" w:eastAsia="Cambria" w:hAnsi="Arial" w:cs="Arial"/>
          <w:color w:val="000000"/>
          <w:sz w:val="20"/>
          <w:szCs w:val="20"/>
        </w:rPr>
      </w:pPr>
      <w:r w:rsidRPr="00D65748">
        <w:rPr>
          <w:rFonts w:ascii="Arial" w:eastAsia="Cambria" w:hAnsi="Arial" w:cs="Arial"/>
          <w:color w:val="000000"/>
          <w:sz w:val="20"/>
          <w:szCs w:val="20"/>
        </w:rPr>
        <w:t>As of 30 June 2020, REL, through the Partnership, has invested $88 million of its $89 million commitment to Fieldwood. Riverstone formed Fieldwood in partnership with Chief Executive Officer Matt McCarroll and his team in December 2012. REL made its investment in Fieldwood in 2014, as the company acquired the Gulf of Mexico interests from Apache Corporation and SandRidge Energy, Inc. Fieldwood underwent a restructuring that concluded in April 2018 and resulted in the acquisition of Noble Energy’s deepwater Gulf of Mexico portfolio.</w:t>
      </w:r>
    </w:p>
    <w:p w14:paraId="49663795" w14:textId="77777777" w:rsidR="00D65748" w:rsidRPr="00D65748" w:rsidRDefault="00D65748" w:rsidP="00D65748">
      <w:pPr>
        <w:rPr>
          <w:rFonts w:ascii="Arial" w:eastAsia="Cambria" w:hAnsi="Arial" w:cs="Arial"/>
          <w:color w:val="000000"/>
          <w:sz w:val="20"/>
          <w:szCs w:val="20"/>
        </w:rPr>
      </w:pPr>
    </w:p>
    <w:p w14:paraId="2D66DD65" w14:textId="1AAC6631" w:rsidR="00E55570" w:rsidRDefault="00D65748" w:rsidP="00D65748">
      <w:pPr>
        <w:rPr>
          <w:rFonts w:ascii="Arial" w:eastAsia="Cambria" w:hAnsi="Arial" w:cs="Arial"/>
          <w:color w:val="000000"/>
          <w:sz w:val="20"/>
          <w:szCs w:val="20"/>
        </w:rPr>
      </w:pPr>
      <w:r w:rsidRPr="00D65748">
        <w:rPr>
          <w:rFonts w:ascii="Arial" w:eastAsia="Cambria" w:hAnsi="Arial" w:cs="Arial"/>
          <w:color w:val="000000"/>
          <w:sz w:val="20"/>
          <w:szCs w:val="20"/>
        </w:rPr>
        <w:t>To alleviate liquidity concerns, and in response to the oil price downturn during the period, Fieldwood has reduced headcount, cut expenses, and has shut-in a substantial amount of production. In addition, Fieldwood restructured its hedge book to be fully hedged through the end of June 2020 and has liquidated its remaining hedges for up-front cash proceeds. The company has negotiated extensively with its lenders to provide near-term covenant and interest relief while it seeks a more permanent solution to its capital structure challenges. Matt McCarroll has stepped down to pursue other opportunities, and was replaced by an Executive Leadership Team comprised of Michael Dane, Chief Financial Officer, Thomas Lamme, General Counsel, and Gary Mitchell, Senior Vice President of Production. The Executive Leadership Team will oversee day-to-day operations and report to the board.</w:t>
      </w:r>
    </w:p>
    <w:p w14:paraId="62D91348" w14:textId="3CC594D0" w:rsidR="00CC530D" w:rsidRDefault="00CC530D" w:rsidP="00D65748">
      <w:pPr>
        <w:rPr>
          <w:rFonts w:ascii="Arial" w:eastAsia="Cambria" w:hAnsi="Arial" w:cs="Arial"/>
          <w:color w:val="000000"/>
          <w:sz w:val="20"/>
          <w:szCs w:val="20"/>
        </w:rPr>
      </w:pPr>
    </w:p>
    <w:p w14:paraId="02EAB95F" w14:textId="7A696E21" w:rsidR="00CC530D" w:rsidRPr="00CC530D" w:rsidRDefault="00CC530D" w:rsidP="00D65748">
      <w:pPr>
        <w:rPr>
          <w:rFonts w:ascii="Arial" w:eastAsiaTheme="majorEastAsia" w:hAnsi="Arial" w:cs="Arial"/>
          <w:bCs/>
          <w:sz w:val="20"/>
          <w:szCs w:val="20"/>
        </w:rPr>
      </w:pPr>
      <w:r w:rsidRPr="00CC530D">
        <w:rPr>
          <w:rFonts w:ascii="Arial" w:eastAsia="Cambria" w:hAnsi="Arial" w:cs="Arial"/>
          <w:color w:val="000000"/>
          <w:sz w:val="20"/>
          <w:szCs w:val="20"/>
        </w:rPr>
        <w:lastRenderedPageBreak/>
        <w:t>As of 30 June 2020, REL’s interest in Fieldwood, through the Partnership, was valued at 0.1x Gross MOIC</w:t>
      </w:r>
      <w:r w:rsidRPr="00CC530D">
        <w:rPr>
          <w:rFonts w:ascii="Arial" w:eastAsia="Cambria" w:hAnsi="Arial" w:cs="Arial"/>
          <w:color w:val="000000"/>
          <w:sz w:val="20"/>
          <w:szCs w:val="20"/>
          <w:vertAlign w:val="superscript"/>
        </w:rPr>
        <w:t>(1)</w:t>
      </w:r>
      <w:r w:rsidRPr="00CC530D">
        <w:rPr>
          <w:rFonts w:ascii="Arial" w:eastAsia="Cambria" w:hAnsi="Arial" w:cs="Arial"/>
          <w:color w:val="000000"/>
          <w:sz w:val="20"/>
          <w:szCs w:val="20"/>
        </w:rPr>
        <w:t xml:space="preserve"> or $8 million (Realised: $8 million, Unrealised: $- million). The Gross MOIC</w:t>
      </w:r>
      <w:r w:rsidRPr="00CC530D">
        <w:rPr>
          <w:rFonts w:ascii="Arial" w:eastAsia="Cambria" w:hAnsi="Arial" w:cs="Arial"/>
          <w:color w:val="000000"/>
          <w:sz w:val="20"/>
          <w:szCs w:val="20"/>
          <w:vertAlign w:val="superscript"/>
        </w:rPr>
        <w:t>(1)</w:t>
      </w:r>
      <w:r w:rsidRPr="00CC530D">
        <w:rPr>
          <w:rFonts w:ascii="Arial" w:eastAsia="Cambria" w:hAnsi="Arial" w:cs="Arial"/>
          <w:color w:val="000000"/>
          <w:sz w:val="20"/>
          <w:szCs w:val="20"/>
        </w:rPr>
        <w:t xml:space="preserve"> decreased over the period.</w:t>
      </w:r>
    </w:p>
    <w:p w14:paraId="5149953D" w14:textId="77777777" w:rsidR="00DF29DD" w:rsidRPr="00DF29DD" w:rsidRDefault="00DF29DD" w:rsidP="00D65748">
      <w:pPr>
        <w:rPr>
          <w:rFonts w:ascii="Arial" w:eastAsiaTheme="majorEastAsia" w:hAnsi="Arial" w:cstheme="majorBidi"/>
          <w:bCs/>
          <w:sz w:val="26"/>
          <w:szCs w:val="20"/>
        </w:rPr>
      </w:pPr>
    </w:p>
    <w:p w14:paraId="25600AC8" w14:textId="77A8874C" w:rsidR="00DF29DD" w:rsidRDefault="00DF29DD" w:rsidP="00D65748">
      <w:pPr>
        <w:keepNext/>
        <w:keepLines/>
        <w:outlineLvl w:val="2"/>
        <w:rPr>
          <w:rFonts w:ascii="Arial" w:eastAsiaTheme="majorEastAsia" w:hAnsi="Arial" w:cstheme="majorBidi"/>
          <w:b/>
          <w:bCs/>
          <w:sz w:val="26"/>
          <w:szCs w:val="20"/>
        </w:rPr>
      </w:pPr>
      <w:r w:rsidRPr="00DF29DD">
        <w:rPr>
          <w:rFonts w:ascii="Arial" w:eastAsiaTheme="majorEastAsia" w:hAnsi="Arial" w:cstheme="majorBidi"/>
          <w:b/>
          <w:bCs/>
          <w:sz w:val="26"/>
          <w:szCs w:val="20"/>
        </w:rPr>
        <w:t>Realised Investments</w:t>
      </w:r>
    </w:p>
    <w:p w14:paraId="604B4F43" w14:textId="77777777" w:rsidR="00D65748" w:rsidRPr="00D65748" w:rsidRDefault="00D65748" w:rsidP="00D65748">
      <w:pPr>
        <w:keepNext/>
        <w:keepLines/>
        <w:outlineLvl w:val="2"/>
        <w:rPr>
          <w:rFonts w:ascii="Arial" w:eastAsiaTheme="majorEastAsia" w:hAnsi="Arial" w:cstheme="majorBidi"/>
          <w:bCs/>
          <w:sz w:val="26"/>
          <w:szCs w:val="20"/>
        </w:rPr>
      </w:pPr>
      <w:r w:rsidRPr="00D65748">
        <w:rPr>
          <w:rFonts w:ascii="Arial" w:eastAsiaTheme="majorEastAsia" w:hAnsi="Arial" w:cstheme="majorBidi"/>
          <w:bCs/>
          <w:sz w:val="26"/>
          <w:szCs w:val="20"/>
        </w:rPr>
        <w:t>RCO</w:t>
      </w:r>
    </w:p>
    <w:p w14:paraId="442CA1AB" w14:textId="77777777" w:rsidR="00D65748" w:rsidRPr="00D65748" w:rsidRDefault="00D65748" w:rsidP="00D65748">
      <w:pPr>
        <w:rPr>
          <w:rFonts w:ascii="Arial" w:eastAsia="Calibri" w:hAnsi="Arial" w:cs="Arial"/>
          <w:color w:val="000000"/>
          <w:sz w:val="20"/>
          <w:szCs w:val="20"/>
        </w:rPr>
      </w:pPr>
      <w:bookmarkStart w:id="3" w:name="_Hlk45198581"/>
      <w:r w:rsidRPr="00D65748">
        <w:rPr>
          <w:rFonts w:ascii="Arial" w:eastAsia="Calibri" w:hAnsi="Arial" w:cs="Arial"/>
          <w:color w:val="000000"/>
          <w:sz w:val="20"/>
          <w:szCs w:val="20"/>
        </w:rPr>
        <w:t>RCO was formed in January 2015 to take advantage of the dislocation in the leveraged capital markets for energy companies. Since its inception, RCO made a total of 32 investments, all of which have already been fully exited.</w:t>
      </w:r>
    </w:p>
    <w:bookmarkEnd w:id="3"/>
    <w:p w14:paraId="7F42FF46" w14:textId="77777777" w:rsidR="00D65748" w:rsidRPr="00D65748" w:rsidRDefault="00D65748" w:rsidP="00D65748">
      <w:pPr>
        <w:rPr>
          <w:rFonts w:ascii="Arial" w:eastAsia="Cambria" w:hAnsi="Arial" w:cs="Arial"/>
          <w:color w:val="000000"/>
          <w:sz w:val="20"/>
          <w:szCs w:val="20"/>
        </w:rPr>
      </w:pPr>
    </w:p>
    <w:p w14:paraId="48481EAF" w14:textId="77777777" w:rsidR="00D65748" w:rsidRPr="00D65748" w:rsidRDefault="00D65748" w:rsidP="00D65748">
      <w:pPr>
        <w:rPr>
          <w:rFonts w:ascii="Arial" w:hAnsi="Arial" w:cs="Arial"/>
          <w:color w:val="000000" w:themeColor="text1"/>
          <w:sz w:val="20"/>
          <w:szCs w:val="20"/>
        </w:rPr>
      </w:pPr>
      <w:r w:rsidRPr="00D65748">
        <w:rPr>
          <w:rFonts w:ascii="Arial" w:eastAsia="Cambria" w:hAnsi="Arial" w:cs="Arial"/>
          <w:color w:val="000000"/>
          <w:sz w:val="20"/>
          <w:szCs w:val="20"/>
        </w:rPr>
        <w:t>As of 30 June 2020, REL’s interest in RCO, through the Partnership, was valued at 1.0x Gross MOIC</w:t>
      </w:r>
      <w:r w:rsidRPr="00D65748">
        <w:rPr>
          <w:rFonts w:ascii="Arial" w:eastAsia="Cambria" w:hAnsi="Arial" w:cs="Arial"/>
          <w:color w:val="000000"/>
          <w:sz w:val="20"/>
          <w:szCs w:val="20"/>
          <w:vertAlign w:val="superscript"/>
        </w:rPr>
        <w:t>(1)</w:t>
      </w:r>
      <w:r w:rsidRPr="00D65748">
        <w:rPr>
          <w:rFonts w:ascii="Arial" w:eastAsia="Cambria" w:hAnsi="Arial" w:cs="Arial"/>
          <w:color w:val="000000"/>
          <w:sz w:val="20"/>
          <w:szCs w:val="20"/>
        </w:rPr>
        <w:t xml:space="preserve"> or $80 million (100 per cent. realised).</w:t>
      </w:r>
    </w:p>
    <w:p w14:paraId="11CDFBF7" w14:textId="77777777" w:rsidR="00D65748" w:rsidRPr="00DF29DD" w:rsidRDefault="00D65748" w:rsidP="00D65748">
      <w:pPr>
        <w:keepNext/>
        <w:keepLines/>
        <w:outlineLvl w:val="2"/>
        <w:rPr>
          <w:rFonts w:eastAsiaTheme="majorEastAsia" w:cstheme="majorBidi"/>
          <w:bCs/>
          <w:highlight w:val="yellow"/>
        </w:rPr>
      </w:pPr>
    </w:p>
    <w:p w14:paraId="2647E4C9" w14:textId="77777777" w:rsidR="00D65748" w:rsidRPr="00D65748" w:rsidRDefault="00D65748" w:rsidP="00D65748">
      <w:pPr>
        <w:keepNext/>
        <w:keepLines/>
        <w:outlineLvl w:val="2"/>
        <w:rPr>
          <w:rFonts w:ascii="Arial" w:eastAsiaTheme="majorEastAsia" w:hAnsi="Arial" w:cstheme="majorBidi"/>
          <w:bCs/>
          <w:sz w:val="26"/>
          <w:szCs w:val="20"/>
        </w:rPr>
      </w:pPr>
      <w:r w:rsidRPr="00D65748">
        <w:rPr>
          <w:rFonts w:ascii="Arial" w:eastAsiaTheme="majorEastAsia" w:hAnsi="Arial" w:cstheme="majorBidi"/>
          <w:bCs/>
          <w:sz w:val="26"/>
          <w:szCs w:val="20"/>
        </w:rPr>
        <w:t>Aleph Midstream</w:t>
      </w:r>
    </w:p>
    <w:p w14:paraId="2F20B362" w14:textId="77777777" w:rsidR="00D65748" w:rsidRPr="00D65748" w:rsidRDefault="00D65748" w:rsidP="00D65748">
      <w:pPr>
        <w:rPr>
          <w:rFonts w:ascii="Arial" w:eastAsia="Calibri" w:hAnsi="Arial" w:cs="Arial"/>
          <w:color w:val="000000"/>
          <w:sz w:val="20"/>
          <w:szCs w:val="20"/>
        </w:rPr>
      </w:pPr>
      <w:r w:rsidRPr="00D65748">
        <w:rPr>
          <w:rFonts w:ascii="Arial" w:eastAsia="Calibri" w:hAnsi="Arial" w:cs="Arial"/>
          <w:color w:val="000000"/>
          <w:sz w:val="20"/>
          <w:szCs w:val="20"/>
        </w:rPr>
        <w:t>Aleph Midstream was the first independent midstream company focussed on gathering and processing infrastructure in the oil window of Argentina’s Vaca Muerta shale play.</w:t>
      </w:r>
    </w:p>
    <w:p w14:paraId="148E9191" w14:textId="77777777" w:rsidR="00D65748" w:rsidRPr="00D65748" w:rsidRDefault="00D65748" w:rsidP="00D65748">
      <w:pPr>
        <w:rPr>
          <w:rFonts w:ascii="Arial" w:eastAsia="Calibri" w:hAnsi="Arial" w:cs="Arial"/>
          <w:color w:val="000000"/>
          <w:sz w:val="20"/>
          <w:szCs w:val="20"/>
        </w:rPr>
      </w:pPr>
    </w:p>
    <w:p w14:paraId="3C732EC9" w14:textId="77777777" w:rsidR="00D65748" w:rsidRPr="00D65748" w:rsidRDefault="00D65748" w:rsidP="00D65748">
      <w:pPr>
        <w:rPr>
          <w:rFonts w:ascii="Arial" w:eastAsia="Calibri" w:hAnsi="Arial" w:cs="Arial"/>
          <w:color w:val="000000"/>
          <w:sz w:val="20"/>
          <w:szCs w:val="20"/>
        </w:rPr>
      </w:pPr>
      <w:r w:rsidRPr="00D65748">
        <w:rPr>
          <w:rFonts w:ascii="Arial" w:eastAsia="Calibri" w:hAnsi="Arial" w:cs="Arial"/>
          <w:color w:val="000000"/>
          <w:sz w:val="20"/>
          <w:szCs w:val="20"/>
        </w:rPr>
        <w:t>In February 2020, REL decided to unwind its commitment to Aleph Midstream due to the macroeconomic conditions in Argentina as well as certain condition precedents that have not been met with its anchor customer. In March 2020, REL was reimbursed for its fund invested capital in Aleph Midstream.</w:t>
      </w:r>
    </w:p>
    <w:p w14:paraId="29D696F5" w14:textId="77777777" w:rsidR="00D65748" w:rsidRPr="00D65748" w:rsidRDefault="00D65748" w:rsidP="00D65748">
      <w:pPr>
        <w:rPr>
          <w:rFonts w:ascii="Arial" w:eastAsia="Calibri" w:hAnsi="Arial" w:cs="Arial"/>
          <w:color w:val="000000"/>
          <w:sz w:val="20"/>
          <w:szCs w:val="20"/>
        </w:rPr>
      </w:pPr>
    </w:p>
    <w:p w14:paraId="286A08DA" w14:textId="77777777" w:rsidR="00D65748" w:rsidRPr="00D65748" w:rsidRDefault="00D65748" w:rsidP="00D65748">
      <w:pPr>
        <w:rPr>
          <w:rFonts w:ascii="Arial" w:eastAsia="Calibri" w:hAnsi="Arial" w:cs="Arial"/>
          <w:color w:val="000000"/>
          <w:sz w:val="20"/>
          <w:szCs w:val="20"/>
        </w:rPr>
      </w:pPr>
      <w:r w:rsidRPr="00D65748">
        <w:rPr>
          <w:rFonts w:ascii="Arial" w:eastAsia="Calibri" w:hAnsi="Arial" w:cs="Arial"/>
          <w:color w:val="000000"/>
          <w:sz w:val="20"/>
          <w:szCs w:val="20"/>
        </w:rPr>
        <w:t xml:space="preserve">As of 30 June 2020, REL’s interest in Aleph Midstream, through the Partnership, was valued at </w:t>
      </w:r>
      <w:r w:rsidRPr="00D65748">
        <w:rPr>
          <w:rFonts w:ascii="Arial" w:eastAsia="Cambria" w:hAnsi="Arial" w:cs="Arial"/>
          <w:color w:val="000000"/>
          <w:sz w:val="20"/>
          <w:szCs w:val="20"/>
        </w:rPr>
        <w:t xml:space="preserve">1.0x </w:t>
      </w:r>
      <w:r w:rsidRPr="00D65748">
        <w:rPr>
          <w:rFonts w:ascii="Arial" w:eastAsia="Calibri" w:hAnsi="Arial" w:cs="Arial"/>
          <w:color w:val="000000"/>
          <w:sz w:val="20"/>
          <w:szCs w:val="20"/>
        </w:rPr>
        <w:t>Gross MOIC</w:t>
      </w:r>
      <w:r w:rsidRPr="00D65748">
        <w:rPr>
          <w:rFonts w:ascii="Arial" w:eastAsia="Calibri" w:hAnsi="Arial" w:cs="Arial"/>
          <w:color w:val="000000"/>
          <w:sz w:val="20"/>
          <w:szCs w:val="20"/>
          <w:vertAlign w:val="superscript"/>
        </w:rPr>
        <w:t>(1)</w:t>
      </w:r>
      <w:r w:rsidRPr="00D65748">
        <w:rPr>
          <w:rFonts w:ascii="Arial" w:eastAsia="Calibri" w:hAnsi="Arial" w:cs="Arial"/>
          <w:color w:val="000000"/>
          <w:sz w:val="20"/>
          <w:szCs w:val="20"/>
        </w:rPr>
        <w:t xml:space="preserve"> or $</w:t>
      </w:r>
      <w:r w:rsidRPr="00D65748">
        <w:rPr>
          <w:rFonts w:ascii="Arial" w:eastAsia="Cambria" w:hAnsi="Arial" w:cs="Arial"/>
          <w:color w:val="000000"/>
          <w:sz w:val="20"/>
          <w:szCs w:val="20"/>
        </w:rPr>
        <w:t>23</w:t>
      </w:r>
      <w:r w:rsidRPr="00D65748">
        <w:rPr>
          <w:rFonts w:ascii="Arial" w:eastAsia="Calibri" w:hAnsi="Arial" w:cs="Arial"/>
          <w:color w:val="000000"/>
          <w:sz w:val="20"/>
          <w:szCs w:val="20"/>
        </w:rPr>
        <w:t xml:space="preserve"> million (100 per cent. realised).</w:t>
      </w:r>
    </w:p>
    <w:p w14:paraId="06E2507E" w14:textId="77777777" w:rsidR="00D65748" w:rsidRDefault="00D65748" w:rsidP="00D65748">
      <w:pPr>
        <w:keepNext/>
        <w:keepLines/>
        <w:outlineLvl w:val="2"/>
        <w:rPr>
          <w:rFonts w:eastAsiaTheme="majorEastAsia" w:cstheme="majorBidi"/>
          <w:bCs/>
          <w:sz w:val="26"/>
        </w:rPr>
      </w:pPr>
    </w:p>
    <w:p w14:paraId="33369537" w14:textId="77777777" w:rsidR="00D65748" w:rsidRPr="00D65748" w:rsidRDefault="00D65748" w:rsidP="00D65748">
      <w:pPr>
        <w:keepNext/>
        <w:keepLines/>
        <w:outlineLvl w:val="2"/>
        <w:rPr>
          <w:rFonts w:ascii="Arial" w:eastAsiaTheme="majorEastAsia" w:hAnsi="Arial" w:cstheme="majorBidi"/>
          <w:bCs/>
          <w:sz w:val="26"/>
          <w:szCs w:val="20"/>
        </w:rPr>
      </w:pPr>
      <w:r w:rsidRPr="00D65748">
        <w:rPr>
          <w:rFonts w:ascii="Arial" w:eastAsiaTheme="majorEastAsia" w:hAnsi="Arial" w:cstheme="majorBidi"/>
          <w:bCs/>
          <w:sz w:val="26"/>
          <w:szCs w:val="20"/>
        </w:rPr>
        <w:t xml:space="preserve">Castex 2014 </w:t>
      </w:r>
    </w:p>
    <w:p w14:paraId="50073599" w14:textId="77777777" w:rsidR="00D65748" w:rsidRPr="00D65748" w:rsidRDefault="00D65748" w:rsidP="00D65748">
      <w:pPr>
        <w:rPr>
          <w:rFonts w:ascii="Arial" w:eastAsia="Calibri" w:hAnsi="Arial" w:cs="Arial"/>
          <w:color w:val="000000"/>
          <w:sz w:val="20"/>
          <w:szCs w:val="20"/>
        </w:rPr>
      </w:pPr>
      <w:r w:rsidRPr="00D65748">
        <w:rPr>
          <w:rFonts w:ascii="Arial" w:eastAsia="Calibri" w:hAnsi="Arial" w:cs="Arial"/>
          <w:color w:val="000000"/>
          <w:sz w:val="20"/>
          <w:szCs w:val="20"/>
        </w:rPr>
        <w:t>Castex 2014 is a Houston-based oil and gas company focussed on gas exploration opportunities in the U.S. Gulf Coast Region. In Q4 2019, the company was sold to Talos for cash proceeds and Talos shares.</w:t>
      </w:r>
    </w:p>
    <w:p w14:paraId="3FA00786" w14:textId="77777777" w:rsidR="00D65748" w:rsidRPr="00D65748" w:rsidRDefault="00D65748" w:rsidP="00D65748">
      <w:pPr>
        <w:rPr>
          <w:rFonts w:ascii="Arial" w:eastAsia="Cambria" w:hAnsi="Arial" w:cs="Arial"/>
          <w:color w:val="000000"/>
          <w:sz w:val="20"/>
          <w:szCs w:val="20"/>
        </w:rPr>
      </w:pPr>
    </w:p>
    <w:p w14:paraId="5B487DBB" w14:textId="794D6A74" w:rsidR="00213F9C" w:rsidRPr="00D65748" w:rsidRDefault="00D65748" w:rsidP="00D65748">
      <w:pPr>
        <w:rPr>
          <w:rFonts w:ascii="Arial" w:eastAsiaTheme="minorHAnsi" w:hAnsi="Arial" w:cs="Arial"/>
          <w:color w:val="000000" w:themeColor="text1"/>
          <w:sz w:val="20"/>
          <w:szCs w:val="20"/>
          <w:highlight w:val="yellow"/>
        </w:rPr>
      </w:pPr>
      <w:r w:rsidRPr="00D65748">
        <w:rPr>
          <w:rFonts w:ascii="Arial" w:eastAsia="Cambria" w:hAnsi="Arial" w:cs="Arial"/>
          <w:color w:val="000000"/>
          <w:sz w:val="20"/>
          <w:szCs w:val="20"/>
        </w:rPr>
        <w:t xml:space="preserve">As of 30 June 2020, REL’s interest in Castex 2014, through the Partnership, </w:t>
      </w:r>
      <w:r w:rsidRPr="00D65748">
        <w:rPr>
          <w:rFonts w:ascii="Arial" w:eastAsia="Calibri" w:hAnsi="Arial" w:cs="Arial"/>
          <w:color w:val="000000"/>
          <w:sz w:val="20"/>
          <w:szCs w:val="20"/>
        </w:rPr>
        <w:t>was valued at 0.2</w:t>
      </w:r>
      <w:r w:rsidRPr="00D65748">
        <w:rPr>
          <w:rFonts w:ascii="Arial" w:eastAsia="Cambria" w:hAnsi="Arial" w:cs="Arial"/>
          <w:color w:val="000000"/>
          <w:sz w:val="20"/>
          <w:szCs w:val="20"/>
        </w:rPr>
        <w:t xml:space="preserve">x </w:t>
      </w:r>
      <w:r w:rsidRPr="00D65748">
        <w:rPr>
          <w:rFonts w:ascii="Arial" w:eastAsia="Calibri" w:hAnsi="Arial" w:cs="Arial"/>
          <w:color w:val="000000"/>
          <w:sz w:val="20"/>
          <w:szCs w:val="20"/>
        </w:rPr>
        <w:t>Gross MOIC</w:t>
      </w:r>
      <w:r w:rsidRPr="00D65748">
        <w:rPr>
          <w:rFonts w:ascii="Arial" w:eastAsia="Calibri" w:hAnsi="Arial" w:cs="Arial"/>
          <w:color w:val="000000"/>
          <w:sz w:val="20"/>
          <w:szCs w:val="20"/>
          <w:vertAlign w:val="superscript"/>
        </w:rPr>
        <w:t>(1)</w:t>
      </w:r>
      <w:r w:rsidRPr="00D65748">
        <w:rPr>
          <w:rFonts w:ascii="Arial" w:eastAsia="Calibri" w:hAnsi="Arial" w:cs="Arial"/>
          <w:color w:val="000000"/>
          <w:sz w:val="20"/>
          <w:szCs w:val="20"/>
        </w:rPr>
        <w:t xml:space="preserve"> or $</w:t>
      </w:r>
      <w:r w:rsidRPr="00D65748">
        <w:rPr>
          <w:rFonts w:ascii="Arial" w:eastAsia="Cambria" w:hAnsi="Arial" w:cs="Arial"/>
          <w:color w:val="000000"/>
          <w:sz w:val="20"/>
          <w:szCs w:val="20"/>
        </w:rPr>
        <w:t>11</w:t>
      </w:r>
      <w:r w:rsidRPr="00D65748">
        <w:rPr>
          <w:rFonts w:ascii="Arial" w:eastAsia="Calibri" w:hAnsi="Arial" w:cs="Arial"/>
          <w:color w:val="000000"/>
          <w:sz w:val="20"/>
          <w:szCs w:val="20"/>
        </w:rPr>
        <w:t xml:space="preserve"> million (</w:t>
      </w:r>
      <w:r w:rsidRPr="00D65748">
        <w:rPr>
          <w:rFonts w:ascii="Arial" w:eastAsia="Cambria" w:hAnsi="Arial" w:cs="Arial"/>
          <w:color w:val="000000"/>
          <w:sz w:val="20"/>
          <w:szCs w:val="20"/>
        </w:rPr>
        <w:t>Realised: $8 million, Unrealised: $3 million</w:t>
      </w:r>
      <w:r w:rsidRPr="00D65748">
        <w:rPr>
          <w:rFonts w:ascii="Arial" w:eastAsia="Calibri" w:hAnsi="Arial" w:cs="Arial"/>
          <w:color w:val="000000"/>
          <w:sz w:val="20"/>
          <w:szCs w:val="20"/>
        </w:rPr>
        <w:t>). As of 30 June 2020, the remaining unrealised value represents the mark-to-market value of REL’s shareholding in Talos shares.</w:t>
      </w:r>
    </w:p>
    <w:p w14:paraId="3A3A9743" w14:textId="77777777" w:rsidR="00DF29DD" w:rsidRPr="00DF29DD" w:rsidRDefault="00DF29DD" w:rsidP="00DF29DD">
      <w:pPr>
        <w:rPr>
          <w:rFonts w:ascii="Arial" w:eastAsiaTheme="minorHAnsi" w:hAnsi="Arial" w:cs="Arial"/>
          <w:sz w:val="20"/>
          <w:szCs w:val="20"/>
          <w:highlight w:val="yellow"/>
        </w:rPr>
      </w:pPr>
    </w:p>
    <w:p w14:paraId="74C9C120" w14:textId="77777777" w:rsidR="00DF29DD" w:rsidRPr="00DF29DD" w:rsidRDefault="00DF29DD" w:rsidP="00DF29DD">
      <w:pPr>
        <w:ind w:left="567" w:hanging="567"/>
        <w:outlineLvl w:val="1"/>
        <w:rPr>
          <w:rFonts w:ascii="Arial" w:eastAsiaTheme="minorHAnsi" w:hAnsi="Arial" w:cs="Arial"/>
          <w:b/>
          <w:sz w:val="28"/>
          <w:szCs w:val="20"/>
        </w:rPr>
      </w:pPr>
      <w:r w:rsidRPr="00DF29DD">
        <w:rPr>
          <w:rFonts w:ascii="Arial" w:eastAsiaTheme="minorHAnsi" w:hAnsi="Arial" w:cs="Arial"/>
          <w:b/>
          <w:sz w:val="28"/>
          <w:szCs w:val="20"/>
        </w:rPr>
        <w:t>Valuation</w:t>
      </w:r>
    </w:p>
    <w:p w14:paraId="7B02D604" w14:textId="46C58329" w:rsidR="00DF29DD" w:rsidRPr="00DF29DD" w:rsidRDefault="00DF29DD" w:rsidP="00DF29DD">
      <w:pPr>
        <w:rPr>
          <w:rFonts w:ascii="Arial" w:eastAsiaTheme="minorHAnsi" w:hAnsi="Arial" w:cs="Arial"/>
          <w:sz w:val="20"/>
          <w:szCs w:val="20"/>
          <w:lang w:val="en-US"/>
        </w:rPr>
      </w:pPr>
      <w:r w:rsidRPr="00DF29DD">
        <w:rPr>
          <w:rFonts w:ascii="Arial" w:eastAsiaTheme="minorHAnsi" w:hAnsi="Arial" w:cs="Arial"/>
          <w:sz w:val="20"/>
          <w:szCs w:val="20"/>
          <w:lang w:val="en-US"/>
        </w:rPr>
        <w:t>The Investment Manager is charged with proposing the valuation of the assets held by REL through the Partnership. The Partnership has directed that securities and instruments be valued at their fair value. REL’s valuation policy is compliant with IFRS and IPEV Valuation Guidelines</w:t>
      </w:r>
      <w:r w:rsidRPr="00DF29DD">
        <w:rPr>
          <w:rFonts w:eastAsiaTheme="minorHAnsi" w:cs="Arial"/>
          <w:szCs w:val="22"/>
        </w:rPr>
        <w:t xml:space="preserve"> </w:t>
      </w:r>
      <w:r w:rsidRPr="00DF29DD">
        <w:rPr>
          <w:rFonts w:ascii="Arial" w:eastAsiaTheme="minorHAnsi" w:hAnsi="Arial" w:cs="Arial"/>
          <w:sz w:val="20"/>
          <w:szCs w:val="20"/>
          <w:lang w:val="en-US"/>
        </w:rPr>
        <w:t xml:space="preserve">and has been applied consistently from period to period since inception. </w:t>
      </w:r>
      <w:r w:rsidRPr="00DF29DD">
        <w:rPr>
          <w:rFonts w:ascii="Arial" w:eastAsiaTheme="minorHAnsi" w:hAnsi="Arial" w:cs="Arial"/>
          <w:sz w:val="20"/>
          <w:szCs w:val="20"/>
        </w:rPr>
        <w:t>As the Company’s investments are generally not publicly quoted, valuations require meaningful judg</w:t>
      </w:r>
      <w:r w:rsidR="00AD57E5">
        <w:rPr>
          <w:rFonts w:ascii="Arial" w:eastAsiaTheme="minorHAnsi" w:hAnsi="Arial" w:cs="Arial"/>
          <w:sz w:val="20"/>
          <w:szCs w:val="20"/>
        </w:rPr>
        <w:t>e</w:t>
      </w:r>
      <w:r w:rsidRPr="00DF29DD">
        <w:rPr>
          <w:rFonts w:ascii="Arial" w:eastAsiaTheme="minorHAnsi" w:hAnsi="Arial" w:cs="Arial"/>
          <w:sz w:val="20"/>
          <w:szCs w:val="20"/>
        </w:rPr>
        <w:t>ment to establish a range of values, and the ultimate value at which an investment is realised may differ from its most recent valuation and the difference may be significant.</w:t>
      </w:r>
    </w:p>
    <w:p w14:paraId="36D95F26" w14:textId="77777777" w:rsidR="00DF29DD" w:rsidRPr="00DF29DD" w:rsidRDefault="00DF29DD" w:rsidP="00DF29DD">
      <w:pPr>
        <w:rPr>
          <w:rFonts w:ascii="Arial" w:eastAsiaTheme="minorHAnsi" w:hAnsi="Arial" w:cs="Arial"/>
          <w:sz w:val="20"/>
          <w:szCs w:val="20"/>
          <w:lang w:val="en-US"/>
        </w:rPr>
      </w:pPr>
    </w:p>
    <w:p w14:paraId="4C240CD8" w14:textId="315737FB" w:rsidR="00DF29DD" w:rsidRPr="00DF29DD" w:rsidRDefault="00DF29DD" w:rsidP="00DF29DD">
      <w:pPr>
        <w:rPr>
          <w:rFonts w:ascii="Arial" w:eastAsiaTheme="minorHAnsi" w:hAnsi="Arial" w:cs="Arial"/>
          <w:sz w:val="20"/>
          <w:szCs w:val="20"/>
        </w:rPr>
      </w:pPr>
      <w:r w:rsidRPr="00DF29DD">
        <w:rPr>
          <w:rFonts w:ascii="Arial" w:eastAsiaTheme="minorHAnsi" w:hAnsi="Arial" w:cs="Arial"/>
          <w:sz w:val="20"/>
          <w:szCs w:val="20"/>
          <w:lang w:val="en-US"/>
        </w:rPr>
        <w:t>The Investment Manager values each underlying investment in accordance with the Riverstone valuation policy, the IFRS accounting standards and IPEV Valuation Guidelines. The value of REL’s portion of that investment is derived by multiplying its ownership percentage by the value of the underlying investment. If there is any divergence between the Riverstone valuation policy and REL’s valuation policy, the Partnership’s proportion of the total holding will follow REL’s valuation policy.</w:t>
      </w:r>
      <w:r w:rsidRPr="00D65748">
        <w:rPr>
          <w:rFonts w:ascii="Arial" w:eastAsiaTheme="minorHAnsi" w:hAnsi="Arial" w:cs="Arial"/>
          <w:sz w:val="20"/>
          <w:szCs w:val="20"/>
          <w:lang w:val="en-US"/>
        </w:rPr>
        <w:t xml:space="preserve"> </w:t>
      </w:r>
      <w:r w:rsidRPr="00DF29DD">
        <w:rPr>
          <w:rFonts w:ascii="Arial" w:eastAsiaTheme="minorHAnsi" w:hAnsi="Arial" w:cs="Arial"/>
          <w:sz w:val="20"/>
          <w:szCs w:val="20"/>
          <w:lang w:val="en-US"/>
        </w:rPr>
        <w:t>Valuations of REL’s investments through the Partnership are determined by the Investment Manager and disclosed quarterly to investors, subject to Board approval.</w:t>
      </w:r>
    </w:p>
    <w:p w14:paraId="1E0DA4B8" w14:textId="77777777" w:rsidR="00DF29DD" w:rsidRPr="00DF29DD" w:rsidRDefault="00DF29DD" w:rsidP="00DF29DD">
      <w:pPr>
        <w:rPr>
          <w:rFonts w:ascii="Arial" w:eastAsiaTheme="minorHAnsi" w:hAnsi="Arial" w:cs="Arial"/>
          <w:sz w:val="20"/>
          <w:szCs w:val="20"/>
        </w:rPr>
      </w:pPr>
    </w:p>
    <w:p w14:paraId="0C74F00D" w14:textId="77777777" w:rsidR="00DF29DD" w:rsidRPr="00DF29DD" w:rsidRDefault="00DF29DD" w:rsidP="00DF29DD">
      <w:pPr>
        <w:rPr>
          <w:rFonts w:ascii="Arial" w:eastAsiaTheme="minorHAnsi" w:hAnsi="Arial" w:cs="Arial"/>
          <w:sz w:val="20"/>
          <w:szCs w:val="20"/>
        </w:rPr>
      </w:pPr>
      <w:r w:rsidRPr="00DF29DD">
        <w:rPr>
          <w:rFonts w:ascii="Arial" w:eastAsiaTheme="minorHAnsi" w:hAnsi="Arial" w:cs="Arial"/>
          <w:sz w:val="20"/>
          <w:szCs w:val="20"/>
        </w:rPr>
        <w:t>Riverstone values its investments using common industry valuation techniques, including comparable public market valuation, comparable merger and acquisition transaction valuation, and discounted cash flow valuation.</w:t>
      </w:r>
    </w:p>
    <w:p w14:paraId="7D29E7F4" w14:textId="77777777" w:rsidR="00DF29DD" w:rsidRPr="00DF29DD" w:rsidRDefault="00DF29DD" w:rsidP="00DF29DD">
      <w:pPr>
        <w:rPr>
          <w:rFonts w:ascii="Arial" w:eastAsiaTheme="minorHAnsi" w:hAnsi="Arial" w:cs="Arial"/>
          <w:sz w:val="20"/>
          <w:szCs w:val="20"/>
        </w:rPr>
      </w:pPr>
    </w:p>
    <w:p w14:paraId="4BB4758C" w14:textId="77777777" w:rsidR="00DF29DD" w:rsidRPr="00DF29DD" w:rsidRDefault="00DF29DD" w:rsidP="00DF29DD">
      <w:pPr>
        <w:rPr>
          <w:rFonts w:ascii="Arial" w:eastAsiaTheme="minorHAnsi" w:hAnsi="Arial" w:cs="Arial"/>
          <w:sz w:val="20"/>
          <w:szCs w:val="20"/>
        </w:rPr>
      </w:pPr>
      <w:r w:rsidRPr="00DF29DD">
        <w:rPr>
          <w:rFonts w:ascii="Arial" w:eastAsiaTheme="minorHAnsi" w:hAnsi="Arial" w:cs="Arial"/>
          <w:sz w:val="20"/>
          <w:szCs w:val="20"/>
        </w:rPr>
        <w:t>For development-type investments, Riverstone also considers the recognition of appreciation or depreciation of subsequent financing rounds, if any. For those early stage privately held companies where there are other indicators of a decline in the value of the investment, Riverstone will value the investment accordingly even in the absence of a subsequent financing round.</w:t>
      </w:r>
    </w:p>
    <w:p w14:paraId="650E6A14" w14:textId="77777777" w:rsidR="00DF29DD" w:rsidRPr="00DF29DD" w:rsidRDefault="00DF29DD" w:rsidP="00DF29DD">
      <w:pPr>
        <w:rPr>
          <w:rFonts w:ascii="Arial" w:eastAsiaTheme="minorHAnsi" w:hAnsi="Arial" w:cs="Arial"/>
          <w:sz w:val="20"/>
          <w:szCs w:val="20"/>
        </w:rPr>
      </w:pPr>
    </w:p>
    <w:p w14:paraId="75086285" w14:textId="77777777" w:rsidR="00DF29DD" w:rsidRPr="00DF29DD" w:rsidRDefault="00DF29DD" w:rsidP="00DF29DD">
      <w:pPr>
        <w:rPr>
          <w:rFonts w:ascii="Arial" w:eastAsiaTheme="minorHAnsi" w:hAnsi="Arial" w:cs="Arial"/>
          <w:sz w:val="20"/>
          <w:szCs w:val="20"/>
        </w:rPr>
      </w:pPr>
      <w:r w:rsidRPr="00DF29DD">
        <w:rPr>
          <w:rFonts w:ascii="Arial" w:eastAsiaTheme="minorHAnsi" w:hAnsi="Arial" w:cs="Arial"/>
          <w:sz w:val="20"/>
          <w:szCs w:val="20"/>
        </w:rPr>
        <w:t>Riverstone reviews the valuations on a quarterly basis with the assistance of the Riverstone Performance Review Team (“PRT”) as part of the valuation process. The PRT was formed to serve as a single structure overseeing the existing Riverstone portfolio with the goal of improving operational and financial performance.</w:t>
      </w:r>
    </w:p>
    <w:p w14:paraId="5DB87FAD" w14:textId="77777777" w:rsidR="00DF29DD" w:rsidRPr="00DF29DD" w:rsidRDefault="00DF29DD" w:rsidP="00DF29DD">
      <w:pPr>
        <w:rPr>
          <w:rFonts w:ascii="Arial" w:eastAsiaTheme="minorHAnsi" w:hAnsi="Arial" w:cs="Arial"/>
          <w:sz w:val="20"/>
          <w:szCs w:val="22"/>
        </w:rPr>
      </w:pPr>
    </w:p>
    <w:p w14:paraId="0A06F754" w14:textId="263DBE1D" w:rsidR="00DF29DD" w:rsidRDefault="00DF29DD" w:rsidP="00DF29DD">
      <w:pPr>
        <w:rPr>
          <w:rFonts w:ascii="Arial" w:eastAsiaTheme="minorHAnsi" w:hAnsi="Arial" w:cs="Arial"/>
          <w:sz w:val="20"/>
          <w:szCs w:val="20"/>
        </w:rPr>
      </w:pPr>
      <w:r w:rsidRPr="00DF29DD">
        <w:rPr>
          <w:rFonts w:ascii="Arial" w:eastAsiaTheme="minorHAnsi" w:hAnsi="Arial" w:cs="Arial"/>
          <w:sz w:val="20"/>
          <w:szCs w:val="20"/>
        </w:rPr>
        <w:t>The Audit Committee reviews the valuations of the Company’s investments held through the Partnership and makes a recommendation to the Board for formal consideration and acceptance.</w:t>
      </w:r>
    </w:p>
    <w:p w14:paraId="5117EB7D" w14:textId="77777777" w:rsidR="004B1495" w:rsidRDefault="004B1495" w:rsidP="004B1495">
      <w:pPr>
        <w:ind w:right="-806"/>
        <w:rPr>
          <w:rFonts w:ascii="Arial" w:eastAsiaTheme="minorHAnsi" w:hAnsi="Arial" w:cs="Arial"/>
          <w:sz w:val="20"/>
          <w:szCs w:val="20"/>
        </w:rPr>
      </w:pPr>
    </w:p>
    <w:p w14:paraId="0C645E72" w14:textId="673E1146" w:rsidR="004B1495" w:rsidRPr="004B1495" w:rsidRDefault="004B1495" w:rsidP="004B1495">
      <w:pPr>
        <w:rPr>
          <w:rFonts w:ascii="Arial" w:eastAsiaTheme="minorHAnsi" w:hAnsi="Arial" w:cs="Arial"/>
          <w:sz w:val="20"/>
          <w:szCs w:val="22"/>
        </w:rPr>
      </w:pPr>
      <w:r w:rsidRPr="004B1495">
        <w:rPr>
          <w:rFonts w:ascii="Arial" w:eastAsiaTheme="minorHAnsi" w:hAnsi="Arial" w:cs="Arial"/>
          <w:sz w:val="20"/>
          <w:szCs w:val="22"/>
        </w:rPr>
        <w:lastRenderedPageBreak/>
        <w:t>The unaudited fair mark</w:t>
      </w:r>
      <w:r w:rsidR="001100E2">
        <w:rPr>
          <w:rFonts w:ascii="Arial" w:eastAsiaTheme="minorHAnsi" w:hAnsi="Arial" w:cs="Arial"/>
          <w:sz w:val="20"/>
          <w:szCs w:val="22"/>
        </w:rPr>
        <w:t>et valuations as of 30 June 2020 formed part of REL’s 2020</w:t>
      </w:r>
      <w:r w:rsidRPr="004B1495">
        <w:rPr>
          <w:rFonts w:ascii="Arial" w:eastAsiaTheme="minorHAnsi" w:hAnsi="Arial" w:cs="Arial"/>
          <w:sz w:val="20"/>
          <w:szCs w:val="22"/>
        </w:rPr>
        <w:t xml:space="preserve"> </w:t>
      </w:r>
      <w:r w:rsidR="00484E82">
        <w:rPr>
          <w:rFonts w:ascii="Arial" w:eastAsiaTheme="minorHAnsi" w:hAnsi="Arial" w:cs="Arial"/>
          <w:sz w:val="20"/>
          <w:szCs w:val="22"/>
        </w:rPr>
        <w:t xml:space="preserve">Interim Report </w:t>
      </w:r>
      <w:r w:rsidRPr="004B1495">
        <w:rPr>
          <w:rFonts w:ascii="Arial" w:eastAsiaTheme="minorHAnsi" w:hAnsi="Arial" w:cs="Arial"/>
          <w:sz w:val="20"/>
          <w:szCs w:val="22"/>
        </w:rPr>
        <w:t>and were subject to an interim review under ISRE</w:t>
      </w:r>
      <w:r w:rsidR="00484E82">
        <w:rPr>
          <w:rFonts w:ascii="Arial" w:eastAsiaTheme="minorHAnsi" w:hAnsi="Arial" w:cs="Arial"/>
          <w:sz w:val="20"/>
          <w:szCs w:val="22"/>
        </w:rPr>
        <w:t xml:space="preserve"> </w:t>
      </w:r>
      <w:r w:rsidRPr="004B1495">
        <w:rPr>
          <w:rFonts w:ascii="Arial" w:eastAsiaTheme="minorHAnsi" w:hAnsi="Arial" w:cs="Arial"/>
          <w:sz w:val="20"/>
          <w:szCs w:val="22"/>
        </w:rPr>
        <w:t>2410, which was undertaken by Ernst &amp; Young LLP on behalf of the Directors.</w:t>
      </w:r>
    </w:p>
    <w:p w14:paraId="484AFF12" w14:textId="77777777" w:rsidR="00DF29DD" w:rsidRPr="00DF29DD" w:rsidRDefault="00DF29DD" w:rsidP="00DF29DD">
      <w:pPr>
        <w:rPr>
          <w:rFonts w:ascii="Arial" w:eastAsiaTheme="minorHAnsi" w:hAnsi="Arial" w:cs="Arial"/>
          <w:sz w:val="20"/>
          <w:szCs w:val="20"/>
          <w:highlight w:val="yellow"/>
        </w:rPr>
      </w:pPr>
    </w:p>
    <w:p w14:paraId="7E507A17" w14:textId="7AFF39A9" w:rsidR="00213F9C" w:rsidRPr="00DF29DD" w:rsidRDefault="00DF29DD" w:rsidP="00213F9C">
      <w:pPr>
        <w:ind w:left="567" w:hanging="567"/>
        <w:outlineLvl w:val="1"/>
        <w:rPr>
          <w:rFonts w:ascii="Arial" w:eastAsiaTheme="minorHAnsi" w:hAnsi="Arial" w:cs="Arial"/>
          <w:b/>
          <w:sz w:val="28"/>
          <w:szCs w:val="20"/>
        </w:rPr>
      </w:pPr>
      <w:r w:rsidRPr="00DF29DD">
        <w:rPr>
          <w:rFonts w:ascii="Arial" w:eastAsiaTheme="minorHAnsi" w:hAnsi="Arial" w:cs="Arial"/>
          <w:b/>
          <w:sz w:val="28"/>
          <w:szCs w:val="20"/>
        </w:rPr>
        <w:t>Uninvested Cash</w:t>
      </w:r>
    </w:p>
    <w:p w14:paraId="233250F1" w14:textId="471A193E" w:rsidR="00DF29DD" w:rsidRPr="00E10245" w:rsidRDefault="001100E2" w:rsidP="00DF29DD">
      <w:pPr>
        <w:rPr>
          <w:rFonts w:ascii="Arial" w:eastAsiaTheme="minorHAnsi" w:hAnsi="Arial" w:cs="Arial"/>
          <w:sz w:val="20"/>
          <w:szCs w:val="20"/>
        </w:rPr>
      </w:pPr>
      <w:r w:rsidRPr="00E10245">
        <w:rPr>
          <w:rFonts w:ascii="Arial" w:eastAsiaTheme="minorHAnsi" w:hAnsi="Arial" w:cs="Arial"/>
          <w:sz w:val="20"/>
          <w:szCs w:val="20"/>
        </w:rPr>
        <w:t>As of 30 June 2020</w:t>
      </w:r>
      <w:r w:rsidR="00DF29DD" w:rsidRPr="00E10245">
        <w:rPr>
          <w:rFonts w:ascii="Arial" w:eastAsiaTheme="minorHAnsi" w:hAnsi="Arial" w:cs="Arial"/>
          <w:sz w:val="20"/>
          <w:szCs w:val="20"/>
        </w:rPr>
        <w:t xml:space="preserve">, </w:t>
      </w:r>
      <w:r w:rsidR="00493EDA" w:rsidRPr="00E10245">
        <w:rPr>
          <w:rFonts w:ascii="Arial" w:eastAsiaTheme="minorHAnsi" w:hAnsi="Arial" w:cs="Arial"/>
          <w:sz w:val="20"/>
          <w:szCs w:val="20"/>
        </w:rPr>
        <w:t>REL had a cash balance of $</w:t>
      </w:r>
      <w:r w:rsidR="001B171A" w:rsidRPr="00E10245">
        <w:rPr>
          <w:rFonts w:ascii="Arial" w:eastAsiaTheme="minorHAnsi" w:hAnsi="Arial" w:cs="Arial"/>
          <w:sz w:val="20"/>
          <w:szCs w:val="20"/>
        </w:rPr>
        <w:t>6</w:t>
      </w:r>
      <w:r w:rsidR="005E76C9">
        <w:rPr>
          <w:rFonts w:ascii="Arial" w:eastAsiaTheme="minorHAnsi" w:hAnsi="Arial" w:cs="Arial"/>
          <w:sz w:val="20"/>
          <w:szCs w:val="20"/>
        </w:rPr>
        <w:t>.4</w:t>
      </w:r>
      <w:r w:rsidR="00493EDA" w:rsidRPr="00E10245">
        <w:rPr>
          <w:rFonts w:ascii="Arial" w:eastAsiaTheme="minorHAnsi" w:hAnsi="Arial" w:cs="Arial"/>
          <w:sz w:val="20"/>
          <w:szCs w:val="20"/>
        </w:rPr>
        <w:t xml:space="preserve"> million</w:t>
      </w:r>
      <w:r w:rsidR="006D1EB0">
        <w:rPr>
          <w:rFonts w:ascii="Arial" w:eastAsiaTheme="minorHAnsi" w:hAnsi="Arial" w:cs="Arial"/>
          <w:sz w:val="20"/>
          <w:szCs w:val="20"/>
        </w:rPr>
        <w:t xml:space="preserve">, </w:t>
      </w:r>
      <w:r w:rsidR="005E76C9">
        <w:rPr>
          <w:rFonts w:ascii="Arial" w:eastAsiaTheme="minorHAnsi" w:hAnsi="Arial" w:cs="Arial"/>
          <w:sz w:val="20"/>
          <w:szCs w:val="20"/>
        </w:rPr>
        <w:t>gross</w:t>
      </w:r>
      <w:r w:rsidR="006D1EB0">
        <w:rPr>
          <w:rFonts w:ascii="Arial" w:eastAsiaTheme="minorHAnsi" w:hAnsi="Arial" w:cs="Arial"/>
          <w:sz w:val="20"/>
          <w:szCs w:val="20"/>
        </w:rPr>
        <w:t xml:space="preserve"> of the accrued share buyback transactions of $4.1 million,</w:t>
      </w:r>
      <w:r w:rsidR="00493EDA" w:rsidRPr="00E10245">
        <w:rPr>
          <w:rFonts w:ascii="Arial" w:eastAsiaTheme="minorHAnsi" w:hAnsi="Arial" w:cs="Arial"/>
          <w:sz w:val="20"/>
          <w:szCs w:val="20"/>
        </w:rPr>
        <w:t xml:space="preserve"> and the Partnership, including its wholly-owned subsidiaries, REL Cayman Holdings, LP, REL US Corp and REL US Centennial Holdings, LLC, </w:t>
      </w:r>
      <w:r w:rsidR="00DF29DD" w:rsidRPr="00E10245">
        <w:rPr>
          <w:rFonts w:ascii="Arial" w:eastAsiaTheme="minorHAnsi" w:hAnsi="Arial" w:cs="Arial"/>
          <w:sz w:val="20"/>
          <w:szCs w:val="20"/>
        </w:rPr>
        <w:t>had uninvested funds of over $</w:t>
      </w:r>
      <w:r w:rsidR="001B171A" w:rsidRPr="00E10245">
        <w:rPr>
          <w:rFonts w:ascii="Arial" w:eastAsiaTheme="minorHAnsi" w:hAnsi="Arial" w:cs="Arial"/>
          <w:sz w:val="20"/>
          <w:szCs w:val="20"/>
        </w:rPr>
        <w:t>15</w:t>
      </w:r>
      <w:r w:rsidR="005E76C9">
        <w:rPr>
          <w:rFonts w:ascii="Arial" w:eastAsiaTheme="minorHAnsi" w:hAnsi="Arial" w:cs="Arial"/>
          <w:sz w:val="20"/>
          <w:szCs w:val="20"/>
        </w:rPr>
        <w:t>7</w:t>
      </w:r>
      <w:r w:rsidR="006D1EB0">
        <w:rPr>
          <w:rFonts w:ascii="Arial" w:eastAsiaTheme="minorHAnsi" w:hAnsi="Arial" w:cs="Arial"/>
          <w:sz w:val="20"/>
          <w:szCs w:val="20"/>
        </w:rPr>
        <w:t>.</w:t>
      </w:r>
      <w:r w:rsidR="005E76C9">
        <w:rPr>
          <w:rFonts w:ascii="Arial" w:eastAsiaTheme="minorHAnsi" w:hAnsi="Arial" w:cs="Arial"/>
          <w:sz w:val="20"/>
          <w:szCs w:val="20"/>
        </w:rPr>
        <w:t>2</w:t>
      </w:r>
      <w:r w:rsidR="00DF29DD" w:rsidRPr="00E10245">
        <w:rPr>
          <w:rFonts w:ascii="Arial" w:eastAsiaTheme="minorHAnsi" w:hAnsi="Arial" w:cs="Arial"/>
          <w:sz w:val="20"/>
          <w:szCs w:val="20"/>
        </w:rPr>
        <w:t xml:space="preserve"> million held as cash and money market fixed deposits</w:t>
      </w:r>
      <w:r w:rsidR="00493EDA" w:rsidRPr="00E10245">
        <w:rPr>
          <w:rFonts w:ascii="Arial" w:eastAsiaTheme="minorHAnsi" w:hAnsi="Arial" w:cs="Arial"/>
          <w:sz w:val="20"/>
          <w:szCs w:val="20"/>
        </w:rPr>
        <w:t xml:space="preserve">, </w:t>
      </w:r>
      <w:r w:rsidR="005E76C9">
        <w:rPr>
          <w:rFonts w:ascii="Arial" w:eastAsiaTheme="minorHAnsi" w:hAnsi="Arial" w:cs="Arial"/>
          <w:sz w:val="20"/>
          <w:szCs w:val="20"/>
        </w:rPr>
        <w:t>gross</w:t>
      </w:r>
      <w:r w:rsidR="00493EDA" w:rsidRPr="00E10245">
        <w:rPr>
          <w:rFonts w:ascii="Arial" w:eastAsiaTheme="minorHAnsi" w:hAnsi="Arial" w:cs="Arial"/>
          <w:sz w:val="20"/>
          <w:szCs w:val="20"/>
        </w:rPr>
        <w:t xml:space="preserve"> of the accrued Management Fee</w:t>
      </w:r>
      <w:r w:rsidR="006D1EB0">
        <w:rPr>
          <w:rFonts w:ascii="Arial" w:eastAsiaTheme="minorHAnsi" w:hAnsi="Arial" w:cs="Arial"/>
          <w:sz w:val="20"/>
          <w:szCs w:val="20"/>
        </w:rPr>
        <w:t xml:space="preserve"> of $1.4 million</w:t>
      </w:r>
      <w:r w:rsidR="00493EDA" w:rsidRPr="00E10245">
        <w:rPr>
          <w:rFonts w:ascii="Arial" w:eastAsiaTheme="minorHAnsi" w:hAnsi="Arial" w:cs="Arial"/>
          <w:sz w:val="20"/>
          <w:szCs w:val="20"/>
        </w:rPr>
        <w:t xml:space="preserve">. As in prior years, in accordance the Partnership Agreement, if the Company requires additional funds for working capital, it is entitled to receive another distribution from the Partnership. </w:t>
      </w:r>
      <w:r w:rsidR="00DF29DD" w:rsidRPr="00E10245">
        <w:rPr>
          <w:rFonts w:ascii="Arial" w:eastAsiaTheme="minorHAnsi" w:hAnsi="Arial" w:cs="Arial"/>
          <w:sz w:val="20"/>
          <w:szCs w:val="20"/>
        </w:rPr>
        <w:t xml:space="preserve">The Partnership maintains deposit accounts with several leading international banks. In addition, the Partnership invests a portion of its cash deposits in short-term money market fixed deposits. REL’s treasury policy seeks to protect the principal value of cash deposits utilising low risk investments with top-tier counterparts. Uninvested cash earned approximately </w:t>
      </w:r>
      <w:r w:rsidR="00EC32D5">
        <w:rPr>
          <w:rFonts w:ascii="Arial" w:eastAsiaTheme="minorHAnsi" w:hAnsi="Arial" w:cs="Arial"/>
          <w:sz w:val="20"/>
          <w:szCs w:val="20"/>
        </w:rPr>
        <w:t>83</w:t>
      </w:r>
      <w:r w:rsidR="00DF29DD" w:rsidRPr="00E10245">
        <w:rPr>
          <w:rFonts w:ascii="Arial" w:eastAsiaTheme="minorHAnsi" w:hAnsi="Arial" w:cs="Arial"/>
          <w:sz w:val="20"/>
          <w:szCs w:val="20"/>
        </w:rPr>
        <w:t xml:space="preserve"> basis points during t</w:t>
      </w:r>
      <w:r w:rsidRPr="00E10245">
        <w:rPr>
          <w:rFonts w:ascii="Arial" w:eastAsiaTheme="minorHAnsi" w:hAnsi="Arial" w:cs="Arial"/>
          <w:sz w:val="20"/>
          <w:szCs w:val="20"/>
        </w:rPr>
        <w:t>he six months ended 30 June 2020</w:t>
      </w:r>
      <w:r w:rsidR="00DF29DD" w:rsidRPr="00E10245">
        <w:rPr>
          <w:rFonts w:ascii="Arial" w:eastAsiaTheme="minorHAnsi" w:hAnsi="Arial" w:cs="Arial"/>
          <w:sz w:val="20"/>
          <w:szCs w:val="20"/>
        </w:rPr>
        <w:t>.</w:t>
      </w:r>
    </w:p>
    <w:p w14:paraId="125EE8BA" w14:textId="5E12E23D" w:rsidR="00493EDA" w:rsidRPr="00E10245" w:rsidRDefault="00493EDA" w:rsidP="00DF29DD">
      <w:pPr>
        <w:rPr>
          <w:rFonts w:ascii="Arial" w:eastAsiaTheme="minorHAnsi" w:hAnsi="Arial" w:cs="Arial"/>
          <w:sz w:val="20"/>
          <w:szCs w:val="20"/>
        </w:rPr>
      </w:pPr>
    </w:p>
    <w:p w14:paraId="5922E6A3" w14:textId="4F4744C0" w:rsidR="006D1EB0" w:rsidRDefault="00493EDA" w:rsidP="00DF29DD">
      <w:pPr>
        <w:rPr>
          <w:rFonts w:ascii="Arial" w:eastAsiaTheme="minorHAnsi" w:hAnsi="Arial" w:cs="Arial"/>
          <w:sz w:val="20"/>
          <w:szCs w:val="20"/>
        </w:rPr>
      </w:pPr>
      <w:bookmarkStart w:id="4" w:name="_Hlk45828650"/>
      <w:r w:rsidRPr="00E10245">
        <w:rPr>
          <w:rFonts w:ascii="Arial" w:eastAsiaTheme="minorHAnsi" w:hAnsi="Arial" w:cs="Arial"/>
          <w:sz w:val="20"/>
          <w:szCs w:val="20"/>
        </w:rPr>
        <w:t xml:space="preserve">On 1 May 2020, the Company announced a buyback programme with the intention of returning £50 million to </w:t>
      </w:r>
      <w:r w:rsidR="00632645">
        <w:rPr>
          <w:rFonts w:ascii="Arial" w:eastAsiaTheme="minorHAnsi" w:hAnsi="Arial" w:cs="Arial"/>
          <w:sz w:val="20"/>
          <w:szCs w:val="20"/>
        </w:rPr>
        <w:t>S</w:t>
      </w:r>
      <w:r w:rsidRPr="00E10245">
        <w:rPr>
          <w:rFonts w:ascii="Arial" w:eastAsiaTheme="minorHAnsi" w:hAnsi="Arial" w:cs="Arial"/>
          <w:sz w:val="20"/>
          <w:szCs w:val="20"/>
        </w:rPr>
        <w:t xml:space="preserve">hareholders via on market buybacks. Since the announcement, the Company has purchased </w:t>
      </w:r>
      <w:r w:rsidR="001B171A" w:rsidRPr="00E10245">
        <w:rPr>
          <w:rFonts w:ascii="Arial" w:eastAsiaTheme="minorHAnsi" w:hAnsi="Arial" w:cs="Arial"/>
          <w:sz w:val="20"/>
          <w:szCs w:val="20"/>
        </w:rPr>
        <w:t>10,811,141</w:t>
      </w:r>
      <w:r w:rsidRPr="00E10245">
        <w:rPr>
          <w:rFonts w:ascii="Arial" w:eastAsiaTheme="minorHAnsi" w:hAnsi="Arial" w:cs="Arial"/>
          <w:sz w:val="20"/>
          <w:szCs w:val="20"/>
        </w:rPr>
        <w:t xml:space="preserve"> shares, in aggregate, for £</w:t>
      </w:r>
      <w:r w:rsidR="001B171A" w:rsidRPr="00E10245">
        <w:rPr>
          <w:rFonts w:ascii="Arial" w:eastAsiaTheme="minorHAnsi" w:hAnsi="Arial" w:cs="Arial"/>
          <w:sz w:val="20"/>
          <w:szCs w:val="20"/>
        </w:rPr>
        <w:t>30</w:t>
      </w:r>
      <w:r w:rsidR="0061312D">
        <w:rPr>
          <w:rFonts w:ascii="Arial" w:eastAsiaTheme="minorHAnsi" w:hAnsi="Arial" w:cs="Arial"/>
          <w:sz w:val="20"/>
          <w:szCs w:val="20"/>
        </w:rPr>
        <w:t>.5</w:t>
      </w:r>
      <w:r w:rsidRPr="00E10245">
        <w:rPr>
          <w:rFonts w:ascii="Arial" w:eastAsiaTheme="minorHAnsi" w:hAnsi="Arial" w:cs="Arial"/>
          <w:sz w:val="20"/>
          <w:szCs w:val="20"/>
        </w:rPr>
        <w:t xml:space="preserve"> million </w:t>
      </w:r>
      <w:r w:rsidR="0061312D">
        <w:rPr>
          <w:rFonts w:ascii="Arial" w:eastAsiaTheme="minorHAnsi" w:hAnsi="Arial" w:cs="Arial"/>
          <w:sz w:val="20"/>
          <w:szCs w:val="20"/>
        </w:rPr>
        <w:t xml:space="preserve">($37.7 million) </w:t>
      </w:r>
      <w:r w:rsidRPr="00E10245">
        <w:rPr>
          <w:rFonts w:ascii="Arial" w:eastAsiaTheme="minorHAnsi" w:hAnsi="Arial" w:cs="Arial"/>
          <w:sz w:val="20"/>
          <w:szCs w:val="20"/>
        </w:rPr>
        <w:t>at an average share price of £</w:t>
      </w:r>
      <w:r w:rsidR="001B171A" w:rsidRPr="00E10245">
        <w:rPr>
          <w:rFonts w:ascii="Arial" w:eastAsiaTheme="minorHAnsi" w:hAnsi="Arial" w:cs="Arial"/>
          <w:sz w:val="20"/>
          <w:szCs w:val="20"/>
        </w:rPr>
        <w:t>2.82</w:t>
      </w:r>
      <w:r w:rsidR="0061312D">
        <w:rPr>
          <w:rFonts w:ascii="Arial" w:eastAsiaTheme="minorHAnsi" w:hAnsi="Arial" w:cs="Arial"/>
          <w:sz w:val="20"/>
          <w:szCs w:val="20"/>
        </w:rPr>
        <w:t xml:space="preserve"> ($3.49)</w:t>
      </w:r>
      <w:r w:rsidRPr="00E10245">
        <w:rPr>
          <w:rFonts w:ascii="Arial" w:eastAsiaTheme="minorHAnsi" w:hAnsi="Arial" w:cs="Arial"/>
          <w:sz w:val="20"/>
          <w:szCs w:val="20"/>
        </w:rPr>
        <w:t>.</w:t>
      </w:r>
      <w:bookmarkEnd w:id="4"/>
      <w:r w:rsidRPr="00E10245">
        <w:rPr>
          <w:rFonts w:ascii="Arial" w:eastAsiaTheme="minorHAnsi" w:hAnsi="Arial" w:cs="Arial"/>
          <w:sz w:val="20"/>
          <w:szCs w:val="20"/>
        </w:rPr>
        <w:t xml:space="preserve"> </w:t>
      </w:r>
      <w:r w:rsidR="005071A9">
        <w:rPr>
          <w:rFonts w:ascii="Arial" w:eastAsiaTheme="minorHAnsi" w:hAnsi="Arial" w:cs="Arial"/>
          <w:sz w:val="20"/>
          <w:szCs w:val="20"/>
        </w:rPr>
        <w:t xml:space="preserve">After these </w:t>
      </w:r>
      <w:r w:rsidRPr="00E10245">
        <w:rPr>
          <w:rFonts w:ascii="Arial" w:eastAsiaTheme="minorHAnsi" w:hAnsi="Arial" w:cs="Arial"/>
          <w:sz w:val="20"/>
          <w:szCs w:val="20"/>
        </w:rPr>
        <w:t>share buybacks</w:t>
      </w:r>
      <w:r w:rsidR="006D1EB0">
        <w:rPr>
          <w:rFonts w:ascii="Arial" w:eastAsiaTheme="minorHAnsi" w:hAnsi="Arial" w:cs="Arial"/>
          <w:sz w:val="20"/>
          <w:szCs w:val="20"/>
        </w:rPr>
        <w:t xml:space="preserve"> and the accrued Management Fee</w:t>
      </w:r>
      <w:r w:rsidRPr="00E10245">
        <w:rPr>
          <w:rFonts w:ascii="Arial" w:eastAsiaTheme="minorHAnsi" w:hAnsi="Arial" w:cs="Arial"/>
          <w:sz w:val="20"/>
          <w:szCs w:val="20"/>
        </w:rPr>
        <w:t>, REL's aggregate cash balance is $</w:t>
      </w:r>
      <w:r w:rsidR="00E10245">
        <w:rPr>
          <w:rFonts w:ascii="Arial" w:eastAsiaTheme="minorHAnsi" w:hAnsi="Arial" w:cs="Arial"/>
          <w:sz w:val="20"/>
          <w:szCs w:val="20"/>
        </w:rPr>
        <w:t>1</w:t>
      </w:r>
      <w:r w:rsidR="006D1EB0">
        <w:rPr>
          <w:rFonts w:ascii="Arial" w:eastAsiaTheme="minorHAnsi" w:hAnsi="Arial" w:cs="Arial"/>
          <w:sz w:val="20"/>
          <w:szCs w:val="20"/>
        </w:rPr>
        <w:t>58.1</w:t>
      </w:r>
      <w:r w:rsidR="00E10245" w:rsidRPr="00E10245">
        <w:rPr>
          <w:rFonts w:ascii="Arial" w:eastAsiaTheme="minorHAnsi" w:hAnsi="Arial" w:cs="Arial"/>
          <w:sz w:val="20"/>
          <w:szCs w:val="20"/>
        </w:rPr>
        <w:t xml:space="preserve"> </w:t>
      </w:r>
      <w:r w:rsidRPr="00E10245">
        <w:rPr>
          <w:rFonts w:ascii="Arial" w:eastAsiaTheme="minorHAnsi" w:hAnsi="Arial" w:cs="Arial"/>
          <w:sz w:val="20"/>
          <w:szCs w:val="20"/>
        </w:rPr>
        <w:t>million.</w:t>
      </w:r>
    </w:p>
    <w:p w14:paraId="5E579DB7" w14:textId="77777777" w:rsidR="006D1EB0" w:rsidRDefault="006D1EB0" w:rsidP="00DF29DD">
      <w:pPr>
        <w:rPr>
          <w:rFonts w:ascii="Arial" w:eastAsiaTheme="minorHAnsi" w:hAnsi="Arial" w:cs="Arial"/>
          <w:sz w:val="20"/>
          <w:szCs w:val="20"/>
        </w:rPr>
      </w:pPr>
    </w:p>
    <w:p w14:paraId="689303DA" w14:textId="2AF6EFBB" w:rsidR="00DF29DD" w:rsidRDefault="001100E2" w:rsidP="00DF29DD">
      <w:pPr>
        <w:rPr>
          <w:rFonts w:ascii="Arial" w:eastAsiaTheme="minorHAnsi" w:hAnsi="Arial" w:cs="Arial"/>
          <w:sz w:val="20"/>
          <w:szCs w:val="20"/>
        </w:rPr>
      </w:pPr>
      <w:r w:rsidRPr="00E10245">
        <w:rPr>
          <w:rFonts w:ascii="Arial" w:eastAsiaTheme="minorHAnsi" w:hAnsi="Arial" w:cs="Arial"/>
          <w:sz w:val="20"/>
          <w:szCs w:val="20"/>
        </w:rPr>
        <w:t>As of 30 June 2020</w:t>
      </w:r>
      <w:r w:rsidR="00DF29DD" w:rsidRPr="00E10245">
        <w:rPr>
          <w:rFonts w:ascii="Arial" w:eastAsiaTheme="minorHAnsi" w:hAnsi="Arial" w:cs="Arial"/>
          <w:sz w:val="20"/>
          <w:szCs w:val="20"/>
        </w:rPr>
        <w:t>, REL, through the Partnership, had</w:t>
      </w:r>
      <w:r w:rsidR="00493EDA" w:rsidRPr="00E10245">
        <w:rPr>
          <w:rFonts w:ascii="Arial" w:eastAsiaTheme="minorHAnsi" w:hAnsi="Arial" w:cs="Arial"/>
          <w:sz w:val="20"/>
          <w:szCs w:val="20"/>
        </w:rPr>
        <w:t xml:space="preserve"> potential</w:t>
      </w:r>
      <w:r w:rsidR="00DF29DD" w:rsidRPr="00E10245">
        <w:rPr>
          <w:rFonts w:ascii="Arial" w:eastAsiaTheme="minorHAnsi" w:hAnsi="Arial" w:cs="Arial"/>
          <w:sz w:val="20"/>
          <w:szCs w:val="20"/>
        </w:rPr>
        <w:t xml:space="preserve"> unfunded commitments of $</w:t>
      </w:r>
      <w:r w:rsidR="001B171A" w:rsidRPr="00E10245">
        <w:rPr>
          <w:rFonts w:ascii="Arial" w:eastAsiaTheme="minorHAnsi" w:hAnsi="Arial" w:cs="Arial"/>
          <w:sz w:val="20"/>
          <w:szCs w:val="20"/>
        </w:rPr>
        <w:t>100</w:t>
      </w:r>
      <w:r w:rsidR="00DF29DD" w:rsidRPr="00E10245">
        <w:rPr>
          <w:rFonts w:ascii="Arial" w:eastAsiaTheme="minorHAnsi" w:hAnsi="Arial" w:cs="Arial"/>
          <w:sz w:val="20"/>
          <w:szCs w:val="20"/>
        </w:rPr>
        <w:t xml:space="preserve"> million.</w:t>
      </w:r>
      <w:r w:rsidR="004B1495" w:rsidRPr="00E10245">
        <w:rPr>
          <w:rFonts w:ascii="Arial" w:eastAsiaTheme="minorHAnsi" w:hAnsi="Arial" w:cs="Arial"/>
          <w:sz w:val="20"/>
          <w:szCs w:val="20"/>
        </w:rPr>
        <w:t xml:space="preserve"> </w:t>
      </w:r>
      <w:r w:rsidR="00DF29DD" w:rsidRPr="00E10245">
        <w:rPr>
          <w:rFonts w:ascii="Arial" w:eastAsiaTheme="minorHAnsi" w:hAnsi="Arial" w:cs="Arial"/>
          <w:sz w:val="20"/>
          <w:szCs w:val="20"/>
        </w:rPr>
        <w:t>In connection with the listing of REL on the London Stock Exchange, all proceeds of the offering were converted to U.S. dollars at an average rate of 1.606 at inception. All cash deposits referred to above are denominated in U.S. dollars. Additionally, REL’s functional currency and Financial Statements are all presented in U.S. dollars. The Partnership’s commitments are denominated in U.S. dollars, except Hammerhead and CNOR which are denominated in Canadian dollars.</w:t>
      </w:r>
    </w:p>
    <w:p w14:paraId="165C5093" w14:textId="6E8BD84A" w:rsidR="008E3091" w:rsidRDefault="008E3091" w:rsidP="00DF29DD">
      <w:pPr>
        <w:rPr>
          <w:rFonts w:ascii="Arial" w:eastAsiaTheme="minorHAnsi" w:hAnsi="Arial" w:cs="Arial"/>
          <w:sz w:val="20"/>
          <w:szCs w:val="20"/>
        </w:rPr>
      </w:pPr>
    </w:p>
    <w:p w14:paraId="34406C20" w14:textId="632440CF" w:rsidR="008E3091" w:rsidRPr="001100E2" w:rsidRDefault="008E3091" w:rsidP="008E3091">
      <w:pPr>
        <w:rPr>
          <w:rFonts w:ascii="Arial" w:hAnsi="Arial" w:cs="Arial"/>
          <w:bCs/>
          <w:sz w:val="28"/>
          <w:szCs w:val="28"/>
        </w:rPr>
      </w:pPr>
      <w:r>
        <w:rPr>
          <w:rFonts w:ascii="Arial" w:hAnsi="Arial" w:cs="Arial"/>
          <w:b/>
          <w:bCs/>
          <w:sz w:val="28"/>
          <w:szCs w:val="28"/>
        </w:rPr>
        <w:t>Going Concern</w:t>
      </w:r>
    </w:p>
    <w:p w14:paraId="3BFBCACA" w14:textId="56593752" w:rsidR="00586ECF" w:rsidRDefault="00586ECF" w:rsidP="00586ECF">
      <w:pPr>
        <w:rPr>
          <w:rFonts w:ascii="Arial" w:hAnsi="Arial" w:cs="Arial"/>
          <w:sz w:val="20"/>
          <w:szCs w:val="20"/>
        </w:rPr>
      </w:pPr>
      <w:r w:rsidRPr="00586ECF">
        <w:rPr>
          <w:rFonts w:ascii="Arial" w:hAnsi="Arial" w:cs="Arial"/>
          <w:sz w:val="20"/>
          <w:szCs w:val="20"/>
        </w:rPr>
        <w:t>The Company’s</w:t>
      </w:r>
      <w:r w:rsidR="007223D4">
        <w:rPr>
          <w:rFonts w:ascii="Arial" w:hAnsi="Arial" w:cs="Arial"/>
          <w:sz w:val="20"/>
          <w:szCs w:val="20"/>
        </w:rPr>
        <w:t xml:space="preserve"> unaudited</w:t>
      </w:r>
      <w:r w:rsidRPr="00586ECF">
        <w:rPr>
          <w:rFonts w:ascii="Arial" w:hAnsi="Arial" w:cs="Arial"/>
          <w:sz w:val="20"/>
          <w:szCs w:val="20"/>
        </w:rPr>
        <w:t xml:space="preserve"> </w:t>
      </w:r>
      <w:r w:rsidR="007B1A27">
        <w:rPr>
          <w:rFonts w:ascii="Arial" w:hAnsi="Arial" w:cs="Arial"/>
          <w:sz w:val="20"/>
          <w:szCs w:val="20"/>
        </w:rPr>
        <w:t>interim condensed f</w:t>
      </w:r>
      <w:r w:rsidRPr="00586ECF">
        <w:rPr>
          <w:rFonts w:ascii="Arial" w:hAnsi="Arial" w:cs="Arial"/>
          <w:sz w:val="20"/>
          <w:szCs w:val="20"/>
        </w:rPr>
        <w:t xml:space="preserve">inancial </w:t>
      </w:r>
      <w:r w:rsidR="007B1A27">
        <w:rPr>
          <w:rFonts w:ascii="Arial" w:hAnsi="Arial" w:cs="Arial"/>
          <w:sz w:val="20"/>
          <w:szCs w:val="20"/>
        </w:rPr>
        <w:t>s</w:t>
      </w:r>
      <w:r w:rsidRPr="00586ECF">
        <w:rPr>
          <w:rFonts w:ascii="Arial" w:hAnsi="Arial" w:cs="Arial"/>
          <w:sz w:val="20"/>
          <w:szCs w:val="20"/>
        </w:rPr>
        <w:t xml:space="preserve">tatements are prepared in accordance with Guernsey law and IFRS and presented on a going concern basis. In the context of the uncertain outcome of the Discontinuation Resolution Vote in Q4 2020, and </w:t>
      </w:r>
      <w:r w:rsidR="00297C3F">
        <w:rPr>
          <w:rFonts w:ascii="Arial" w:hAnsi="Arial" w:cs="Arial"/>
          <w:sz w:val="20"/>
          <w:szCs w:val="20"/>
        </w:rPr>
        <w:t xml:space="preserve">the </w:t>
      </w:r>
      <w:r w:rsidR="005071A9">
        <w:rPr>
          <w:rFonts w:ascii="Arial" w:hAnsi="Arial" w:cs="Arial"/>
          <w:sz w:val="20"/>
          <w:szCs w:val="20"/>
        </w:rPr>
        <w:t>continuing weakness in the oil and gas market and ongoing impact of</w:t>
      </w:r>
      <w:r w:rsidRPr="00586ECF">
        <w:rPr>
          <w:rFonts w:ascii="Arial" w:hAnsi="Arial" w:cs="Arial"/>
          <w:sz w:val="20"/>
          <w:szCs w:val="20"/>
        </w:rPr>
        <w:t xml:space="preserve"> COVID-19, there is a material uncertainty which casts significant doubt over the ability of the Company to continue as a Going Concern. However, the </w:t>
      </w:r>
      <w:r w:rsidR="0061312D">
        <w:rPr>
          <w:rFonts w:ascii="Arial" w:hAnsi="Arial" w:cs="Arial"/>
          <w:sz w:val="20"/>
          <w:szCs w:val="20"/>
        </w:rPr>
        <w:t xml:space="preserve">unaudited </w:t>
      </w:r>
      <w:r w:rsidR="00500531">
        <w:rPr>
          <w:rFonts w:ascii="Arial" w:hAnsi="Arial" w:cs="Arial"/>
          <w:sz w:val="20"/>
          <w:szCs w:val="20"/>
        </w:rPr>
        <w:t>interim condensed f</w:t>
      </w:r>
      <w:r w:rsidRPr="00586ECF">
        <w:rPr>
          <w:rFonts w:ascii="Arial" w:hAnsi="Arial" w:cs="Arial"/>
          <w:sz w:val="20"/>
          <w:szCs w:val="20"/>
        </w:rPr>
        <w:t xml:space="preserve">inancial </w:t>
      </w:r>
      <w:r w:rsidR="00500531">
        <w:rPr>
          <w:rFonts w:ascii="Arial" w:hAnsi="Arial" w:cs="Arial"/>
          <w:sz w:val="20"/>
          <w:szCs w:val="20"/>
        </w:rPr>
        <w:t>s</w:t>
      </w:r>
      <w:r w:rsidRPr="00586ECF">
        <w:rPr>
          <w:rFonts w:ascii="Arial" w:hAnsi="Arial" w:cs="Arial"/>
          <w:sz w:val="20"/>
          <w:szCs w:val="20"/>
        </w:rPr>
        <w:t>tatements have been prepared on a going concern basis for the reasons set out below and as the Directors, with recommendation from the Audit Committee</w:t>
      </w:r>
      <w:r w:rsidR="005E76C9">
        <w:rPr>
          <w:rFonts w:ascii="Arial" w:hAnsi="Arial" w:cs="Arial"/>
          <w:sz w:val="20"/>
          <w:szCs w:val="20"/>
        </w:rPr>
        <w:t>,</w:t>
      </w:r>
      <w:r w:rsidRPr="00586ECF">
        <w:rPr>
          <w:rFonts w:ascii="Arial" w:hAnsi="Arial" w:cs="Arial"/>
          <w:sz w:val="20"/>
          <w:szCs w:val="20"/>
        </w:rPr>
        <w:t xml:space="preserve"> have a reasonable expectation that the Company has adequate resources to continue in operational existence for the </w:t>
      </w:r>
      <w:r w:rsidR="00240A18">
        <w:rPr>
          <w:rFonts w:ascii="Arial" w:hAnsi="Arial" w:cs="Arial"/>
          <w:sz w:val="20"/>
          <w:szCs w:val="20"/>
        </w:rPr>
        <w:t>next 12 months</w:t>
      </w:r>
      <w:r w:rsidRPr="00586ECF">
        <w:rPr>
          <w:rFonts w:ascii="Arial" w:hAnsi="Arial" w:cs="Arial"/>
          <w:sz w:val="20"/>
          <w:szCs w:val="20"/>
        </w:rPr>
        <w:t>. In reaching this conclusion, the Directors have considered the risks that could impact the Company’s liquidity over the next 12 months from the date of approval of the</w:t>
      </w:r>
      <w:r w:rsidR="007223D4">
        <w:rPr>
          <w:rFonts w:ascii="Arial" w:hAnsi="Arial" w:cs="Arial"/>
          <w:sz w:val="20"/>
          <w:szCs w:val="20"/>
        </w:rPr>
        <w:t xml:space="preserve"> unaudited</w:t>
      </w:r>
      <w:r w:rsidRPr="00586ECF">
        <w:rPr>
          <w:rFonts w:ascii="Arial" w:hAnsi="Arial" w:cs="Arial"/>
          <w:sz w:val="20"/>
          <w:szCs w:val="20"/>
        </w:rPr>
        <w:t xml:space="preserve"> </w:t>
      </w:r>
      <w:r w:rsidR="007B1A27">
        <w:rPr>
          <w:rFonts w:ascii="Arial" w:hAnsi="Arial" w:cs="Arial"/>
          <w:sz w:val="20"/>
          <w:szCs w:val="20"/>
        </w:rPr>
        <w:t>interim condensed f</w:t>
      </w:r>
      <w:r w:rsidR="007B1A27" w:rsidRPr="00586ECF">
        <w:rPr>
          <w:rFonts w:ascii="Arial" w:hAnsi="Arial" w:cs="Arial"/>
          <w:sz w:val="20"/>
          <w:szCs w:val="20"/>
        </w:rPr>
        <w:t xml:space="preserve">inancial </w:t>
      </w:r>
      <w:r w:rsidR="007B1A27">
        <w:rPr>
          <w:rFonts w:ascii="Arial" w:hAnsi="Arial" w:cs="Arial"/>
          <w:sz w:val="20"/>
          <w:szCs w:val="20"/>
        </w:rPr>
        <w:t>s</w:t>
      </w:r>
      <w:r w:rsidR="007B1A27" w:rsidRPr="00586ECF">
        <w:rPr>
          <w:rFonts w:ascii="Arial" w:hAnsi="Arial" w:cs="Arial"/>
          <w:sz w:val="20"/>
          <w:szCs w:val="20"/>
        </w:rPr>
        <w:t>tatements</w:t>
      </w:r>
      <w:r w:rsidRPr="00586ECF">
        <w:rPr>
          <w:rFonts w:ascii="Arial" w:hAnsi="Arial" w:cs="Arial"/>
          <w:sz w:val="20"/>
          <w:szCs w:val="20"/>
        </w:rPr>
        <w:t>, as well as taken into account the following five key considerations, which are discussed further below.</w:t>
      </w:r>
    </w:p>
    <w:p w14:paraId="37AC3299" w14:textId="77777777" w:rsidR="0048637A" w:rsidRPr="00586ECF" w:rsidRDefault="0048637A" w:rsidP="00586ECF">
      <w:pPr>
        <w:rPr>
          <w:rFonts w:ascii="Arial" w:hAnsi="Arial" w:cs="Arial"/>
          <w:sz w:val="20"/>
          <w:szCs w:val="20"/>
        </w:rPr>
      </w:pPr>
    </w:p>
    <w:p w14:paraId="459F7742" w14:textId="6E60EC2F" w:rsidR="00586ECF" w:rsidRPr="00586ECF" w:rsidRDefault="00586ECF" w:rsidP="00240A18">
      <w:pPr>
        <w:ind w:left="720" w:hanging="720"/>
        <w:rPr>
          <w:rFonts w:ascii="Arial" w:hAnsi="Arial" w:cs="Arial"/>
          <w:sz w:val="20"/>
          <w:szCs w:val="20"/>
        </w:rPr>
      </w:pPr>
      <w:r w:rsidRPr="00586ECF">
        <w:rPr>
          <w:rFonts w:ascii="Arial" w:hAnsi="Arial" w:cs="Arial"/>
          <w:sz w:val="20"/>
          <w:szCs w:val="20"/>
        </w:rPr>
        <w:t>1.</w:t>
      </w:r>
      <w:r w:rsidRPr="00586ECF">
        <w:rPr>
          <w:rFonts w:ascii="Arial" w:hAnsi="Arial" w:cs="Arial"/>
          <w:sz w:val="20"/>
          <w:szCs w:val="20"/>
        </w:rPr>
        <w:tab/>
        <w:t xml:space="preserve">Available liquid resources </w:t>
      </w:r>
      <w:r w:rsidR="00240A18">
        <w:rPr>
          <w:rFonts w:ascii="Arial" w:hAnsi="Arial" w:cs="Arial"/>
          <w:sz w:val="20"/>
          <w:szCs w:val="20"/>
        </w:rPr>
        <w:t xml:space="preserve">and potential proceeds from investment realisations </w:t>
      </w:r>
      <w:r w:rsidRPr="00586ECF">
        <w:rPr>
          <w:rFonts w:ascii="Arial" w:hAnsi="Arial" w:cs="Arial"/>
          <w:sz w:val="20"/>
          <w:szCs w:val="20"/>
        </w:rPr>
        <w:t xml:space="preserve">versus </w:t>
      </w:r>
      <w:r w:rsidR="00CF4233">
        <w:rPr>
          <w:rFonts w:ascii="Arial" w:hAnsi="Arial" w:cs="Arial"/>
          <w:sz w:val="20"/>
          <w:szCs w:val="20"/>
        </w:rPr>
        <w:t xml:space="preserve">current and </w:t>
      </w:r>
      <w:r w:rsidRPr="00586ECF">
        <w:rPr>
          <w:rFonts w:ascii="Arial" w:hAnsi="Arial" w:cs="Arial"/>
          <w:sz w:val="20"/>
          <w:szCs w:val="20"/>
        </w:rPr>
        <w:t>expected liabilities of the Company over the next twelve months</w:t>
      </w:r>
      <w:r w:rsidR="00240A18">
        <w:rPr>
          <w:rFonts w:ascii="Arial" w:hAnsi="Arial" w:cs="Arial"/>
          <w:sz w:val="20"/>
          <w:szCs w:val="20"/>
        </w:rPr>
        <w:t>, including completion of the previously announced share repurchase programme</w:t>
      </w:r>
    </w:p>
    <w:p w14:paraId="11AEEA95" w14:textId="497AD8DA" w:rsidR="00586ECF" w:rsidRPr="00586ECF" w:rsidRDefault="00586ECF" w:rsidP="00240A18">
      <w:pPr>
        <w:ind w:left="720" w:hanging="720"/>
        <w:rPr>
          <w:rFonts w:ascii="Arial" w:hAnsi="Arial" w:cs="Arial"/>
          <w:sz w:val="20"/>
          <w:szCs w:val="20"/>
        </w:rPr>
      </w:pPr>
      <w:r w:rsidRPr="00586ECF">
        <w:rPr>
          <w:rFonts w:ascii="Arial" w:hAnsi="Arial" w:cs="Arial"/>
          <w:sz w:val="20"/>
          <w:szCs w:val="20"/>
        </w:rPr>
        <w:t>2.</w:t>
      </w:r>
      <w:r w:rsidRPr="00586ECF">
        <w:rPr>
          <w:rFonts w:ascii="Arial" w:hAnsi="Arial" w:cs="Arial"/>
          <w:sz w:val="20"/>
          <w:szCs w:val="20"/>
        </w:rPr>
        <w:tab/>
        <w:t>Available liquid resources</w:t>
      </w:r>
      <w:r w:rsidR="00240A18">
        <w:rPr>
          <w:rFonts w:ascii="Arial" w:hAnsi="Arial" w:cs="Arial"/>
          <w:sz w:val="20"/>
          <w:szCs w:val="20"/>
        </w:rPr>
        <w:t xml:space="preserve"> and potential proceeds from investment realisations</w:t>
      </w:r>
      <w:r w:rsidRPr="00586ECF">
        <w:rPr>
          <w:rFonts w:ascii="Arial" w:hAnsi="Arial" w:cs="Arial"/>
          <w:sz w:val="20"/>
          <w:szCs w:val="20"/>
        </w:rPr>
        <w:t xml:space="preserve"> versus potential unfunded commitments of the Partnership</w:t>
      </w:r>
    </w:p>
    <w:p w14:paraId="7E6A142B" w14:textId="77777777" w:rsidR="00586ECF" w:rsidRPr="00586ECF" w:rsidRDefault="00586ECF" w:rsidP="00586ECF">
      <w:pPr>
        <w:rPr>
          <w:rFonts w:ascii="Arial" w:hAnsi="Arial" w:cs="Arial"/>
          <w:sz w:val="20"/>
          <w:szCs w:val="20"/>
        </w:rPr>
      </w:pPr>
      <w:r w:rsidRPr="00586ECF">
        <w:rPr>
          <w:rFonts w:ascii="Arial" w:hAnsi="Arial" w:cs="Arial"/>
          <w:sz w:val="20"/>
          <w:szCs w:val="20"/>
        </w:rPr>
        <w:t>3.</w:t>
      </w:r>
      <w:r w:rsidRPr="00586ECF">
        <w:rPr>
          <w:rFonts w:ascii="Arial" w:hAnsi="Arial" w:cs="Arial"/>
          <w:sz w:val="20"/>
          <w:szCs w:val="20"/>
        </w:rPr>
        <w:tab/>
        <w:t>Discontinuation Resolution</w:t>
      </w:r>
    </w:p>
    <w:p w14:paraId="46949EBF" w14:textId="77777777" w:rsidR="00586ECF" w:rsidRPr="00586ECF" w:rsidRDefault="00586ECF" w:rsidP="00586ECF">
      <w:pPr>
        <w:rPr>
          <w:rFonts w:ascii="Arial" w:hAnsi="Arial" w:cs="Arial"/>
          <w:sz w:val="20"/>
          <w:szCs w:val="20"/>
        </w:rPr>
      </w:pPr>
      <w:r w:rsidRPr="00586ECF">
        <w:rPr>
          <w:rFonts w:ascii="Arial" w:hAnsi="Arial" w:cs="Arial"/>
          <w:sz w:val="20"/>
          <w:szCs w:val="20"/>
        </w:rPr>
        <w:t>4.</w:t>
      </w:r>
      <w:r w:rsidRPr="00586ECF">
        <w:rPr>
          <w:rFonts w:ascii="Arial" w:hAnsi="Arial" w:cs="Arial"/>
          <w:sz w:val="20"/>
          <w:szCs w:val="20"/>
        </w:rPr>
        <w:tab/>
        <w:t>Discount to NAV of the Company</w:t>
      </w:r>
    </w:p>
    <w:p w14:paraId="4E9AD93B" w14:textId="77777777" w:rsidR="00586ECF" w:rsidRPr="00586ECF" w:rsidRDefault="00586ECF" w:rsidP="00586ECF">
      <w:pPr>
        <w:rPr>
          <w:rFonts w:ascii="Arial" w:hAnsi="Arial" w:cs="Arial"/>
          <w:sz w:val="20"/>
          <w:szCs w:val="20"/>
        </w:rPr>
      </w:pPr>
      <w:r w:rsidRPr="00586ECF">
        <w:rPr>
          <w:rFonts w:ascii="Arial" w:hAnsi="Arial" w:cs="Arial"/>
          <w:sz w:val="20"/>
          <w:szCs w:val="20"/>
        </w:rPr>
        <w:t>5.</w:t>
      </w:r>
      <w:r w:rsidRPr="00586ECF">
        <w:rPr>
          <w:rFonts w:ascii="Arial" w:hAnsi="Arial" w:cs="Arial"/>
          <w:sz w:val="20"/>
          <w:szCs w:val="20"/>
        </w:rPr>
        <w:tab/>
        <w:t>COVID-19</w:t>
      </w:r>
    </w:p>
    <w:p w14:paraId="258C9017" w14:textId="77777777" w:rsidR="00586ECF" w:rsidRPr="00586ECF" w:rsidRDefault="00586ECF" w:rsidP="00586ECF">
      <w:pPr>
        <w:rPr>
          <w:rFonts w:ascii="Arial" w:hAnsi="Arial" w:cs="Arial"/>
          <w:sz w:val="20"/>
          <w:szCs w:val="20"/>
        </w:rPr>
      </w:pPr>
    </w:p>
    <w:p w14:paraId="1C808C2A" w14:textId="20AA1168" w:rsidR="00586ECF" w:rsidRPr="00586ECF" w:rsidRDefault="00586ECF" w:rsidP="00586ECF">
      <w:pPr>
        <w:rPr>
          <w:rFonts w:ascii="Arial" w:hAnsi="Arial" w:cs="Arial"/>
          <w:i/>
          <w:sz w:val="20"/>
          <w:szCs w:val="20"/>
          <w:u w:val="single"/>
        </w:rPr>
      </w:pPr>
      <w:r w:rsidRPr="00586ECF">
        <w:rPr>
          <w:rFonts w:ascii="Arial" w:hAnsi="Arial" w:cs="Arial"/>
          <w:i/>
          <w:sz w:val="20"/>
          <w:szCs w:val="20"/>
          <w:u w:val="single"/>
        </w:rPr>
        <w:t>1. Available liquid resources</w:t>
      </w:r>
      <w:r w:rsidR="00240A18">
        <w:rPr>
          <w:rFonts w:ascii="Arial" w:hAnsi="Arial" w:cs="Arial"/>
          <w:i/>
          <w:sz w:val="20"/>
          <w:szCs w:val="20"/>
          <w:u w:val="single"/>
        </w:rPr>
        <w:t xml:space="preserve"> and potential proceeds from investment realisations</w:t>
      </w:r>
      <w:r w:rsidRPr="00586ECF">
        <w:rPr>
          <w:rFonts w:ascii="Arial" w:hAnsi="Arial" w:cs="Arial"/>
          <w:i/>
          <w:sz w:val="20"/>
          <w:szCs w:val="20"/>
          <w:u w:val="single"/>
        </w:rPr>
        <w:t xml:space="preserve"> versus </w:t>
      </w:r>
      <w:r w:rsidR="00CF4233">
        <w:rPr>
          <w:rFonts w:ascii="Arial" w:hAnsi="Arial" w:cs="Arial"/>
          <w:i/>
          <w:sz w:val="20"/>
          <w:szCs w:val="20"/>
          <w:u w:val="single"/>
        </w:rPr>
        <w:t xml:space="preserve">current and </w:t>
      </w:r>
      <w:r w:rsidRPr="00586ECF">
        <w:rPr>
          <w:rFonts w:ascii="Arial" w:hAnsi="Arial" w:cs="Arial"/>
          <w:i/>
          <w:sz w:val="20"/>
          <w:szCs w:val="20"/>
          <w:u w:val="single"/>
        </w:rPr>
        <w:t>expected liabilities of the Company over the next twelve months</w:t>
      </w:r>
      <w:r w:rsidR="00240A18">
        <w:rPr>
          <w:rFonts w:ascii="Arial" w:hAnsi="Arial" w:cs="Arial"/>
          <w:i/>
          <w:sz w:val="20"/>
          <w:szCs w:val="20"/>
          <w:u w:val="single"/>
        </w:rPr>
        <w:t>, including completion of the previously announced share repurchase programme</w:t>
      </w:r>
    </w:p>
    <w:p w14:paraId="354294F4" w14:textId="77777777" w:rsidR="0048637A" w:rsidRDefault="0048637A" w:rsidP="003A2C6C">
      <w:pPr>
        <w:rPr>
          <w:rFonts w:ascii="Arial" w:hAnsi="Arial" w:cs="Arial"/>
          <w:sz w:val="20"/>
          <w:szCs w:val="20"/>
        </w:rPr>
      </w:pPr>
    </w:p>
    <w:p w14:paraId="27AB400A" w14:textId="01A1BFAA" w:rsidR="003A2C6C" w:rsidRDefault="00586ECF" w:rsidP="003A2C6C">
      <w:pPr>
        <w:rPr>
          <w:rFonts w:ascii="Arial" w:hAnsi="Arial" w:cs="Arial"/>
          <w:sz w:val="20"/>
          <w:szCs w:val="20"/>
        </w:rPr>
      </w:pPr>
      <w:r w:rsidRPr="00586ECF">
        <w:rPr>
          <w:rFonts w:ascii="Arial" w:hAnsi="Arial" w:cs="Arial"/>
          <w:sz w:val="20"/>
          <w:szCs w:val="20"/>
        </w:rPr>
        <w:t xml:space="preserve">The Directors have a reasonable expectation that the Company has adequate resources to continue in operational existence for the next twelve months, as explained below. The </w:t>
      </w:r>
      <w:r w:rsidRPr="00E10245">
        <w:rPr>
          <w:rFonts w:ascii="Arial" w:hAnsi="Arial" w:cs="Arial"/>
          <w:sz w:val="20"/>
          <w:szCs w:val="20"/>
        </w:rPr>
        <w:t>Company retained $11.5 million of cash in the IPO and Placing and Open Offer, and has</w:t>
      </w:r>
      <w:r w:rsidR="005E76C9" w:rsidRPr="005E76C9">
        <w:rPr>
          <w:rFonts w:ascii="Arial" w:hAnsi="Arial" w:cs="Arial"/>
          <w:sz w:val="20"/>
          <w:szCs w:val="20"/>
        </w:rPr>
        <w:t xml:space="preserve"> </w:t>
      </w:r>
      <w:r w:rsidR="005E76C9">
        <w:rPr>
          <w:rFonts w:ascii="Arial" w:hAnsi="Arial" w:cs="Arial"/>
          <w:sz w:val="20"/>
          <w:szCs w:val="20"/>
        </w:rPr>
        <w:t>requested and</w:t>
      </w:r>
      <w:r w:rsidRPr="00E10245">
        <w:rPr>
          <w:rFonts w:ascii="Arial" w:hAnsi="Arial" w:cs="Arial"/>
          <w:sz w:val="20"/>
          <w:szCs w:val="20"/>
        </w:rPr>
        <w:t xml:space="preserve"> received six distributions</w:t>
      </w:r>
      <w:r w:rsidR="005033C2">
        <w:rPr>
          <w:rFonts w:ascii="Arial" w:hAnsi="Arial" w:cs="Arial"/>
          <w:sz w:val="20"/>
          <w:szCs w:val="20"/>
        </w:rPr>
        <w:t xml:space="preserve"> for working capital needs</w:t>
      </w:r>
      <w:r w:rsidRPr="00E10245">
        <w:rPr>
          <w:rFonts w:ascii="Arial" w:hAnsi="Arial" w:cs="Arial"/>
          <w:sz w:val="20"/>
          <w:szCs w:val="20"/>
        </w:rPr>
        <w:t xml:space="preserve"> in aggregate of $19.</w:t>
      </w:r>
      <w:r w:rsidR="00EE4B2D" w:rsidRPr="00E10245">
        <w:rPr>
          <w:rFonts w:ascii="Arial" w:hAnsi="Arial" w:cs="Arial"/>
          <w:sz w:val="20"/>
          <w:szCs w:val="20"/>
        </w:rPr>
        <w:t>3</w:t>
      </w:r>
      <w:r w:rsidRPr="00E10245">
        <w:rPr>
          <w:rFonts w:ascii="Arial" w:hAnsi="Arial" w:cs="Arial"/>
          <w:sz w:val="20"/>
          <w:szCs w:val="20"/>
        </w:rPr>
        <w:t xml:space="preserve"> million from the Partnership cumulatively through 30 June 2020, of which $</w:t>
      </w:r>
      <w:r w:rsidR="00E10245">
        <w:rPr>
          <w:rFonts w:ascii="Arial" w:eastAsiaTheme="minorHAnsi" w:hAnsi="Arial" w:cs="Arial"/>
          <w:sz w:val="20"/>
          <w:szCs w:val="20"/>
        </w:rPr>
        <w:t>6</w:t>
      </w:r>
      <w:r w:rsidR="005033C2">
        <w:rPr>
          <w:rFonts w:ascii="Arial" w:eastAsiaTheme="minorHAnsi" w:hAnsi="Arial" w:cs="Arial"/>
          <w:sz w:val="20"/>
          <w:szCs w:val="20"/>
        </w:rPr>
        <w:t>.</w:t>
      </w:r>
      <w:r w:rsidR="00297C3F">
        <w:rPr>
          <w:rFonts w:ascii="Arial" w:eastAsiaTheme="minorHAnsi" w:hAnsi="Arial" w:cs="Arial"/>
          <w:sz w:val="20"/>
          <w:szCs w:val="20"/>
        </w:rPr>
        <w:t>4</w:t>
      </w:r>
      <w:r w:rsidRPr="00E10245">
        <w:rPr>
          <w:rFonts w:ascii="Arial" w:eastAsiaTheme="minorHAnsi" w:hAnsi="Arial" w:cs="Arial"/>
          <w:sz w:val="20"/>
          <w:szCs w:val="20"/>
        </w:rPr>
        <w:t xml:space="preserve"> </w:t>
      </w:r>
      <w:r w:rsidRPr="00E10245">
        <w:rPr>
          <w:rFonts w:ascii="Arial" w:hAnsi="Arial" w:cs="Arial"/>
          <w:sz w:val="20"/>
          <w:szCs w:val="20"/>
        </w:rPr>
        <w:t xml:space="preserve">million remains at 30 June 2020 (31 December 2019: $0.2 million). </w:t>
      </w:r>
      <w:r w:rsidR="00CF4233">
        <w:rPr>
          <w:rFonts w:ascii="Arial" w:hAnsi="Arial" w:cs="Arial"/>
          <w:sz w:val="20"/>
          <w:szCs w:val="20"/>
        </w:rPr>
        <w:t>This cash balance is sufficient to cover the Company’s existing liabilities at 30 June 2020 of $4.7 million, but the Company will require a distribution of $2.3 million</w:t>
      </w:r>
      <w:r w:rsidR="00240A18">
        <w:rPr>
          <w:rFonts w:ascii="Arial" w:hAnsi="Arial" w:cs="Arial"/>
          <w:sz w:val="20"/>
          <w:szCs w:val="20"/>
        </w:rPr>
        <w:t xml:space="preserve"> from the Partnership</w:t>
      </w:r>
      <w:r w:rsidR="00CF4233">
        <w:rPr>
          <w:rFonts w:ascii="Arial" w:hAnsi="Arial" w:cs="Arial"/>
          <w:sz w:val="20"/>
          <w:szCs w:val="20"/>
        </w:rPr>
        <w:t xml:space="preserve"> to cover t</w:t>
      </w:r>
      <w:r w:rsidRPr="00E10245">
        <w:rPr>
          <w:rFonts w:ascii="Arial" w:hAnsi="Arial" w:cs="Arial"/>
          <w:sz w:val="20"/>
          <w:szCs w:val="20"/>
        </w:rPr>
        <w:t>he Company</w:t>
      </w:r>
      <w:r w:rsidR="00CF4233">
        <w:rPr>
          <w:rFonts w:ascii="Arial" w:hAnsi="Arial" w:cs="Arial"/>
          <w:sz w:val="20"/>
          <w:szCs w:val="20"/>
        </w:rPr>
        <w:t>’s</w:t>
      </w:r>
      <w:r w:rsidRPr="00E10245">
        <w:rPr>
          <w:rFonts w:ascii="Arial" w:hAnsi="Arial" w:cs="Arial"/>
          <w:sz w:val="20"/>
          <w:szCs w:val="20"/>
        </w:rPr>
        <w:t xml:space="preserve"> forecasted annual expenses of approximately $4.0 million. </w:t>
      </w:r>
      <w:r w:rsidR="00240A18">
        <w:rPr>
          <w:rFonts w:ascii="Arial" w:hAnsi="Arial" w:cs="Arial"/>
          <w:sz w:val="20"/>
          <w:szCs w:val="20"/>
        </w:rPr>
        <w:t xml:space="preserve">Additionally, as </w:t>
      </w:r>
      <w:r w:rsidR="00240A18" w:rsidRPr="00240A18">
        <w:rPr>
          <w:rFonts w:ascii="Arial" w:hAnsi="Arial" w:cs="Arial"/>
          <w:sz w:val="20"/>
          <w:szCs w:val="20"/>
        </w:rPr>
        <w:t xml:space="preserve">£30.5 million ($37.7 million) of the previously announced £50.0 million share repurchase programme had been completed as of 30 June 2020, the Company will require an additional distribution of £19.5 million ($25.0 million) from the Partnership to complete the remaining portion, subject to Board approval. </w:t>
      </w:r>
      <w:r w:rsidRPr="00E10245">
        <w:rPr>
          <w:rFonts w:ascii="Arial" w:hAnsi="Arial" w:cs="Arial"/>
          <w:sz w:val="20"/>
          <w:szCs w:val="20"/>
        </w:rPr>
        <w:t xml:space="preserve">As in prior years, in accordance with the Partnership Agreement, if the Company </w:t>
      </w:r>
      <w:r w:rsidRPr="00E10245">
        <w:rPr>
          <w:rFonts w:ascii="Arial" w:hAnsi="Arial" w:cs="Arial"/>
          <w:sz w:val="20"/>
          <w:szCs w:val="20"/>
        </w:rPr>
        <w:lastRenderedPageBreak/>
        <w:t>requires additional funds for working capital, it is entitled to receive another distribution from the Partnership. In order to do so, the Company would submit a distribution request approved by the Board to the Partnership, which would then be required to arrange for the payment of the requested amount.</w:t>
      </w:r>
      <w:r w:rsidRPr="00586ECF">
        <w:rPr>
          <w:rFonts w:ascii="Arial" w:hAnsi="Arial" w:cs="Arial"/>
          <w:sz w:val="20"/>
          <w:szCs w:val="20"/>
        </w:rPr>
        <w:t xml:space="preserve"> </w:t>
      </w:r>
      <w:r w:rsidR="003A2C6C">
        <w:rPr>
          <w:rFonts w:ascii="Arial" w:hAnsi="Arial" w:cs="Arial"/>
          <w:sz w:val="20"/>
          <w:szCs w:val="20"/>
        </w:rPr>
        <w:t>Since REL’s inception, the Company has requested and received six distributions from the Partnership for working capital needs. As detailed further in section 2 below, as of the date of this report, the Partnership has available liquid resources in excess of potential unfunded commitments of $100 million at 30 June 2020 and currently $103.3 million, which enables the Partnership to satisfy the</w:t>
      </w:r>
      <w:r w:rsidR="00240A18">
        <w:rPr>
          <w:rFonts w:ascii="Arial" w:hAnsi="Arial" w:cs="Arial"/>
          <w:sz w:val="20"/>
          <w:szCs w:val="20"/>
        </w:rPr>
        <w:t xml:space="preserve"> Company’s</w:t>
      </w:r>
      <w:r w:rsidR="003A2C6C">
        <w:rPr>
          <w:rFonts w:ascii="Arial" w:hAnsi="Arial" w:cs="Arial"/>
          <w:sz w:val="20"/>
          <w:szCs w:val="20"/>
        </w:rPr>
        <w:t xml:space="preserve"> aforementioned distribution requirement</w:t>
      </w:r>
      <w:r w:rsidR="00240A18">
        <w:rPr>
          <w:rFonts w:ascii="Arial" w:hAnsi="Arial" w:cs="Arial"/>
          <w:sz w:val="20"/>
          <w:szCs w:val="20"/>
        </w:rPr>
        <w:t>s of $2.3 million for working capital</w:t>
      </w:r>
      <w:r w:rsidR="003A2C6C">
        <w:rPr>
          <w:rFonts w:ascii="Arial" w:hAnsi="Arial" w:cs="Arial"/>
          <w:sz w:val="20"/>
          <w:szCs w:val="20"/>
        </w:rPr>
        <w:t xml:space="preserve"> </w:t>
      </w:r>
      <w:r w:rsidR="00240A18">
        <w:rPr>
          <w:rFonts w:ascii="Arial" w:hAnsi="Arial" w:cs="Arial"/>
          <w:sz w:val="20"/>
          <w:szCs w:val="20"/>
        </w:rPr>
        <w:t xml:space="preserve">and </w:t>
      </w:r>
      <w:r w:rsidR="00240A18" w:rsidRPr="00240A18">
        <w:rPr>
          <w:rFonts w:ascii="Arial" w:hAnsi="Arial" w:cs="Arial"/>
          <w:sz w:val="20"/>
          <w:szCs w:val="20"/>
        </w:rPr>
        <w:t>£19.5 million ($25.0 million) for completion of the previously announced share buyback programme</w:t>
      </w:r>
      <w:r w:rsidR="003A2C6C">
        <w:rPr>
          <w:rFonts w:ascii="Arial" w:hAnsi="Arial" w:cs="Arial"/>
          <w:sz w:val="20"/>
          <w:szCs w:val="20"/>
        </w:rPr>
        <w:t>.</w:t>
      </w:r>
    </w:p>
    <w:p w14:paraId="7E919587" w14:textId="77777777" w:rsidR="00586ECF" w:rsidRPr="00586ECF" w:rsidRDefault="00586ECF" w:rsidP="00586ECF">
      <w:pPr>
        <w:rPr>
          <w:rFonts w:ascii="Arial" w:hAnsi="Arial" w:cs="Arial"/>
          <w:sz w:val="20"/>
          <w:szCs w:val="20"/>
        </w:rPr>
      </w:pPr>
    </w:p>
    <w:p w14:paraId="32224D30" w14:textId="7259C3BF" w:rsidR="00586ECF" w:rsidRPr="00586ECF" w:rsidRDefault="00586ECF" w:rsidP="00586ECF">
      <w:pPr>
        <w:rPr>
          <w:rFonts w:ascii="Arial" w:hAnsi="Arial" w:cs="Arial"/>
          <w:i/>
          <w:sz w:val="20"/>
          <w:szCs w:val="20"/>
          <w:u w:val="single"/>
        </w:rPr>
      </w:pPr>
      <w:r w:rsidRPr="00586ECF">
        <w:rPr>
          <w:rFonts w:ascii="Arial" w:hAnsi="Arial" w:cs="Arial"/>
          <w:i/>
          <w:sz w:val="20"/>
          <w:szCs w:val="20"/>
          <w:u w:val="single"/>
        </w:rPr>
        <w:t>2. Available liquid resources</w:t>
      </w:r>
      <w:r w:rsidR="00240A18">
        <w:rPr>
          <w:rFonts w:ascii="Arial" w:hAnsi="Arial" w:cs="Arial"/>
          <w:i/>
          <w:sz w:val="20"/>
          <w:szCs w:val="20"/>
          <w:u w:val="single"/>
        </w:rPr>
        <w:t xml:space="preserve"> and potential proceeds from investment realisations</w:t>
      </w:r>
      <w:r w:rsidRPr="00586ECF">
        <w:rPr>
          <w:rFonts w:ascii="Arial" w:hAnsi="Arial" w:cs="Arial"/>
          <w:i/>
          <w:sz w:val="20"/>
          <w:szCs w:val="20"/>
          <w:u w:val="single"/>
        </w:rPr>
        <w:t xml:space="preserve"> versus potential unfunded commitments of the Partnership</w:t>
      </w:r>
    </w:p>
    <w:p w14:paraId="6A004235" w14:textId="77777777" w:rsidR="0048637A" w:rsidRDefault="0048637A" w:rsidP="00586ECF">
      <w:pPr>
        <w:rPr>
          <w:rFonts w:ascii="Arial" w:hAnsi="Arial" w:cs="Arial"/>
          <w:sz w:val="20"/>
          <w:szCs w:val="20"/>
        </w:rPr>
      </w:pPr>
    </w:p>
    <w:p w14:paraId="68F7E8B3" w14:textId="641DE5A8" w:rsidR="00586ECF" w:rsidRPr="00586ECF" w:rsidRDefault="00586ECF" w:rsidP="00586ECF">
      <w:pPr>
        <w:rPr>
          <w:rFonts w:ascii="Arial" w:hAnsi="Arial" w:cs="Arial"/>
          <w:sz w:val="20"/>
          <w:szCs w:val="20"/>
        </w:rPr>
      </w:pPr>
      <w:r w:rsidRPr="00586ECF">
        <w:rPr>
          <w:rFonts w:ascii="Arial" w:hAnsi="Arial" w:cs="Arial"/>
          <w:sz w:val="20"/>
          <w:szCs w:val="20"/>
        </w:rPr>
        <w:t xml:space="preserve">As at </w:t>
      </w:r>
      <w:r>
        <w:rPr>
          <w:rFonts w:ascii="Arial" w:hAnsi="Arial" w:cs="Arial"/>
          <w:sz w:val="20"/>
          <w:szCs w:val="20"/>
        </w:rPr>
        <w:t>30 June 2020</w:t>
      </w:r>
      <w:r w:rsidRPr="00586ECF">
        <w:rPr>
          <w:rFonts w:ascii="Arial" w:hAnsi="Arial" w:cs="Arial"/>
          <w:sz w:val="20"/>
          <w:szCs w:val="20"/>
        </w:rPr>
        <w:t xml:space="preserve">, the Partnership, </w:t>
      </w:r>
      <w:r w:rsidRPr="00E10245">
        <w:rPr>
          <w:rFonts w:ascii="Arial" w:hAnsi="Arial" w:cs="Arial"/>
          <w:sz w:val="20"/>
          <w:szCs w:val="20"/>
        </w:rPr>
        <w:t>including its wholly-owned subsidiaries, REL Cayman Holdings, LP, REL US Corp and REL US Centennial Holdings, LLC, had $</w:t>
      </w:r>
      <w:r w:rsidR="00CE299D" w:rsidRPr="00E10245">
        <w:rPr>
          <w:rFonts w:ascii="Arial" w:eastAsiaTheme="minorHAnsi" w:hAnsi="Arial" w:cs="Arial"/>
          <w:sz w:val="20"/>
          <w:szCs w:val="20"/>
        </w:rPr>
        <w:t>15</w:t>
      </w:r>
      <w:r w:rsidR="005E76C9">
        <w:rPr>
          <w:rFonts w:ascii="Arial" w:eastAsiaTheme="minorHAnsi" w:hAnsi="Arial" w:cs="Arial"/>
          <w:sz w:val="20"/>
          <w:szCs w:val="20"/>
        </w:rPr>
        <w:t>7</w:t>
      </w:r>
      <w:r w:rsidR="00500531">
        <w:rPr>
          <w:rFonts w:ascii="Arial" w:eastAsiaTheme="minorHAnsi" w:hAnsi="Arial" w:cs="Arial"/>
          <w:sz w:val="20"/>
          <w:szCs w:val="20"/>
        </w:rPr>
        <w:t>.2</w:t>
      </w:r>
      <w:r w:rsidRPr="00E10245">
        <w:rPr>
          <w:rFonts w:ascii="Arial" w:hAnsi="Arial" w:cs="Arial"/>
          <w:sz w:val="20"/>
          <w:szCs w:val="20"/>
        </w:rPr>
        <w:t xml:space="preserve"> million of uninvested funds held as cash and money market fixed deposits (31 December 2019: $182</w:t>
      </w:r>
      <w:r w:rsidR="00500531">
        <w:rPr>
          <w:rFonts w:ascii="Arial" w:hAnsi="Arial" w:cs="Arial"/>
          <w:sz w:val="20"/>
          <w:szCs w:val="20"/>
        </w:rPr>
        <w:t>.4</w:t>
      </w:r>
      <w:r w:rsidRPr="00E10245">
        <w:rPr>
          <w:rFonts w:ascii="Arial" w:hAnsi="Arial" w:cs="Arial"/>
          <w:sz w:val="20"/>
          <w:szCs w:val="20"/>
        </w:rPr>
        <w:t xml:space="preserve"> million). This amount is comprised of $</w:t>
      </w:r>
      <w:r w:rsidR="00CE299D" w:rsidRPr="00E10245">
        <w:rPr>
          <w:rFonts w:ascii="Arial" w:eastAsiaTheme="minorHAnsi" w:hAnsi="Arial" w:cs="Arial"/>
          <w:sz w:val="20"/>
          <w:szCs w:val="20"/>
        </w:rPr>
        <w:t>13</w:t>
      </w:r>
      <w:r w:rsidR="00500531">
        <w:rPr>
          <w:rFonts w:ascii="Arial" w:eastAsiaTheme="minorHAnsi" w:hAnsi="Arial" w:cs="Arial"/>
          <w:sz w:val="20"/>
          <w:szCs w:val="20"/>
        </w:rPr>
        <w:t>5.</w:t>
      </w:r>
      <w:r w:rsidR="00A05DCB">
        <w:rPr>
          <w:rFonts w:ascii="Arial" w:eastAsiaTheme="minorHAnsi" w:hAnsi="Arial" w:cs="Arial"/>
          <w:sz w:val="20"/>
          <w:szCs w:val="20"/>
        </w:rPr>
        <w:t>5</w:t>
      </w:r>
      <w:r w:rsidRPr="00E10245">
        <w:rPr>
          <w:rFonts w:ascii="Arial" w:hAnsi="Arial" w:cs="Arial"/>
          <w:sz w:val="20"/>
          <w:szCs w:val="20"/>
        </w:rPr>
        <w:t xml:space="preserve"> million held at the Partnership and $</w:t>
      </w:r>
      <w:r w:rsidR="00CE299D" w:rsidRPr="00E10245">
        <w:rPr>
          <w:rFonts w:ascii="Arial" w:eastAsiaTheme="minorHAnsi" w:hAnsi="Arial" w:cs="Arial"/>
          <w:sz w:val="20"/>
          <w:szCs w:val="20"/>
        </w:rPr>
        <w:t>2</w:t>
      </w:r>
      <w:r w:rsidR="00500531">
        <w:rPr>
          <w:rFonts w:ascii="Arial" w:eastAsiaTheme="minorHAnsi" w:hAnsi="Arial" w:cs="Arial"/>
          <w:sz w:val="20"/>
          <w:szCs w:val="20"/>
        </w:rPr>
        <w:t>1.7</w:t>
      </w:r>
      <w:r w:rsidRPr="00E10245">
        <w:rPr>
          <w:rFonts w:ascii="Arial" w:hAnsi="Arial" w:cs="Arial"/>
          <w:sz w:val="20"/>
          <w:szCs w:val="20"/>
        </w:rPr>
        <w:t xml:space="preserve"> million held at REL US Corp. </w:t>
      </w:r>
      <w:r w:rsidR="00341A1E">
        <w:rPr>
          <w:rFonts w:ascii="Arial" w:hAnsi="Arial" w:cs="Arial"/>
          <w:sz w:val="20"/>
          <w:szCs w:val="20"/>
        </w:rPr>
        <w:t>I</w:t>
      </w:r>
      <w:r w:rsidR="00537FB2" w:rsidRPr="00537FB2">
        <w:rPr>
          <w:rFonts w:ascii="Arial" w:hAnsi="Arial" w:cs="Arial"/>
          <w:sz w:val="20"/>
          <w:szCs w:val="20"/>
        </w:rPr>
        <w:t>n July 2020, the Company, through the Partnership, invested the $21.7 million held at REL US Corp in Enviva of $18.0 million and ILX III of $3.7 million, brin</w:t>
      </w:r>
      <w:r w:rsidR="00537FB2">
        <w:rPr>
          <w:rFonts w:ascii="Arial" w:hAnsi="Arial" w:cs="Arial"/>
          <w:sz w:val="20"/>
          <w:szCs w:val="20"/>
        </w:rPr>
        <w:t>g</w:t>
      </w:r>
      <w:r w:rsidR="00537FB2" w:rsidRPr="00537FB2">
        <w:rPr>
          <w:rFonts w:ascii="Arial" w:hAnsi="Arial" w:cs="Arial"/>
          <w:sz w:val="20"/>
          <w:szCs w:val="20"/>
        </w:rPr>
        <w:t xml:space="preserve">ing the Partnership’s uninvested funds down to $135.5 million. </w:t>
      </w:r>
      <w:r w:rsidRPr="00E10245">
        <w:rPr>
          <w:rFonts w:ascii="Arial" w:hAnsi="Arial" w:cs="Arial"/>
          <w:sz w:val="20"/>
          <w:szCs w:val="20"/>
        </w:rPr>
        <w:t>In January 2020, the Company announced that its Management Engagement Committee and the Investment Manager had agreed amendments to the terms on which the Company is required to pay a performance allocation. In accordance with the revised terms, REL did not meet the portfolio level cost benchmark at 30 June 2020; therefore, any unrealised performance allocation has been deferred. If these changes had not been accepted, then the accrued GP Performance Allocation would have been $</w:t>
      </w:r>
      <w:r w:rsidR="00CA175A" w:rsidRPr="00E10245">
        <w:rPr>
          <w:rFonts w:ascii="Arial" w:eastAsiaTheme="minorHAnsi" w:hAnsi="Arial" w:cs="Arial"/>
          <w:sz w:val="20"/>
          <w:szCs w:val="20"/>
        </w:rPr>
        <w:t>1.6</w:t>
      </w:r>
      <w:r w:rsidRPr="00E10245">
        <w:rPr>
          <w:rFonts w:ascii="Arial" w:eastAsiaTheme="minorHAnsi" w:hAnsi="Arial" w:cs="Arial"/>
          <w:sz w:val="20"/>
          <w:szCs w:val="20"/>
        </w:rPr>
        <w:t xml:space="preserve"> </w:t>
      </w:r>
      <w:r w:rsidRPr="00E10245">
        <w:rPr>
          <w:rFonts w:ascii="Arial" w:hAnsi="Arial" w:cs="Arial"/>
          <w:sz w:val="20"/>
          <w:szCs w:val="20"/>
        </w:rPr>
        <w:t>million as</w:t>
      </w:r>
      <w:r w:rsidRPr="00586ECF">
        <w:rPr>
          <w:rFonts w:ascii="Arial" w:hAnsi="Arial" w:cs="Arial"/>
          <w:sz w:val="20"/>
          <w:szCs w:val="20"/>
        </w:rPr>
        <w:t xml:space="preserve"> of </w:t>
      </w:r>
      <w:r>
        <w:rPr>
          <w:rFonts w:ascii="Arial" w:hAnsi="Arial" w:cs="Arial"/>
          <w:sz w:val="20"/>
          <w:szCs w:val="20"/>
        </w:rPr>
        <w:t>30 June 2020</w:t>
      </w:r>
      <w:r w:rsidRPr="00586ECF">
        <w:rPr>
          <w:rFonts w:ascii="Arial" w:hAnsi="Arial" w:cs="Arial"/>
          <w:sz w:val="20"/>
          <w:szCs w:val="20"/>
        </w:rPr>
        <w:t>.</w:t>
      </w:r>
    </w:p>
    <w:p w14:paraId="09A7190F" w14:textId="77777777" w:rsidR="00586ECF" w:rsidRPr="00586ECF" w:rsidRDefault="00586ECF" w:rsidP="00586ECF">
      <w:pPr>
        <w:rPr>
          <w:rFonts w:ascii="Arial" w:hAnsi="Arial" w:cs="Arial"/>
          <w:sz w:val="20"/>
          <w:szCs w:val="20"/>
        </w:rPr>
      </w:pPr>
    </w:p>
    <w:p w14:paraId="6A791BDB" w14:textId="001CEA15" w:rsidR="00586ECF" w:rsidRPr="00B77D59" w:rsidRDefault="00500531" w:rsidP="00586ECF">
      <w:pPr>
        <w:rPr>
          <w:rFonts w:ascii="Arial" w:hAnsi="Arial" w:cs="Arial"/>
          <w:sz w:val="20"/>
          <w:szCs w:val="20"/>
        </w:rPr>
      </w:pPr>
      <w:r>
        <w:rPr>
          <w:rFonts w:ascii="Arial" w:hAnsi="Arial" w:cs="Arial"/>
          <w:sz w:val="20"/>
          <w:szCs w:val="20"/>
        </w:rPr>
        <w:t>T</w:t>
      </w:r>
      <w:r w:rsidR="00586ECF" w:rsidRPr="00586ECF">
        <w:rPr>
          <w:rFonts w:ascii="Arial" w:hAnsi="Arial" w:cs="Arial"/>
          <w:sz w:val="20"/>
          <w:szCs w:val="20"/>
        </w:rPr>
        <w:t>he Company’s potential unfunded commitments of $</w:t>
      </w:r>
      <w:r w:rsidR="00CA175A">
        <w:rPr>
          <w:rFonts w:ascii="Arial" w:eastAsiaTheme="minorHAnsi" w:hAnsi="Arial" w:cs="Arial"/>
          <w:sz w:val="20"/>
          <w:szCs w:val="20"/>
        </w:rPr>
        <w:t>100</w:t>
      </w:r>
      <w:r w:rsidR="00586ECF" w:rsidRPr="00586ECF">
        <w:rPr>
          <w:rFonts w:ascii="Arial" w:hAnsi="Arial" w:cs="Arial"/>
          <w:sz w:val="20"/>
          <w:szCs w:val="20"/>
        </w:rPr>
        <w:t xml:space="preserve"> million as at </w:t>
      </w:r>
      <w:r w:rsidR="00586ECF">
        <w:rPr>
          <w:rFonts w:ascii="Arial" w:hAnsi="Arial" w:cs="Arial"/>
          <w:sz w:val="20"/>
          <w:szCs w:val="20"/>
        </w:rPr>
        <w:t>30 June 2020</w:t>
      </w:r>
      <w:r w:rsidR="00586ECF" w:rsidRPr="00586ECF">
        <w:rPr>
          <w:rFonts w:ascii="Arial" w:hAnsi="Arial" w:cs="Arial"/>
          <w:sz w:val="20"/>
          <w:szCs w:val="20"/>
        </w:rPr>
        <w:t xml:space="preserve"> (31 December 201</w:t>
      </w:r>
      <w:r w:rsidR="00586ECF">
        <w:rPr>
          <w:rFonts w:ascii="Arial" w:hAnsi="Arial" w:cs="Arial"/>
          <w:sz w:val="20"/>
          <w:szCs w:val="20"/>
        </w:rPr>
        <w:t>9</w:t>
      </w:r>
      <w:r w:rsidR="00586ECF" w:rsidRPr="00586ECF">
        <w:rPr>
          <w:rFonts w:ascii="Arial" w:hAnsi="Arial" w:cs="Arial"/>
          <w:sz w:val="20"/>
          <w:szCs w:val="20"/>
        </w:rPr>
        <w:t>: $</w:t>
      </w:r>
      <w:r w:rsidR="00586ECF">
        <w:rPr>
          <w:rFonts w:ascii="Arial" w:hAnsi="Arial" w:cs="Arial"/>
          <w:sz w:val="20"/>
          <w:szCs w:val="20"/>
        </w:rPr>
        <w:t>212</w:t>
      </w:r>
      <w:r w:rsidR="00586ECF" w:rsidRPr="00586ECF">
        <w:rPr>
          <w:rFonts w:ascii="Arial" w:hAnsi="Arial" w:cs="Arial"/>
          <w:sz w:val="20"/>
          <w:szCs w:val="20"/>
        </w:rPr>
        <w:t xml:space="preserve"> million), through the Partnership, </w:t>
      </w:r>
      <w:r>
        <w:rPr>
          <w:rFonts w:ascii="Arial" w:hAnsi="Arial" w:cs="Arial"/>
          <w:sz w:val="20"/>
          <w:szCs w:val="20"/>
        </w:rPr>
        <w:t xml:space="preserve">did not </w:t>
      </w:r>
      <w:r w:rsidR="00586ECF" w:rsidRPr="00586ECF">
        <w:rPr>
          <w:rFonts w:ascii="Arial" w:hAnsi="Arial" w:cs="Arial"/>
          <w:sz w:val="20"/>
          <w:szCs w:val="20"/>
        </w:rPr>
        <w:t xml:space="preserve">exceed its available liquid resources as at </w:t>
      </w:r>
      <w:r w:rsidR="00586ECF">
        <w:rPr>
          <w:rFonts w:ascii="Arial" w:hAnsi="Arial" w:cs="Arial"/>
          <w:sz w:val="20"/>
          <w:szCs w:val="20"/>
        </w:rPr>
        <w:t>30 June 2020</w:t>
      </w:r>
      <w:r>
        <w:rPr>
          <w:rFonts w:ascii="Arial" w:hAnsi="Arial" w:cs="Arial"/>
          <w:sz w:val="20"/>
          <w:szCs w:val="20"/>
        </w:rPr>
        <w:t xml:space="preserve">. </w:t>
      </w:r>
      <w:bookmarkStart w:id="5" w:name="_Hlk45827657"/>
      <w:r w:rsidR="00C94C65">
        <w:rPr>
          <w:rFonts w:ascii="Arial" w:hAnsi="Arial" w:cs="Arial"/>
          <w:sz w:val="20"/>
          <w:szCs w:val="20"/>
        </w:rPr>
        <w:t xml:space="preserve">In July 2020, REL, through the Partnership, </w:t>
      </w:r>
      <w:r w:rsidR="00537FB2">
        <w:rPr>
          <w:rFonts w:ascii="Arial" w:hAnsi="Arial" w:cs="Arial"/>
          <w:sz w:val="20"/>
          <w:szCs w:val="20"/>
        </w:rPr>
        <w:t>invested $18</w:t>
      </w:r>
      <w:r w:rsidR="0080127D">
        <w:rPr>
          <w:rFonts w:ascii="Arial" w:hAnsi="Arial" w:cs="Arial"/>
          <w:sz w:val="20"/>
          <w:szCs w:val="20"/>
        </w:rPr>
        <w:t>.0</w:t>
      </w:r>
      <w:r w:rsidR="00537FB2">
        <w:rPr>
          <w:rFonts w:ascii="Arial" w:hAnsi="Arial" w:cs="Arial"/>
          <w:sz w:val="20"/>
          <w:szCs w:val="20"/>
        </w:rPr>
        <w:t xml:space="preserve"> million of its $25</w:t>
      </w:r>
      <w:r w:rsidR="0080127D">
        <w:rPr>
          <w:rFonts w:ascii="Arial" w:hAnsi="Arial" w:cs="Arial"/>
          <w:sz w:val="20"/>
          <w:szCs w:val="20"/>
        </w:rPr>
        <w:t>.0</w:t>
      </w:r>
      <w:r w:rsidR="00537FB2">
        <w:rPr>
          <w:rFonts w:ascii="Arial" w:hAnsi="Arial" w:cs="Arial"/>
          <w:sz w:val="20"/>
          <w:szCs w:val="20"/>
        </w:rPr>
        <w:t xml:space="preserve"> million</w:t>
      </w:r>
      <w:r w:rsidR="00C94C65">
        <w:rPr>
          <w:rFonts w:ascii="Arial" w:hAnsi="Arial" w:cs="Arial"/>
          <w:sz w:val="20"/>
          <w:szCs w:val="20"/>
        </w:rPr>
        <w:t xml:space="preserve"> </w:t>
      </w:r>
      <w:r w:rsidR="00537FB2">
        <w:rPr>
          <w:rFonts w:ascii="Arial" w:hAnsi="Arial" w:cs="Arial"/>
          <w:sz w:val="20"/>
          <w:szCs w:val="20"/>
        </w:rPr>
        <w:t>commitment</w:t>
      </w:r>
      <w:r w:rsidR="00C94C65">
        <w:rPr>
          <w:rFonts w:ascii="Arial" w:hAnsi="Arial" w:cs="Arial"/>
          <w:sz w:val="20"/>
          <w:szCs w:val="20"/>
        </w:rPr>
        <w:t xml:space="preserve"> to Enviva</w:t>
      </w:r>
      <w:r w:rsidR="00537FB2">
        <w:rPr>
          <w:rFonts w:ascii="Arial" w:hAnsi="Arial" w:cs="Arial"/>
          <w:sz w:val="20"/>
          <w:szCs w:val="20"/>
        </w:rPr>
        <w:t xml:space="preserve"> and </w:t>
      </w:r>
      <w:r w:rsidR="0080127D">
        <w:rPr>
          <w:rFonts w:ascii="Arial" w:hAnsi="Arial" w:cs="Arial"/>
          <w:sz w:val="20"/>
          <w:szCs w:val="20"/>
        </w:rPr>
        <w:t>$3.7 million to ILX III</w:t>
      </w:r>
      <w:r w:rsidR="00C94C65">
        <w:rPr>
          <w:rFonts w:ascii="Arial" w:hAnsi="Arial" w:cs="Arial"/>
          <w:sz w:val="20"/>
          <w:szCs w:val="20"/>
        </w:rPr>
        <w:t xml:space="preserve">, bringing potential unfunded commitments </w:t>
      </w:r>
      <w:r w:rsidR="0080127D">
        <w:rPr>
          <w:rFonts w:ascii="Arial" w:hAnsi="Arial" w:cs="Arial"/>
          <w:sz w:val="20"/>
          <w:szCs w:val="20"/>
        </w:rPr>
        <w:t>up</w:t>
      </w:r>
      <w:r w:rsidR="00C94C65">
        <w:rPr>
          <w:rFonts w:ascii="Arial" w:hAnsi="Arial" w:cs="Arial"/>
          <w:sz w:val="20"/>
          <w:szCs w:val="20"/>
        </w:rPr>
        <w:t xml:space="preserve"> to $</w:t>
      </w:r>
      <w:r w:rsidR="00537FB2">
        <w:rPr>
          <w:rFonts w:ascii="Arial" w:hAnsi="Arial" w:cs="Arial"/>
          <w:sz w:val="20"/>
          <w:szCs w:val="20"/>
        </w:rPr>
        <w:t>10</w:t>
      </w:r>
      <w:r w:rsidR="0080127D">
        <w:rPr>
          <w:rFonts w:ascii="Arial" w:hAnsi="Arial" w:cs="Arial"/>
          <w:sz w:val="20"/>
          <w:szCs w:val="20"/>
        </w:rPr>
        <w:t>3</w:t>
      </w:r>
      <w:r w:rsidR="00BA7527">
        <w:rPr>
          <w:rFonts w:ascii="Arial" w:hAnsi="Arial" w:cs="Arial"/>
          <w:sz w:val="20"/>
          <w:szCs w:val="20"/>
        </w:rPr>
        <w:t>.3</w:t>
      </w:r>
      <w:r w:rsidR="00C94C65">
        <w:rPr>
          <w:rFonts w:ascii="Arial" w:hAnsi="Arial" w:cs="Arial"/>
          <w:sz w:val="20"/>
          <w:szCs w:val="20"/>
        </w:rPr>
        <w:t xml:space="preserve"> million.</w:t>
      </w:r>
      <w:bookmarkEnd w:id="5"/>
      <w:r w:rsidR="00586ECF" w:rsidRPr="00586ECF">
        <w:rPr>
          <w:rFonts w:ascii="Arial" w:hAnsi="Arial" w:cs="Arial"/>
          <w:sz w:val="20"/>
          <w:szCs w:val="20"/>
        </w:rPr>
        <w:t xml:space="preserve"> </w:t>
      </w:r>
      <w:r w:rsidR="00C94C65">
        <w:rPr>
          <w:rFonts w:ascii="Arial" w:hAnsi="Arial" w:cs="Arial"/>
          <w:sz w:val="20"/>
          <w:szCs w:val="20"/>
        </w:rPr>
        <w:t>I</w:t>
      </w:r>
      <w:r w:rsidR="00586ECF" w:rsidRPr="00586ECF">
        <w:rPr>
          <w:rFonts w:ascii="Arial" w:hAnsi="Arial" w:cs="Arial"/>
          <w:sz w:val="20"/>
          <w:szCs w:val="20"/>
        </w:rPr>
        <w:t xml:space="preserve">t is not expected that all </w:t>
      </w:r>
      <w:r w:rsidR="00C94C65">
        <w:rPr>
          <w:rFonts w:ascii="Arial" w:hAnsi="Arial" w:cs="Arial"/>
          <w:sz w:val="20"/>
          <w:szCs w:val="20"/>
        </w:rPr>
        <w:t xml:space="preserve">potential unfunded </w:t>
      </w:r>
      <w:r w:rsidR="00586ECF" w:rsidRPr="00586ECF">
        <w:rPr>
          <w:rFonts w:ascii="Arial" w:hAnsi="Arial" w:cs="Arial"/>
          <w:sz w:val="20"/>
          <w:szCs w:val="20"/>
        </w:rPr>
        <w:t xml:space="preserve">commitments will be drawn due to a variety of factors, such as the ability for the commitment to be reduced and/or cancelled by the Investment Manager with consideration from the Board, the present market conditions do not warrant presently further capital expenditure as the returns would not be </w:t>
      </w:r>
      <w:r w:rsidR="00586ECF" w:rsidRPr="00B77D59">
        <w:rPr>
          <w:rFonts w:ascii="Arial" w:hAnsi="Arial" w:cs="Arial"/>
          <w:sz w:val="20"/>
          <w:szCs w:val="20"/>
        </w:rPr>
        <w:t>incrementally positive, a portfolio company being sold earlier than anticipated or a targeted investment opportunity changing or disappearing.</w:t>
      </w:r>
    </w:p>
    <w:p w14:paraId="432E7E5E" w14:textId="77777777" w:rsidR="00586ECF" w:rsidRPr="00B77D59" w:rsidRDefault="00586ECF" w:rsidP="00586ECF">
      <w:pPr>
        <w:rPr>
          <w:rFonts w:ascii="Arial" w:hAnsi="Arial" w:cs="Arial"/>
          <w:sz w:val="20"/>
          <w:szCs w:val="20"/>
        </w:rPr>
      </w:pPr>
    </w:p>
    <w:p w14:paraId="69B2C5DF" w14:textId="320313EE" w:rsidR="00586ECF" w:rsidRPr="00586ECF" w:rsidRDefault="00586ECF" w:rsidP="00586ECF">
      <w:pPr>
        <w:rPr>
          <w:rFonts w:ascii="Arial" w:hAnsi="Arial" w:cs="Arial"/>
          <w:sz w:val="20"/>
          <w:szCs w:val="20"/>
        </w:rPr>
      </w:pPr>
      <w:r w:rsidRPr="00B77D59">
        <w:rPr>
          <w:rFonts w:ascii="Arial" w:hAnsi="Arial" w:cs="Arial"/>
          <w:sz w:val="20"/>
          <w:szCs w:val="20"/>
        </w:rPr>
        <w:t xml:space="preserve">As at 30 June 2020, the Company, through the Partnership, has realised </w:t>
      </w:r>
      <w:r w:rsidR="003B2661">
        <w:rPr>
          <w:rFonts w:ascii="Arial" w:eastAsiaTheme="minorHAnsi" w:hAnsi="Arial" w:cs="Arial"/>
          <w:sz w:val="20"/>
          <w:szCs w:val="20"/>
        </w:rPr>
        <w:t>seven</w:t>
      </w:r>
      <w:r w:rsidRPr="00B77D59">
        <w:rPr>
          <w:rFonts w:ascii="Arial" w:hAnsi="Arial" w:cs="Arial"/>
          <w:sz w:val="20"/>
          <w:szCs w:val="20"/>
        </w:rPr>
        <w:t xml:space="preserve"> investments for $</w:t>
      </w:r>
      <w:r w:rsidR="001F6211">
        <w:rPr>
          <w:rFonts w:ascii="Arial" w:eastAsiaTheme="minorHAnsi" w:hAnsi="Arial" w:cs="Arial"/>
          <w:sz w:val="20"/>
          <w:szCs w:val="20"/>
        </w:rPr>
        <w:t>669</w:t>
      </w:r>
      <w:r w:rsidRPr="00B77D59">
        <w:rPr>
          <w:rFonts w:ascii="Arial" w:hAnsi="Arial" w:cs="Arial"/>
          <w:sz w:val="20"/>
          <w:szCs w:val="20"/>
        </w:rPr>
        <w:t xml:space="preserve"> million of gross proceeds on invested capital of $</w:t>
      </w:r>
      <w:r w:rsidR="001F6211">
        <w:rPr>
          <w:rFonts w:ascii="Arial" w:eastAsiaTheme="minorHAnsi" w:hAnsi="Arial" w:cs="Arial"/>
          <w:sz w:val="20"/>
          <w:szCs w:val="20"/>
        </w:rPr>
        <w:t>422</w:t>
      </w:r>
      <w:r w:rsidRPr="00B77D59">
        <w:rPr>
          <w:rFonts w:ascii="Arial" w:hAnsi="Arial" w:cs="Arial"/>
          <w:sz w:val="20"/>
          <w:szCs w:val="20"/>
        </w:rPr>
        <w:t xml:space="preserve"> million, respectively in aggregate, resulting in an average Gross MOIC of approximately </w:t>
      </w:r>
      <w:r w:rsidR="001F6211">
        <w:rPr>
          <w:rFonts w:ascii="Arial" w:eastAsiaTheme="minorHAnsi" w:hAnsi="Arial" w:cs="Arial"/>
          <w:sz w:val="20"/>
          <w:szCs w:val="20"/>
        </w:rPr>
        <w:t>1.6</w:t>
      </w:r>
      <w:r w:rsidRPr="00B77D59">
        <w:rPr>
          <w:rFonts w:ascii="Arial" w:hAnsi="Arial" w:cs="Arial"/>
          <w:sz w:val="20"/>
          <w:szCs w:val="20"/>
        </w:rPr>
        <w:t xml:space="preserve">x. The initial commitments to these </w:t>
      </w:r>
      <w:r w:rsidR="003B2661">
        <w:rPr>
          <w:rFonts w:ascii="Arial" w:eastAsiaTheme="minorHAnsi" w:hAnsi="Arial" w:cs="Arial"/>
          <w:sz w:val="20"/>
          <w:szCs w:val="20"/>
        </w:rPr>
        <w:t>seven</w:t>
      </w:r>
      <w:r w:rsidRPr="00B77D59">
        <w:rPr>
          <w:rFonts w:ascii="Arial" w:hAnsi="Arial" w:cs="Arial"/>
          <w:sz w:val="20"/>
          <w:szCs w:val="20"/>
        </w:rPr>
        <w:t xml:space="preserve"> investments were in excess of $</w:t>
      </w:r>
      <w:r w:rsidR="003B2661">
        <w:rPr>
          <w:rFonts w:ascii="Arial" w:eastAsiaTheme="minorHAnsi" w:hAnsi="Arial" w:cs="Arial"/>
          <w:sz w:val="20"/>
          <w:szCs w:val="20"/>
        </w:rPr>
        <w:t>712</w:t>
      </w:r>
      <w:r w:rsidRPr="00B77D59">
        <w:rPr>
          <w:rFonts w:ascii="Arial" w:hAnsi="Arial" w:cs="Arial"/>
          <w:sz w:val="20"/>
          <w:szCs w:val="20"/>
        </w:rPr>
        <w:t xml:space="preserve"> million, so approximately </w:t>
      </w:r>
      <w:r w:rsidR="003B2661">
        <w:rPr>
          <w:rFonts w:ascii="Arial" w:eastAsiaTheme="minorHAnsi" w:hAnsi="Arial" w:cs="Arial"/>
          <w:sz w:val="20"/>
          <w:szCs w:val="20"/>
        </w:rPr>
        <w:t>59</w:t>
      </w:r>
      <w:r w:rsidRPr="00B77D59">
        <w:rPr>
          <w:rFonts w:ascii="Arial" w:hAnsi="Arial" w:cs="Arial"/>
          <w:sz w:val="20"/>
          <w:szCs w:val="20"/>
        </w:rPr>
        <w:t xml:space="preserve"> per cent. had been funded before realisation. In addition, the board of each underlying portfolio company, more often than not are controlled by Riverstone, which has discretion over whether or not that capital is ultimately invested. Moreover, REL’s arrangements with Riverstone allow the Company’s potential unfunded commitments to be reduced and/or cancelled by the Investment Manager with consideration from the Board, although this has yet to happen.</w:t>
      </w:r>
    </w:p>
    <w:p w14:paraId="0A5DE12B" w14:textId="77777777" w:rsidR="00586ECF" w:rsidRPr="00586ECF" w:rsidRDefault="00586ECF" w:rsidP="00586ECF">
      <w:pPr>
        <w:rPr>
          <w:rFonts w:ascii="Arial" w:hAnsi="Arial" w:cs="Arial"/>
          <w:sz w:val="20"/>
          <w:szCs w:val="20"/>
        </w:rPr>
      </w:pPr>
    </w:p>
    <w:p w14:paraId="4E93EA57" w14:textId="7E28F370" w:rsidR="00586ECF" w:rsidRPr="00B77D59" w:rsidRDefault="00586ECF" w:rsidP="00586ECF">
      <w:pPr>
        <w:rPr>
          <w:rFonts w:ascii="Arial" w:hAnsi="Arial" w:cs="Arial"/>
          <w:i/>
          <w:sz w:val="20"/>
          <w:szCs w:val="20"/>
          <w:u w:val="single"/>
        </w:rPr>
      </w:pPr>
      <w:r w:rsidRPr="00B77D59">
        <w:rPr>
          <w:rFonts w:ascii="Arial" w:hAnsi="Arial" w:cs="Arial"/>
          <w:i/>
          <w:sz w:val="20"/>
          <w:szCs w:val="20"/>
          <w:u w:val="single"/>
        </w:rPr>
        <w:t>3. Discontinuation Resolution</w:t>
      </w:r>
    </w:p>
    <w:p w14:paraId="359622E0" w14:textId="77777777" w:rsidR="0048637A" w:rsidRDefault="0048637A" w:rsidP="00586ECF">
      <w:pPr>
        <w:rPr>
          <w:rFonts w:ascii="Arial" w:hAnsi="Arial" w:cs="Arial"/>
          <w:sz w:val="20"/>
          <w:szCs w:val="20"/>
        </w:rPr>
      </w:pPr>
    </w:p>
    <w:p w14:paraId="1B91DC88" w14:textId="26F8E5D7" w:rsidR="00586ECF" w:rsidRPr="00586ECF" w:rsidRDefault="00586ECF" w:rsidP="00586ECF">
      <w:pPr>
        <w:rPr>
          <w:rFonts w:ascii="Arial" w:hAnsi="Arial" w:cs="Arial"/>
          <w:sz w:val="20"/>
          <w:szCs w:val="20"/>
        </w:rPr>
      </w:pPr>
      <w:r w:rsidRPr="00586ECF">
        <w:rPr>
          <w:rFonts w:ascii="Arial" w:hAnsi="Arial" w:cs="Arial"/>
          <w:sz w:val="20"/>
          <w:szCs w:val="20"/>
        </w:rPr>
        <w:t>The Company's Articles of Incorporation provide that if, on 29 October 2020 (the seventh anniversary of the Company's London listing), both of the following are true:</w:t>
      </w:r>
    </w:p>
    <w:p w14:paraId="41431328" w14:textId="77777777" w:rsidR="00B77D59" w:rsidRDefault="00B77D59" w:rsidP="00586ECF">
      <w:pPr>
        <w:rPr>
          <w:rFonts w:ascii="Arial" w:hAnsi="Arial" w:cs="Arial"/>
          <w:sz w:val="20"/>
          <w:szCs w:val="20"/>
        </w:rPr>
      </w:pPr>
    </w:p>
    <w:p w14:paraId="458AF14F" w14:textId="62F85AB7" w:rsidR="00580600" w:rsidRDefault="00586ECF" w:rsidP="00586ECF">
      <w:pPr>
        <w:pStyle w:val="ListParagraph"/>
        <w:numPr>
          <w:ilvl w:val="0"/>
          <w:numId w:val="49"/>
        </w:numPr>
        <w:rPr>
          <w:rFonts w:ascii="Arial" w:hAnsi="Arial" w:cs="Arial"/>
          <w:sz w:val="20"/>
          <w:szCs w:val="20"/>
        </w:rPr>
      </w:pPr>
      <w:r w:rsidRPr="00B77D59">
        <w:rPr>
          <w:rFonts w:ascii="Arial" w:hAnsi="Arial" w:cs="Arial"/>
          <w:sz w:val="20"/>
          <w:szCs w:val="20"/>
        </w:rPr>
        <w:t xml:space="preserve">the trading price for the Company's </w:t>
      </w:r>
      <w:r w:rsidR="00DE4F2B">
        <w:rPr>
          <w:rFonts w:ascii="Arial" w:hAnsi="Arial" w:cs="Arial"/>
          <w:sz w:val="20"/>
          <w:szCs w:val="20"/>
        </w:rPr>
        <w:t>O</w:t>
      </w:r>
      <w:r w:rsidRPr="00B77D59">
        <w:rPr>
          <w:rFonts w:ascii="Arial" w:hAnsi="Arial" w:cs="Arial"/>
          <w:sz w:val="20"/>
          <w:szCs w:val="20"/>
        </w:rPr>
        <w:t xml:space="preserve">rdinary </w:t>
      </w:r>
      <w:r w:rsidR="00DE4F2B">
        <w:rPr>
          <w:rFonts w:ascii="Arial" w:hAnsi="Arial" w:cs="Arial"/>
          <w:sz w:val="20"/>
          <w:szCs w:val="20"/>
        </w:rPr>
        <w:t>S</w:t>
      </w:r>
      <w:r w:rsidRPr="00B77D59">
        <w:rPr>
          <w:rFonts w:ascii="Arial" w:hAnsi="Arial" w:cs="Arial"/>
          <w:sz w:val="20"/>
          <w:szCs w:val="20"/>
        </w:rPr>
        <w:t>hares has not at any time exceeded £14.70 (initially £15.00, subject to adjustments for dividends, stock splits or consolidations and below NAV equity issuances); and</w:t>
      </w:r>
    </w:p>
    <w:p w14:paraId="5919A464" w14:textId="7E583BBD" w:rsidR="00586ECF" w:rsidRDefault="00586ECF" w:rsidP="00586ECF">
      <w:pPr>
        <w:pStyle w:val="ListParagraph"/>
        <w:numPr>
          <w:ilvl w:val="0"/>
          <w:numId w:val="49"/>
        </w:numPr>
        <w:rPr>
          <w:rFonts w:ascii="Arial" w:hAnsi="Arial" w:cs="Arial"/>
          <w:sz w:val="20"/>
          <w:szCs w:val="20"/>
        </w:rPr>
      </w:pPr>
      <w:r w:rsidRPr="00580600">
        <w:rPr>
          <w:rFonts w:ascii="Arial" w:hAnsi="Arial" w:cs="Arial"/>
          <w:sz w:val="20"/>
          <w:szCs w:val="20"/>
        </w:rPr>
        <w:t xml:space="preserve">a gross IRR of 8 per cent. has not been achieved on the Company's capital, calculated by reference to the prevailing valuation or sale proceeds achieved on each of the Company's investments from the date of the initial investment or commitment of capital to that investment and prior to the deduction of fees or taxes, </w:t>
      </w:r>
    </w:p>
    <w:p w14:paraId="19F8ABE9" w14:textId="77777777" w:rsidR="00580600" w:rsidRPr="00580600" w:rsidRDefault="00580600" w:rsidP="00580600">
      <w:pPr>
        <w:pStyle w:val="ListParagraph"/>
        <w:rPr>
          <w:rFonts w:ascii="Arial" w:hAnsi="Arial" w:cs="Arial"/>
          <w:sz w:val="20"/>
          <w:szCs w:val="20"/>
        </w:rPr>
      </w:pPr>
    </w:p>
    <w:p w14:paraId="47C47EB3" w14:textId="03314E96" w:rsidR="00586ECF" w:rsidRPr="00586ECF" w:rsidRDefault="00586ECF" w:rsidP="00586ECF">
      <w:pPr>
        <w:rPr>
          <w:rFonts w:ascii="Arial" w:hAnsi="Arial" w:cs="Arial"/>
          <w:sz w:val="20"/>
          <w:szCs w:val="20"/>
        </w:rPr>
      </w:pPr>
      <w:r w:rsidRPr="00586ECF">
        <w:rPr>
          <w:rFonts w:ascii="Arial" w:hAnsi="Arial" w:cs="Arial"/>
          <w:sz w:val="20"/>
          <w:szCs w:val="20"/>
        </w:rPr>
        <w:t xml:space="preserve">then a special resolution must be proposed to the Company's Shareholders to discontinue the Company ("Discontinuation Resolution"). Both tests must be triggered for the requirement to propose a Discontinuation Resolution to apply.  If a Discontinuation Resolution is proposed to Shareholders and passed (which requires 75 per cent. approval of those </w:t>
      </w:r>
      <w:r w:rsidR="0065368C">
        <w:rPr>
          <w:rFonts w:ascii="Arial" w:hAnsi="Arial" w:cs="Arial"/>
          <w:sz w:val="20"/>
          <w:szCs w:val="20"/>
        </w:rPr>
        <w:t>S</w:t>
      </w:r>
      <w:r w:rsidRPr="00586ECF">
        <w:rPr>
          <w:rFonts w:ascii="Arial" w:hAnsi="Arial" w:cs="Arial"/>
          <w:sz w:val="20"/>
          <w:szCs w:val="20"/>
        </w:rPr>
        <w:t>hareholders that vote their shares), the Company will be liquidated. With an all time high trading price of £</w:t>
      </w:r>
      <w:r w:rsidR="00671E15">
        <w:rPr>
          <w:rFonts w:ascii="Arial" w:eastAsiaTheme="minorHAnsi" w:hAnsi="Arial" w:cs="Arial"/>
          <w:sz w:val="20"/>
          <w:szCs w:val="20"/>
        </w:rPr>
        <w:t>13.70</w:t>
      </w:r>
      <w:r w:rsidR="00580600">
        <w:rPr>
          <w:rFonts w:ascii="Arial" w:eastAsiaTheme="minorHAnsi" w:hAnsi="Arial" w:cs="Arial"/>
          <w:sz w:val="20"/>
          <w:szCs w:val="20"/>
        </w:rPr>
        <w:t xml:space="preserve"> </w:t>
      </w:r>
      <w:r w:rsidRPr="00586ECF">
        <w:rPr>
          <w:rFonts w:ascii="Arial" w:hAnsi="Arial" w:cs="Arial"/>
          <w:sz w:val="20"/>
          <w:szCs w:val="20"/>
        </w:rPr>
        <w:t xml:space="preserve">and Gross IRR of approximately </w:t>
      </w:r>
      <w:r w:rsidR="00671E15">
        <w:rPr>
          <w:rFonts w:ascii="Arial" w:eastAsiaTheme="minorHAnsi" w:hAnsi="Arial" w:cs="Arial"/>
          <w:sz w:val="20"/>
          <w:szCs w:val="20"/>
        </w:rPr>
        <w:t>-18</w:t>
      </w:r>
      <w:r w:rsidR="00580600">
        <w:rPr>
          <w:rFonts w:ascii="Arial" w:eastAsiaTheme="minorHAnsi" w:hAnsi="Arial" w:cs="Arial"/>
          <w:sz w:val="20"/>
          <w:szCs w:val="20"/>
        </w:rPr>
        <w:t xml:space="preserve"> </w:t>
      </w:r>
      <w:r w:rsidRPr="00586ECF">
        <w:rPr>
          <w:rFonts w:ascii="Arial" w:hAnsi="Arial" w:cs="Arial"/>
          <w:sz w:val="20"/>
          <w:szCs w:val="20"/>
        </w:rPr>
        <w:t xml:space="preserve">per cent. as at </w:t>
      </w:r>
      <w:r w:rsidR="00580600">
        <w:rPr>
          <w:rFonts w:ascii="Arial" w:hAnsi="Arial" w:cs="Arial"/>
          <w:sz w:val="20"/>
          <w:szCs w:val="20"/>
        </w:rPr>
        <w:t>30 June 2020</w:t>
      </w:r>
      <w:r w:rsidRPr="00586ECF">
        <w:rPr>
          <w:rFonts w:ascii="Arial" w:hAnsi="Arial" w:cs="Arial"/>
          <w:sz w:val="20"/>
          <w:szCs w:val="20"/>
        </w:rPr>
        <w:t xml:space="preserve">, both tests have not yet been met, so the Board has assumed for the purposes of this going concern statement that the Discontinuation Resolution is likely to be required to be proposed to Shareholders. </w:t>
      </w:r>
    </w:p>
    <w:p w14:paraId="583D61DB" w14:textId="77777777" w:rsidR="00586ECF" w:rsidRPr="00586ECF" w:rsidRDefault="00586ECF" w:rsidP="00586ECF">
      <w:pPr>
        <w:rPr>
          <w:rFonts w:ascii="Arial" w:hAnsi="Arial" w:cs="Arial"/>
          <w:sz w:val="20"/>
          <w:szCs w:val="20"/>
        </w:rPr>
      </w:pPr>
    </w:p>
    <w:p w14:paraId="45DFFDAD" w14:textId="24B3A88B" w:rsidR="00586ECF" w:rsidRPr="00586ECF" w:rsidRDefault="00586ECF" w:rsidP="00586ECF">
      <w:pPr>
        <w:rPr>
          <w:rFonts w:ascii="Arial" w:hAnsi="Arial" w:cs="Arial"/>
          <w:sz w:val="20"/>
          <w:szCs w:val="20"/>
        </w:rPr>
      </w:pPr>
      <w:r w:rsidRPr="00586ECF">
        <w:rPr>
          <w:rFonts w:ascii="Arial" w:hAnsi="Arial" w:cs="Arial"/>
          <w:sz w:val="20"/>
          <w:szCs w:val="20"/>
        </w:rPr>
        <w:lastRenderedPageBreak/>
        <w:t xml:space="preserve">The Investment Manager and Cornerstone Investors have </w:t>
      </w:r>
      <w:r w:rsidR="00671E15">
        <w:rPr>
          <w:rFonts w:ascii="Arial" w:hAnsi="Arial" w:cs="Arial"/>
          <w:sz w:val="20"/>
          <w:szCs w:val="20"/>
        </w:rPr>
        <w:t>6</w:t>
      </w:r>
      <w:r w:rsidRPr="00586ECF">
        <w:rPr>
          <w:rFonts w:ascii="Arial" w:hAnsi="Arial" w:cs="Arial"/>
          <w:sz w:val="20"/>
          <w:szCs w:val="20"/>
        </w:rPr>
        <w:t>.</w:t>
      </w:r>
      <w:r w:rsidR="003B2661">
        <w:rPr>
          <w:rFonts w:ascii="Arial" w:hAnsi="Arial" w:cs="Arial"/>
          <w:sz w:val="20"/>
          <w:szCs w:val="20"/>
        </w:rPr>
        <w:t>7</w:t>
      </w:r>
      <w:r w:rsidRPr="00586ECF">
        <w:rPr>
          <w:rFonts w:ascii="Arial" w:hAnsi="Arial" w:cs="Arial"/>
          <w:sz w:val="20"/>
          <w:szCs w:val="20"/>
        </w:rPr>
        <w:t xml:space="preserve"> per cent. and 4</w:t>
      </w:r>
      <w:r w:rsidR="00D21752">
        <w:rPr>
          <w:rFonts w:ascii="Arial" w:hAnsi="Arial" w:cs="Arial"/>
          <w:sz w:val="20"/>
          <w:szCs w:val="20"/>
        </w:rPr>
        <w:t>5</w:t>
      </w:r>
      <w:r w:rsidRPr="00586ECF">
        <w:rPr>
          <w:rFonts w:ascii="Arial" w:hAnsi="Arial" w:cs="Arial"/>
          <w:sz w:val="20"/>
          <w:szCs w:val="20"/>
        </w:rPr>
        <w:t>.</w:t>
      </w:r>
      <w:r w:rsidR="003B2661">
        <w:rPr>
          <w:rFonts w:ascii="Arial" w:hAnsi="Arial" w:cs="Arial"/>
          <w:sz w:val="20"/>
          <w:szCs w:val="20"/>
        </w:rPr>
        <w:t>6</w:t>
      </w:r>
      <w:r w:rsidRPr="00586ECF">
        <w:rPr>
          <w:rFonts w:ascii="Arial" w:hAnsi="Arial" w:cs="Arial"/>
          <w:sz w:val="20"/>
          <w:szCs w:val="20"/>
        </w:rPr>
        <w:t xml:space="preserve"> per cent., respectively, of the votes and can block approval. Given the Investment Manager has indicated that it will not vote for the resolution, in March 2020, the Investment Manager contacted one of the Cornerstone Investors regarding its voting intentions in respect of the Discontinuation Resolution, but did not receive a firm indication. No Cornerstone Investor has yet expressed how it would intend to vote on the Discontinuation Resolution Vote.</w:t>
      </w:r>
    </w:p>
    <w:p w14:paraId="3D13BE00" w14:textId="77777777" w:rsidR="00586ECF" w:rsidRPr="00586ECF" w:rsidRDefault="00586ECF" w:rsidP="00586ECF">
      <w:pPr>
        <w:rPr>
          <w:rFonts w:ascii="Arial" w:hAnsi="Arial" w:cs="Arial"/>
          <w:sz w:val="20"/>
          <w:szCs w:val="20"/>
        </w:rPr>
      </w:pPr>
    </w:p>
    <w:p w14:paraId="396CCBE9" w14:textId="225F01D4" w:rsidR="00586ECF" w:rsidRPr="00586ECF" w:rsidRDefault="00500531" w:rsidP="00586ECF">
      <w:pPr>
        <w:rPr>
          <w:rFonts w:ascii="Arial" w:hAnsi="Arial" w:cs="Arial"/>
          <w:sz w:val="20"/>
          <w:szCs w:val="20"/>
        </w:rPr>
      </w:pPr>
      <w:r>
        <w:rPr>
          <w:rFonts w:ascii="Arial" w:hAnsi="Arial" w:cs="Arial"/>
          <w:sz w:val="20"/>
          <w:szCs w:val="20"/>
        </w:rPr>
        <w:t>T</w:t>
      </w:r>
      <w:r w:rsidR="00586ECF" w:rsidRPr="00586ECF">
        <w:rPr>
          <w:rFonts w:ascii="Arial" w:hAnsi="Arial" w:cs="Arial"/>
          <w:sz w:val="20"/>
          <w:szCs w:val="20"/>
        </w:rPr>
        <w:t xml:space="preserve">he </w:t>
      </w:r>
      <w:r w:rsidR="001813DF">
        <w:rPr>
          <w:rFonts w:ascii="Arial" w:hAnsi="Arial" w:cs="Arial"/>
          <w:sz w:val="20"/>
          <w:szCs w:val="20"/>
        </w:rPr>
        <w:t>expectation</w:t>
      </w:r>
      <w:r w:rsidR="001813DF" w:rsidRPr="00586ECF">
        <w:rPr>
          <w:rFonts w:ascii="Arial" w:hAnsi="Arial" w:cs="Arial"/>
          <w:sz w:val="20"/>
          <w:szCs w:val="20"/>
        </w:rPr>
        <w:t xml:space="preserve"> </w:t>
      </w:r>
      <w:r w:rsidR="00586ECF" w:rsidRPr="00586ECF">
        <w:rPr>
          <w:rFonts w:ascii="Arial" w:hAnsi="Arial" w:cs="Arial"/>
          <w:sz w:val="20"/>
          <w:szCs w:val="20"/>
        </w:rPr>
        <w:t xml:space="preserve">of the Investment Manager is for a non-Cornerstone Investor </w:t>
      </w:r>
      <w:r w:rsidR="0065368C">
        <w:rPr>
          <w:rFonts w:ascii="Arial" w:hAnsi="Arial" w:cs="Arial"/>
          <w:sz w:val="20"/>
          <w:szCs w:val="20"/>
        </w:rPr>
        <w:t>S</w:t>
      </w:r>
      <w:r w:rsidR="00586ECF" w:rsidRPr="00586ECF">
        <w:rPr>
          <w:rFonts w:ascii="Arial" w:hAnsi="Arial" w:cs="Arial"/>
          <w:sz w:val="20"/>
          <w:szCs w:val="20"/>
        </w:rPr>
        <w:t>hareholder of REL to vote against the Discontinuation Resolution because of the opportunity to continue to develop the modified investment programme started in 2019, which could avail opportunistic transactions during the current</w:t>
      </w:r>
      <w:r w:rsidR="00D127EF">
        <w:rPr>
          <w:rFonts w:ascii="Arial" w:hAnsi="Arial" w:cs="Arial"/>
          <w:sz w:val="20"/>
          <w:szCs w:val="20"/>
        </w:rPr>
        <w:t xml:space="preserve"> depressed</w:t>
      </w:r>
      <w:r w:rsidR="00586ECF" w:rsidRPr="00586ECF">
        <w:rPr>
          <w:rFonts w:ascii="Arial" w:hAnsi="Arial" w:cs="Arial"/>
          <w:sz w:val="20"/>
          <w:szCs w:val="20"/>
        </w:rPr>
        <w:t xml:space="preserve"> market </w:t>
      </w:r>
      <w:r w:rsidR="00D127EF">
        <w:rPr>
          <w:rFonts w:ascii="Arial" w:hAnsi="Arial" w:cs="Arial"/>
          <w:sz w:val="20"/>
          <w:szCs w:val="20"/>
        </w:rPr>
        <w:t>valuations for energy related assets</w:t>
      </w:r>
      <w:r w:rsidR="00586ECF" w:rsidRPr="00586ECF">
        <w:rPr>
          <w:rFonts w:ascii="Arial" w:hAnsi="Arial" w:cs="Arial"/>
          <w:sz w:val="20"/>
          <w:szCs w:val="20"/>
        </w:rPr>
        <w:t>. Additionally, if the Discontinuation Resolution were to pass, then the following adverse consequences for REL would occur:</w:t>
      </w:r>
    </w:p>
    <w:p w14:paraId="1DD76F2E" w14:textId="77777777" w:rsidR="00586ECF" w:rsidRPr="00586ECF" w:rsidRDefault="00586ECF" w:rsidP="00586ECF">
      <w:pPr>
        <w:rPr>
          <w:rFonts w:ascii="Arial" w:hAnsi="Arial" w:cs="Arial"/>
          <w:sz w:val="20"/>
          <w:szCs w:val="20"/>
        </w:rPr>
      </w:pPr>
    </w:p>
    <w:p w14:paraId="6CD100C3" w14:textId="4820C68B" w:rsidR="00586ECF" w:rsidRPr="00586ECF" w:rsidRDefault="00586ECF" w:rsidP="00586ECF">
      <w:pPr>
        <w:rPr>
          <w:rFonts w:ascii="Arial" w:hAnsi="Arial" w:cs="Arial"/>
          <w:sz w:val="20"/>
          <w:szCs w:val="20"/>
        </w:rPr>
      </w:pPr>
      <w:r w:rsidRPr="00586ECF">
        <w:rPr>
          <w:rFonts w:ascii="Arial" w:hAnsi="Arial" w:cs="Arial"/>
          <w:sz w:val="20"/>
          <w:szCs w:val="20"/>
        </w:rPr>
        <w:t>3.1) The Investment Manager and Cornerstone Investors would share (8</w:t>
      </w:r>
      <w:r w:rsidR="003B2661">
        <w:rPr>
          <w:rFonts w:ascii="Arial" w:hAnsi="Arial" w:cs="Arial"/>
          <w:sz w:val="20"/>
          <w:szCs w:val="20"/>
        </w:rPr>
        <w:t>3</w:t>
      </w:r>
      <w:r w:rsidRPr="00586ECF">
        <w:rPr>
          <w:rFonts w:ascii="Arial" w:hAnsi="Arial" w:cs="Arial"/>
          <w:sz w:val="20"/>
          <w:szCs w:val="20"/>
        </w:rPr>
        <w:t xml:space="preserve"> per cent. / 1</w:t>
      </w:r>
      <w:r w:rsidR="003B2661">
        <w:rPr>
          <w:rFonts w:ascii="Arial" w:hAnsi="Arial" w:cs="Arial"/>
          <w:sz w:val="20"/>
          <w:szCs w:val="20"/>
        </w:rPr>
        <w:t>7</w:t>
      </w:r>
      <w:r w:rsidRPr="00586ECF">
        <w:rPr>
          <w:rFonts w:ascii="Arial" w:hAnsi="Arial" w:cs="Arial"/>
          <w:sz w:val="20"/>
          <w:szCs w:val="20"/>
        </w:rPr>
        <w:t xml:space="preserve"> per cent.)  a lump sum payment of 20x the previous quarter’s Management Fee. Based on the NAV at </w:t>
      </w:r>
      <w:r w:rsidR="00580600">
        <w:rPr>
          <w:rFonts w:ascii="Arial" w:hAnsi="Arial" w:cs="Arial"/>
          <w:sz w:val="20"/>
          <w:szCs w:val="20"/>
        </w:rPr>
        <w:t>30 June 2020</w:t>
      </w:r>
      <w:r w:rsidRPr="00586ECF">
        <w:rPr>
          <w:rFonts w:ascii="Arial" w:hAnsi="Arial" w:cs="Arial"/>
          <w:sz w:val="20"/>
          <w:szCs w:val="20"/>
        </w:rPr>
        <w:t>, this would total approximately $</w:t>
      </w:r>
      <w:r w:rsidR="005453F2">
        <w:rPr>
          <w:rFonts w:ascii="Arial" w:eastAsiaTheme="minorHAnsi" w:hAnsi="Arial" w:cs="Arial"/>
          <w:sz w:val="20"/>
          <w:szCs w:val="20"/>
        </w:rPr>
        <w:t>28.4</w:t>
      </w:r>
      <w:r w:rsidR="00580600">
        <w:rPr>
          <w:rFonts w:ascii="Arial" w:eastAsiaTheme="minorHAnsi" w:hAnsi="Arial" w:cs="Arial"/>
          <w:sz w:val="20"/>
          <w:szCs w:val="20"/>
        </w:rPr>
        <w:t xml:space="preserve"> </w:t>
      </w:r>
      <w:r w:rsidRPr="00586ECF">
        <w:rPr>
          <w:rFonts w:ascii="Arial" w:hAnsi="Arial" w:cs="Arial"/>
          <w:sz w:val="20"/>
          <w:szCs w:val="20"/>
        </w:rPr>
        <w:t xml:space="preserve">million. Although the NAV at 30 September 2020 </w:t>
      </w:r>
      <w:r w:rsidR="009B32C4">
        <w:rPr>
          <w:rFonts w:ascii="Arial" w:hAnsi="Arial" w:cs="Arial"/>
          <w:sz w:val="20"/>
          <w:szCs w:val="20"/>
        </w:rPr>
        <w:t>could</w:t>
      </w:r>
      <w:r w:rsidRPr="00586ECF">
        <w:rPr>
          <w:rFonts w:ascii="Arial" w:hAnsi="Arial" w:cs="Arial"/>
          <w:sz w:val="20"/>
          <w:szCs w:val="20"/>
        </w:rPr>
        <w:t xml:space="preserve"> be lower given current global conditions, the amount due will still be a significant percentage of the NAV;</w:t>
      </w:r>
    </w:p>
    <w:p w14:paraId="29173CDD" w14:textId="77777777" w:rsidR="00586ECF" w:rsidRPr="00586ECF" w:rsidRDefault="00586ECF" w:rsidP="00586ECF">
      <w:pPr>
        <w:rPr>
          <w:rFonts w:ascii="Arial" w:hAnsi="Arial" w:cs="Arial"/>
          <w:sz w:val="20"/>
          <w:szCs w:val="20"/>
        </w:rPr>
      </w:pPr>
    </w:p>
    <w:p w14:paraId="7B86C638" w14:textId="77777777" w:rsidR="00586ECF" w:rsidRPr="00586ECF" w:rsidRDefault="00586ECF" w:rsidP="00586ECF">
      <w:pPr>
        <w:rPr>
          <w:rFonts w:ascii="Arial" w:hAnsi="Arial" w:cs="Arial"/>
          <w:sz w:val="20"/>
          <w:szCs w:val="20"/>
        </w:rPr>
      </w:pPr>
      <w:r w:rsidRPr="00586ECF">
        <w:rPr>
          <w:rFonts w:ascii="Arial" w:hAnsi="Arial" w:cs="Arial"/>
          <w:sz w:val="20"/>
          <w:szCs w:val="20"/>
        </w:rPr>
        <w:t>3.2) The Company’s investments held through the Partnership could be made available for secondary sale, likely at a large discount to current fair market value, which is representative of REL’s minority ownership. Alternatively, the investments could be held and participate in the future sales by the Private Riverstone Funds, which could lessen any cash discount; and</w:t>
      </w:r>
    </w:p>
    <w:p w14:paraId="7C6F4DAC" w14:textId="77777777" w:rsidR="00586ECF" w:rsidRPr="00586ECF" w:rsidRDefault="00586ECF" w:rsidP="00586ECF">
      <w:pPr>
        <w:rPr>
          <w:rFonts w:ascii="Arial" w:hAnsi="Arial" w:cs="Arial"/>
          <w:sz w:val="20"/>
          <w:szCs w:val="20"/>
        </w:rPr>
      </w:pPr>
    </w:p>
    <w:p w14:paraId="5503BF16" w14:textId="3B85ECB9" w:rsidR="00586ECF" w:rsidRDefault="00586ECF" w:rsidP="00586ECF">
      <w:pPr>
        <w:rPr>
          <w:rFonts w:ascii="Arial" w:hAnsi="Arial" w:cs="Arial"/>
          <w:sz w:val="20"/>
          <w:szCs w:val="20"/>
        </w:rPr>
      </w:pPr>
      <w:r w:rsidRPr="00586ECF">
        <w:rPr>
          <w:rFonts w:ascii="Arial" w:hAnsi="Arial" w:cs="Arial"/>
          <w:sz w:val="20"/>
          <w:szCs w:val="20"/>
        </w:rPr>
        <w:t>3.3) The lock-up of listed shares impeding Shareholders’ liquidity.</w:t>
      </w:r>
    </w:p>
    <w:p w14:paraId="1BD74190" w14:textId="2BFAE850" w:rsidR="00FD3004" w:rsidRDefault="00FD3004" w:rsidP="00586ECF">
      <w:pPr>
        <w:rPr>
          <w:rFonts w:ascii="Arial" w:hAnsi="Arial" w:cs="Arial"/>
          <w:sz w:val="20"/>
          <w:szCs w:val="20"/>
        </w:rPr>
      </w:pPr>
    </w:p>
    <w:p w14:paraId="2CD47F44" w14:textId="33060889" w:rsidR="00D127EF" w:rsidRPr="00D127EF" w:rsidRDefault="00872130" w:rsidP="00D127EF">
      <w:pPr>
        <w:rPr>
          <w:rFonts w:ascii="Arial" w:hAnsi="Arial" w:cs="Arial"/>
          <w:sz w:val="20"/>
          <w:szCs w:val="20"/>
        </w:rPr>
      </w:pPr>
      <w:bookmarkStart w:id="6" w:name="_Hlk47006212"/>
      <w:r w:rsidRPr="00872130">
        <w:rPr>
          <w:rFonts w:ascii="Arial" w:hAnsi="Arial" w:cs="Arial"/>
          <w:sz w:val="20"/>
          <w:szCs w:val="20"/>
        </w:rPr>
        <w:t>If the vote were passed, the Company would be immediately placed into liquidation, a third party liquidator appointed, the Investment Management Agreement immediately terminated and the Company's shares delisted and no longer capable of being traded.  No further Management or Performance Fees would be payable to the Investment Manager.  The liquidator would make cash distributions to Shareholders as and when the Company's portfolio is realised, until the liquidation is complete.</w:t>
      </w:r>
      <w:r w:rsidR="00D127EF">
        <w:rPr>
          <w:rFonts w:ascii="Arial" w:hAnsi="Arial" w:cs="Arial"/>
          <w:sz w:val="20"/>
          <w:szCs w:val="20"/>
        </w:rPr>
        <w:t xml:space="preserve"> </w:t>
      </w:r>
      <w:r w:rsidR="00D127EF" w:rsidRPr="00D127EF">
        <w:rPr>
          <w:rFonts w:ascii="Arial" w:hAnsi="Arial" w:cs="Arial"/>
          <w:sz w:val="20"/>
          <w:szCs w:val="20"/>
        </w:rPr>
        <w:t xml:space="preserve">The liquidator would be empowered to cancel </w:t>
      </w:r>
      <w:r w:rsidR="006A7BAC">
        <w:rPr>
          <w:rFonts w:ascii="Arial" w:hAnsi="Arial" w:cs="Arial"/>
          <w:sz w:val="20"/>
          <w:szCs w:val="20"/>
        </w:rPr>
        <w:t xml:space="preserve">potential unfunded </w:t>
      </w:r>
      <w:r w:rsidR="00D127EF" w:rsidRPr="00D127EF">
        <w:rPr>
          <w:rFonts w:ascii="Arial" w:hAnsi="Arial" w:cs="Arial"/>
          <w:sz w:val="20"/>
          <w:szCs w:val="20"/>
        </w:rPr>
        <w:t xml:space="preserve">commitments to </w:t>
      </w:r>
      <w:r w:rsidR="00C23946">
        <w:rPr>
          <w:rFonts w:ascii="Arial" w:hAnsi="Arial" w:cs="Arial"/>
          <w:sz w:val="20"/>
          <w:szCs w:val="20"/>
        </w:rPr>
        <w:t xml:space="preserve">portfolio companies alongside the </w:t>
      </w:r>
      <w:r w:rsidR="00D127EF" w:rsidRPr="00D127EF">
        <w:rPr>
          <w:rFonts w:ascii="Arial" w:hAnsi="Arial" w:cs="Arial"/>
          <w:sz w:val="20"/>
          <w:szCs w:val="20"/>
        </w:rPr>
        <w:t>Private Riverstone Funds</w:t>
      </w:r>
      <w:r w:rsidR="00C23946">
        <w:rPr>
          <w:rFonts w:ascii="Arial" w:hAnsi="Arial" w:cs="Arial"/>
          <w:sz w:val="20"/>
          <w:szCs w:val="20"/>
        </w:rPr>
        <w:t>, which aggregated $96 million at 30 June 2020,</w:t>
      </w:r>
      <w:r w:rsidR="00D127EF" w:rsidRPr="00D127EF">
        <w:rPr>
          <w:rFonts w:ascii="Arial" w:hAnsi="Arial" w:cs="Arial"/>
          <w:sz w:val="20"/>
          <w:szCs w:val="20"/>
        </w:rPr>
        <w:t xml:space="preserve"> and distribute excess funds to Shareholders.</w:t>
      </w:r>
    </w:p>
    <w:p w14:paraId="7B6AA944" w14:textId="6F231EA1" w:rsidR="007D3F62" w:rsidRPr="00586ECF" w:rsidRDefault="007D3F62" w:rsidP="00586ECF">
      <w:pPr>
        <w:rPr>
          <w:rFonts w:ascii="Arial" w:hAnsi="Arial" w:cs="Arial"/>
          <w:sz w:val="20"/>
          <w:szCs w:val="20"/>
        </w:rPr>
      </w:pPr>
    </w:p>
    <w:bookmarkEnd w:id="6"/>
    <w:p w14:paraId="5C6A8ECE" w14:textId="77777777" w:rsidR="00586ECF" w:rsidRPr="00580600" w:rsidRDefault="00586ECF" w:rsidP="00586ECF">
      <w:pPr>
        <w:rPr>
          <w:rFonts w:ascii="Arial" w:hAnsi="Arial" w:cs="Arial"/>
          <w:i/>
          <w:sz w:val="20"/>
          <w:szCs w:val="20"/>
          <w:u w:val="single"/>
        </w:rPr>
      </w:pPr>
      <w:r w:rsidRPr="00580600">
        <w:rPr>
          <w:rFonts w:ascii="Arial" w:hAnsi="Arial" w:cs="Arial"/>
          <w:i/>
          <w:sz w:val="20"/>
          <w:szCs w:val="20"/>
          <w:u w:val="single"/>
        </w:rPr>
        <w:t>4. Discount to NAV of the Company</w:t>
      </w:r>
    </w:p>
    <w:p w14:paraId="2710BDAE" w14:textId="77777777" w:rsidR="0048637A" w:rsidRDefault="0048637A" w:rsidP="00586ECF">
      <w:pPr>
        <w:rPr>
          <w:rFonts w:ascii="Arial" w:hAnsi="Arial" w:cs="Arial"/>
          <w:sz w:val="20"/>
          <w:szCs w:val="20"/>
        </w:rPr>
      </w:pPr>
    </w:p>
    <w:p w14:paraId="7EF5624D" w14:textId="5BC4C6F0" w:rsidR="00586ECF" w:rsidRPr="00586ECF" w:rsidRDefault="00586ECF" w:rsidP="00586ECF">
      <w:pPr>
        <w:rPr>
          <w:rFonts w:ascii="Arial" w:hAnsi="Arial" w:cs="Arial"/>
          <w:sz w:val="20"/>
          <w:szCs w:val="20"/>
        </w:rPr>
      </w:pPr>
      <w:r w:rsidRPr="00586ECF">
        <w:rPr>
          <w:rFonts w:ascii="Arial" w:hAnsi="Arial" w:cs="Arial"/>
          <w:sz w:val="20"/>
          <w:szCs w:val="20"/>
        </w:rPr>
        <w:t>Since its inception, the Company’s trading discount to NAV percentage has remained consistent with a population of comparable publicly</w:t>
      </w:r>
      <w:r w:rsidRPr="00586ECF">
        <w:rPr>
          <w:rFonts w:ascii="Cambria Math" w:hAnsi="Cambria Math" w:cs="Cambria Math"/>
          <w:sz w:val="20"/>
          <w:szCs w:val="20"/>
        </w:rPr>
        <w:t>‐</w:t>
      </w:r>
      <w:r w:rsidRPr="00586ECF">
        <w:rPr>
          <w:rFonts w:ascii="Arial" w:hAnsi="Arial" w:cs="Arial"/>
          <w:sz w:val="20"/>
          <w:szCs w:val="20"/>
        </w:rPr>
        <w:t xml:space="preserve">traded PE funds as their life to date average trading discount percentages </w:t>
      </w:r>
      <w:r w:rsidRPr="00291CB7">
        <w:rPr>
          <w:rFonts w:ascii="Arial" w:hAnsi="Arial" w:cs="Arial"/>
          <w:sz w:val="20"/>
          <w:szCs w:val="20"/>
        </w:rPr>
        <w:t xml:space="preserve">are </w:t>
      </w:r>
      <w:r w:rsidR="00F150FA" w:rsidRPr="00291CB7">
        <w:rPr>
          <w:rFonts w:ascii="Arial" w:eastAsiaTheme="minorHAnsi" w:hAnsi="Arial" w:cs="Arial"/>
          <w:sz w:val="20"/>
          <w:szCs w:val="20"/>
        </w:rPr>
        <w:t>19.4</w:t>
      </w:r>
      <w:r w:rsidR="00C92996" w:rsidRPr="00291CB7">
        <w:rPr>
          <w:rFonts w:ascii="Arial" w:eastAsiaTheme="minorHAnsi" w:hAnsi="Arial" w:cs="Arial"/>
          <w:sz w:val="20"/>
          <w:szCs w:val="20"/>
        </w:rPr>
        <w:t xml:space="preserve"> </w:t>
      </w:r>
      <w:r w:rsidRPr="00291CB7">
        <w:rPr>
          <w:rFonts w:ascii="Arial" w:hAnsi="Arial" w:cs="Arial"/>
          <w:sz w:val="20"/>
          <w:szCs w:val="20"/>
        </w:rPr>
        <w:t xml:space="preserve">per cent. and </w:t>
      </w:r>
      <w:r w:rsidR="009B32C4">
        <w:rPr>
          <w:rFonts w:ascii="Arial" w:eastAsiaTheme="minorHAnsi" w:hAnsi="Arial" w:cs="Arial"/>
          <w:sz w:val="20"/>
          <w:szCs w:val="20"/>
        </w:rPr>
        <w:t>21.5</w:t>
      </w:r>
      <w:r w:rsidR="00C92996" w:rsidRPr="00291CB7">
        <w:rPr>
          <w:rFonts w:ascii="Arial" w:eastAsiaTheme="minorHAnsi" w:hAnsi="Arial" w:cs="Arial"/>
          <w:sz w:val="20"/>
          <w:szCs w:val="20"/>
        </w:rPr>
        <w:t xml:space="preserve"> </w:t>
      </w:r>
      <w:r w:rsidRPr="00291CB7">
        <w:rPr>
          <w:rFonts w:ascii="Arial" w:hAnsi="Arial" w:cs="Arial"/>
          <w:sz w:val="20"/>
          <w:szCs w:val="20"/>
        </w:rPr>
        <w:t>per cent</w:t>
      </w:r>
      <w:r w:rsidRPr="00586ECF">
        <w:rPr>
          <w:rFonts w:ascii="Arial" w:hAnsi="Arial" w:cs="Arial"/>
          <w:sz w:val="20"/>
          <w:szCs w:val="20"/>
        </w:rPr>
        <w:t xml:space="preserve">., respectively. However, from December 2015 to January 2016 and November 2018 to December 2018, as well as from December 2019 to the present, declines in the price of oil adversely impacted the market sentiment for </w:t>
      </w:r>
      <w:r w:rsidR="0070468C">
        <w:rPr>
          <w:rFonts w:ascii="Arial" w:hAnsi="Arial" w:cs="Arial"/>
          <w:sz w:val="20"/>
          <w:szCs w:val="20"/>
        </w:rPr>
        <w:t>energy</w:t>
      </w:r>
      <w:r w:rsidRPr="00586ECF">
        <w:rPr>
          <w:rFonts w:ascii="Arial" w:hAnsi="Arial" w:cs="Arial"/>
          <w:sz w:val="20"/>
          <w:szCs w:val="20"/>
        </w:rPr>
        <w:t xml:space="preserve"> companies, which resulted in the Company’s trading discount percentage increasing at a faster rate than the population of comparable publicly-traded PE funds, as it is solely invested in the global energy industry across all sectors. </w:t>
      </w:r>
      <w:r w:rsidR="0065368C" w:rsidRPr="0065368C">
        <w:rPr>
          <w:rFonts w:ascii="Arial" w:hAnsi="Arial" w:cs="Arial"/>
          <w:sz w:val="20"/>
          <w:szCs w:val="20"/>
        </w:rPr>
        <w:t>In order to return uninvested capital to Shareholders and attempt to reduce REL’s trading discount percentage, on 1 May 2020, the Company announced a buyback programme with the intention of returning £50 million to shareholders via on market buybacks. Since the announcement, the Company has purchased 10,811,141 shares, in aggregate, for £30</w:t>
      </w:r>
      <w:r w:rsidR="0065368C">
        <w:rPr>
          <w:rFonts w:ascii="Arial" w:hAnsi="Arial" w:cs="Arial"/>
          <w:sz w:val="20"/>
          <w:szCs w:val="20"/>
        </w:rPr>
        <w:t>.5</w:t>
      </w:r>
      <w:r w:rsidR="0065368C" w:rsidRPr="0065368C">
        <w:rPr>
          <w:rFonts w:ascii="Arial" w:hAnsi="Arial" w:cs="Arial"/>
          <w:sz w:val="20"/>
          <w:szCs w:val="20"/>
        </w:rPr>
        <w:t xml:space="preserve"> million</w:t>
      </w:r>
      <w:r w:rsidR="0065368C">
        <w:rPr>
          <w:rFonts w:ascii="Arial" w:hAnsi="Arial" w:cs="Arial"/>
          <w:sz w:val="20"/>
          <w:szCs w:val="20"/>
        </w:rPr>
        <w:t xml:space="preserve"> ($37.7 million)</w:t>
      </w:r>
      <w:r w:rsidR="0065368C" w:rsidRPr="0065368C">
        <w:rPr>
          <w:rFonts w:ascii="Arial" w:hAnsi="Arial" w:cs="Arial"/>
          <w:sz w:val="20"/>
          <w:szCs w:val="20"/>
        </w:rPr>
        <w:t xml:space="preserve"> at an average share price of £2.82</w:t>
      </w:r>
      <w:r w:rsidR="00BA7527">
        <w:rPr>
          <w:rFonts w:ascii="Arial" w:hAnsi="Arial" w:cs="Arial"/>
          <w:sz w:val="20"/>
          <w:szCs w:val="20"/>
        </w:rPr>
        <w:t xml:space="preserve"> ($3.49)</w:t>
      </w:r>
      <w:r w:rsidR="0065368C" w:rsidRPr="0065368C">
        <w:rPr>
          <w:rFonts w:ascii="Arial" w:hAnsi="Arial" w:cs="Arial"/>
          <w:sz w:val="20"/>
          <w:szCs w:val="20"/>
        </w:rPr>
        <w:t xml:space="preserve">, which has attributed to the narrowing of the Company’s trading discount from 66.1 per cent. </w:t>
      </w:r>
      <w:bookmarkStart w:id="7" w:name="_Hlk36582896"/>
      <w:r w:rsidR="0065368C" w:rsidRPr="0065368C">
        <w:rPr>
          <w:rFonts w:ascii="Arial" w:hAnsi="Arial" w:cs="Arial"/>
          <w:sz w:val="20"/>
          <w:szCs w:val="20"/>
        </w:rPr>
        <w:t>at 31 March 2020 to 15.7 per cent. at 30 June 2020 (or from 131.7 per cent. to 27.7 per cent., respectively, on a cash-adjusted basis</w:t>
      </w:r>
      <w:bookmarkEnd w:id="7"/>
      <w:r w:rsidR="0065368C" w:rsidRPr="0065368C">
        <w:rPr>
          <w:rFonts w:ascii="Arial" w:hAnsi="Arial" w:cs="Arial"/>
          <w:sz w:val="20"/>
          <w:szCs w:val="20"/>
        </w:rPr>
        <w:t xml:space="preserve">). </w:t>
      </w:r>
      <w:r w:rsidRPr="00586ECF">
        <w:rPr>
          <w:rFonts w:ascii="Arial" w:hAnsi="Arial" w:cs="Arial"/>
          <w:sz w:val="20"/>
          <w:szCs w:val="20"/>
        </w:rPr>
        <w:t xml:space="preserve">From </w:t>
      </w:r>
      <w:r w:rsidR="00C92996">
        <w:rPr>
          <w:rFonts w:ascii="Arial" w:hAnsi="Arial" w:cs="Arial"/>
          <w:sz w:val="20"/>
          <w:szCs w:val="20"/>
        </w:rPr>
        <w:t>period</w:t>
      </w:r>
      <w:r w:rsidRPr="00586ECF">
        <w:rPr>
          <w:rFonts w:ascii="Arial" w:hAnsi="Arial" w:cs="Arial"/>
          <w:sz w:val="20"/>
          <w:szCs w:val="20"/>
        </w:rPr>
        <w:t xml:space="preserve">-end through </w:t>
      </w:r>
      <w:r w:rsidR="00840A78">
        <w:rPr>
          <w:rFonts w:ascii="Arial" w:hAnsi="Arial" w:cs="Arial"/>
          <w:sz w:val="20"/>
          <w:szCs w:val="20"/>
        </w:rPr>
        <w:t xml:space="preserve">to </w:t>
      </w:r>
      <w:r w:rsidRPr="00586ECF">
        <w:rPr>
          <w:rFonts w:ascii="Arial" w:hAnsi="Arial" w:cs="Arial"/>
          <w:sz w:val="20"/>
          <w:szCs w:val="20"/>
        </w:rPr>
        <w:t>the date of this report, the Company’s trading discount has increase</w:t>
      </w:r>
      <w:r w:rsidR="00BA7527">
        <w:rPr>
          <w:rFonts w:ascii="Arial" w:hAnsi="Arial" w:cs="Arial"/>
          <w:sz w:val="20"/>
          <w:szCs w:val="20"/>
        </w:rPr>
        <w:t>d</w:t>
      </w:r>
      <w:r w:rsidRPr="00586ECF">
        <w:rPr>
          <w:rFonts w:ascii="Arial" w:hAnsi="Arial" w:cs="Arial"/>
          <w:sz w:val="20"/>
          <w:szCs w:val="20"/>
        </w:rPr>
        <w:t xml:space="preserve"> due to the decline in the Company’s share </w:t>
      </w:r>
      <w:r w:rsidRPr="00291CB7">
        <w:rPr>
          <w:rFonts w:ascii="Arial" w:hAnsi="Arial" w:cs="Arial"/>
          <w:sz w:val="20"/>
          <w:szCs w:val="20"/>
        </w:rPr>
        <w:t xml:space="preserve">price and was </w:t>
      </w:r>
      <w:r w:rsidR="00C82D77">
        <w:rPr>
          <w:rFonts w:ascii="Arial" w:eastAsiaTheme="minorHAnsi" w:hAnsi="Arial" w:cs="Arial"/>
          <w:sz w:val="20"/>
          <w:szCs w:val="20"/>
        </w:rPr>
        <w:t>42.7</w:t>
      </w:r>
      <w:r w:rsidR="00C92996" w:rsidRPr="00291CB7">
        <w:rPr>
          <w:rFonts w:ascii="Arial" w:eastAsiaTheme="minorHAnsi" w:hAnsi="Arial" w:cs="Arial"/>
          <w:sz w:val="20"/>
          <w:szCs w:val="20"/>
        </w:rPr>
        <w:t xml:space="preserve"> </w:t>
      </w:r>
      <w:r w:rsidRPr="00291CB7">
        <w:rPr>
          <w:rFonts w:ascii="Arial" w:hAnsi="Arial" w:cs="Arial"/>
          <w:sz w:val="20"/>
          <w:szCs w:val="20"/>
        </w:rPr>
        <w:t xml:space="preserve">per cent. as of </w:t>
      </w:r>
      <w:r w:rsidR="00C82D77">
        <w:rPr>
          <w:rFonts w:ascii="Arial" w:eastAsiaTheme="minorHAnsi" w:hAnsi="Arial" w:cs="Arial"/>
          <w:sz w:val="20"/>
          <w:szCs w:val="20"/>
        </w:rPr>
        <w:t>31</w:t>
      </w:r>
      <w:r w:rsidR="00C92996" w:rsidRPr="00291CB7">
        <w:rPr>
          <w:rFonts w:ascii="Arial" w:hAnsi="Arial" w:cs="Arial"/>
          <w:sz w:val="20"/>
          <w:szCs w:val="20"/>
        </w:rPr>
        <w:t xml:space="preserve"> </w:t>
      </w:r>
      <w:r w:rsidR="00BA7527">
        <w:rPr>
          <w:rFonts w:ascii="Arial" w:hAnsi="Arial" w:cs="Arial"/>
          <w:sz w:val="20"/>
          <w:szCs w:val="20"/>
        </w:rPr>
        <w:t>July</w:t>
      </w:r>
      <w:r w:rsidR="00C92996" w:rsidRPr="00291CB7">
        <w:rPr>
          <w:rFonts w:ascii="Arial" w:hAnsi="Arial" w:cs="Arial"/>
          <w:sz w:val="20"/>
          <w:szCs w:val="20"/>
        </w:rPr>
        <w:t xml:space="preserve"> 2020 </w:t>
      </w:r>
      <w:r w:rsidRPr="00291CB7">
        <w:rPr>
          <w:rFonts w:ascii="Arial" w:hAnsi="Arial" w:cs="Arial"/>
          <w:sz w:val="20"/>
          <w:szCs w:val="20"/>
        </w:rPr>
        <w:t xml:space="preserve">(or </w:t>
      </w:r>
      <w:r w:rsidR="00C82D77">
        <w:rPr>
          <w:rFonts w:ascii="Arial" w:eastAsiaTheme="minorHAnsi" w:hAnsi="Arial" w:cs="Arial"/>
          <w:sz w:val="20"/>
          <w:szCs w:val="20"/>
        </w:rPr>
        <w:t>67.0</w:t>
      </w:r>
      <w:r w:rsidR="00C92996" w:rsidRPr="00291CB7">
        <w:rPr>
          <w:rFonts w:ascii="Arial" w:eastAsiaTheme="minorHAnsi" w:hAnsi="Arial" w:cs="Arial"/>
          <w:sz w:val="20"/>
          <w:szCs w:val="20"/>
        </w:rPr>
        <w:t xml:space="preserve"> </w:t>
      </w:r>
      <w:r w:rsidRPr="00291CB7">
        <w:rPr>
          <w:rFonts w:ascii="Arial" w:hAnsi="Arial" w:cs="Arial"/>
          <w:sz w:val="20"/>
          <w:szCs w:val="20"/>
        </w:rPr>
        <w:t>per cent. on a cash-adjusted basis).</w:t>
      </w:r>
      <w:r w:rsidRPr="00586ECF">
        <w:rPr>
          <w:rFonts w:ascii="Arial" w:hAnsi="Arial" w:cs="Arial"/>
          <w:sz w:val="20"/>
          <w:szCs w:val="20"/>
        </w:rPr>
        <w:t xml:space="preserve"> </w:t>
      </w:r>
    </w:p>
    <w:p w14:paraId="26C932A3" w14:textId="77777777" w:rsidR="00586ECF" w:rsidRPr="00586ECF" w:rsidRDefault="00586ECF" w:rsidP="00586ECF">
      <w:pPr>
        <w:rPr>
          <w:rFonts w:ascii="Arial" w:hAnsi="Arial" w:cs="Arial"/>
          <w:sz w:val="20"/>
          <w:szCs w:val="20"/>
        </w:rPr>
      </w:pPr>
    </w:p>
    <w:p w14:paraId="0FA86B10" w14:textId="19163F01" w:rsidR="00586ECF" w:rsidRPr="00586ECF" w:rsidRDefault="00586ECF" w:rsidP="00586ECF">
      <w:pPr>
        <w:rPr>
          <w:rFonts w:ascii="Arial" w:hAnsi="Arial" w:cs="Arial"/>
          <w:sz w:val="20"/>
          <w:szCs w:val="20"/>
        </w:rPr>
      </w:pPr>
      <w:r w:rsidRPr="00586ECF">
        <w:rPr>
          <w:rFonts w:ascii="Arial" w:hAnsi="Arial" w:cs="Arial"/>
          <w:sz w:val="20"/>
          <w:szCs w:val="20"/>
        </w:rPr>
        <w:t>The Board, with consultation of the Investment Manager, regularly monitors the Company’s trading discount percentage and, when possible, executes corporate actions aimed at managing it, such as the</w:t>
      </w:r>
      <w:r w:rsidR="00BA7527" w:rsidRPr="00BA7527">
        <w:rPr>
          <w:rFonts w:ascii="Calibri" w:hAnsi="Calibri" w:cs="Calibri"/>
        </w:rPr>
        <w:t xml:space="preserve"> </w:t>
      </w:r>
      <w:r w:rsidR="00BA7527" w:rsidRPr="00BA7527">
        <w:rPr>
          <w:rFonts w:ascii="Arial" w:hAnsi="Arial" w:cs="Arial"/>
          <w:sz w:val="20"/>
          <w:szCs w:val="20"/>
        </w:rPr>
        <w:t>aforementioned share buyback programme and</w:t>
      </w:r>
      <w:r w:rsidRPr="00586ECF">
        <w:rPr>
          <w:rFonts w:ascii="Arial" w:hAnsi="Arial" w:cs="Arial"/>
          <w:sz w:val="20"/>
          <w:szCs w:val="20"/>
        </w:rPr>
        <w:t xml:space="preserve"> Tender Offer share repurchase in November 2018, which attributed to a 1.5 per cent. increase in the Company’s NAV, and partially offset the increase of the trading discount percentage.</w:t>
      </w:r>
      <w:r w:rsidR="00282FAA">
        <w:rPr>
          <w:rFonts w:ascii="Arial" w:hAnsi="Arial" w:cs="Arial"/>
          <w:sz w:val="20"/>
          <w:szCs w:val="20"/>
        </w:rPr>
        <w:t xml:space="preserve"> As announced on 1 July 2020, the Board intends to recommence the aforementioned share buyback programme after publication of the Interim Report.</w:t>
      </w:r>
      <w:r w:rsidRPr="00586ECF">
        <w:rPr>
          <w:rFonts w:ascii="Arial" w:hAnsi="Arial" w:cs="Arial"/>
          <w:sz w:val="20"/>
          <w:szCs w:val="20"/>
        </w:rPr>
        <w:t xml:space="preserve"> If the aforementioned Discontinuation Resolution receives the required 75 per cent. of votes cast in favour, any potential decrease in the trading discount percentage will be significantly </w:t>
      </w:r>
      <w:r w:rsidR="00297C3F">
        <w:rPr>
          <w:rFonts w:ascii="Arial" w:hAnsi="Arial" w:cs="Arial"/>
          <w:sz w:val="20"/>
          <w:szCs w:val="20"/>
        </w:rPr>
        <w:t>impacted</w:t>
      </w:r>
      <w:r w:rsidR="00297C3F" w:rsidRPr="00586ECF">
        <w:rPr>
          <w:rFonts w:ascii="Arial" w:hAnsi="Arial" w:cs="Arial"/>
          <w:sz w:val="20"/>
          <w:szCs w:val="20"/>
        </w:rPr>
        <w:t xml:space="preserve"> </w:t>
      </w:r>
      <w:r w:rsidRPr="00586ECF">
        <w:rPr>
          <w:rFonts w:ascii="Arial" w:hAnsi="Arial" w:cs="Arial"/>
          <w:sz w:val="20"/>
          <w:szCs w:val="20"/>
        </w:rPr>
        <w:t>by the lump sum Management Fee payment owed to the Investment Manager, as well as the inherent discount to the current fair value of the Company’s investments.</w:t>
      </w:r>
    </w:p>
    <w:p w14:paraId="4B20021A" w14:textId="77777777" w:rsidR="00586ECF" w:rsidRPr="00586ECF" w:rsidRDefault="00586ECF" w:rsidP="00586ECF">
      <w:pPr>
        <w:rPr>
          <w:rFonts w:ascii="Arial" w:hAnsi="Arial" w:cs="Arial"/>
          <w:sz w:val="20"/>
          <w:szCs w:val="20"/>
        </w:rPr>
      </w:pPr>
    </w:p>
    <w:p w14:paraId="25FD8F9D" w14:textId="77777777" w:rsidR="00586ECF" w:rsidRPr="00C92996" w:rsidRDefault="00586ECF" w:rsidP="00586ECF">
      <w:pPr>
        <w:rPr>
          <w:rFonts w:ascii="Arial" w:hAnsi="Arial" w:cs="Arial"/>
          <w:i/>
          <w:sz w:val="20"/>
          <w:szCs w:val="20"/>
          <w:u w:val="single"/>
        </w:rPr>
      </w:pPr>
      <w:r w:rsidRPr="00C92996">
        <w:rPr>
          <w:rFonts w:ascii="Arial" w:hAnsi="Arial" w:cs="Arial"/>
          <w:i/>
          <w:sz w:val="20"/>
          <w:szCs w:val="20"/>
          <w:u w:val="single"/>
        </w:rPr>
        <w:t>5. COVID-19</w:t>
      </w:r>
    </w:p>
    <w:p w14:paraId="47484256" w14:textId="77777777" w:rsidR="0048637A" w:rsidRDefault="0048637A" w:rsidP="00586ECF">
      <w:pPr>
        <w:rPr>
          <w:rFonts w:ascii="Arial" w:hAnsi="Arial" w:cs="Arial"/>
          <w:sz w:val="20"/>
          <w:szCs w:val="20"/>
        </w:rPr>
      </w:pPr>
    </w:p>
    <w:p w14:paraId="0B7B50A8" w14:textId="4849838B" w:rsidR="00586ECF" w:rsidRPr="00586ECF" w:rsidRDefault="00586ECF" w:rsidP="00586ECF">
      <w:pPr>
        <w:rPr>
          <w:rFonts w:ascii="Arial" w:hAnsi="Arial" w:cs="Arial"/>
          <w:sz w:val="20"/>
          <w:szCs w:val="20"/>
        </w:rPr>
      </w:pPr>
      <w:r w:rsidRPr="00586ECF">
        <w:rPr>
          <w:rFonts w:ascii="Arial" w:hAnsi="Arial" w:cs="Arial"/>
          <w:sz w:val="20"/>
          <w:szCs w:val="20"/>
        </w:rPr>
        <w:t xml:space="preserve">The Board and Investment Manager have been in continuous dialogue regarding the impact of COVID-19 and appropriate disclosures within the Company’s </w:t>
      </w:r>
      <w:r w:rsidR="007B1A27">
        <w:rPr>
          <w:rFonts w:ascii="Arial" w:hAnsi="Arial" w:cs="Arial"/>
          <w:sz w:val="20"/>
          <w:szCs w:val="20"/>
        </w:rPr>
        <w:t>interim condensed f</w:t>
      </w:r>
      <w:r w:rsidR="007B1A27" w:rsidRPr="00586ECF">
        <w:rPr>
          <w:rFonts w:ascii="Arial" w:hAnsi="Arial" w:cs="Arial"/>
          <w:sz w:val="20"/>
          <w:szCs w:val="20"/>
        </w:rPr>
        <w:t xml:space="preserve">inancial </w:t>
      </w:r>
      <w:r w:rsidR="007B1A27">
        <w:rPr>
          <w:rFonts w:ascii="Arial" w:hAnsi="Arial" w:cs="Arial"/>
          <w:sz w:val="20"/>
          <w:szCs w:val="20"/>
        </w:rPr>
        <w:t>s</w:t>
      </w:r>
      <w:r w:rsidR="007B1A27" w:rsidRPr="00586ECF">
        <w:rPr>
          <w:rFonts w:ascii="Arial" w:hAnsi="Arial" w:cs="Arial"/>
          <w:sz w:val="20"/>
          <w:szCs w:val="20"/>
        </w:rPr>
        <w:t>tatements</w:t>
      </w:r>
      <w:r w:rsidRPr="00586ECF">
        <w:rPr>
          <w:rFonts w:ascii="Arial" w:hAnsi="Arial" w:cs="Arial"/>
          <w:sz w:val="20"/>
          <w:szCs w:val="20"/>
        </w:rPr>
        <w:t xml:space="preserve">, given that it's an evolving situation. The Company’s Management Engagement Committee requested and received updates </w:t>
      </w:r>
      <w:r w:rsidRPr="00586ECF">
        <w:rPr>
          <w:rFonts w:ascii="Arial" w:hAnsi="Arial" w:cs="Arial"/>
          <w:sz w:val="20"/>
          <w:szCs w:val="20"/>
        </w:rPr>
        <w:lastRenderedPageBreak/>
        <w:t>from REL’s key service providers, including the Investment Manager, regarding their response to COVID-19, including an update on their respective business continuity plans.</w:t>
      </w:r>
    </w:p>
    <w:p w14:paraId="14D1EF9C" w14:textId="77777777" w:rsidR="00586ECF" w:rsidRPr="00586ECF" w:rsidRDefault="00586ECF" w:rsidP="00586ECF">
      <w:pPr>
        <w:rPr>
          <w:rFonts w:ascii="Arial" w:hAnsi="Arial" w:cs="Arial"/>
          <w:sz w:val="20"/>
          <w:szCs w:val="20"/>
        </w:rPr>
      </w:pPr>
    </w:p>
    <w:p w14:paraId="54E1FE73" w14:textId="750FC190" w:rsidR="00586ECF" w:rsidRPr="00586ECF" w:rsidRDefault="00586ECF" w:rsidP="00586ECF">
      <w:pPr>
        <w:rPr>
          <w:rFonts w:ascii="Arial" w:hAnsi="Arial" w:cs="Arial"/>
          <w:sz w:val="20"/>
          <w:szCs w:val="20"/>
        </w:rPr>
      </w:pPr>
      <w:r w:rsidRPr="00586ECF">
        <w:rPr>
          <w:rFonts w:ascii="Arial" w:hAnsi="Arial" w:cs="Arial"/>
          <w:sz w:val="20"/>
          <w:szCs w:val="20"/>
        </w:rPr>
        <w:t>The Investment Manager activated its business continuity plan and its regular working pattern has changed to remote working, though all staff are continuing to assume their day-to-day responsibilities remotely. There has been regular communication with its employees, as well as its investors. In addition, the Investment Manager’s partners are hosting weekly calls on potential investment opportunities in this new environment (caused by COVID</w:t>
      </w:r>
      <w:r w:rsidR="00E60076">
        <w:rPr>
          <w:rFonts w:ascii="Arial" w:hAnsi="Arial" w:cs="Arial"/>
          <w:sz w:val="20"/>
          <w:szCs w:val="20"/>
        </w:rPr>
        <w:t>-19</w:t>
      </w:r>
      <w:r w:rsidRPr="00586ECF">
        <w:rPr>
          <w:rFonts w:ascii="Arial" w:hAnsi="Arial" w:cs="Arial"/>
          <w:sz w:val="20"/>
          <w:szCs w:val="20"/>
        </w:rPr>
        <w:t xml:space="preserve"> and OPEC+ news), so that Riverstone can best position the portfolio for the future. The Investment Manager has contacted its portfolio companies to make sure that they have the appropriate plans and resources in place to prioriti</w:t>
      </w:r>
      <w:r w:rsidR="001A20FF">
        <w:rPr>
          <w:rFonts w:ascii="Arial" w:hAnsi="Arial" w:cs="Arial"/>
          <w:sz w:val="20"/>
          <w:szCs w:val="20"/>
        </w:rPr>
        <w:t>s</w:t>
      </w:r>
      <w:r w:rsidRPr="00586ECF">
        <w:rPr>
          <w:rFonts w:ascii="Arial" w:hAnsi="Arial" w:cs="Arial"/>
          <w:sz w:val="20"/>
          <w:szCs w:val="20"/>
        </w:rPr>
        <w:t>e the health and safety of their employees, as well as to assess supply chain disruptions and ensure the normal operations of our businesses.</w:t>
      </w:r>
    </w:p>
    <w:p w14:paraId="7CEB6641" w14:textId="77777777" w:rsidR="00586ECF" w:rsidRPr="00586ECF" w:rsidRDefault="00586ECF" w:rsidP="00586ECF">
      <w:pPr>
        <w:rPr>
          <w:rFonts w:ascii="Arial" w:hAnsi="Arial" w:cs="Arial"/>
          <w:sz w:val="20"/>
          <w:szCs w:val="20"/>
        </w:rPr>
      </w:pPr>
    </w:p>
    <w:p w14:paraId="220ABD45" w14:textId="2D04E60B" w:rsidR="0080127D" w:rsidRPr="0080127D" w:rsidRDefault="0080127D" w:rsidP="00586ECF">
      <w:pPr>
        <w:rPr>
          <w:rFonts w:ascii="Arial" w:hAnsi="Arial" w:cs="Arial"/>
          <w:i/>
          <w:iCs/>
          <w:sz w:val="20"/>
          <w:szCs w:val="20"/>
          <w:u w:val="single"/>
        </w:rPr>
      </w:pPr>
      <w:r w:rsidRPr="0080127D">
        <w:rPr>
          <w:rFonts w:ascii="Arial" w:hAnsi="Arial" w:cs="Arial"/>
          <w:i/>
          <w:iCs/>
          <w:sz w:val="20"/>
          <w:szCs w:val="20"/>
          <w:u w:val="single"/>
        </w:rPr>
        <w:t>Directors’ Assessment of Going Concern</w:t>
      </w:r>
    </w:p>
    <w:p w14:paraId="0D0A7ED4" w14:textId="79FB98DF" w:rsidR="00DF2371" w:rsidRDefault="00586ECF" w:rsidP="00586ECF">
      <w:pPr>
        <w:rPr>
          <w:rFonts w:ascii="Arial" w:eastAsiaTheme="minorHAnsi" w:hAnsi="Arial" w:cs="Arial"/>
          <w:sz w:val="20"/>
          <w:szCs w:val="20"/>
        </w:rPr>
      </w:pPr>
      <w:r w:rsidRPr="00586ECF">
        <w:rPr>
          <w:rFonts w:ascii="Arial" w:hAnsi="Arial" w:cs="Arial"/>
          <w:sz w:val="20"/>
          <w:szCs w:val="20"/>
        </w:rPr>
        <w:t xml:space="preserve">Based on the reasons outlined above, on balance, the Directors are satisfied, as of today’s date, that it is appropriate to adopt the going concern basis in preparing the </w:t>
      </w:r>
      <w:r w:rsidR="0061312D">
        <w:rPr>
          <w:rFonts w:ascii="Arial" w:hAnsi="Arial" w:cs="Arial"/>
          <w:sz w:val="20"/>
          <w:szCs w:val="20"/>
        </w:rPr>
        <w:t xml:space="preserve">unaudited </w:t>
      </w:r>
      <w:r w:rsidR="007B1A27">
        <w:rPr>
          <w:rFonts w:ascii="Arial" w:hAnsi="Arial" w:cs="Arial"/>
          <w:sz w:val="20"/>
          <w:szCs w:val="20"/>
        </w:rPr>
        <w:t>interim condensed f</w:t>
      </w:r>
      <w:r w:rsidR="007B1A27" w:rsidRPr="00586ECF">
        <w:rPr>
          <w:rFonts w:ascii="Arial" w:hAnsi="Arial" w:cs="Arial"/>
          <w:sz w:val="20"/>
          <w:szCs w:val="20"/>
        </w:rPr>
        <w:t xml:space="preserve">inancial </w:t>
      </w:r>
      <w:r w:rsidR="007B1A27">
        <w:rPr>
          <w:rFonts w:ascii="Arial" w:hAnsi="Arial" w:cs="Arial"/>
          <w:sz w:val="20"/>
          <w:szCs w:val="20"/>
        </w:rPr>
        <w:t>s</w:t>
      </w:r>
      <w:r w:rsidR="007B1A27" w:rsidRPr="00586ECF">
        <w:rPr>
          <w:rFonts w:ascii="Arial" w:hAnsi="Arial" w:cs="Arial"/>
          <w:sz w:val="20"/>
          <w:szCs w:val="20"/>
        </w:rPr>
        <w:t>tatements</w:t>
      </w:r>
      <w:r w:rsidRPr="00586ECF">
        <w:rPr>
          <w:rFonts w:ascii="Arial" w:hAnsi="Arial" w:cs="Arial"/>
          <w:sz w:val="20"/>
          <w:szCs w:val="20"/>
        </w:rPr>
        <w:t>. As of the date of this report, the Partnership has available liquid resources of $</w:t>
      </w:r>
      <w:r w:rsidR="006C2FE1">
        <w:rPr>
          <w:rFonts w:ascii="Arial" w:eastAsiaTheme="minorHAnsi" w:hAnsi="Arial" w:cs="Arial"/>
          <w:sz w:val="20"/>
          <w:szCs w:val="20"/>
        </w:rPr>
        <w:t>1</w:t>
      </w:r>
      <w:r w:rsidR="0080127D">
        <w:rPr>
          <w:rFonts w:ascii="Arial" w:eastAsiaTheme="minorHAnsi" w:hAnsi="Arial" w:cs="Arial"/>
          <w:sz w:val="20"/>
          <w:szCs w:val="20"/>
        </w:rPr>
        <w:t>35.5</w:t>
      </w:r>
      <w:r w:rsidRPr="00586ECF">
        <w:rPr>
          <w:rFonts w:ascii="Arial" w:hAnsi="Arial" w:cs="Arial"/>
          <w:sz w:val="20"/>
          <w:szCs w:val="20"/>
        </w:rPr>
        <w:t xml:space="preserve"> million, which are in excess of potential unfunded commitments of $</w:t>
      </w:r>
      <w:r w:rsidR="006C2FE1">
        <w:rPr>
          <w:rFonts w:ascii="Arial" w:eastAsiaTheme="minorHAnsi" w:hAnsi="Arial" w:cs="Arial"/>
          <w:sz w:val="20"/>
          <w:szCs w:val="20"/>
        </w:rPr>
        <w:t>10</w:t>
      </w:r>
      <w:r w:rsidR="0080127D">
        <w:rPr>
          <w:rFonts w:ascii="Arial" w:eastAsiaTheme="minorHAnsi" w:hAnsi="Arial" w:cs="Arial"/>
          <w:sz w:val="20"/>
          <w:szCs w:val="20"/>
        </w:rPr>
        <w:t>3</w:t>
      </w:r>
      <w:r w:rsidR="0061312D">
        <w:rPr>
          <w:rFonts w:ascii="Arial" w:eastAsiaTheme="minorHAnsi" w:hAnsi="Arial" w:cs="Arial"/>
          <w:sz w:val="20"/>
          <w:szCs w:val="20"/>
        </w:rPr>
        <w:t>.3</w:t>
      </w:r>
      <w:r w:rsidRPr="00586ECF">
        <w:rPr>
          <w:rFonts w:ascii="Arial" w:hAnsi="Arial" w:cs="Arial"/>
          <w:sz w:val="20"/>
          <w:szCs w:val="20"/>
        </w:rPr>
        <w:t xml:space="preserve"> million, as well as the liabilities at 3</w:t>
      </w:r>
      <w:r w:rsidR="00C92996">
        <w:rPr>
          <w:rFonts w:ascii="Arial" w:hAnsi="Arial" w:cs="Arial"/>
          <w:sz w:val="20"/>
          <w:szCs w:val="20"/>
        </w:rPr>
        <w:t xml:space="preserve">0 June 2020 </w:t>
      </w:r>
      <w:r w:rsidRPr="00586ECF">
        <w:rPr>
          <w:rFonts w:ascii="Arial" w:hAnsi="Arial" w:cs="Arial"/>
          <w:sz w:val="20"/>
          <w:szCs w:val="20"/>
        </w:rPr>
        <w:t xml:space="preserve">and forecasted annual expenses for the foreseeable future. However, as the direction of the EGM vote is not known at this time, and </w:t>
      </w:r>
      <w:r w:rsidR="00297C3F">
        <w:rPr>
          <w:rFonts w:ascii="Arial" w:hAnsi="Arial" w:cs="Arial"/>
          <w:sz w:val="20"/>
          <w:szCs w:val="20"/>
        </w:rPr>
        <w:t>the continuing weakness in the oil and gas market and ongoing impact of</w:t>
      </w:r>
      <w:r w:rsidR="00297C3F" w:rsidRPr="00586ECF">
        <w:rPr>
          <w:rFonts w:ascii="Arial" w:hAnsi="Arial" w:cs="Arial"/>
          <w:sz w:val="20"/>
          <w:szCs w:val="20"/>
        </w:rPr>
        <w:t xml:space="preserve"> COVID-19</w:t>
      </w:r>
      <w:r w:rsidRPr="00586ECF">
        <w:rPr>
          <w:rFonts w:ascii="Arial" w:hAnsi="Arial" w:cs="Arial"/>
          <w:sz w:val="20"/>
          <w:szCs w:val="20"/>
        </w:rPr>
        <w:t>, there is a material uncertainty which casts significant doubt over the ability of the Company to continue as a Going Concern.</w:t>
      </w:r>
    </w:p>
    <w:p w14:paraId="08FAF88C" w14:textId="77777777" w:rsidR="00C92996" w:rsidRDefault="00C92996" w:rsidP="00DF2371">
      <w:pPr>
        <w:rPr>
          <w:rFonts w:ascii="Arial" w:hAnsi="Arial" w:cs="Arial"/>
          <w:b/>
          <w:sz w:val="28"/>
          <w:szCs w:val="28"/>
        </w:rPr>
      </w:pPr>
    </w:p>
    <w:p w14:paraId="5564FF2E" w14:textId="2A11D3E6" w:rsidR="00DF2371" w:rsidRPr="00213F9C" w:rsidRDefault="00DF2371" w:rsidP="00DF2371">
      <w:pPr>
        <w:rPr>
          <w:rFonts w:ascii="Arial" w:hAnsi="Arial" w:cs="Arial"/>
          <w:b/>
          <w:sz w:val="28"/>
          <w:szCs w:val="28"/>
        </w:rPr>
      </w:pPr>
      <w:r w:rsidRPr="00BC678F">
        <w:rPr>
          <w:rFonts w:ascii="Arial" w:hAnsi="Arial" w:cs="Arial"/>
          <w:b/>
          <w:sz w:val="28"/>
          <w:szCs w:val="28"/>
        </w:rPr>
        <w:t>Principal Risks and Uncertainties</w:t>
      </w:r>
    </w:p>
    <w:p w14:paraId="1E9E788E" w14:textId="77777777" w:rsidR="00DF2371" w:rsidRPr="00BC678F" w:rsidRDefault="00DF2371" w:rsidP="00DF2371">
      <w:pPr>
        <w:rPr>
          <w:rFonts w:ascii="Arial" w:hAnsi="Arial" w:cs="Arial"/>
          <w:sz w:val="20"/>
          <w:szCs w:val="20"/>
        </w:rPr>
      </w:pPr>
      <w:r w:rsidRPr="00BC678F">
        <w:rPr>
          <w:rFonts w:ascii="Arial" w:hAnsi="Arial" w:cs="Arial"/>
          <w:sz w:val="20"/>
          <w:szCs w:val="20"/>
        </w:rPr>
        <w:t>The Company’s assets consist of investments, through the Partnership, within the global energy industry, with a particular focus on opportunities in the global exploration and production and midstream energy sub-sectors. Its principal risks are therefore related to market conditions in the energy sector in general, but also the particular circumstances of the businesses in which it is invested through the Partnership. The Investment Manager to the Partnership seeks to mitigate these risks through active asset management initiatives and carrying out due diligence work on potential targets before entering into any investments.</w:t>
      </w:r>
    </w:p>
    <w:p w14:paraId="4083A831" w14:textId="77777777" w:rsidR="00DF2371" w:rsidRPr="00BC678F" w:rsidRDefault="00DF2371" w:rsidP="00DF2371">
      <w:pPr>
        <w:rPr>
          <w:rFonts w:ascii="Arial" w:hAnsi="Arial" w:cs="Arial"/>
          <w:sz w:val="20"/>
          <w:szCs w:val="20"/>
        </w:rPr>
      </w:pPr>
    </w:p>
    <w:p w14:paraId="15D83A04" w14:textId="2BBB81E6" w:rsidR="00DF2371" w:rsidRPr="00BC678F" w:rsidRDefault="00DF2371" w:rsidP="00DF2371">
      <w:pPr>
        <w:rPr>
          <w:rFonts w:ascii="Arial" w:hAnsi="Arial" w:cs="Arial"/>
          <w:sz w:val="20"/>
          <w:szCs w:val="20"/>
        </w:rPr>
      </w:pPr>
      <w:r w:rsidRPr="00BC678F">
        <w:rPr>
          <w:rFonts w:ascii="Arial" w:hAnsi="Arial" w:cs="Arial"/>
          <w:sz w:val="20"/>
          <w:szCs w:val="20"/>
        </w:rPr>
        <w:t xml:space="preserve">The key areas of risk faced by the Company are the following: 1) concentration risk from investing only in the global energy sector, 2) Ordinary Shares trading at a </w:t>
      </w:r>
      <w:r w:rsidR="008376DE">
        <w:rPr>
          <w:rFonts w:ascii="Arial" w:hAnsi="Arial" w:cs="Arial"/>
          <w:sz w:val="20"/>
          <w:szCs w:val="20"/>
        </w:rPr>
        <w:t>D</w:t>
      </w:r>
      <w:r w:rsidRPr="00BC678F">
        <w:rPr>
          <w:rFonts w:ascii="Arial" w:hAnsi="Arial" w:cs="Arial"/>
          <w:sz w:val="20"/>
          <w:szCs w:val="20"/>
        </w:rPr>
        <w:t>iscount to NAV per Share</w:t>
      </w:r>
      <w:r w:rsidR="008B2EA5">
        <w:rPr>
          <w:rFonts w:ascii="Arial" w:hAnsi="Arial" w:cs="Arial"/>
          <w:sz w:val="20"/>
          <w:szCs w:val="20"/>
        </w:rPr>
        <w:t>,</w:t>
      </w:r>
      <w:r w:rsidRPr="00BC678F">
        <w:rPr>
          <w:rFonts w:ascii="Arial" w:hAnsi="Arial" w:cs="Arial"/>
          <w:sz w:val="20"/>
          <w:szCs w:val="20"/>
        </w:rPr>
        <w:t xml:space="preserve">  3) inherent risks associated with the exploration and production and midstream energy subsectors</w:t>
      </w:r>
      <w:r w:rsidR="0080127D">
        <w:rPr>
          <w:rFonts w:ascii="Arial" w:hAnsi="Arial" w:cs="Arial"/>
          <w:sz w:val="20"/>
          <w:szCs w:val="20"/>
        </w:rPr>
        <w:t>, including the ongoing impact of the coronavirus pandemic</w:t>
      </w:r>
      <w:r w:rsidR="008B2EA5">
        <w:rPr>
          <w:rFonts w:ascii="Arial" w:hAnsi="Arial" w:cs="Arial"/>
          <w:sz w:val="20"/>
          <w:szCs w:val="20"/>
        </w:rPr>
        <w:t xml:space="preserve">, 4) difficulty for the Company to terminate </w:t>
      </w:r>
      <w:r w:rsidR="00E4570D">
        <w:rPr>
          <w:rFonts w:ascii="Arial" w:hAnsi="Arial" w:cs="Arial"/>
          <w:sz w:val="20"/>
          <w:szCs w:val="20"/>
        </w:rPr>
        <w:t>its</w:t>
      </w:r>
      <w:r w:rsidR="008B2EA5">
        <w:rPr>
          <w:rFonts w:ascii="Arial" w:hAnsi="Arial" w:cs="Arial"/>
          <w:sz w:val="20"/>
          <w:szCs w:val="20"/>
        </w:rPr>
        <w:t xml:space="preserve"> Investment Management Agreement, 5) </w:t>
      </w:r>
      <w:r w:rsidR="00FB4704">
        <w:rPr>
          <w:rFonts w:ascii="Arial" w:hAnsi="Arial" w:cs="Arial"/>
          <w:sz w:val="20"/>
          <w:szCs w:val="20"/>
        </w:rPr>
        <w:t xml:space="preserve">voting impact on any Discontinuation Resolution by </w:t>
      </w:r>
      <w:r w:rsidR="008B2EA5">
        <w:rPr>
          <w:rFonts w:ascii="Arial" w:hAnsi="Arial" w:cs="Arial"/>
          <w:sz w:val="20"/>
          <w:szCs w:val="20"/>
        </w:rPr>
        <w:t>affiliates of the Investment Manager and the Company’s Cornerstone Investors</w:t>
      </w:r>
      <w:r w:rsidR="00FB4704">
        <w:rPr>
          <w:rFonts w:ascii="Arial" w:hAnsi="Arial" w:cs="Arial"/>
          <w:sz w:val="20"/>
          <w:szCs w:val="20"/>
        </w:rPr>
        <w:t xml:space="preserve">, </w:t>
      </w:r>
      <w:r w:rsidR="008B2EA5">
        <w:rPr>
          <w:rFonts w:ascii="Arial" w:hAnsi="Arial" w:cs="Arial"/>
          <w:sz w:val="20"/>
          <w:szCs w:val="20"/>
        </w:rPr>
        <w:t>6) conflicts regarding the allocation of investment opportunities</w:t>
      </w:r>
      <w:r w:rsidR="00FB4704">
        <w:rPr>
          <w:rFonts w:ascii="Arial" w:hAnsi="Arial" w:cs="Arial"/>
          <w:sz w:val="20"/>
          <w:szCs w:val="20"/>
        </w:rPr>
        <w:t xml:space="preserve"> between the Company and Private Riverstone Funds</w:t>
      </w:r>
      <w:r w:rsidR="00586ECF">
        <w:rPr>
          <w:rFonts w:ascii="Arial" w:hAnsi="Arial" w:cs="Arial"/>
          <w:sz w:val="20"/>
          <w:szCs w:val="20"/>
        </w:rPr>
        <w:t xml:space="preserve"> and 7) a change in the general sentiment regarding climate change and the transition to a lower carbon economy.</w:t>
      </w:r>
    </w:p>
    <w:p w14:paraId="2336799B" w14:textId="77777777" w:rsidR="00DF2371" w:rsidRPr="00BC678F" w:rsidRDefault="00DF2371" w:rsidP="00DF2371">
      <w:pPr>
        <w:rPr>
          <w:rFonts w:ascii="Arial" w:hAnsi="Arial" w:cs="Arial"/>
          <w:sz w:val="20"/>
          <w:szCs w:val="20"/>
        </w:rPr>
      </w:pPr>
    </w:p>
    <w:p w14:paraId="7BE3F417" w14:textId="198473B4" w:rsidR="00DF2371" w:rsidRDefault="00DF2371" w:rsidP="00DF2371">
      <w:pPr>
        <w:rPr>
          <w:rFonts w:ascii="Arial" w:hAnsi="Arial" w:cs="Arial"/>
          <w:sz w:val="20"/>
          <w:szCs w:val="20"/>
        </w:rPr>
      </w:pPr>
      <w:r w:rsidRPr="00BC678F">
        <w:rPr>
          <w:rFonts w:ascii="Arial" w:hAnsi="Arial" w:cs="Arial"/>
          <w:sz w:val="20"/>
          <w:szCs w:val="20"/>
        </w:rPr>
        <w:t>The principal risks and uncertainties of REL were identified in further detail in the 201</w:t>
      </w:r>
      <w:r w:rsidR="00586ECF">
        <w:rPr>
          <w:rFonts w:ascii="Arial" w:hAnsi="Arial" w:cs="Arial"/>
          <w:sz w:val="20"/>
          <w:szCs w:val="20"/>
        </w:rPr>
        <w:t>9</w:t>
      </w:r>
      <w:r w:rsidRPr="00BC678F">
        <w:rPr>
          <w:rFonts w:ascii="Arial" w:hAnsi="Arial" w:cs="Arial"/>
          <w:sz w:val="20"/>
          <w:szCs w:val="20"/>
        </w:rPr>
        <w:t xml:space="preserve"> Annual Report and Financial Statements. There have been no changes to REL’s principal risks and uncertainties in the six-month period to 30 June 20</w:t>
      </w:r>
      <w:r w:rsidR="00586ECF">
        <w:rPr>
          <w:rFonts w:ascii="Arial" w:hAnsi="Arial" w:cs="Arial"/>
          <w:sz w:val="20"/>
          <w:szCs w:val="20"/>
        </w:rPr>
        <w:t>20</w:t>
      </w:r>
      <w:r w:rsidRPr="00BC678F">
        <w:rPr>
          <w:rFonts w:ascii="Arial" w:hAnsi="Arial" w:cs="Arial"/>
          <w:sz w:val="20"/>
          <w:szCs w:val="20"/>
        </w:rPr>
        <w:t xml:space="preserve"> and no changes are anticipated in the second half of the year.</w:t>
      </w:r>
      <w:r>
        <w:rPr>
          <w:rFonts w:ascii="Arial" w:hAnsi="Arial" w:cs="Arial"/>
          <w:sz w:val="20"/>
          <w:szCs w:val="20"/>
        </w:rPr>
        <w:t xml:space="preserve"> </w:t>
      </w:r>
    </w:p>
    <w:p w14:paraId="23B994BB" w14:textId="77777777" w:rsidR="00DF29DD" w:rsidRPr="00DF29DD" w:rsidRDefault="00DF29DD" w:rsidP="00DF29DD">
      <w:pPr>
        <w:rPr>
          <w:rFonts w:ascii="Arial" w:eastAsiaTheme="minorHAnsi" w:hAnsi="Arial" w:cs="Arial"/>
          <w:sz w:val="20"/>
          <w:szCs w:val="20"/>
          <w:highlight w:val="yellow"/>
        </w:rPr>
      </w:pPr>
    </w:p>
    <w:p w14:paraId="218B7D1D" w14:textId="77777777" w:rsidR="00DF29DD" w:rsidRPr="00DF29DD" w:rsidRDefault="00DF29DD" w:rsidP="00DF29DD">
      <w:pPr>
        <w:ind w:left="567" w:hanging="567"/>
        <w:outlineLvl w:val="1"/>
        <w:rPr>
          <w:rFonts w:ascii="Arial" w:eastAsiaTheme="minorHAnsi" w:hAnsi="Arial" w:cs="Arial"/>
          <w:b/>
          <w:sz w:val="28"/>
          <w:szCs w:val="20"/>
          <w:highlight w:val="yellow"/>
        </w:rPr>
      </w:pPr>
      <w:r w:rsidRPr="00DF29DD">
        <w:rPr>
          <w:rFonts w:ascii="Arial" w:eastAsiaTheme="minorHAnsi" w:hAnsi="Arial" w:cs="Arial"/>
          <w:b/>
          <w:sz w:val="28"/>
          <w:szCs w:val="20"/>
        </w:rPr>
        <w:t>Subsequent Events</w:t>
      </w:r>
    </w:p>
    <w:p w14:paraId="2B2AD5D0" w14:textId="025AFA2D" w:rsidR="00527D71" w:rsidRDefault="006D1EB0" w:rsidP="00527D71">
      <w:pPr>
        <w:rPr>
          <w:rFonts w:ascii="Arial" w:hAnsi="Arial" w:cs="Arial"/>
          <w:sz w:val="20"/>
          <w:szCs w:val="20"/>
        </w:rPr>
      </w:pPr>
      <w:r w:rsidRPr="006D1EB0">
        <w:rPr>
          <w:rFonts w:ascii="Arial" w:hAnsi="Arial" w:cs="Arial"/>
          <w:sz w:val="20"/>
          <w:szCs w:val="20"/>
        </w:rPr>
        <w:t>In July 2020, REL, through the Partnership, funded $18 million of its $25 million commitment to Enviva in conjunction with the closing of the transaction on 2</w:t>
      </w:r>
      <w:r w:rsidR="004E76FA">
        <w:rPr>
          <w:rFonts w:ascii="Arial" w:hAnsi="Arial" w:cs="Arial"/>
          <w:sz w:val="20"/>
          <w:szCs w:val="20"/>
        </w:rPr>
        <w:t>2</w:t>
      </w:r>
      <w:r w:rsidRPr="006D1EB0">
        <w:rPr>
          <w:rFonts w:ascii="Arial" w:hAnsi="Arial" w:cs="Arial"/>
          <w:sz w:val="20"/>
          <w:szCs w:val="20"/>
        </w:rPr>
        <w:t xml:space="preserve"> July 2020</w:t>
      </w:r>
      <w:r w:rsidR="00C23946">
        <w:rPr>
          <w:rFonts w:ascii="Arial" w:hAnsi="Arial" w:cs="Arial"/>
          <w:sz w:val="20"/>
          <w:szCs w:val="20"/>
        </w:rPr>
        <w:t>, bringing the Partnership’s uninvested funds down to $135.5 million and potential unfunded commitments up to $103.3 million</w:t>
      </w:r>
      <w:r w:rsidRPr="006D1EB0">
        <w:rPr>
          <w:rFonts w:ascii="Arial" w:hAnsi="Arial" w:cs="Arial"/>
          <w:sz w:val="20"/>
          <w:szCs w:val="20"/>
        </w:rPr>
        <w:t>. Enviva is a leading global energy company speciali</w:t>
      </w:r>
      <w:r w:rsidR="001A20FF">
        <w:rPr>
          <w:rFonts w:ascii="Arial" w:hAnsi="Arial" w:cs="Arial"/>
          <w:sz w:val="20"/>
          <w:szCs w:val="20"/>
        </w:rPr>
        <w:t>s</w:t>
      </w:r>
      <w:r w:rsidRPr="006D1EB0">
        <w:rPr>
          <w:rFonts w:ascii="Arial" w:hAnsi="Arial" w:cs="Arial"/>
          <w:sz w:val="20"/>
          <w:szCs w:val="20"/>
        </w:rPr>
        <w:t>ing in sustainable wood bioenergy. The company is one of the world’s largest producers of sustainable wood pellets, which provide a low-carbon alternative to fossil fuels. REL’s investment in Enviva supports its commitment to diversifying its portfolio away from commodity driven companies such as oil and gas operators.</w:t>
      </w:r>
      <w:r w:rsidR="00527D71" w:rsidRPr="00527D71">
        <w:rPr>
          <w:rFonts w:ascii="Arial" w:hAnsi="Arial" w:cs="Arial"/>
          <w:sz w:val="20"/>
          <w:szCs w:val="20"/>
        </w:rPr>
        <w:t xml:space="preserve"> </w:t>
      </w:r>
    </w:p>
    <w:p w14:paraId="25594E20" w14:textId="77777777" w:rsidR="00527D71" w:rsidRDefault="00527D71" w:rsidP="00527D71">
      <w:pPr>
        <w:rPr>
          <w:rFonts w:ascii="Arial" w:hAnsi="Arial" w:cs="Arial"/>
          <w:sz w:val="20"/>
          <w:szCs w:val="20"/>
        </w:rPr>
      </w:pPr>
    </w:p>
    <w:p w14:paraId="6E16F8FD" w14:textId="77777777" w:rsidR="00527D71" w:rsidRPr="00D86780" w:rsidRDefault="00527D71" w:rsidP="00527D71">
      <w:pPr>
        <w:rPr>
          <w:rFonts w:ascii="Arial" w:hAnsi="Arial" w:cs="Arial"/>
          <w:sz w:val="20"/>
          <w:szCs w:val="20"/>
        </w:rPr>
      </w:pPr>
      <w:r>
        <w:rPr>
          <w:rFonts w:ascii="Arial" w:hAnsi="Arial" w:cs="Arial"/>
          <w:sz w:val="20"/>
          <w:szCs w:val="20"/>
        </w:rPr>
        <w:t>Subsequent to 30 June 2020</w:t>
      </w:r>
      <w:r w:rsidRPr="00D86780">
        <w:rPr>
          <w:rFonts w:ascii="Arial" w:hAnsi="Arial" w:cs="Arial"/>
          <w:sz w:val="20"/>
          <w:szCs w:val="20"/>
        </w:rPr>
        <w:t xml:space="preserve">, in compliance with the laws of the Cayman Islands, the Company and its existing </w:t>
      </w:r>
      <w:r>
        <w:rPr>
          <w:rFonts w:ascii="Arial" w:hAnsi="Arial" w:cs="Arial"/>
          <w:sz w:val="20"/>
          <w:szCs w:val="20"/>
        </w:rPr>
        <w:t>I</w:t>
      </w:r>
      <w:r w:rsidRPr="00D86780">
        <w:rPr>
          <w:rFonts w:ascii="Arial" w:hAnsi="Arial" w:cs="Arial"/>
          <w:sz w:val="20"/>
          <w:szCs w:val="20"/>
        </w:rPr>
        <w:t xml:space="preserve">nvestment </w:t>
      </w:r>
      <w:r>
        <w:rPr>
          <w:rFonts w:ascii="Arial" w:hAnsi="Arial" w:cs="Arial"/>
          <w:sz w:val="20"/>
          <w:szCs w:val="20"/>
        </w:rPr>
        <w:t>M</w:t>
      </w:r>
      <w:r w:rsidRPr="00D86780">
        <w:rPr>
          <w:rFonts w:ascii="Arial" w:hAnsi="Arial" w:cs="Arial"/>
          <w:sz w:val="20"/>
          <w:szCs w:val="20"/>
        </w:rPr>
        <w:t xml:space="preserve">anager, Riverstone International Limited, a Cayman Islands exempted company, have agreed that RIL will assign its investment advisory rights and obligations under the Company’s </w:t>
      </w:r>
      <w:r>
        <w:rPr>
          <w:rFonts w:ascii="Arial" w:hAnsi="Arial" w:cs="Arial"/>
          <w:sz w:val="20"/>
          <w:szCs w:val="20"/>
        </w:rPr>
        <w:t>I</w:t>
      </w:r>
      <w:r w:rsidRPr="00D86780">
        <w:rPr>
          <w:rFonts w:ascii="Arial" w:hAnsi="Arial" w:cs="Arial"/>
          <w:sz w:val="20"/>
          <w:szCs w:val="20"/>
        </w:rPr>
        <w:t xml:space="preserve">nvestment </w:t>
      </w:r>
      <w:r>
        <w:rPr>
          <w:rFonts w:ascii="Arial" w:hAnsi="Arial" w:cs="Arial"/>
          <w:sz w:val="20"/>
          <w:szCs w:val="20"/>
        </w:rPr>
        <w:t>M</w:t>
      </w:r>
      <w:r w:rsidRPr="00D86780">
        <w:rPr>
          <w:rFonts w:ascii="Arial" w:hAnsi="Arial" w:cs="Arial"/>
          <w:sz w:val="20"/>
          <w:szCs w:val="20"/>
        </w:rPr>
        <w:t xml:space="preserve">anagement </w:t>
      </w:r>
      <w:r>
        <w:rPr>
          <w:rFonts w:ascii="Arial" w:hAnsi="Arial" w:cs="Arial"/>
          <w:sz w:val="20"/>
          <w:szCs w:val="20"/>
        </w:rPr>
        <w:t>A</w:t>
      </w:r>
      <w:r w:rsidRPr="00D86780">
        <w:rPr>
          <w:rFonts w:ascii="Arial" w:hAnsi="Arial" w:cs="Arial"/>
          <w:sz w:val="20"/>
          <w:szCs w:val="20"/>
        </w:rPr>
        <w:t>greement with immediate effect to RIL’s immediate parent entity, RIGL Holdings, LP, a Cayman Islands exempted limited partnership.</w:t>
      </w:r>
    </w:p>
    <w:p w14:paraId="0D2DE1C2" w14:textId="566FB849" w:rsidR="00DF29DD" w:rsidRPr="00493EDA" w:rsidRDefault="00DF29DD" w:rsidP="00DF29DD">
      <w:pPr>
        <w:rPr>
          <w:rFonts w:ascii="Arial" w:eastAsiaTheme="minorHAnsi" w:hAnsi="Arial" w:cs="Arial"/>
          <w:sz w:val="20"/>
          <w:szCs w:val="20"/>
        </w:rPr>
      </w:pPr>
    </w:p>
    <w:p w14:paraId="71F01E40" w14:textId="41E904F5" w:rsidR="00213F9C" w:rsidRDefault="00213F9C" w:rsidP="00DF29DD">
      <w:pPr>
        <w:rPr>
          <w:rFonts w:ascii="Arial" w:eastAsiaTheme="minorHAnsi" w:hAnsi="Arial" w:cs="Arial"/>
          <w:sz w:val="20"/>
          <w:szCs w:val="20"/>
          <w:highlight w:val="yellow"/>
        </w:rPr>
      </w:pPr>
    </w:p>
    <w:p w14:paraId="1AECAA5A" w14:textId="77777777" w:rsidR="000D7CCE" w:rsidRPr="000D7CCE" w:rsidRDefault="000D7CCE" w:rsidP="000D7CCE">
      <w:pPr>
        <w:ind w:left="567" w:hanging="567"/>
        <w:outlineLvl w:val="1"/>
        <w:rPr>
          <w:rFonts w:ascii="Arial" w:eastAsiaTheme="minorHAnsi" w:hAnsi="Arial" w:cs="Arial"/>
          <w:b/>
          <w:sz w:val="28"/>
          <w:szCs w:val="20"/>
        </w:rPr>
      </w:pPr>
      <w:r w:rsidRPr="000D7CCE">
        <w:rPr>
          <w:rFonts w:ascii="Arial" w:eastAsiaTheme="minorHAnsi" w:hAnsi="Arial" w:cs="Arial"/>
          <w:b/>
          <w:sz w:val="28"/>
          <w:szCs w:val="20"/>
        </w:rPr>
        <w:t>Outlook</w:t>
      </w:r>
    </w:p>
    <w:p w14:paraId="23090538" w14:textId="2C779D7F" w:rsidR="000D7CCE" w:rsidRPr="00493EDA" w:rsidRDefault="006D1EB0" w:rsidP="000D7CCE">
      <w:pPr>
        <w:rPr>
          <w:rFonts w:ascii="Arial" w:eastAsiaTheme="minorHAnsi" w:hAnsi="Arial" w:cs="Arial"/>
          <w:sz w:val="20"/>
          <w:szCs w:val="20"/>
        </w:rPr>
      </w:pPr>
      <w:r w:rsidRPr="006D1EB0">
        <w:rPr>
          <w:rFonts w:ascii="Arial" w:hAnsi="Arial" w:cs="Arial"/>
          <w:sz w:val="20"/>
          <w:szCs w:val="20"/>
        </w:rPr>
        <w:t xml:space="preserve">The Investment Manager is continuing to actively work with each of its portfolio company management teams to determine the go-forward business plans, especially in light of the recent developments in the market related to OPEC+ and coronavirus. The next twelve months are expected to be challenging, and Riverstone is focussed on preparing its portfolio for a period of continued and prolonged uncertainty.  Initiatives across </w:t>
      </w:r>
      <w:r w:rsidRPr="006D1EB0">
        <w:rPr>
          <w:rFonts w:ascii="Arial" w:hAnsi="Arial" w:cs="Arial"/>
          <w:sz w:val="20"/>
          <w:szCs w:val="20"/>
        </w:rPr>
        <w:lastRenderedPageBreak/>
        <w:t>portfolio companies that are expected to be taken include prioriti</w:t>
      </w:r>
      <w:r w:rsidR="004E76FA">
        <w:rPr>
          <w:rFonts w:ascii="Arial" w:hAnsi="Arial" w:cs="Arial"/>
          <w:sz w:val="20"/>
          <w:szCs w:val="20"/>
        </w:rPr>
        <w:t>s</w:t>
      </w:r>
      <w:r w:rsidRPr="006D1EB0">
        <w:rPr>
          <w:rFonts w:ascii="Arial" w:hAnsi="Arial" w:cs="Arial"/>
          <w:sz w:val="20"/>
          <w:szCs w:val="20"/>
        </w:rPr>
        <w:t xml:space="preserve">ing liquidity, </w:t>
      </w:r>
      <w:r w:rsidR="00F77114">
        <w:rPr>
          <w:rFonts w:ascii="Arial" w:hAnsi="Arial" w:cs="Arial"/>
          <w:sz w:val="20"/>
          <w:szCs w:val="20"/>
        </w:rPr>
        <w:t xml:space="preserve">renegotiating debt covenants, </w:t>
      </w:r>
      <w:r w:rsidRPr="006D1EB0">
        <w:rPr>
          <w:rFonts w:ascii="Arial" w:hAnsi="Arial" w:cs="Arial"/>
          <w:sz w:val="20"/>
          <w:szCs w:val="20"/>
        </w:rPr>
        <w:t>reductions in G&amp;A, pulling back capital expenditures an</w:t>
      </w:r>
      <w:r w:rsidR="00840A78">
        <w:rPr>
          <w:rFonts w:ascii="Arial" w:hAnsi="Arial" w:cs="Arial"/>
          <w:sz w:val="20"/>
          <w:szCs w:val="20"/>
        </w:rPr>
        <w:t>d drilling activity, and monetis</w:t>
      </w:r>
      <w:r w:rsidRPr="006D1EB0">
        <w:rPr>
          <w:rFonts w:ascii="Arial" w:hAnsi="Arial" w:cs="Arial"/>
          <w:sz w:val="20"/>
          <w:szCs w:val="20"/>
        </w:rPr>
        <w:t>ing hedges where accretive.</w:t>
      </w:r>
    </w:p>
    <w:p w14:paraId="462297CE" w14:textId="382684B1" w:rsidR="00213F9C" w:rsidRDefault="00213F9C" w:rsidP="00DF29DD">
      <w:pPr>
        <w:rPr>
          <w:rFonts w:ascii="Arial" w:eastAsiaTheme="minorHAnsi" w:hAnsi="Arial" w:cs="Arial"/>
          <w:sz w:val="20"/>
          <w:szCs w:val="20"/>
          <w:highlight w:val="yellow"/>
        </w:rPr>
      </w:pPr>
    </w:p>
    <w:p w14:paraId="38BD3F63" w14:textId="77777777" w:rsidR="00213F9C" w:rsidRPr="00DF29DD" w:rsidRDefault="00213F9C" w:rsidP="00DF29DD">
      <w:pPr>
        <w:rPr>
          <w:rFonts w:ascii="Arial" w:eastAsiaTheme="minorHAnsi" w:hAnsi="Arial" w:cs="Arial"/>
          <w:sz w:val="20"/>
          <w:szCs w:val="20"/>
          <w:highlight w:val="yellow"/>
        </w:rPr>
      </w:pPr>
    </w:p>
    <w:p w14:paraId="343A75EA" w14:textId="60603AAD" w:rsidR="00DF29DD" w:rsidRPr="00DF29DD" w:rsidRDefault="00DF29DD" w:rsidP="00DF29DD">
      <w:pPr>
        <w:rPr>
          <w:rFonts w:ascii="Arial" w:eastAsiaTheme="minorHAnsi" w:hAnsi="Arial" w:cs="Arial"/>
          <w:b/>
          <w:sz w:val="20"/>
          <w:szCs w:val="20"/>
        </w:rPr>
      </w:pPr>
      <w:r w:rsidRPr="00DF29DD">
        <w:rPr>
          <w:rFonts w:ascii="Arial" w:eastAsiaTheme="minorHAnsi" w:hAnsi="Arial" w:cs="Arial"/>
          <w:b/>
          <w:sz w:val="20"/>
          <w:szCs w:val="20"/>
        </w:rPr>
        <w:t>R</w:t>
      </w:r>
      <w:r w:rsidR="00082A9F">
        <w:rPr>
          <w:rFonts w:ascii="Arial" w:eastAsiaTheme="minorHAnsi" w:hAnsi="Arial" w:cs="Arial"/>
          <w:b/>
          <w:sz w:val="20"/>
          <w:szCs w:val="20"/>
        </w:rPr>
        <w:t>IGL Holdings, LP</w:t>
      </w:r>
    </w:p>
    <w:p w14:paraId="04744F73" w14:textId="77777777" w:rsidR="000D7CCE" w:rsidRDefault="000D7CCE" w:rsidP="000D7CCE">
      <w:pPr>
        <w:pStyle w:val="Bodytext"/>
        <w:rPr>
          <w:rFonts w:cs="Arial"/>
          <w:szCs w:val="20"/>
        </w:rPr>
      </w:pPr>
      <w:r w:rsidRPr="00717C2D">
        <w:rPr>
          <w:rFonts w:eastAsia="Calibri" w:cs="Arial"/>
          <w:szCs w:val="20"/>
        </w:rPr>
        <w:t>18</w:t>
      </w:r>
      <w:r w:rsidRPr="00717C2D">
        <w:rPr>
          <w:rFonts w:cs="Arial"/>
          <w:szCs w:val="20"/>
        </w:rPr>
        <w:t xml:space="preserve"> August 2020</w:t>
      </w:r>
    </w:p>
    <w:p w14:paraId="32DDE716" w14:textId="77777777" w:rsidR="00DF29DD" w:rsidRPr="00DF29DD" w:rsidRDefault="00DF29DD" w:rsidP="00DF29DD">
      <w:pPr>
        <w:rPr>
          <w:rFonts w:ascii="Arial" w:eastAsiaTheme="minorHAnsi" w:hAnsi="Arial" w:cs="Arial"/>
          <w:sz w:val="20"/>
          <w:szCs w:val="20"/>
        </w:rPr>
      </w:pPr>
    </w:p>
    <w:p w14:paraId="2214FB4D" w14:textId="58521938" w:rsidR="00261867" w:rsidRDefault="00DF29DD" w:rsidP="00261867">
      <w:pPr>
        <w:rPr>
          <w:rFonts w:ascii="Arial" w:eastAsiaTheme="minorHAnsi" w:hAnsi="Arial" w:cs="Arial"/>
          <w:sz w:val="16"/>
          <w:szCs w:val="16"/>
          <w:lang w:val="en-US"/>
        </w:rPr>
      </w:pPr>
      <w:r w:rsidRPr="00DF29DD">
        <w:rPr>
          <w:rFonts w:ascii="Arial" w:eastAsiaTheme="minorHAnsi" w:hAnsi="Arial" w:cs="Arial"/>
          <w:sz w:val="16"/>
          <w:szCs w:val="20"/>
          <w:vertAlign w:val="superscript"/>
        </w:rPr>
        <w:t>(1)</w:t>
      </w:r>
      <w:r w:rsidR="00261867">
        <w:rPr>
          <w:rFonts w:ascii="Arial" w:eastAsiaTheme="minorHAnsi" w:hAnsi="Arial" w:cs="Arial"/>
          <w:sz w:val="16"/>
          <w:szCs w:val="20"/>
          <w:vertAlign w:val="superscript"/>
        </w:rPr>
        <w:t xml:space="preserve"> </w:t>
      </w:r>
      <w:r w:rsidR="00FE6163" w:rsidRPr="00FE6163">
        <w:rPr>
          <w:rFonts w:ascii="Arial" w:eastAsiaTheme="minorHAnsi" w:hAnsi="Arial" w:cs="Arial"/>
          <w:sz w:val="16"/>
          <w:szCs w:val="16"/>
          <w:lang w:val="en-US"/>
        </w:rPr>
        <w:t>Gross Unrealised Value and Gross MOIC are before transaction costs, taxes (approximately 21 to 27.5 per cent. of U.S. sourced taxable income) and 20 per cent. carried interest on applicable gross profits in accordance with the revised terms announced on 3 January 2020, but effective 30 June 2019. Since there was no netting of losses against gains before the aforementioned revised terms, the effective carried interest rate on the portfolio as a whole will be greater than 20 per cent. In addition, there is a Management Fee of 1.5 per cent. of net assets (including cash) per annum and other expenses. Given these costs, fees and expenses are in aggregate expected to be considerable, Total Net Value and Net MOIC will be materially less than Gross Unrealised Value and Gross MOIC.  Local taxes, primarily on U.S. assets, may apply at the jurisdictional level on profits arising in operating entity investments. Further withholding taxes may apply on distributions from such operating entity investments. In the normal course of business, REL may form wholly-owned subsidiaries, to be treated as C Corporations for U.S. tax purposes. The C Corporations serve to protect REL’s public investors from incurring U.S. ECI. The C Corporations file U.S. corporate tax returns with the U.S. IRS and pay U.S. corporate taxes on its taxable income</w:t>
      </w:r>
    </w:p>
    <w:p w14:paraId="609E6CA8" w14:textId="77777777" w:rsidR="005F7878" w:rsidRPr="00DF29DD" w:rsidRDefault="005F7878" w:rsidP="00261867">
      <w:pPr>
        <w:rPr>
          <w:rFonts w:ascii="Arial" w:eastAsiaTheme="minorHAnsi" w:hAnsi="Arial" w:cs="Arial"/>
          <w:sz w:val="16"/>
          <w:szCs w:val="16"/>
          <w:lang w:val="en-US"/>
        </w:rPr>
      </w:pPr>
    </w:p>
    <w:bookmarkEnd w:id="2"/>
    <w:p w14:paraId="67674C98" w14:textId="6A3772E0" w:rsidR="00D33AA7" w:rsidRPr="002D1A2F" w:rsidRDefault="00D33AA7">
      <w:pPr>
        <w:pStyle w:val="Heading1"/>
        <w:rPr>
          <w:rFonts w:cs="Arial"/>
          <w:szCs w:val="30"/>
        </w:rPr>
      </w:pPr>
      <w:r w:rsidRPr="00DC2064">
        <w:rPr>
          <w:rFonts w:cs="Arial"/>
          <w:szCs w:val="30"/>
        </w:rPr>
        <w:t>Directors’ Responsibilities Statement</w:t>
      </w:r>
    </w:p>
    <w:p w14:paraId="00F2454E" w14:textId="77777777" w:rsidR="00D33AA7" w:rsidRPr="002D1A2F" w:rsidRDefault="00D33AA7">
      <w:pPr>
        <w:rPr>
          <w:rFonts w:ascii="Arial" w:hAnsi="Arial" w:cs="Arial"/>
        </w:rPr>
      </w:pPr>
    </w:p>
    <w:p w14:paraId="69596BE5" w14:textId="7749510D" w:rsidR="00D33AA7" w:rsidRPr="00BC678F" w:rsidRDefault="00D33AA7">
      <w:pPr>
        <w:rPr>
          <w:rFonts w:ascii="Arial" w:hAnsi="Arial" w:cs="Arial"/>
          <w:sz w:val="20"/>
          <w:szCs w:val="20"/>
        </w:rPr>
      </w:pPr>
      <w:r w:rsidRPr="00BC678F">
        <w:rPr>
          <w:rFonts w:ascii="Arial" w:hAnsi="Arial" w:cs="Arial"/>
          <w:sz w:val="20"/>
          <w:szCs w:val="20"/>
        </w:rPr>
        <w:t>The Directors are responsible for preparing this Interim Report in accordance with applicable law and regulations. The Directors confirm that to the best of their knowledge:</w:t>
      </w:r>
    </w:p>
    <w:p w14:paraId="268D10A1" w14:textId="77777777" w:rsidR="00D33AA7" w:rsidRPr="00BC678F" w:rsidRDefault="00D33AA7">
      <w:pPr>
        <w:rPr>
          <w:rFonts w:ascii="Arial" w:hAnsi="Arial" w:cs="Arial"/>
          <w:sz w:val="20"/>
          <w:szCs w:val="20"/>
        </w:rPr>
      </w:pPr>
    </w:p>
    <w:p w14:paraId="0CC3A6AA" w14:textId="77777777" w:rsidR="00D33AA7" w:rsidRPr="00BC678F" w:rsidRDefault="00D33AA7">
      <w:pPr>
        <w:spacing w:after="100"/>
        <w:ind w:left="284" w:hanging="284"/>
        <w:rPr>
          <w:rFonts w:ascii="Arial" w:hAnsi="Arial" w:cs="Arial"/>
          <w:sz w:val="20"/>
          <w:szCs w:val="20"/>
        </w:rPr>
      </w:pPr>
      <w:r w:rsidRPr="00BC678F">
        <w:rPr>
          <w:rFonts w:ascii="Arial" w:hAnsi="Arial" w:cs="Arial"/>
          <w:sz w:val="20"/>
          <w:szCs w:val="20"/>
        </w:rPr>
        <w:t>•</w:t>
      </w:r>
      <w:r w:rsidRPr="00BC678F">
        <w:rPr>
          <w:rFonts w:ascii="Arial" w:hAnsi="Arial" w:cs="Arial"/>
          <w:sz w:val="20"/>
          <w:szCs w:val="20"/>
        </w:rPr>
        <w:tab/>
        <w:t>The unaudited interim condensed financial statements have been prepared in accordance with IAS 34 Interim Financial Reporting as adopted by the EU; and</w:t>
      </w:r>
    </w:p>
    <w:p w14:paraId="48DD87BF" w14:textId="77777777" w:rsidR="00D33AA7" w:rsidRPr="00BC678F" w:rsidRDefault="00D33AA7">
      <w:pPr>
        <w:spacing w:after="100"/>
        <w:ind w:left="284" w:hanging="284"/>
        <w:rPr>
          <w:rFonts w:ascii="Arial" w:hAnsi="Arial" w:cs="Arial"/>
          <w:sz w:val="20"/>
          <w:szCs w:val="20"/>
        </w:rPr>
      </w:pPr>
      <w:r w:rsidRPr="00BC678F">
        <w:rPr>
          <w:rFonts w:ascii="Arial" w:hAnsi="Arial" w:cs="Arial"/>
          <w:sz w:val="20"/>
          <w:szCs w:val="20"/>
        </w:rPr>
        <w:t>•</w:t>
      </w:r>
      <w:r w:rsidRPr="00BC678F">
        <w:rPr>
          <w:rFonts w:ascii="Arial" w:hAnsi="Arial" w:cs="Arial"/>
          <w:sz w:val="20"/>
          <w:szCs w:val="20"/>
        </w:rPr>
        <w:tab/>
        <w:t>The Chairman’s Statement and Investment Manager’s Report include a fair review of the information required by:</w:t>
      </w:r>
    </w:p>
    <w:p w14:paraId="75AD88DE" w14:textId="77777777" w:rsidR="00D33AA7" w:rsidRPr="00BC678F" w:rsidRDefault="00D33AA7">
      <w:pPr>
        <w:spacing w:after="100"/>
        <w:ind w:left="568" w:hanging="284"/>
        <w:rPr>
          <w:rFonts w:ascii="Arial" w:hAnsi="Arial" w:cs="Arial"/>
          <w:sz w:val="20"/>
          <w:szCs w:val="20"/>
        </w:rPr>
      </w:pPr>
      <w:r w:rsidRPr="00BC678F">
        <w:rPr>
          <w:rFonts w:ascii="Arial" w:hAnsi="Arial" w:cs="Arial"/>
          <w:sz w:val="20"/>
          <w:szCs w:val="20"/>
        </w:rPr>
        <w:t>(i)</w:t>
      </w:r>
      <w:r w:rsidRPr="00BC678F">
        <w:rPr>
          <w:rFonts w:ascii="Arial" w:hAnsi="Arial" w:cs="Arial"/>
          <w:sz w:val="20"/>
          <w:szCs w:val="20"/>
        </w:rPr>
        <w:tab/>
        <w:t xml:space="preserve">DTR 4.2.7R of the Disclosure </w:t>
      </w:r>
      <w:r w:rsidR="0061411F" w:rsidRPr="00BC678F">
        <w:rPr>
          <w:rFonts w:ascii="Arial" w:hAnsi="Arial" w:cs="Arial"/>
          <w:sz w:val="20"/>
          <w:szCs w:val="20"/>
        </w:rPr>
        <w:t xml:space="preserve">Guidance </w:t>
      </w:r>
      <w:r w:rsidRPr="00BC678F">
        <w:rPr>
          <w:rFonts w:ascii="Arial" w:hAnsi="Arial" w:cs="Arial"/>
          <w:sz w:val="20"/>
          <w:szCs w:val="20"/>
        </w:rPr>
        <w:t>and Transparency Rules, being an indication of important events that have occurred during the first six months of the financial year and their impact on the unaudited interim condensed financial statements; and a description of the principal risks and uncertainties for the remaining six months of the year; and</w:t>
      </w:r>
    </w:p>
    <w:p w14:paraId="1D68AEBA" w14:textId="77777777" w:rsidR="00D33AA7" w:rsidRPr="00BC678F" w:rsidRDefault="00D33AA7">
      <w:pPr>
        <w:ind w:left="568" w:hanging="284"/>
        <w:rPr>
          <w:rFonts w:ascii="Arial" w:hAnsi="Arial" w:cs="Arial"/>
          <w:sz w:val="20"/>
          <w:szCs w:val="20"/>
        </w:rPr>
      </w:pPr>
      <w:r w:rsidRPr="00BC678F">
        <w:rPr>
          <w:rFonts w:ascii="Arial" w:hAnsi="Arial" w:cs="Arial"/>
          <w:sz w:val="20"/>
          <w:szCs w:val="20"/>
        </w:rPr>
        <w:t>(ii)</w:t>
      </w:r>
      <w:r w:rsidRPr="00BC678F">
        <w:rPr>
          <w:rFonts w:ascii="Arial" w:hAnsi="Arial" w:cs="Arial"/>
          <w:sz w:val="20"/>
          <w:szCs w:val="20"/>
        </w:rPr>
        <w:tab/>
        <w:t xml:space="preserve">DTR 4.2.8R of the Disclosure </w:t>
      </w:r>
      <w:r w:rsidR="0061411F" w:rsidRPr="00BC678F">
        <w:rPr>
          <w:rFonts w:ascii="Arial" w:hAnsi="Arial" w:cs="Arial"/>
          <w:sz w:val="20"/>
          <w:szCs w:val="20"/>
        </w:rPr>
        <w:t xml:space="preserve">Guidance </w:t>
      </w:r>
      <w:r w:rsidRPr="00BC678F">
        <w:rPr>
          <w:rFonts w:ascii="Arial" w:hAnsi="Arial" w:cs="Arial"/>
          <w:sz w:val="20"/>
          <w:szCs w:val="20"/>
        </w:rPr>
        <w:t>and Transparency Rules, being related party transactions that have taken place in the first six months of the financial year and that have materially affected the financial position and performance of the entity during that period; and any changes in the related party transactions described in the last annual report that could do so.</w:t>
      </w:r>
    </w:p>
    <w:p w14:paraId="5403D5A2" w14:textId="77777777" w:rsidR="00D33AA7" w:rsidRPr="00BC678F" w:rsidRDefault="00D33AA7">
      <w:pPr>
        <w:ind w:left="568" w:hanging="284"/>
        <w:rPr>
          <w:rFonts w:ascii="Arial" w:hAnsi="Arial" w:cs="Arial"/>
          <w:sz w:val="20"/>
          <w:szCs w:val="20"/>
        </w:rPr>
      </w:pPr>
    </w:p>
    <w:p w14:paraId="32278D4E" w14:textId="77777777" w:rsidR="00D33AA7" w:rsidRPr="00BC678F" w:rsidRDefault="00D33AA7">
      <w:pPr>
        <w:rPr>
          <w:rFonts w:ascii="Arial" w:hAnsi="Arial" w:cs="Arial"/>
          <w:sz w:val="20"/>
          <w:szCs w:val="20"/>
        </w:rPr>
      </w:pPr>
      <w:r w:rsidRPr="00BC678F">
        <w:rPr>
          <w:rFonts w:ascii="Arial" w:hAnsi="Arial" w:cs="Arial"/>
          <w:sz w:val="20"/>
          <w:szCs w:val="20"/>
        </w:rPr>
        <w:t>On behalf of the Board</w:t>
      </w:r>
    </w:p>
    <w:p w14:paraId="3264C0EE" w14:textId="77777777" w:rsidR="00D33AA7" w:rsidRPr="00BC678F" w:rsidRDefault="00D33AA7">
      <w:pPr>
        <w:rPr>
          <w:rFonts w:ascii="Arial" w:hAnsi="Arial" w:cs="Arial"/>
          <w:sz w:val="20"/>
          <w:szCs w:val="20"/>
        </w:rPr>
      </w:pPr>
    </w:p>
    <w:p w14:paraId="5E4A2AE6" w14:textId="77777777" w:rsidR="00D33AA7" w:rsidRPr="00BC678F" w:rsidRDefault="00D33AA7">
      <w:pPr>
        <w:rPr>
          <w:rFonts w:ascii="Arial" w:hAnsi="Arial" w:cs="Arial"/>
          <w:sz w:val="20"/>
          <w:szCs w:val="20"/>
        </w:rPr>
      </w:pPr>
    </w:p>
    <w:p w14:paraId="5E5C9B7C" w14:textId="77777777" w:rsidR="00D33AA7" w:rsidRPr="00BC678F" w:rsidRDefault="00D33AA7">
      <w:pPr>
        <w:rPr>
          <w:rFonts w:ascii="Arial" w:hAnsi="Arial" w:cs="Arial"/>
          <w:sz w:val="20"/>
          <w:szCs w:val="20"/>
        </w:rPr>
      </w:pPr>
    </w:p>
    <w:p w14:paraId="21C5CD66" w14:textId="77777777" w:rsidR="00D33AA7" w:rsidRPr="00BC678F" w:rsidRDefault="00D33AA7">
      <w:pPr>
        <w:rPr>
          <w:rFonts w:ascii="Arial" w:hAnsi="Arial" w:cs="Arial"/>
          <w:b/>
          <w:sz w:val="20"/>
          <w:szCs w:val="20"/>
        </w:rPr>
      </w:pPr>
      <w:r w:rsidRPr="00BC678F">
        <w:rPr>
          <w:rFonts w:ascii="Arial" w:hAnsi="Arial" w:cs="Arial"/>
          <w:b/>
          <w:sz w:val="20"/>
          <w:szCs w:val="20"/>
        </w:rPr>
        <w:t>Richard Hayden</w:t>
      </w:r>
    </w:p>
    <w:p w14:paraId="3C65845E" w14:textId="77777777" w:rsidR="00D33AA7" w:rsidRPr="00BC678F" w:rsidRDefault="00D33AA7">
      <w:pPr>
        <w:rPr>
          <w:rFonts w:ascii="Arial" w:hAnsi="Arial" w:cs="Arial"/>
          <w:sz w:val="20"/>
          <w:szCs w:val="20"/>
        </w:rPr>
      </w:pPr>
      <w:r w:rsidRPr="00BC678F">
        <w:rPr>
          <w:rFonts w:ascii="Arial" w:hAnsi="Arial" w:cs="Arial"/>
          <w:sz w:val="20"/>
          <w:szCs w:val="20"/>
        </w:rPr>
        <w:t>Chairman</w:t>
      </w:r>
    </w:p>
    <w:p w14:paraId="5F7C4493" w14:textId="78A54528" w:rsidR="007A285D" w:rsidRDefault="00FE6163" w:rsidP="005F7878">
      <w:pPr>
        <w:pStyle w:val="Bodytext"/>
        <w:rPr>
          <w:rFonts w:cs="Arial"/>
          <w:b/>
          <w:caps/>
          <w:sz w:val="30"/>
          <w:szCs w:val="30"/>
        </w:rPr>
      </w:pPr>
      <w:r w:rsidRPr="00717C2D">
        <w:rPr>
          <w:rFonts w:eastAsia="Calibri" w:cs="Arial"/>
          <w:szCs w:val="20"/>
        </w:rPr>
        <w:t>18</w:t>
      </w:r>
      <w:r w:rsidRPr="00717C2D">
        <w:rPr>
          <w:rFonts w:cs="Arial"/>
          <w:szCs w:val="20"/>
        </w:rPr>
        <w:t xml:space="preserve"> August 2020</w:t>
      </w:r>
    </w:p>
    <w:p w14:paraId="572771BD" w14:textId="1F434A96" w:rsidR="00213F9C" w:rsidRDefault="00213F9C">
      <w:pPr>
        <w:outlineLvl w:val="0"/>
        <w:rPr>
          <w:rFonts w:ascii="Arial" w:hAnsi="Arial" w:cs="Arial"/>
          <w:b/>
          <w:caps/>
          <w:sz w:val="30"/>
          <w:szCs w:val="30"/>
        </w:rPr>
      </w:pPr>
    </w:p>
    <w:p w14:paraId="41EC4F6A" w14:textId="540406E9" w:rsidR="00213F9C" w:rsidRDefault="00213F9C">
      <w:pPr>
        <w:outlineLvl w:val="0"/>
        <w:rPr>
          <w:rFonts w:ascii="Arial" w:hAnsi="Arial" w:cs="Arial"/>
          <w:b/>
          <w:caps/>
          <w:sz w:val="30"/>
          <w:szCs w:val="30"/>
        </w:rPr>
      </w:pPr>
    </w:p>
    <w:p w14:paraId="6A678DE7" w14:textId="77777777" w:rsidR="00E41A2E" w:rsidRPr="002D1A2F" w:rsidRDefault="00E41A2E">
      <w:pPr>
        <w:outlineLvl w:val="0"/>
        <w:rPr>
          <w:rFonts w:ascii="Arial" w:hAnsi="Arial" w:cs="Arial"/>
          <w:b/>
          <w:caps/>
          <w:sz w:val="30"/>
          <w:szCs w:val="30"/>
        </w:rPr>
      </w:pPr>
      <w:r w:rsidRPr="002D1A2F">
        <w:rPr>
          <w:rFonts w:ascii="Arial" w:hAnsi="Arial" w:cs="Arial"/>
          <w:b/>
          <w:caps/>
          <w:sz w:val="30"/>
          <w:szCs w:val="30"/>
        </w:rPr>
        <w:t>Independent Review Report to Riverstone Energy Limited</w:t>
      </w:r>
    </w:p>
    <w:p w14:paraId="21BBB51B" w14:textId="77777777" w:rsidR="00E41A2E" w:rsidRPr="002D1A2F" w:rsidRDefault="00E41A2E">
      <w:pPr>
        <w:rPr>
          <w:rFonts w:ascii="Arial" w:hAnsi="Arial" w:cs="Arial"/>
        </w:rPr>
      </w:pPr>
    </w:p>
    <w:p w14:paraId="0A638CDB" w14:textId="537C5AF0" w:rsidR="00E41A2E" w:rsidRPr="00DF2371" w:rsidRDefault="00DF2371" w:rsidP="00DF2371">
      <w:pPr>
        <w:spacing w:before="120" w:after="120"/>
        <w:rPr>
          <w:rFonts w:ascii="Arial" w:hAnsi="Arial" w:cs="Arial"/>
          <w:sz w:val="20"/>
          <w:szCs w:val="20"/>
        </w:rPr>
      </w:pPr>
      <w:r w:rsidRPr="00DF2371">
        <w:rPr>
          <w:rFonts w:ascii="Arial" w:hAnsi="Arial" w:cs="Arial"/>
          <w:sz w:val="20"/>
          <w:szCs w:val="20"/>
        </w:rPr>
        <w:t>We have been engaged by the Company to review the Unaudited Interim Condensed Financial Statements for t</w:t>
      </w:r>
      <w:r w:rsidR="001100E2">
        <w:rPr>
          <w:rFonts w:ascii="Arial" w:hAnsi="Arial" w:cs="Arial"/>
          <w:sz w:val="20"/>
          <w:szCs w:val="20"/>
        </w:rPr>
        <w:t>he six months ended 30 June 2020</w:t>
      </w:r>
      <w:r w:rsidRPr="00DF2371">
        <w:rPr>
          <w:rFonts w:ascii="Arial" w:hAnsi="Arial" w:cs="Arial"/>
          <w:sz w:val="20"/>
          <w:szCs w:val="20"/>
        </w:rPr>
        <w:t xml:space="preserve"> which comprise the Condensed Statement of Financial Position, the Condensed</w:t>
      </w:r>
      <w:r w:rsidR="003F0F40">
        <w:rPr>
          <w:rFonts w:ascii="Arial" w:hAnsi="Arial" w:cs="Arial"/>
          <w:sz w:val="20"/>
          <w:szCs w:val="20"/>
        </w:rPr>
        <w:t xml:space="preserve"> </w:t>
      </w:r>
      <w:r w:rsidRPr="00DF2371">
        <w:rPr>
          <w:rFonts w:ascii="Arial" w:hAnsi="Arial" w:cs="Arial"/>
          <w:sz w:val="20"/>
          <w:szCs w:val="20"/>
        </w:rPr>
        <w:t xml:space="preserve">Statement of Comprehensive Income, the Condensed Statement of Changes in Equity, the Condensed Statement of Cash Flow and related Notes 1 to 11. We have read the other information contained in the Interim Report and considered whether it contains any apparent misstatements or material inconsistencies with the information in the </w:t>
      </w:r>
      <w:r w:rsidR="00DD6D94">
        <w:rPr>
          <w:rFonts w:ascii="Arial" w:hAnsi="Arial" w:cs="Arial"/>
          <w:sz w:val="20"/>
          <w:szCs w:val="20"/>
        </w:rPr>
        <w:t>Unaudited Interim Condensed Financial Statements.</w:t>
      </w:r>
    </w:p>
    <w:p w14:paraId="58EDAE32" w14:textId="23C27283" w:rsidR="00DF2371" w:rsidRDefault="00DF2371" w:rsidP="00DF2371">
      <w:pPr>
        <w:spacing w:before="120" w:after="120"/>
        <w:rPr>
          <w:rFonts w:ascii="Arial" w:hAnsi="Arial" w:cs="Arial"/>
          <w:sz w:val="20"/>
          <w:szCs w:val="20"/>
        </w:rPr>
      </w:pPr>
      <w:r w:rsidRPr="00DF2371">
        <w:rPr>
          <w:rFonts w:ascii="Arial" w:hAnsi="Arial" w:cs="Arial"/>
          <w:sz w:val="20"/>
          <w:szCs w:val="20"/>
        </w:rPr>
        <w:t>This report is made solely to the Company in accordance with guidance contained in International Standard on Review Engagements 2410 (UK and Ireland) “Review of Interim Financial Information Performed by the Independent Auditor of the Entity” issued by the Auditing Practices Board (“ISRE 2410”). To the fullest extent permitted by law, we do not accept or assume responsibility to anyone other than the Company, for our work, for this report, or for the conclusions we have formed.</w:t>
      </w:r>
    </w:p>
    <w:p w14:paraId="52F7EC82" w14:textId="664C0A9B" w:rsidR="00DF2371" w:rsidRPr="00DF2371" w:rsidRDefault="00DF2371" w:rsidP="00DF2371">
      <w:pPr>
        <w:spacing w:before="120" w:after="120"/>
        <w:rPr>
          <w:rFonts w:ascii="Arial" w:hAnsi="Arial" w:cs="Arial"/>
          <w:b/>
          <w:sz w:val="20"/>
          <w:szCs w:val="20"/>
        </w:rPr>
      </w:pPr>
      <w:r w:rsidRPr="00DF2371">
        <w:rPr>
          <w:rFonts w:ascii="Arial" w:hAnsi="Arial" w:cs="Arial"/>
          <w:b/>
          <w:sz w:val="20"/>
          <w:szCs w:val="20"/>
        </w:rPr>
        <w:lastRenderedPageBreak/>
        <w:t>Directors’ Responsibilities</w:t>
      </w:r>
    </w:p>
    <w:p w14:paraId="597995ED" w14:textId="3D4EA4EC" w:rsidR="00DF2371" w:rsidRPr="00DF2371" w:rsidRDefault="00DF2371" w:rsidP="00DF2371">
      <w:pPr>
        <w:rPr>
          <w:rFonts w:ascii="Arial" w:hAnsi="Arial" w:cs="Arial"/>
          <w:sz w:val="20"/>
          <w:szCs w:val="20"/>
        </w:rPr>
      </w:pPr>
      <w:r w:rsidRPr="00DF2371">
        <w:rPr>
          <w:rFonts w:ascii="Arial" w:hAnsi="Arial" w:cs="Arial"/>
          <w:sz w:val="20"/>
          <w:szCs w:val="20"/>
        </w:rPr>
        <w:t xml:space="preserve">The Interim Report </w:t>
      </w:r>
      <w:r w:rsidR="00DD6D94">
        <w:rPr>
          <w:rFonts w:ascii="Arial" w:hAnsi="Arial" w:cs="Arial"/>
          <w:sz w:val="20"/>
          <w:szCs w:val="20"/>
        </w:rPr>
        <w:t>and Unaudited Interim Condensed Financial Statements are</w:t>
      </w:r>
      <w:r w:rsidR="00DD6D94" w:rsidRPr="00DF2371">
        <w:rPr>
          <w:rFonts w:ascii="Arial" w:hAnsi="Arial" w:cs="Arial"/>
          <w:sz w:val="20"/>
          <w:szCs w:val="20"/>
        </w:rPr>
        <w:t xml:space="preserve"> </w:t>
      </w:r>
      <w:r w:rsidRPr="00DF2371">
        <w:rPr>
          <w:rFonts w:ascii="Arial" w:hAnsi="Arial" w:cs="Arial"/>
          <w:sz w:val="20"/>
          <w:szCs w:val="20"/>
        </w:rPr>
        <w:t>the responsibility of, and ha</w:t>
      </w:r>
      <w:r w:rsidR="00DD6D94">
        <w:rPr>
          <w:rFonts w:ascii="Arial" w:hAnsi="Arial" w:cs="Arial"/>
          <w:sz w:val="20"/>
          <w:szCs w:val="20"/>
        </w:rPr>
        <w:t>ve</w:t>
      </w:r>
      <w:r w:rsidRPr="00DF2371">
        <w:rPr>
          <w:rFonts w:ascii="Arial" w:hAnsi="Arial" w:cs="Arial"/>
          <w:sz w:val="20"/>
          <w:szCs w:val="20"/>
        </w:rPr>
        <w:t xml:space="preserve"> been approved by, the Directors. The Directors are responsible for preparing the Interim Report</w:t>
      </w:r>
      <w:r w:rsidR="00DD6D94">
        <w:rPr>
          <w:rFonts w:ascii="Arial" w:hAnsi="Arial" w:cs="Arial"/>
          <w:sz w:val="20"/>
          <w:szCs w:val="20"/>
        </w:rPr>
        <w:t xml:space="preserve"> and Unaudited Interim Condensed Financial Statements</w:t>
      </w:r>
      <w:r w:rsidRPr="00DF2371">
        <w:rPr>
          <w:rFonts w:ascii="Arial" w:hAnsi="Arial" w:cs="Arial"/>
          <w:sz w:val="20"/>
          <w:szCs w:val="20"/>
        </w:rPr>
        <w:t xml:space="preserve"> in accordance with the Disclosure</w:t>
      </w:r>
      <w:r w:rsidR="009F4404">
        <w:rPr>
          <w:rFonts w:ascii="Arial" w:hAnsi="Arial" w:cs="Arial"/>
          <w:sz w:val="20"/>
          <w:szCs w:val="20"/>
        </w:rPr>
        <w:t xml:space="preserve"> Guidance</w:t>
      </w:r>
      <w:r w:rsidRPr="00DF2371">
        <w:rPr>
          <w:rFonts w:ascii="Arial" w:hAnsi="Arial" w:cs="Arial"/>
          <w:sz w:val="20"/>
          <w:szCs w:val="20"/>
        </w:rPr>
        <w:t xml:space="preserve"> and Transparency Rules of the United Kingdom’s Financial Conduct Authority.</w:t>
      </w:r>
    </w:p>
    <w:p w14:paraId="7853ACB2" w14:textId="77777777" w:rsidR="00DF2371" w:rsidRPr="00DF2371" w:rsidRDefault="00DF2371" w:rsidP="00DF2371">
      <w:pPr>
        <w:rPr>
          <w:rFonts w:ascii="Arial" w:hAnsi="Arial" w:cs="Arial"/>
          <w:sz w:val="20"/>
          <w:szCs w:val="20"/>
        </w:rPr>
      </w:pPr>
    </w:p>
    <w:p w14:paraId="0A8280B8" w14:textId="2E7EBC49" w:rsidR="00DF2371" w:rsidRDefault="00DF2371" w:rsidP="00DF2371">
      <w:pPr>
        <w:rPr>
          <w:rFonts w:ascii="Arial" w:hAnsi="Arial" w:cs="Arial"/>
          <w:sz w:val="20"/>
          <w:szCs w:val="20"/>
        </w:rPr>
      </w:pPr>
      <w:r w:rsidRPr="00DF2371">
        <w:rPr>
          <w:rFonts w:ascii="Arial" w:hAnsi="Arial" w:cs="Arial"/>
          <w:sz w:val="20"/>
          <w:szCs w:val="20"/>
        </w:rPr>
        <w:t xml:space="preserve">As disclosed in Note 2, the Annual Financial Statements of the Company are prepared in accordance with IFRSs as adopted by the European Union. The </w:t>
      </w:r>
      <w:r w:rsidR="00DD6D94">
        <w:rPr>
          <w:rFonts w:ascii="Arial" w:hAnsi="Arial" w:cs="Arial"/>
          <w:sz w:val="20"/>
          <w:szCs w:val="20"/>
        </w:rPr>
        <w:t>Unaudited</w:t>
      </w:r>
      <w:r w:rsidRPr="00DF2371">
        <w:rPr>
          <w:rFonts w:ascii="Arial" w:hAnsi="Arial" w:cs="Arial"/>
          <w:sz w:val="20"/>
          <w:szCs w:val="20"/>
        </w:rPr>
        <w:t xml:space="preserve"> Interim </w:t>
      </w:r>
      <w:r w:rsidR="00DD6D94">
        <w:rPr>
          <w:rFonts w:ascii="Arial" w:hAnsi="Arial" w:cs="Arial"/>
          <w:sz w:val="20"/>
          <w:szCs w:val="20"/>
        </w:rPr>
        <w:t>Condensed Financial Statements have</w:t>
      </w:r>
      <w:r w:rsidRPr="00DF2371">
        <w:rPr>
          <w:rFonts w:ascii="Arial" w:hAnsi="Arial" w:cs="Arial"/>
          <w:sz w:val="20"/>
          <w:szCs w:val="20"/>
        </w:rPr>
        <w:t xml:space="preserve"> been prepared in accordance with International Accounting Standard 34, “Interim Financial Reporting”, as adopted by the European Union (“IAS 34”).</w:t>
      </w:r>
    </w:p>
    <w:p w14:paraId="0E1A7230" w14:textId="7D529A38" w:rsidR="00DF2371" w:rsidRPr="00DF2371" w:rsidRDefault="00DF2371" w:rsidP="00DF2371">
      <w:pPr>
        <w:spacing w:before="120" w:after="120"/>
        <w:rPr>
          <w:rFonts w:ascii="Arial" w:hAnsi="Arial" w:cs="Arial"/>
          <w:b/>
          <w:sz w:val="20"/>
          <w:szCs w:val="20"/>
        </w:rPr>
      </w:pPr>
      <w:r w:rsidRPr="00DF2371">
        <w:rPr>
          <w:rFonts w:ascii="Arial" w:hAnsi="Arial" w:cs="Arial"/>
          <w:b/>
          <w:sz w:val="20"/>
          <w:szCs w:val="20"/>
        </w:rPr>
        <w:t>Our Responsibility</w:t>
      </w:r>
    </w:p>
    <w:p w14:paraId="4521A04A" w14:textId="52B747B9" w:rsidR="00DF2371" w:rsidRDefault="00DF2371" w:rsidP="00DF2371">
      <w:pPr>
        <w:rPr>
          <w:rFonts w:ascii="Arial" w:hAnsi="Arial" w:cs="Arial"/>
          <w:sz w:val="20"/>
          <w:szCs w:val="20"/>
        </w:rPr>
      </w:pPr>
      <w:r w:rsidRPr="00DF2371">
        <w:rPr>
          <w:rFonts w:ascii="Arial" w:hAnsi="Arial" w:cs="Arial"/>
          <w:sz w:val="20"/>
          <w:szCs w:val="20"/>
        </w:rPr>
        <w:t xml:space="preserve">Our responsibility is to express to the Company a conclusion on the </w:t>
      </w:r>
      <w:r w:rsidR="005E226A">
        <w:rPr>
          <w:rFonts w:ascii="Arial" w:hAnsi="Arial" w:cs="Arial"/>
          <w:sz w:val="20"/>
          <w:szCs w:val="20"/>
        </w:rPr>
        <w:t>Una</w:t>
      </w:r>
      <w:r w:rsidR="00DD6D94">
        <w:rPr>
          <w:rFonts w:ascii="Arial" w:hAnsi="Arial" w:cs="Arial"/>
          <w:sz w:val="20"/>
          <w:szCs w:val="20"/>
        </w:rPr>
        <w:t>udited Interim Condensed Financial Statements</w:t>
      </w:r>
      <w:r w:rsidRPr="00DF2371">
        <w:rPr>
          <w:rFonts w:ascii="Arial" w:hAnsi="Arial" w:cs="Arial"/>
          <w:sz w:val="20"/>
          <w:szCs w:val="20"/>
        </w:rPr>
        <w:t xml:space="preserve"> based on our review.</w:t>
      </w:r>
    </w:p>
    <w:p w14:paraId="7A88A04F" w14:textId="2D3301A8" w:rsidR="00DF2371" w:rsidRPr="00DF2371" w:rsidRDefault="00DF2371" w:rsidP="00DF2371">
      <w:pPr>
        <w:spacing w:before="120" w:after="120"/>
        <w:rPr>
          <w:rFonts w:ascii="Arial" w:hAnsi="Arial" w:cs="Arial"/>
          <w:b/>
          <w:sz w:val="20"/>
          <w:szCs w:val="20"/>
        </w:rPr>
      </w:pPr>
      <w:r w:rsidRPr="00DF2371">
        <w:rPr>
          <w:rFonts w:ascii="Arial" w:hAnsi="Arial" w:cs="Arial"/>
          <w:b/>
          <w:sz w:val="20"/>
          <w:szCs w:val="20"/>
        </w:rPr>
        <w:t>Scope of Review</w:t>
      </w:r>
    </w:p>
    <w:p w14:paraId="231E4282" w14:textId="77401763" w:rsidR="00DF2371" w:rsidRDefault="00DF2371" w:rsidP="00DF2371">
      <w:pPr>
        <w:rPr>
          <w:rFonts w:ascii="Arial" w:hAnsi="Arial" w:cs="Arial"/>
          <w:sz w:val="20"/>
          <w:szCs w:val="20"/>
        </w:rPr>
      </w:pPr>
      <w:r w:rsidRPr="00DF2371">
        <w:rPr>
          <w:rFonts w:ascii="Arial" w:hAnsi="Arial" w:cs="Arial"/>
          <w:sz w:val="20"/>
          <w:szCs w:val="20"/>
        </w:rPr>
        <w:t xml:space="preserve">We conducted our review in accordance with ISRE 2410. A review of </w:t>
      </w:r>
      <w:r w:rsidR="00DD6D94">
        <w:rPr>
          <w:rFonts w:ascii="Arial" w:hAnsi="Arial" w:cs="Arial"/>
          <w:sz w:val="20"/>
          <w:szCs w:val="20"/>
        </w:rPr>
        <w:t>i</w:t>
      </w:r>
      <w:r w:rsidRPr="00DF2371">
        <w:rPr>
          <w:rFonts w:ascii="Arial" w:hAnsi="Arial" w:cs="Arial"/>
          <w:sz w:val="20"/>
          <w:szCs w:val="20"/>
        </w:rPr>
        <w:t>nterim financial information consists of making enquiries, primarily of persons responsible for financial and accounting matters, and applying analytical and other review procedures. A review is substantially less in scope than an audit conducted in accordance with International Standards on Auditing (UK) and consequently does not enable us to obtain assurance that we would become aware of all significant matters that might be identified in an audit. Accordingly, we do not express an audit opinion.</w:t>
      </w:r>
      <w:r>
        <w:rPr>
          <w:rFonts w:ascii="Arial" w:hAnsi="Arial" w:cs="Arial"/>
          <w:sz w:val="20"/>
          <w:szCs w:val="20"/>
        </w:rPr>
        <w:t xml:space="preserve"> </w:t>
      </w:r>
    </w:p>
    <w:p w14:paraId="66E6CD97" w14:textId="14018D7D" w:rsidR="00DF2371" w:rsidRPr="00DF2371" w:rsidRDefault="00DF2371" w:rsidP="00DF2371">
      <w:pPr>
        <w:spacing w:before="120" w:after="120"/>
        <w:rPr>
          <w:rFonts w:ascii="Arial" w:hAnsi="Arial" w:cs="Arial"/>
          <w:b/>
          <w:sz w:val="20"/>
          <w:szCs w:val="20"/>
        </w:rPr>
      </w:pPr>
      <w:r w:rsidRPr="00DF2371">
        <w:rPr>
          <w:rFonts w:ascii="Arial" w:hAnsi="Arial" w:cs="Arial"/>
          <w:b/>
          <w:sz w:val="20"/>
          <w:szCs w:val="20"/>
        </w:rPr>
        <w:t>Conclusion</w:t>
      </w:r>
    </w:p>
    <w:p w14:paraId="6FC042BE" w14:textId="70CE324A" w:rsidR="008643FF" w:rsidRPr="00213F9C" w:rsidRDefault="00DF2371">
      <w:pPr>
        <w:rPr>
          <w:rFonts w:ascii="Arial" w:hAnsi="Arial" w:cs="Arial"/>
          <w:sz w:val="20"/>
          <w:szCs w:val="20"/>
        </w:rPr>
      </w:pPr>
      <w:r w:rsidRPr="00DF2371">
        <w:rPr>
          <w:rFonts w:ascii="Arial" w:hAnsi="Arial" w:cs="Arial"/>
          <w:sz w:val="20"/>
          <w:szCs w:val="20"/>
        </w:rPr>
        <w:t xml:space="preserve">Based on our review, nothing has come to our attention that causes us to believe that the </w:t>
      </w:r>
      <w:r w:rsidR="00DD6D94">
        <w:rPr>
          <w:rFonts w:ascii="Arial" w:hAnsi="Arial" w:cs="Arial"/>
          <w:sz w:val="20"/>
          <w:szCs w:val="20"/>
        </w:rPr>
        <w:t>Unaudited Interim Condensed Financial Statements</w:t>
      </w:r>
      <w:r w:rsidRPr="00DF2371">
        <w:rPr>
          <w:rFonts w:ascii="Arial" w:hAnsi="Arial" w:cs="Arial"/>
          <w:sz w:val="20"/>
          <w:szCs w:val="20"/>
        </w:rPr>
        <w:t xml:space="preserve"> for t</w:t>
      </w:r>
      <w:r w:rsidR="001100E2">
        <w:rPr>
          <w:rFonts w:ascii="Arial" w:hAnsi="Arial" w:cs="Arial"/>
          <w:sz w:val="20"/>
          <w:szCs w:val="20"/>
        </w:rPr>
        <w:t>he six months ended 30 June 2020</w:t>
      </w:r>
      <w:r w:rsidRPr="00DF2371">
        <w:rPr>
          <w:rFonts w:ascii="Arial" w:hAnsi="Arial" w:cs="Arial"/>
          <w:sz w:val="20"/>
          <w:szCs w:val="20"/>
        </w:rPr>
        <w:t xml:space="preserve"> are not prepared, in all material respects, in accordance with IAS 34 and the Disclosure</w:t>
      </w:r>
      <w:r w:rsidR="009F4404">
        <w:rPr>
          <w:rFonts w:ascii="Arial" w:hAnsi="Arial" w:cs="Arial"/>
          <w:sz w:val="20"/>
          <w:szCs w:val="20"/>
        </w:rPr>
        <w:t xml:space="preserve"> Guidance</w:t>
      </w:r>
      <w:r w:rsidRPr="00DF2371">
        <w:rPr>
          <w:rFonts w:ascii="Arial" w:hAnsi="Arial" w:cs="Arial"/>
          <w:sz w:val="20"/>
          <w:szCs w:val="20"/>
        </w:rPr>
        <w:t xml:space="preserve"> and Transparency Rules of the United Kingdom’s Financi</w:t>
      </w:r>
      <w:r w:rsidR="00213F9C">
        <w:rPr>
          <w:rFonts w:ascii="Arial" w:hAnsi="Arial" w:cs="Arial"/>
          <w:sz w:val="20"/>
          <w:szCs w:val="20"/>
        </w:rPr>
        <w:t>al Conduct Authority.</w:t>
      </w:r>
    </w:p>
    <w:p w14:paraId="1335CA65" w14:textId="77777777" w:rsidR="00DD6D94" w:rsidRPr="00E30241" w:rsidRDefault="00DD6D94" w:rsidP="00DD6D94">
      <w:pPr>
        <w:pStyle w:val="EYBodytextwithparaspace"/>
        <w:spacing w:before="120" w:after="120"/>
        <w:rPr>
          <w:b/>
        </w:rPr>
      </w:pPr>
      <w:bookmarkStart w:id="8" w:name="_Hlk37684467"/>
      <w:r>
        <w:rPr>
          <w:b/>
        </w:rPr>
        <w:t>Emphasis of Matter – Material Uncertainty related to Going Concern</w:t>
      </w:r>
    </w:p>
    <w:bookmarkEnd w:id="8"/>
    <w:p w14:paraId="11A24642" w14:textId="5C47628A" w:rsidR="00DD6D94" w:rsidRPr="00AA4A1E" w:rsidRDefault="00DD6D94" w:rsidP="00DD6D94">
      <w:pPr>
        <w:pStyle w:val="EYBodytextwithparaspace"/>
        <w:spacing w:before="120" w:after="120"/>
        <w:rPr>
          <w:kern w:val="0"/>
          <w:lang w:val="en-US"/>
        </w:rPr>
      </w:pPr>
      <w:r w:rsidRPr="00AA4A1E">
        <w:rPr>
          <w:kern w:val="0"/>
          <w:lang w:val="en-US"/>
        </w:rPr>
        <w:t xml:space="preserve">We draw your attention to </w:t>
      </w:r>
      <w:r w:rsidR="008A02D1">
        <w:rPr>
          <w:kern w:val="0"/>
          <w:lang w:val="en-US"/>
        </w:rPr>
        <w:t>N</w:t>
      </w:r>
      <w:r w:rsidRPr="00AA4A1E">
        <w:rPr>
          <w:kern w:val="0"/>
          <w:lang w:val="en-US"/>
        </w:rPr>
        <w:t>ote 3 in the Unaudited Interim Condensed Financial Statements, which states that there is a material uncertainty in relation to the outcome of the Discontinuation Vote, expected to be held in November 2020, and the duration and extent of the COVID-19 pandemic on oil and gas prices, which casts significant doubt over the ability of the Company to continue as a Going Concern. The Unaudited Interim Condensed Financial Statements do not include any adjustments that might result from the outcome of these uncertainties.</w:t>
      </w:r>
    </w:p>
    <w:p w14:paraId="196E02FB" w14:textId="77777777" w:rsidR="00DD6D94" w:rsidRPr="00AA4A1E" w:rsidRDefault="00DD6D94" w:rsidP="00DD6D94">
      <w:pPr>
        <w:pStyle w:val="EYBodytextwithparaspace"/>
        <w:rPr>
          <w:kern w:val="0"/>
          <w:lang w:val="en-US"/>
        </w:rPr>
      </w:pPr>
      <w:r w:rsidRPr="00AA4A1E">
        <w:rPr>
          <w:kern w:val="0"/>
          <w:lang w:val="en-US"/>
        </w:rPr>
        <w:t xml:space="preserve">Our conclusion on the </w:t>
      </w:r>
      <w:r w:rsidRPr="00865BC3">
        <w:rPr>
          <w:kern w:val="0"/>
          <w:lang w:val="en-US"/>
        </w:rPr>
        <w:t xml:space="preserve">Unaudited Interim Condensed Financial Statements </w:t>
      </w:r>
      <w:r w:rsidRPr="00AA4A1E">
        <w:rPr>
          <w:kern w:val="0"/>
          <w:lang w:val="en-US"/>
        </w:rPr>
        <w:t>based on our review is not modified in respect of this matter.</w:t>
      </w:r>
    </w:p>
    <w:p w14:paraId="315059BB" w14:textId="77777777" w:rsidR="008643FF" w:rsidRPr="00BC678F" w:rsidRDefault="008643FF">
      <w:pPr>
        <w:rPr>
          <w:rFonts w:ascii="Arial" w:hAnsi="Arial" w:cs="Arial"/>
        </w:rPr>
      </w:pPr>
    </w:p>
    <w:p w14:paraId="0924CC16" w14:textId="77777777" w:rsidR="00E41A2E" w:rsidRPr="00BC678F" w:rsidRDefault="00E41A2E">
      <w:pPr>
        <w:rPr>
          <w:rFonts w:ascii="Arial" w:hAnsi="Arial" w:cs="Arial"/>
          <w:sz w:val="20"/>
          <w:szCs w:val="20"/>
        </w:rPr>
      </w:pPr>
      <w:r w:rsidRPr="00BC678F">
        <w:rPr>
          <w:rFonts w:ascii="Arial" w:hAnsi="Arial" w:cs="Arial"/>
          <w:sz w:val="20"/>
          <w:szCs w:val="20"/>
        </w:rPr>
        <w:t>Ernst &amp; Young LLP</w:t>
      </w:r>
    </w:p>
    <w:p w14:paraId="63B61852" w14:textId="58EDB4E7" w:rsidR="00E41A2E" w:rsidRPr="00BC678F" w:rsidRDefault="00E41A2E">
      <w:pPr>
        <w:rPr>
          <w:rFonts w:ascii="Arial" w:hAnsi="Arial" w:cs="Arial"/>
          <w:sz w:val="20"/>
          <w:szCs w:val="20"/>
        </w:rPr>
      </w:pPr>
      <w:r w:rsidRPr="00BC678F">
        <w:rPr>
          <w:rFonts w:ascii="Arial" w:hAnsi="Arial" w:cs="Arial"/>
          <w:sz w:val="20"/>
          <w:szCs w:val="20"/>
        </w:rPr>
        <w:t>Guernsey</w:t>
      </w:r>
      <w:r w:rsidR="00DD6D94">
        <w:rPr>
          <w:rFonts w:ascii="Arial" w:hAnsi="Arial" w:cs="Arial"/>
          <w:sz w:val="20"/>
          <w:szCs w:val="20"/>
        </w:rPr>
        <w:t>, Channel Islands</w:t>
      </w:r>
    </w:p>
    <w:p w14:paraId="2D764D84" w14:textId="77777777" w:rsidR="007B1A27" w:rsidRDefault="007B1A27" w:rsidP="007B1A27">
      <w:pPr>
        <w:pStyle w:val="Bodytext"/>
        <w:rPr>
          <w:rFonts w:cs="Arial"/>
          <w:szCs w:val="20"/>
        </w:rPr>
      </w:pPr>
      <w:r w:rsidRPr="00717C2D">
        <w:rPr>
          <w:rFonts w:eastAsia="Calibri" w:cs="Arial"/>
          <w:szCs w:val="20"/>
        </w:rPr>
        <w:t>18</w:t>
      </w:r>
      <w:r w:rsidRPr="00717C2D">
        <w:rPr>
          <w:rFonts w:cs="Arial"/>
          <w:szCs w:val="20"/>
        </w:rPr>
        <w:t xml:space="preserve"> August 2020</w:t>
      </w:r>
    </w:p>
    <w:p w14:paraId="511256AF" w14:textId="77777777" w:rsidR="00CA1497" w:rsidRPr="00BC678F" w:rsidRDefault="00CA1497">
      <w:pPr>
        <w:rPr>
          <w:rFonts w:ascii="Arial" w:hAnsi="Arial" w:cs="Arial"/>
          <w:sz w:val="20"/>
          <w:szCs w:val="20"/>
        </w:rPr>
      </w:pPr>
    </w:p>
    <w:p w14:paraId="2BE88908" w14:textId="5DAAB647" w:rsidR="00CA1497" w:rsidRPr="00BC678F" w:rsidRDefault="00CA1497">
      <w:pPr>
        <w:pStyle w:val="ListParagraph"/>
        <w:numPr>
          <w:ilvl w:val="0"/>
          <w:numId w:val="6"/>
        </w:numPr>
        <w:rPr>
          <w:rFonts w:ascii="Arial" w:hAnsi="Arial" w:cs="Arial"/>
          <w:sz w:val="16"/>
          <w:szCs w:val="16"/>
        </w:rPr>
      </w:pPr>
      <w:r w:rsidRPr="00BC678F">
        <w:rPr>
          <w:rFonts w:ascii="Arial" w:hAnsi="Arial" w:cs="Arial"/>
          <w:sz w:val="16"/>
          <w:szCs w:val="16"/>
        </w:rPr>
        <w:t>The maintenance and integrity of the Company’s website is the</w:t>
      </w:r>
      <w:r w:rsidR="007B1A27">
        <w:rPr>
          <w:rFonts w:ascii="Arial" w:hAnsi="Arial" w:cs="Arial"/>
          <w:sz w:val="16"/>
          <w:szCs w:val="16"/>
        </w:rPr>
        <w:t xml:space="preserve"> sole</w:t>
      </w:r>
      <w:r w:rsidRPr="00BC678F">
        <w:rPr>
          <w:rFonts w:ascii="Arial" w:hAnsi="Arial" w:cs="Arial"/>
          <w:sz w:val="16"/>
          <w:szCs w:val="16"/>
        </w:rPr>
        <w:t xml:space="preserve"> responsibility of the Directors; the work carried out by the auditors does not involve consideration of these matter</w:t>
      </w:r>
      <w:r w:rsidR="007B1A27">
        <w:rPr>
          <w:rFonts w:ascii="Arial" w:hAnsi="Arial" w:cs="Arial"/>
          <w:sz w:val="16"/>
          <w:szCs w:val="16"/>
        </w:rPr>
        <w:t>s and, accordingly, the auditor</w:t>
      </w:r>
      <w:r w:rsidRPr="00BC678F">
        <w:rPr>
          <w:rFonts w:ascii="Arial" w:hAnsi="Arial" w:cs="Arial"/>
          <w:sz w:val="16"/>
          <w:szCs w:val="16"/>
        </w:rPr>
        <w:t xml:space="preserve"> accept</w:t>
      </w:r>
      <w:r w:rsidR="007B1A27">
        <w:rPr>
          <w:rFonts w:ascii="Arial" w:hAnsi="Arial" w:cs="Arial"/>
          <w:sz w:val="16"/>
          <w:szCs w:val="16"/>
        </w:rPr>
        <w:t>s</w:t>
      </w:r>
      <w:r w:rsidRPr="00BC678F">
        <w:rPr>
          <w:rFonts w:ascii="Arial" w:hAnsi="Arial" w:cs="Arial"/>
          <w:sz w:val="16"/>
          <w:szCs w:val="16"/>
        </w:rPr>
        <w:t xml:space="preserve"> no responsibility for any changes that may have occurred to the financial statements since they were initially presented on the web</w:t>
      </w:r>
      <w:r w:rsidR="00E52726" w:rsidRPr="00BC678F">
        <w:rPr>
          <w:rFonts w:ascii="Arial" w:hAnsi="Arial" w:cs="Arial"/>
          <w:sz w:val="16"/>
          <w:szCs w:val="16"/>
        </w:rPr>
        <w:t>site</w:t>
      </w:r>
    </w:p>
    <w:p w14:paraId="12DDB07B" w14:textId="58D41B17" w:rsidR="00CA1497" w:rsidRDefault="00CA1497">
      <w:pPr>
        <w:pStyle w:val="ListParagraph"/>
        <w:numPr>
          <w:ilvl w:val="0"/>
          <w:numId w:val="6"/>
        </w:numPr>
        <w:rPr>
          <w:rFonts w:ascii="Arial" w:hAnsi="Arial" w:cs="Arial"/>
          <w:sz w:val="16"/>
          <w:szCs w:val="16"/>
        </w:rPr>
      </w:pPr>
      <w:r w:rsidRPr="00BC678F">
        <w:rPr>
          <w:rFonts w:ascii="Arial" w:hAnsi="Arial" w:cs="Arial"/>
          <w:sz w:val="16"/>
          <w:szCs w:val="16"/>
        </w:rPr>
        <w:t>Legislation in Guernsey governing the preparation and dissemination of financial statements may differ from legislation in other jurisdictions</w:t>
      </w:r>
    </w:p>
    <w:p w14:paraId="5C2028AE" w14:textId="77777777" w:rsidR="008376DE" w:rsidRDefault="008376DE" w:rsidP="008376DE">
      <w:pPr>
        <w:pStyle w:val="ListParagraph"/>
        <w:rPr>
          <w:rFonts w:ascii="Arial" w:hAnsi="Arial" w:cs="Arial"/>
          <w:sz w:val="16"/>
          <w:szCs w:val="16"/>
        </w:rPr>
      </w:pPr>
    </w:p>
    <w:p w14:paraId="246553F7" w14:textId="775B107B" w:rsidR="00254BE6" w:rsidRDefault="00254BE6" w:rsidP="00254BE6">
      <w:pPr>
        <w:rPr>
          <w:rFonts w:ascii="Arial" w:hAnsi="Arial" w:cs="Arial"/>
          <w:sz w:val="16"/>
          <w:szCs w:val="16"/>
        </w:rPr>
      </w:pPr>
    </w:p>
    <w:p w14:paraId="7B942FBF" w14:textId="77777777" w:rsidR="005F7878" w:rsidRDefault="005F7878" w:rsidP="00254BE6">
      <w:pPr>
        <w:rPr>
          <w:rFonts w:ascii="Arial" w:hAnsi="Arial" w:cs="Arial"/>
          <w:sz w:val="16"/>
          <w:szCs w:val="16"/>
        </w:rPr>
      </w:pPr>
    </w:p>
    <w:p w14:paraId="1C71724E" w14:textId="506D638A" w:rsidR="00E41A2E" w:rsidRPr="002D1A2F" w:rsidRDefault="00E41A2E">
      <w:pPr>
        <w:outlineLvl w:val="0"/>
        <w:rPr>
          <w:rFonts w:ascii="Arial" w:hAnsi="Arial" w:cs="Arial"/>
          <w:b/>
          <w:caps/>
          <w:sz w:val="30"/>
          <w:szCs w:val="30"/>
        </w:rPr>
      </w:pPr>
      <w:r w:rsidRPr="002D1A2F">
        <w:rPr>
          <w:rFonts w:ascii="Arial" w:hAnsi="Arial" w:cs="Arial"/>
          <w:b/>
          <w:caps/>
          <w:sz w:val="30"/>
          <w:szCs w:val="30"/>
        </w:rPr>
        <w:t>Condensed Statement of Financial Position</w:t>
      </w:r>
    </w:p>
    <w:p w14:paraId="473ADCCC" w14:textId="2AFE2115" w:rsidR="00E41A2E" w:rsidRPr="002D1A2F" w:rsidRDefault="001100E2">
      <w:pPr>
        <w:rPr>
          <w:rFonts w:ascii="Arial" w:hAnsi="Arial" w:cs="Arial"/>
          <w:sz w:val="20"/>
          <w:szCs w:val="20"/>
        </w:rPr>
      </w:pPr>
      <w:r>
        <w:rPr>
          <w:rFonts w:ascii="Arial" w:hAnsi="Arial" w:cs="Arial"/>
          <w:sz w:val="20"/>
          <w:szCs w:val="20"/>
        </w:rPr>
        <w:t>As at 30 June 2020</w:t>
      </w:r>
    </w:p>
    <w:p w14:paraId="38355C5F" w14:textId="77777777" w:rsidR="00E41A2E" w:rsidRPr="002D1A2F" w:rsidRDefault="00E41A2E">
      <w:pPr>
        <w:rPr>
          <w:rFonts w:ascii="Arial" w:hAnsi="Arial" w:cs="Arial"/>
          <w:sz w:val="20"/>
          <w:szCs w:val="20"/>
        </w:rPr>
      </w:pPr>
    </w:p>
    <w:tbl>
      <w:tblPr>
        <w:tblStyle w:val="TableGrid3"/>
        <w:tblW w:w="5000" w:type="pct"/>
        <w:tblLook w:val="04A0" w:firstRow="1" w:lastRow="0" w:firstColumn="1" w:lastColumn="0" w:noHBand="0" w:noVBand="1"/>
      </w:tblPr>
      <w:tblGrid>
        <w:gridCol w:w="4689"/>
        <w:gridCol w:w="765"/>
        <w:gridCol w:w="2201"/>
        <w:gridCol w:w="2126"/>
      </w:tblGrid>
      <w:tr w:rsidR="00E41A2E" w:rsidRPr="00BC678F" w14:paraId="4A2B89C6" w14:textId="77777777" w:rsidTr="0048637A">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2397" w:type="pct"/>
            <w:tcBorders>
              <w:bottom w:val="single" w:sz="4" w:space="0" w:color="auto"/>
            </w:tcBorders>
            <w:tcMar>
              <w:top w:w="57" w:type="dxa"/>
              <w:bottom w:w="57" w:type="dxa"/>
            </w:tcMar>
            <w:vAlign w:val="bottom"/>
          </w:tcPr>
          <w:p w14:paraId="212C6938" w14:textId="77777777" w:rsidR="00E41A2E" w:rsidRPr="002D1A2F" w:rsidRDefault="00E41A2E">
            <w:pPr>
              <w:rPr>
                <w:rFonts w:ascii="Arial" w:hAnsi="Arial" w:cs="Arial"/>
                <w:sz w:val="20"/>
                <w:szCs w:val="20"/>
              </w:rPr>
            </w:pPr>
          </w:p>
        </w:tc>
        <w:tc>
          <w:tcPr>
            <w:tcW w:w="391" w:type="pct"/>
            <w:tcBorders>
              <w:bottom w:val="single" w:sz="4" w:space="0" w:color="auto"/>
            </w:tcBorders>
            <w:tcMar>
              <w:top w:w="57" w:type="dxa"/>
              <w:bottom w:w="57" w:type="dxa"/>
            </w:tcMar>
            <w:vAlign w:val="bottom"/>
          </w:tcPr>
          <w:p w14:paraId="3FCD474F"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sidRPr="002D1A2F">
              <w:rPr>
                <w:rFonts w:ascii="Arial" w:hAnsi="Arial" w:cs="Arial"/>
                <w:i/>
                <w:sz w:val="20"/>
                <w:szCs w:val="20"/>
              </w:rPr>
              <w:t>Notes</w:t>
            </w:r>
          </w:p>
        </w:tc>
        <w:tc>
          <w:tcPr>
            <w:tcW w:w="1125" w:type="pct"/>
            <w:tcBorders>
              <w:bottom w:val="single" w:sz="4" w:space="0" w:color="auto"/>
            </w:tcBorders>
            <w:tcMar>
              <w:top w:w="57" w:type="dxa"/>
              <w:bottom w:w="57" w:type="dxa"/>
            </w:tcMar>
            <w:vAlign w:val="bottom"/>
          </w:tcPr>
          <w:p w14:paraId="413583DB"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30 June</w:t>
            </w:r>
          </w:p>
          <w:p w14:paraId="3D104073" w14:textId="5C292B9E" w:rsidR="00E41A2E" w:rsidRPr="002D1A2F" w:rsidRDefault="001100E2">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2020</w:t>
            </w:r>
          </w:p>
          <w:p w14:paraId="33855817"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$’000</w:t>
            </w:r>
          </w:p>
          <w:p w14:paraId="1D913BCE" w14:textId="77777777" w:rsidR="00015E09" w:rsidRPr="002D1A2F" w:rsidRDefault="00015E0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(Unaudited)</w:t>
            </w:r>
          </w:p>
        </w:tc>
        <w:tc>
          <w:tcPr>
            <w:tcW w:w="1087" w:type="pct"/>
            <w:tcBorders>
              <w:bottom w:val="single" w:sz="4" w:space="0" w:color="auto"/>
            </w:tcBorders>
            <w:tcMar>
              <w:top w:w="57" w:type="dxa"/>
              <w:bottom w:w="57" w:type="dxa"/>
            </w:tcMar>
            <w:vAlign w:val="bottom"/>
          </w:tcPr>
          <w:p w14:paraId="67B01251"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31 December</w:t>
            </w:r>
          </w:p>
          <w:p w14:paraId="68BBAE60" w14:textId="5B35D8B2"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201</w:t>
            </w:r>
            <w:r w:rsidR="001100E2">
              <w:rPr>
                <w:rFonts w:ascii="Arial" w:hAnsi="Arial" w:cs="Arial"/>
                <w:sz w:val="20"/>
                <w:szCs w:val="20"/>
              </w:rPr>
              <w:t>9</w:t>
            </w:r>
          </w:p>
          <w:p w14:paraId="031D89DF"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$’000</w:t>
            </w:r>
          </w:p>
          <w:p w14:paraId="1F3EE031" w14:textId="77777777" w:rsidR="00015E09" w:rsidRPr="002D1A2F" w:rsidRDefault="00015E0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(Audited)</w:t>
            </w:r>
          </w:p>
        </w:tc>
      </w:tr>
      <w:tr w:rsidR="00E41A2E" w:rsidRPr="00BC678F" w14:paraId="6C81873C" w14:textId="77777777" w:rsidTr="0048637A">
        <w:trPr>
          <w:trHeight w:val="20"/>
        </w:trPr>
        <w:tc>
          <w:tcPr>
            <w:cnfStyle w:val="001000000000" w:firstRow="0" w:lastRow="0" w:firstColumn="1" w:lastColumn="0" w:oddVBand="0" w:evenVBand="0" w:oddHBand="0" w:evenHBand="0" w:firstRowFirstColumn="0" w:firstRowLastColumn="0" w:lastRowFirstColumn="0" w:lastRowLastColumn="0"/>
            <w:tcW w:w="2397" w:type="pct"/>
            <w:tcBorders>
              <w:top w:val="single" w:sz="4" w:space="0" w:color="auto"/>
            </w:tcBorders>
            <w:tcMar>
              <w:top w:w="57" w:type="dxa"/>
              <w:bottom w:w="57" w:type="dxa"/>
            </w:tcMar>
            <w:vAlign w:val="bottom"/>
          </w:tcPr>
          <w:p w14:paraId="035156D6" w14:textId="77777777" w:rsidR="00E41A2E" w:rsidRPr="002D1A2F" w:rsidRDefault="00E41A2E">
            <w:pPr>
              <w:rPr>
                <w:rFonts w:ascii="Arial" w:hAnsi="Arial" w:cs="Arial"/>
                <w:b/>
                <w:sz w:val="20"/>
                <w:szCs w:val="20"/>
              </w:rPr>
            </w:pPr>
            <w:r w:rsidRPr="00DC2064">
              <w:rPr>
                <w:rFonts w:ascii="Arial" w:hAnsi="Arial" w:cs="Arial"/>
                <w:b/>
                <w:sz w:val="20"/>
                <w:szCs w:val="20"/>
              </w:rPr>
              <w:t>A</w:t>
            </w:r>
            <w:r w:rsidR="00723ECC">
              <w:rPr>
                <w:rFonts w:ascii="Arial" w:hAnsi="Arial" w:cs="Arial"/>
                <w:b/>
                <w:sz w:val="20"/>
                <w:szCs w:val="20"/>
              </w:rPr>
              <w:t>ssets</w:t>
            </w:r>
          </w:p>
        </w:tc>
        <w:tc>
          <w:tcPr>
            <w:tcW w:w="391" w:type="pct"/>
            <w:tcBorders>
              <w:top w:val="single" w:sz="4" w:space="0" w:color="auto"/>
            </w:tcBorders>
            <w:tcMar>
              <w:top w:w="57" w:type="dxa"/>
              <w:bottom w:w="57" w:type="dxa"/>
            </w:tcMar>
            <w:vAlign w:val="bottom"/>
          </w:tcPr>
          <w:p w14:paraId="627D046A" w14:textId="77777777" w:rsidR="00E41A2E" w:rsidRPr="002D1A2F" w:rsidRDefault="00E41A2E">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1125" w:type="pct"/>
            <w:tcBorders>
              <w:top w:val="single" w:sz="4" w:space="0" w:color="auto"/>
            </w:tcBorders>
            <w:tcMar>
              <w:top w:w="57" w:type="dxa"/>
              <w:bottom w:w="57" w:type="dxa"/>
            </w:tcMar>
            <w:vAlign w:val="bottom"/>
          </w:tcPr>
          <w:p w14:paraId="711F4AF2" w14:textId="77777777" w:rsidR="00E41A2E" w:rsidRPr="002D1A2F" w:rsidRDefault="00E41A2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087" w:type="pct"/>
            <w:tcBorders>
              <w:top w:val="single" w:sz="4" w:space="0" w:color="auto"/>
            </w:tcBorders>
            <w:tcMar>
              <w:top w:w="57" w:type="dxa"/>
              <w:bottom w:w="57" w:type="dxa"/>
            </w:tcMar>
            <w:vAlign w:val="bottom"/>
          </w:tcPr>
          <w:p w14:paraId="588B2118" w14:textId="77777777" w:rsidR="00E41A2E" w:rsidRPr="002D1A2F" w:rsidRDefault="00E41A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41A2E" w:rsidRPr="00BC678F" w14:paraId="5F89D6D3" w14:textId="77777777" w:rsidTr="0048637A">
        <w:trPr>
          <w:trHeight w:val="20"/>
        </w:trPr>
        <w:tc>
          <w:tcPr>
            <w:cnfStyle w:val="001000000000" w:firstRow="0" w:lastRow="0" w:firstColumn="1" w:lastColumn="0" w:oddVBand="0" w:evenVBand="0" w:oddHBand="0" w:evenHBand="0" w:firstRowFirstColumn="0" w:firstRowLastColumn="0" w:lastRowFirstColumn="0" w:lastRowLastColumn="0"/>
            <w:tcW w:w="2397" w:type="pct"/>
            <w:tcMar>
              <w:top w:w="57" w:type="dxa"/>
              <w:bottom w:w="57" w:type="dxa"/>
            </w:tcMar>
            <w:vAlign w:val="bottom"/>
          </w:tcPr>
          <w:p w14:paraId="402DE9C1" w14:textId="77777777" w:rsidR="00E41A2E" w:rsidRPr="002D1A2F" w:rsidRDefault="00E41A2E">
            <w:pPr>
              <w:rPr>
                <w:rFonts w:ascii="Arial" w:hAnsi="Arial" w:cs="Arial"/>
                <w:b/>
                <w:sz w:val="20"/>
                <w:szCs w:val="20"/>
              </w:rPr>
            </w:pPr>
            <w:r w:rsidRPr="00DC2064">
              <w:rPr>
                <w:rFonts w:ascii="Arial" w:hAnsi="Arial" w:cs="Arial"/>
                <w:b/>
                <w:sz w:val="20"/>
                <w:szCs w:val="20"/>
              </w:rPr>
              <w:t>Non-current assets</w:t>
            </w:r>
          </w:p>
        </w:tc>
        <w:tc>
          <w:tcPr>
            <w:tcW w:w="391" w:type="pct"/>
            <w:tcMar>
              <w:top w:w="57" w:type="dxa"/>
              <w:bottom w:w="57" w:type="dxa"/>
            </w:tcMar>
            <w:vAlign w:val="bottom"/>
          </w:tcPr>
          <w:p w14:paraId="3C6D6C9A" w14:textId="77777777" w:rsidR="00E41A2E" w:rsidRPr="002D1A2F" w:rsidRDefault="00E41A2E">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1125" w:type="pct"/>
            <w:tcMar>
              <w:top w:w="57" w:type="dxa"/>
              <w:bottom w:w="57" w:type="dxa"/>
            </w:tcMar>
            <w:vAlign w:val="bottom"/>
          </w:tcPr>
          <w:p w14:paraId="4CEC2178" w14:textId="77777777" w:rsidR="00E41A2E" w:rsidRPr="00E83884" w:rsidRDefault="00E41A2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087" w:type="pct"/>
            <w:tcMar>
              <w:top w:w="57" w:type="dxa"/>
              <w:bottom w:w="57" w:type="dxa"/>
            </w:tcMar>
            <w:vAlign w:val="bottom"/>
          </w:tcPr>
          <w:p w14:paraId="19CCC40D" w14:textId="77777777" w:rsidR="00E41A2E" w:rsidRPr="002D1A2F" w:rsidRDefault="00E41A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70162" w:rsidRPr="00BC678F" w14:paraId="13E8A76F" w14:textId="77777777" w:rsidTr="0048637A">
        <w:trPr>
          <w:trHeight w:val="20"/>
        </w:trPr>
        <w:tc>
          <w:tcPr>
            <w:cnfStyle w:val="001000000000" w:firstRow="0" w:lastRow="0" w:firstColumn="1" w:lastColumn="0" w:oddVBand="0" w:evenVBand="0" w:oddHBand="0" w:evenHBand="0" w:firstRowFirstColumn="0" w:firstRowLastColumn="0" w:lastRowFirstColumn="0" w:lastRowLastColumn="0"/>
            <w:tcW w:w="2397" w:type="pct"/>
            <w:tcBorders>
              <w:bottom w:val="single" w:sz="4" w:space="0" w:color="auto"/>
            </w:tcBorders>
            <w:tcMar>
              <w:top w:w="57" w:type="dxa"/>
              <w:bottom w:w="57" w:type="dxa"/>
            </w:tcMar>
            <w:vAlign w:val="bottom"/>
          </w:tcPr>
          <w:p w14:paraId="46034E05" w14:textId="77777777" w:rsidR="00D70162" w:rsidRPr="002D1A2F" w:rsidRDefault="00D70162">
            <w:pPr>
              <w:rPr>
                <w:rFonts w:ascii="Arial" w:hAnsi="Arial" w:cs="Arial"/>
                <w:sz w:val="20"/>
                <w:szCs w:val="20"/>
              </w:rPr>
            </w:pPr>
            <w:r w:rsidRPr="00DC2064">
              <w:rPr>
                <w:rFonts w:ascii="Arial" w:hAnsi="Arial" w:cs="Arial"/>
                <w:sz w:val="20"/>
                <w:szCs w:val="20"/>
              </w:rPr>
              <w:t>Investment at fair value through profit or loss</w:t>
            </w:r>
          </w:p>
        </w:tc>
        <w:tc>
          <w:tcPr>
            <w:tcW w:w="391" w:type="pct"/>
            <w:tcBorders>
              <w:bottom w:val="single" w:sz="4" w:space="0" w:color="auto"/>
            </w:tcBorders>
            <w:tcMar>
              <w:top w:w="57" w:type="dxa"/>
              <w:bottom w:w="57" w:type="dxa"/>
            </w:tcMar>
            <w:vAlign w:val="bottom"/>
          </w:tcPr>
          <w:p w14:paraId="07D4E8D7"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2D1A2F">
              <w:rPr>
                <w:rFonts w:ascii="Arial" w:hAnsi="Arial" w:cs="Arial"/>
                <w:i/>
                <w:sz w:val="20"/>
                <w:szCs w:val="20"/>
              </w:rPr>
              <w:t>6</w:t>
            </w:r>
          </w:p>
        </w:tc>
        <w:tc>
          <w:tcPr>
            <w:tcW w:w="1125" w:type="pct"/>
            <w:tcBorders>
              <w:bottom w:val="single" w:sz="4" w:space="0" w:color="auto"/>
            </w:tcBorders>
            <w:tcMar>
              <w:top w:w="57" w:type="dxa"/>
              <w:bottom w:w="57" w:type="dxa"/>
            </w:tcMar>
            <w:vAlign w:val="bottom"/>
          </w:tcPr>
          <w:p w14:paraId="0DF53D7A" w14:textId="36C7BA89" w:rsidR="00D70162" w:rsidRPr="00E83884" w:rsidRDefault="00680D78" w:rsidP="005071A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376,8</w:t>
            </w:r>
            <w:r w:rsidR="005071A9">
              <w:rPr>
                <w:rFonts w:ascii="Arial" w:hAnsi="Arial" w:cs="Arial"/>
                <w:b/>
                <w:sz w:val="20"/>
                <w:szCs w:val="20"/>
              </w:rPr>
              <w:t>1</w:t>
            </w:r>
            <w:r>
              <w:rPr>
                <w:rFonts w:ascii="Arial" w:hAnsi="Arial" w:cs="Arial"/>
                <w:b/>
                <w:sz w:val="20"/>
                <w:szCs w:val="20"/>
              </w:rPr>
              <w:t>5</w:t>
            </w:r>
          </w:p>
        </w:tc>
        <w:tc>
          <w:tcPr>
            <w:tcW w:w="1087" w:type="pct"/>
            <w:tcBorders>
              <w:bottom w:val="single" w:sz="4" w:space="0" w:color="auto"/>
            </w:tcBorders>
            <w:tcMar>
              <w:top w:w="57" w:type="dxa"/>
              <w:bottom w:w="57" w:type="dxa"/>
            </w:tcMar>
            <w:vAlign w:val="bottom"/>
          </w:tcPr>
          <w:p w14:paraId="14441BBC" w14:textId="0E4ED526" w:rsidR="00D70162" w:rsidRPr="002D1A2F" w:rsidRDefault="001100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772,722</w:t>
            </w:r>
          </w:p>
        </w:tc>
      </w:tr>
      <w:tr w:rsidR="00D70162" w:rsidRPr="00BC678F" w14:paraId="058D8D7B" w14:textId="77777777" w:rsidTr="0048637A">
        <w:trPr>
          <w:trHeight w:val="20"/>
        </w:trPr>
        <w:tc>
          <w:tcPr>
            <w:cnfStyle w:val="001000000000" w:firstRow="0" w:lastRow="0" w:firstColumn="1" w:lastColumn="0" w:oddVBand="0" w:evenVBand="0" w:oddHBand="0" w:evenHBand="0" w:firstRowFirstColumn="0" w:firstRowLastColumn="0" w:lastRowFirstColumn="0" w:lastRowLastColumn="0"/>
            <w:tcW w:w="2397" w:type="pct"/>
            <w:tcBorders>
              <w:top w:val="single" w:sz="4" w:space="0" w:color="auto"/>
              <w:bottom w:val="single" w:sz="4" w:space="0" w:color="auto"/>
            </w:tcBorders>
            <w:tcMar>
              <w:top w:w="57" w:type="dxa"/>
              <w:bottom w:w="57" w:type="dxa"/>
            </w:tcMar>
            <w:vAlign w:val="bottom"/>
          </w:tcPr>
          <w:p w14:paraId="5F6C0046" w14:textId="77777777" w:rsidR="00D70162" w:rsidRPr="002D1A2F" w:rsidRDefault="00D70162">
            <w:pPr>
              <w:rPr>
                <w:rFonts w:ascii="Arial" w:hAnsi="Arial" w:cs="Arial"/>
                <w:b/>
                <w:sz w:val="20"/>
                <w:szCs w:val="20"/>
              </w:rPr>
            </w:pPr>
            <w:r w:rsidRPr="00DC2064">
              <w:rPr>
                <w:rFonts w:ascii="Arial" w:hAnsi="Arial" w:cs="Arial"/>
                <w:b/>
                <w:sz w:val="20"/>
                <w:szCs w:val="20"/>
              </w:rPr>
              <w:lastRenderedPageBreak/>
              <w:t>Total non-current assets</w:t>
            </w:r>
          </w:p>
        </w:tc>
        <w:tc>
          <w:tcPr>
            <w:tcW w:w="391" w:type="pct"/>
            <w:tcBorders>
              <w:top w:val="single" w:sz="4" w:space="0" w:color="auto"/>
              <w:bottom w:val="single" w:sz="4" w:space="0" w:color="auto"/>
            </w:tcBorders>
            <w:tcMar>
              <w:top w:w="57" w:type="dxa"/>
              <w:bottom w:w="57" w:type="dxa"/>
            </w:tcMar>
            <w:vAlign w:val="bottom"/>
          </w:tcPr>
          <w:p w14:paraId="4D536B0D"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1125" w:type="pct"/>
            <w:tcBorders>
              <w:top w:val="single" w:sz="4" w:space="0" w:color="auto"/>
              <w:bottom w:val="single" w:sz="4" w:space="0" w:color="auto"/>
            </w:tcBorders>
            <w:tcMar>
              <w:top w:w="57" w:type="dxa"/>
              <w:bottom w:w="57" w:type="dxa"/>
            </w:tcMar>
            <w:vAlign w:val="bottom"/>
          </w:tcPr>
          <w:p w14:paraId="143EA199" w14:textId="274BE2E7" w:rsidR="00D70162" w:rsidRPr="00E83884" w:rsidRDefault="00680D78" w:rsidP="00AD3761">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376,8</w:t>
            </w:r>
            <w:r w:rsidR="005071A9">
              <w:rPr>
                <w:rFonts w:ascii="Arial" w:hAnsi="Arial" w:cs="Arial"/>
                <w:b/>
                <w:sz w:val="20"/>
                <w:szCs w:val="20"/>
              </w:rPr>
              <w:t>1</w:t>
            </w:r>
            <w:r>
              <w:rPr>
                <w:rFonts w:ascii="Arial" w:hAnsi="Arial" w:cs="Arial"/>
                <w:b/>
                <w:sz w:val="20"/>
                <w:szCs w:val="20"/>
              </w:rPr>
              <w:t>5</w:t>
            </w:r>
          </w:p>
        </w:tc>
        <w:tc>
          <w:tcPr>
            <w:tcW w:w="1087" w:type="pct"/>
            <w:tcBorders>
              <w:top w:val="single" w:sz="4" w:space="0" w:color="auto"/>
              <w:bottom w:val="single" w:sz="4" w:space="0" w:color="auto"/>
            </w:tcBorders>
            <w:tcMar>
              <w:top w:w="57" w:type="dxa"/>
              <w:bottom w:w="57" w:type="dxa"/>
            </w:tcMar>
            <w:vAlign w:val="bottom"/>
          </w:tcPr>
          <w:p w14:paraId="41CA362F" w14:textId="49D56BBD" w:rsidR="00D70162" w:rsidRPr="002D1A2F" w:rsidRDefault="001100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772,722</w:t>
            </w:r>
          </w:p>
        </w:tc>
      </w:tr>
      <w:tr w:rsidR="00D70162" w:rsidRPr="00BC678F" w14:paraId="32E0D972" w14:textId="77777777" w:rsidTr="0048637A">
        <w:trPr>
          <w:trHeight w:val="20"/>
        </w:trPr>
        <w:tc>
          <w:tcPr>
            <w:cnfStyle w:val="001000000000" w:firstRow="0" w:lastRow="0" w:firstColumn="1" w:lastColumn="0" w:oddVBand="0" w:evenVBand="0" w:oddHBand="0" w:evenHBand="0" w:firstRowFirstColumn="0" w:firstRowLastColumn="0" w:lastRowFirstColumn="0" w:lastRowLastColumn="0"/>
            <w:tcW w:w="2397" w:type="pct"/>
            <w:tcBorders>
              <w:top w:val="single" w:sz="4" w:space="0" w:color="auto"/>
            </w:tcBorders>
            <w:tcMar>
              <w:top w:w="57" w:type="dxa"/>
              <w:bottom w:w="57" w:type="dxa"/>
            </w:tcMar>
            <w:vAlign w:val="bottom"/>
          </w:tcPr>
          <w:p w14:paraId="22796A72" w14:textId="77777777" w:rsidR="00D70162" w:rsidRPr="00DC2064" w:rsidRDefault="00D70162">
            <w:pPr>
              <w:rPr>
                <w:rFonts w:ascii="Arial" w:hAnsi="Arial" w:cs="Arial"/>
                <w:sz w:val="20"/>
                <w:szCs w:val="20"/>
              </w:rPr>
            </w:pPr>
          </w:p>
        </w:tc>
        <w:tc>
          <w:tcPr>
            <w:tcW w:w="391" w:type="pct"/>
            <w:tcBorders>
              <w:top w:val="single" w:sz="4" w:space="0" w:color="auto"/>
            </w:tcBorders>
            <w:tcMar>
              <w:top w:w="57" w:type="dxa"/>
              <w:bottom w:w="57" w:type="dxa"/>
            </w:tcMar>
            <w:vAlign w:val="bottom"/>
          </w:tcPr>
          <w:p w14:paraId="26F56B30"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1125" w:type="pct"/>
            <w:tcBorders>
              <w:top w:val="single" w:sz="4" w:space="0" w:color="auto"/>
            </w:tcBorders>
            <w:tcMar>
              <w:top w:w="57" w:type="dxa"/>
              <w:bottom w:w="57" w:type="dxa"/>
            </w:tcMar>
            <w:vAlign w:val="bottom"/>
          </w:tcPr>
          <w:p w14:paraId="301DC6C3" w14:textId="77777777" w:rsidR="00D70162" w:rsidRPr="00E83884"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087" w:type="pct"/>
            <w:tcBorders>
              <w:top w:val="single" w:sz="4" w:space="0" w:color="auto"/>
            </w:tcBorders>
            <w:tcMar>
              <w:top w:w="57" w:type="dxa"/>
              <w:bottom w:w="57" w:type="dxa"/>
            </w:tcMar>
            <w:vAlign w:val="bottom"/>
          </w:tcPr>
          <w:p w14:paraId="015EF4C5"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70162" w:rsidRPr="00BC678F" w14:paraId="124902DD" w14:textId="77777777" w:rsidTr="0048637A">
        <w:trPr>
          <w:trHeight w:val="20"/>
        </w:trPr>
        <w:tc>
          <w:tcPr>
            <w:cnfStyle w:val="001000000000" w:firstRow="0" w:lastRow="0" w:firstColumn="1" w:lastColumn="0" w:oddVBand="0" w:evenVBand="0" w:oddHBand="0" w:evenHBand="0" w:firstRowFirstColumn="0" w:firstRowLastColumn="0" w:lastRowFirstColumn="0" w:lastRowLastColumn="0"/>
            <w:tcW w:w="2397" w:type="pct"/>
            <w:tcMar>
              <w:top w:w="57" w:type="dxa"/>
              <w:bottom w:w="57" w:type="dxa"/>
            </w:tcMar>
            <w:vAlign w:val="bottom"/>
          </w:tcPr>
          <w:p w14:paraId="7702C6E0" w14:textId="77777777" w:rsidR="00D70162" w:rsidRPr="002D1A2F" w:rsidRDefault="00D70162">
            <w:pPr>
              <w:rPr>
                <w:rFonts w:ascii="Arial" w:hAnsi="Arial" w:cs="Arial"/>
                <w:b/>
                <w:sz w:val="20"/>
                <w:szCs w:val="20"/>
              </w:rPr>
            </w:pPr>
            <w:r w:rsidRPr="00DC2064">
              <w:rPr>
                <w:rFonts w:ascii="Arial" w:hAnsi="Arial" w:cs="Arial"/>
                <w:b/>
                <w:sz w:val="20"/>
                <w:szCs w:val="20"/>
              </w:rPr>
              <w:t>Current assets</w:t>
            </w:r>
          </w:p>
        </w:tc>
        <w:tc>
          <w:tcPr>
            <w:tcW w:w="391" w:type="pct"/>
            <w:tcMar>
              <w:top w:w="57" w:type="dxa"/>
              <w:bottom w:w="57" w:type="dxa"/>
            </w:tcMar>
            <w:vAlign w:val="bottom"/>
          </w:tcPr>
          <w:p w14:paraId="40946A43"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1125" w:type="pct"/>
            <w:tcMar>
              <w:top w:w="57" w:type="dxa"/>
              <w:bottom w:w="57" w:type="dxa"/>
            </w:tcMar>
            <w:vAlign w:val="bottom"/>
          </w:tcPr>
          <w:p w14:paraId="18BD5732" w14:textId="77777777" w:rsidR="00D70162" w:rsidRPr="00E83884"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087" w:type="pct"/>
            <w:tcMar>
              <w:top w:w="57" w:type="dxa"/>
              <w:bottom w:w="57" w:type="dxa"/>
            </w:tcMar>
            <w:vAlign w:val="bottom"/>
          </w:tcPr>
          <w:p w14:paraId="32C6DE40"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70162" w:rsidRPr="00BC678F" w14:paraId="24C2A8A3" w14:textId="77777777" w:rsidTr="0048637A">
        <w:trPr>
          <w:trHeight w:val="20"/>
        </w:trPr>
        <w:tc>
          <w:tcPr>
            <w:cnfStyle w:val="001000000000" w:firstRow="0" w:lastRow="0" w:firstColumn="1" w:lastColumn="0" w:oddVBand="0" w:evenVBand="0" w:oddHBand="0" w:evenHBand="0" w:firstRowFirstColumn="0" w:firstRowLastColumn="0" w:lastRowFirstColumn="0" w:lastRowLastColumn="0"/>
            <w:tcW w:w="2397" w:type="pct"/>
            <w:tcMar>
              <w:top w:w="57" w:type="dxa"/>
              <w:bottom w:w="57" w:type="dxa"/>
            </w:tcMar>
            <w:vAlign w:val="bottom"/>
          </w:tcPr>
          <w:p w14:paraId="15FF81F3" w14:textId="77777777" w:rsidR="00D70162" w:rsidRPr="002D1A2F" w:rsidRDefault="00D70162">
            <w:pPr>
              <w:rPr>
                <w:rFonts w:ascii="Arial" w:hAnsi="Arial" w:cs="Arial"/>
                <w:sz w:val="20"/>
                <w:szCs w:val="20"/>
              </w:rPr>
            </w:pPr>
            <w:r w:rsidRPr="00DC2064">
              <w:rPr>
                <w:rFonts w:ascii="Arial" w:hAnsi="Arial" w:cs="Arial"/>
                <w:sz w:val="20"/>
                <w:szCs w:val="20"/>
              </w:rPr>
              <w:t>Trade and other receivables</w:t>
            </w:r>
          </w:p>
        </w:tc>
        <w:tc>
          <w:tcPr>
            <w:tcW w:w="391" w:type="pct"/>
            <w:tcMar>
              <w:top w:w="57" w:type="dxa"/>
              <w:bottom w:w="57" w:type="dxa"/>
            </w:tcMar>
            <w:vAlign w:val="bottom"/>
          </w:tcPr>
          <w:p w14:paraId="0628FA75"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1125" w:type="pct"/>
            <w:tcMar>
              <w:top w:w="57" w:type="dxa"/>
              <w:bottom w:w="57" w:type="dxa"/>
            </w:tcMar>
            <w:vAlign w:val="bottom"/>
          </w:tcPr>
          <w:p w14:paraId="6D1D104D" w14:textId="33026D86" w:rsidR="00D70162" w:rsidRPr="00E83884" w:rsidRDefault="00680D78">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241</w:t>
            </w:r>
          </w:p>
        </w:tc>
        <w:tc>
          <w:tcPr>
            <w:tcW w:w="1087" w:type="pct"/>
            <w:tcMar>
              <w:top w:w="57" w:type="dxa"/>
              <w:bottom w:w="57" w:type="dxa"/>
            </w:tcMar>
            <w:vAlign w:val="bottom"/>
          </w:tcPr>
          <w:p w14:paraId="0F0743DA" w14:textId="6E165F4B" w:rsidR="00D70162" w:rsidRPr="002D1A2F" w:rsidRDefault="00F60C87" w:rsidP="001100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w:t>
            </w:r>
            <w:r w:rsidR="001100E2">
              <w:rPr>
                <w:rFonts w:ascii="Arial" w:hAnsi="Arial" w:cs="Arial"/>
                <w:sz w:val="20"/>
                <w:szCs w:val="20"/>
              </w:rPr>
              <w:t>93</w:t>
            </w:r>
          </w:p>
        </w:tc>
      </w:tr>
      <w:tr w:rsidR="00D70162" w:rsidRPr="00BC678F" w14:paraId="546EFB84" w14:textId="77777777" w:rsidTr="0048637A">
        <w:trPr>
          <w:trHeight w:val="20"/>
        </w:trPr>
        <w:tc>
          <w:tcPr>
            <w:cnfStyle w:val="001000000000" w:firstRow="0" w:lastRow="0" w:firstColumn="1" w:lastColumn="0" w:oddVBand="0" w:evenVBand="0" w:oddHBand="0" w:evenHBand="0" w:firstRowFirstColumn="0" w:firstRowLastColumn="0" w:lastRowFirstColumn="0" w:lastRowLastColumn="0"/>
            <w:tcW w:w="2397" w:type="pct"/>
            <w:tcBorders>
              <w:bottom w:val="single" w:sz="4" w:space="0" w:color="auto"/>
            </w:tcBorders>
            <w:tcMar>
              <w:top w:w="57" w:type="dxa"/>
              <w:bottom w:w="57" w:type="dxa"/>
            </w:tcMar>
            <w:vAlign w:val="bottom"/>
          </w:tcPr>
          <w:p w14:paraId="5ACC2FA8" w14:textId="77777777" w:rsidR="00D70162" w:rsidRPr="002D1A2F" w:rsidRDefault="00D70162">
            <w:pPr>
              <w:rPr>
                <w:rFonts w:ascii="Arial" w:hAnsi="Arial" w:cs="Arial"/>
                <w:sz w:val="20"/>
                <w:szCs w:val="20"/>
              </w:rPr>
            </w:pPr>
            <w:r w:rsidRPr="00DC2064">
              <w:rPr>
                <w:rFonts w:ascii="Arial" w:hAnsi="Arial" w:cs="Arial"/>
                <w:sz w:val="20"/>
                <w:szCs w:val="20"/>
              </w:rPr>
              <w:t>Cash and cash equivalents</w:t>
            </w:r>
          </w:p>
        </w:tc>
        <w:tc>
          <w:tcPr>
            <w:tcW w:w="391" w:type="pct"/>
            <w:tcBorders>
              <w:bottom w:val="single" w:sz="4" w:space="0" w:color="auto"/>
            </w:tcBorders>
            <w:tcMar>
              <w:top w:w="57" w:type="dxa"/>
              <w:bottom w:w="57" w:type="dxa"/>
            </w:tcMar>
            <w:vAlign w:val="bottom"/>
          </w:tcPr>
          <w:p w14:paraId="664D33F1"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1125" w:type="pct"/>
            <w:tcBorders>
              <w:bottom w:val="single" w:sz="4" w:space="0" w:color="auto"/>
            </w:tcBorders>
            <w:tcMar>
              <w:top w:w="57" w:type="dxa"/>
              <w:bottom w:w="57" w:type="dxa"/>
            </w:tcMar>
            <w:vAlign w:val="bottom"/>
          </w:tcPr>
          <w:p w14:paraId="3ACEA4AE" w14:textId="7F307E39" w:rsidR="00D70162" w:rsidRPr="00E83884" w:rsidRDefault="00680D78">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6,431</w:t>
            </w:r>
          </w:p>
        </w:tc>
        <w:tc>
          <w:tcPr>
            <w:tcW w:w="1087" w:type="pct"/>
            <w:tcBorders>
              <w:bottom w:val="single" w:sz="4" w:space="0" w:color="auto"/>
            </w:tcBorders>
            <w:tcMar>
              <w:top w:w="57" w:type="dxa"/>
              <w:bottom w:w="57" w:type="dxa"/>
            </w:tcMar>
            <w:vAlign w:val="bottom"/>
          </w:tcPr>
          <w:p w14:paraId="249071EB" w14:textId="4C5053E4" w:rsidR="00D70162" w:rsidRPr="002D1A2F" w:rsidRDefault="00721532" w:rsidP="001100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w:t>
            </w:r>
            <w:r w:rsidR="001100E2">
              <w:rPr>
                <w:rFonts w:ascii="Arial" w:hAnsi="Arial" w:cs="Arial"/>
                <w:sz w:val="20"/>
                <w:szCs w:val="20"/>
              </w:rPr>
              <w:t>11</w:t>
            </w:r>
          </w:p>
        </w:tc>
      </w:tr>
      <w:tr w:rsidR="00D70162" w:rsidRPr="00BC678F" w14:paraId="702B9350" w14:textId="77777777" w:rsidTr="0048637A">
        <w:trPr>
          <w:trHeight w:val="20"/>
        </w:trPr>
        <w:tc>
          <w:tcPr>
            <w:cnfStyle w:val="001000000000" w:firstRow="0" w:lastRow="0" w:firstColumn="1" w:lastColumn="0" w:oddVBand="0" w:evenVBand="0" w:oddHBand="0" w:evenHBand="0" w:firstRowFirstColumn="0" w:firstRowLastColumn="0" w:lastRowFirstColumn="0" w:lastRowLastColumn="0"/>
            <w:tcW w:w="2397" w:type="pct"/>
            <w:tcBorders>
              <w:top w:val="single" w:sz="4" w:space="0" w:color="auto"/>
              <w:bottom w:val="single" w:sz="4" w:space="0" w:color="auto"/>
            </w:tcBorders>
            <w:tcMar>
              <w:top w:w="57" w:type="dxa"/>
              <w:bottom w:w="57" w:type="dxa"/>
            </w:tcMar>
            <w:vAlign w:val="bottom"/>
          </w:tcPr>
          <w:p w14:paraId="40B3EB2B" w14:textId="77777777" w:rsidR="00D70162" w:rsidRPr="002D1A2F" w:rsidRDefault="00D70162">
            <w:pPr>
              <w:rPr>
                <w:rFonts w:ascii="Arial" w:hAnsi="Arial" w:cs="Arial"/>
                <w:b/>
                <w:sz w:val="20"/>
                <w:szCs w:val="20"/>
              </w:rPr>
            </w:pPr>
            <w:r w:rsidRPr="00DC2064">
              <w:rPr>
                <w:rFonts w:ascii="Arial" w:hAnsi="Arial" w:cs="Arial"/>
                <w:b/>
                <w:sz w:val="20"/>
                <w:szCs w:val="20"/>
              </w:rPr>
              <w:t xml:space="preserve">Total current </w:t>
            </w:r>
            <w:r w:rsidRPr="002D1A2F">
              <w:rPr>
                <w:rFonts w:ascii="Arial" w:hAnsi="Arial" w:cs="Arial"/>
                <w:b/>
                <w:sz w:val="20"/>
                <w:szCs w:val="20"/>
              </w:rPr>
              <w:t>assets</w:t>
            </w:r>
          </w:p>
        </w:tc>
        <w:tc>
          <w:tcPr>
            <w:tcW w:w="391" w:type="pct"/>
            <w:tcBorders>
              <w:top w:val="single" w:sz="4" w:space="0" w:color="auto"/>
              <w:bottom w:val="single" w:sz="4" w:space="0" w:color="auto"/>
            </w:tcBorders>
            <w:tcMar>
              <w:top w:w="57" w:type="dxa"/>
              <w:bottom w:w="57" w:type="dxa"/>
            </w:tcMar>
            <w:vAlign w:val="bottom"/>
          </w:tcPr>
          <w:p w14:paraId="51519FE5"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1125" w:type="pct"/>
            <w:tcBorders>
              <w:top w:val="single" w:sz="4" w:space="0" w:color="auto"/>
              <w:bottom w:val="single" w:sz="4" w:space="0" w:color="auto"/>
            </w:tcBorders>
            <w:tcMar>
              <w:top w:w="57" w:type="dxa"/>
              <w:bottom w:w="57" w:type="dxa"/>
            </w:tcMar>
            <w:vAlign w:val="bottom"/>
          </w:tcPr>
          <w:p w14:paraId="436FF4C6" w14:textId="02675B07" w:rsidR="00D70162" w:rsidRPr="00E83884" w:rsidRDefault="00680D78">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6,672</w:t>
            </w:r>
          </w:p>
        </w:tc>
        <w:tc>
          <w:tcPr>
            <w:tcW w:w="1087" w:type="pct"/>
            <w:tcBorders>
              <w:top w:val="single" w:sz="4" w:space="0" w:color="auto"/>
              <w:bottom w:val="single" w:sz="4" w:space="0" w:color="auto"/>
            </w:tcBorders>
            <w:tcMar>
              <w:top w:w="57" w:type="dxa"/>
              <w:bottom w:w="57" w:type="dxa"/>
            </w:tcMar>
            <w:vAlign w:val="bottom"/>
          </w:tcPr>
          <w:p w14:paraId="390E2EF1" w14:textId="1DDBA849" w:rsidR="00D70162" w:rsidRPr="002D1A2F" w:rsidRDefault="001100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804</w:t>
            </w:r>
          </w:p>
        </w:tc>
      </w:tr>
      <w:tr w:rsidR="00D70162" w:rsidRPr="00BC678F" w14:paraId="1C15F725" w14:textId="77777777" w:rsidTr="0048637A">
        <w:trPr>
          <w:trHeight w:val="20"/>
        </w:trPr>
        <w:tc>
          <w:tcPr>
            <w:cnfStyle w:val="001000000000" w:firstRow="0" w:lastRow="0" w:firstColumn="1" w:lastColumn="0" w:oddVBand="0" w:evenVBand="0" w:oddHBand="0" w:evenHBand="0" w:firstRowFirstColumn="0" w:firstRowLastColumn="0" w:lastRowFirstColumn="0" w:lastRowLastColumn="0"/>
            <w:tcW w:w="2397" w:type="pct"/>
            <w:tcBorders>
              <w:top w:val="single" w:sz="4" w:space="0" w:color="auto"/>
            </w:tcBorders>
            <w:tcMar>
              <w:top w:w="57" w:type="dxa"/>
              <w:bottom w:w="57" w:type="dxa"/>
            </w:tcMar>
            <w:vAlign w:val="bottom"/>
          </w:tcPr>
          <w:p w14:paraId="52BF5401" w14:textId="77777777" w:rsidR="00D70162" w:rsidRPr="00DC2064" w:rsidRDefault="00D70162">
            <w:pPr>
              <w:rPr>
                <w:rFonts w:ascii="Arial" w:hAnsi="Arial" w:cs="Arial"/>
                <w:b/>
                <w:sz w:val="20"/>
                <w:szCs w:val="20"/>
              </w:rPr>
            </w:pPr>
          </w:p>
        </w:tc>
        <w:tc>
          <w:tcPr>
            <w:tcW w:w="391" w:type="pct"/>
            <w:tcBorders>
              <w:top w:val="single" w:sz="4" w:space="0" w:color="auto"/>
            </w:tcBorders>
            <w:tcMar>
              <w:top w:w="57" w:type="dxa"/>
              <w:bottom w:w="57" w:type="dxa"/>
            </w:tcMar>
            <w:vAlign w:val="bottom"/>
          </w:tcPr>
          <w:p w14:paraId="11069271"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1125" w:type="pct"/>
            <w:tcBorders>
              <w:top w:val="single" w:sz="4" w:space="0" w:color="auto"/>
            </w:tcBorders>
            <w:tcMar>
              <w:top w:w="57" w:type="dxa"/>
              <w:bottom w:w="57" w:type="dxa"/>
            </w:tcMar>
            <w:vAlign w:val="bottom"/>
          </w:tcPr>
          <w:p w14:paraId="442CB7FE" w14:textId="77777777" w:rsidR="00D70162" w:rsidRPr="00E83884"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087" w:type="pct"/>
            <w:tcBorders>
              <w:top w:val="single" w:sz="4" w:space="0" w:color="auto"/>
            </w:tcBorders>
            <w:tcMar>
              <w:top w:w="57" w:type="dxa"/>
              <w:bottom w:w="57" w:type="dxa"/>
            </w:tcMar>
            <w:vAlign w:val="bottom"/>
          </w:tcPr>
          <w:p w14:paraId="029B54EF"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70162" w:rsidRPr="00BC678F" w14:paraId="6E3A84F6" w14:textId="77777777" w:rsidTr="0048637A">
        <w:trPr>
          <w:trHeight w:val="20"/>
        </w:trPr>
        <w:tc>
          <w:tcPr>
            <w:cnfStyle w:val="001000000000" w:firstRow="0" w:lastRow="0" w:firstColumn="1" w:lastColumn="0" w:oddVBand="0" w:evenVBand="0" w:oddHBand="0" w:evenHBand="0" w:firstRowFirstColumn="0" w:firstRowLastColumn="0" w:lastRowFirstColumn="0" w:lastRowLastColumn="0"/>
            <w:tcW w:w="2397" w:type="pct"/>
            <w:tcBorders>
              <w:bottom w:val="single" w:sz="4" w:space="0" w:color="auto"/>
            </w:tcBorders>
            <w:tcMar>
              <w:top w:w="57" w:type="dxa"/>
              <w:bottom w:w="57" w:type="dxa"/>
            </w:tcMar>
            <w:vAlign w:val="bottom"/>
          </w:tcPr>
          <w:p w14:paraId="11B70144" w14:textId="77777777" w:rsidR="00D70162" w:rsidRPr="002D1A2F" w:rsidRDefault="00D70162">
            <w:pPr>
              <w:rPr>
                <w:rFonts w:ascii="Arial" w:hAnsi="Arial" w:cs="Arial"/>
                <w:b/>
                <w:sz w:val="20"/>
                <w:szCs w:val="20"/>
              </w:rPr>
            </w:pPr>
            <w:r>
              <w:rPr>
                <w:rFonts w:ascii="Arial" w:hAnsi="Arial" w:cs="Arial"/>
                <w:b/>
                <w:sz w:val="20"/>
                <w:szCs w:val="20"/>
              </w:rPr>
              <w:t>Total assets</w:t>
            </w:r>
          </w:p>
        </w:tc>
        <w:tc>
          <w:tcPr>
            <w:tcW w:w="391" w:type="pct"/>
            <w:tcBorders>
              <w:bottom w:val="single" w:sz="4" w:space="0" w:color="auto"/>
            </w:tcBorders>
            <w:tcMar>
              <w:top w:w="57" w:type="dxa"/>
              <w:bottom w:w="57" w:type="dxa"/>
            </w:tcMar>
            <w:vAlign w:val="bottom"/>
          </w:tcPr>
          <w:p w14:paraId="34B8485F"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1125" w:type="pct"/>
            <w:tcBorders>
              <w:bottom w:val="single" w:sz="4" w:space="0" w:color="auto"/>
            </w:tcBorders>
            <w:tcMar>
              <w:top w:w="57" w:type="dxa"/>
              <w:bottom w:w="57" w:type="dxa"/>
            </w:tcMar>
            <w:vAlign w:val="bottom"/>
          </w:tcPr>
          <w:p w14:paraId="1CBD46F8" w14:textId="254C762F" w:rsidR="00D70162" w:rsidRPr="00E83884" w:rsidRDefault="00680D78" w:rsidP="005071A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383,</w:t>
            </w:r>
            <w:r w:rsidR="00291CB7">
              <w:rPr>
                <w:rFonts w:ascii="Arial" w:hAnsi="Arial" w:cs="Arial"/>
                <w:b/>
                <w:sz w:val="20"/>
                <w:szCs w:val="20"/>
              </w:rPr>
              <w:t>4</w:t>
            </w:r>
            <w:r w:rsidR="005071A9">
              <w:rPr>
                <w:rFonts w:ascii="Arial" w:hAnsi="Arial" w:cs="Arial"/>
                <w:b/>
                <w:sz w:val="20"/>
                <w:szCs w:val="20"/>
              </w:rPr>
              <w:t>8</w:t>
            </w:r>
            <w:r w:rsidR="00291CB7">
              <w:rPr>
                <w:rFonts w:ascii="Arial" w:hAnsi="Arial" w:cs="Arial"/>
                <w:b/>
                <w:sz w:val="20"/>
                <w:szCs w:val="20"/>
              </w:rPr>
              <w:t>7</w:t>
            </w:r>
          </w:p>
        </w:tc>
        <w:tc>
          <w:tcPr>
            <w:tcW w:w="1087" w:type="pct"/>
            <w:tcBorders>
              <w:bottom w:val="single" w:sz="4" w:space="0" w:color="auto"/>
            </w:tcBorders>
            <w:tcMar>
              <w:top w:w="57" w:type="dxa"/>
              <w:bottom w:w="57" w:type="dxa"/>
            </w:tcMar>
            <w:vAlign w:val="bottom"/>
          </w:tcPr>
          <w:p w14:paraId="2458657F" w14:textId="6559173F" w:rsidR="00D70162" w:rsidRPr="002D1A2F" w:rsidRDefault="001100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773,526</w:t>
            </w:r>
          </w:p>
        </w:tc>
      </w:tr>
      <w:tr w:rsidR="00D70162" w:rsidRPr="00BC678F" w14:paraId="6E0B0F25" w14:textId="77777777" w:rsidTr="0048637A">
        <w:trPr>
          <w:trHeight w:val="20"/>
        </w:trPr>
        <w:tc>
          <w:tcPr>
            <w:cnfStyle w:val="001000000000" w:firstRow="0" w:lastRow="0" w:firstColumn="1" w:lastColumn="0" w:oddVBand="0" w:evenVBand="0" w:oddHBand="0" w:evenHBand="0" w:firstRowFirstColumn="0" w:firstRowLastColumn="0" w:lastRowFirstColumn="0" w:lastRowLastColumn="0"/>
            <w:tcW w:w="2397" w:type="pct"/>
            <w:tcBorders>
              <w:top w:val="single" w:sz="4" w:space="0" w:color="auto"/>
            </w:tcBorders>
            <w:tcMar>
              <w:top w:w="57" w:type="dxa"/>
              <w:bottom w:w="57" w:type="dxa"/>
            </w:tcMar>
            <w:vAlign w:val="bottom"/>
          </w:tcPr>
          <w:p w14:paraId="560BCAAD" w14:textId="77777777" w:rsidR="00D70162" w:rsidRPr="00DC2064" w:rsidRDefault="00D70162">
            <w:pPr>
              <w:rPr>
                <w:rFonts w:ascii="Arial" w:hAnsi="Arial" w:cs="Arial"/>
                <w:b/>
                <w:sz w:val="20"/>
                <w:szCs w:val="20"/>
              </w:rPr>
            </w:pPr>
          </w:p>
        </w:tc>
        <w:tc>
          <w:tcPr>
            <w:tcW w:w="391" w:type="pct"/>
            <w:tcBorders>
              <w:top w:val="single" w:sz="4" w:space="0" w:color="auto"/>
            </w:tcBorders>
            <w:tcMar>
              <w:top w:w="57" w:type="dxa"/>
              <w:bottom w:w="57" w:type="dxa"/>
            </w:tcMar>
            <w:vAlign w:val="bottom"/>
          </w:tcPr>
          <w:p w14:paraId="1D6B2BB0"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1125" w:type="pct"/>
            <w:tcBorders>
              <w:top w:val="single" w:sz="4" w:space="0" w:color="auto"/>
            </w:tcBorders>
            <w:tcMar>
              <w:top w:w="57" w:type="dxa"/>
              <w:bottom w:w="57" w:type="dxa"/>
            </w:tcMar>
            <w:vAlign w:val="bottom"/>
          </w:tcPr>
          <w:p w14:paraId="3377B470" w14:textId="77777777" w:rsidR="00D70162" w:rsidRPr="00E83884"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087" w:type="pct"/>
            <w:tcBorders>
              <w:top w:val="single" w:sz="4" w:space="0" w:color="auto"/>
            </w:tcBorders>
            <w:tcMar>
              <w:top w:w="57" w:type="dxa"/>
              <w:bottom w:w="57" w:type="dxa"/>
            </w:tcMar>
            <w:vAlign w:val="bottom"/>
          </w:tcPr>
          <w:p w14:paraId="1251FAB1"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70162" w:rsidRPr="00BC678F" w14:paraId="1FC4133B" w14:textId="77777777" w:rsidTr="0048637A">
        <w:trPr>
          <w:trHeight w:val="20"/>
        </w:trPr>
        <w:tc>
          <w:tcPr>
            <w:cnfStyle w:val="001000000000" w:firstRow="0" w:lastRow="0" w:firstColumn="1" w:lastColumn="0" w:oddVBand="0" w:evenVBand="0" w:oddHBand="0" w:evenHBand="0" w:firstRowFirstColumn="0" w:firstRowLastColumn="0" w:lastRowFirstColumn="0" w:lastRowLastColumn="0"/>
            <w:tcW w:w="2397" w:type="pct"/>
            <w:tcMar>
              <w:top w:w="57" w:type="dxa"/>
              <w:bottom w:w="57" w:type="dxa"/>
            </w:tcMar>
            <w:vAlign w:val="bottom"/>
          </w:tcPr>
          <w:p w14:paraId="3950FD25" w14:textId="77777777" w:rsidR="00D70162" w:rsidRPr="002D1A2F" w:rsidRDefault="00D70162">
            <w:pPr>
              <w:rPr>
                <w:rFonts w:ascii="Arial" w:hAnsi="Arial" w:cs="Arial"/>
                <w:b/>
                <w:sz w:val="20"/>
                <w:szCs w:val="20"/>
              </w:rPr>
            </w:pPr>
            <w:r w:rsidRPr="00DC2064">
              <w:rPr>
                <w:rFonts w:ascii="Arial" w:hAnsi="Arial" w:cs="Arial"/>
                <w:b/>
                <w:sz w:val="20"/>
                <w:szCs w:val="20"/>
              </w:rPr>
              <w:t>Current liabilities</w:t>
            </w:r>
          </w:p>
        </w:tc>
        <w:tc>
          <w:tcPr>
            <w:tcW w:w="391" w:type="pct"/>
            <w:tcMar>
              <w:top w:w="57" w:type="dxa"/>
              <w:bottom w:w="57" w:type="dxa"/>
            </w:tcMar>
            <w:vAlign w:val="bottom"/>
          </w:tcPr>
          <w:p w14:paraId="730C5446"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1125" w:type="pct"/>
            <w:tcMar>
              <w:top w:w="57" w:type="dxa"/>
              <w:bottom w:w="57" w:type="dxa"/>
            </w:tcMar>
            <w:vAlign w:val="bottom"/>
          </w:tcPr>
          <w:p w14:paraId="3B09E77C" w14:textId="77777777" w:rsidR="00D70162" w:rsidRPr="00E83884"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087" w:type="pct"/>
            <w:tcMar>
              <w:top w:w="57" w:type="dxa"/>
              <w:bottom w:w="57" w:type="dxa"/>
            </w:tcMar>
            <w:vAlign w:val="bottom"/>
          </w:tcPr>
          <w:p w14:paraId="060242A9"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70162" w:rsidRPr="00BC678F" w14:paraId="36E48F88" w14:textId="77777777" w:rsidTr="0048637A">
        <w:trPr>
          <w:trHeight w:val="20"/>
        </w:trPr>
        <w:tc>
          <w:tcPr>
            <w:cnfStyle w:val="001000000000" w:firstRow="0" w:lastRow="0" w:firstColumn="1" w:lastColumn="0" w:oddVBand="0" w:evenVBand="0" w:oddHBand="0" w:evenHBand="0" w:firstRowFirstColumn="0" w:firstRowLastColumn="0" w:lastRowFirstColumn="0" w:lastRowLastColumn="0"/>
            <w:tcW w:w="2397" w:type="pct"/>
            <w:tcBorders>
              <w:bottom w:val="single" w:sz="4" w:space="0" w:color="auto"/>
            </w:tcBorders>
            <w:tcMar>
              <w:top w:w="57" w:type="dxa"/>
              <w:bottom w:w="57" w:type="dxa"/>
            </w:tcMar>
            <w:vAlign w:val="bottom"/>
          </w:tcPr>
          <w:p w14:paraId="40227D00" w14:textId="77777777" w:rsidR="00D70162" w:rsidRPr="002D1A2F" w:rsidRDefault="00D70162">
            <w:pPr>
              <w:rPr>
                <w:rFonts w:ascii="Arial" w:hAnsi="Arial" w:cs="Arial"/>
                <w:sz w:val="20"/>
                <w:szCs w:val="20"/>
              </w:rPr>
            </w:pPr>
            <w:r w:rsidRPr="00DC2064">
              <w:rPr>
                <w:rFonts w:ascii="Arial" w:hAnsi="Arial" w:cs="Arial"/>
                <w:sz w:val="20"/>
                <w:szCs w:val="20"/>
              </w:rPr>
              <w:t>Trade and other payables</w:t>
            </w:r>
          </w:p>
        </w:tc>
        <w:tc>
          <w:tcPr>
            <w:tcW w:w="391" w:type="pct"/>
            <w:tcBorders>
              <w:bottom w:val="single" w:sz="4" w:space="0" w:color="auto"/>
            </w:tcBorders>
            <w:tcMar>
              <w:top w:w="57" w:type="dxa"/>
              <w:bottom w:w="57" w:type="dxa"/>
            </w:tcMar>
            <w:vAlign w:val="bottom"/>
          </w:tcPr>
          <w:p w14:paraId="0622362E"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1125" w:type="pct"/>
            <w:tcBorders>
              <w:bottom w:val="single" w:sz="4" w:space="0" w:color="auto"/>
            </w:tcBorders>
            <w:tcMar>
              <w:top w:w="57" w:type="dxa"/>
              <w:bottom w:w="57" w:type="dxa"/>
            </w:tcMar>
            <w:vAlign w:val="bottom"/>
          </w:tcPr>
          <w:p w14:paraId="698539A2" w14:textId="5FBE59C5" w:rsidR="00D70162" w:rsidRPr="00E83884" w:rsidRDefault="005071A9" w:rsidP="005071A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w:t>
            </w:r>
            <w:r w:rsidR="00680D78">
              <w:rPr>
                <w:rFonts w:ascii="Arial" w:hAnsi="Arial" w:cs="Arial"/>
                <w:b/>
                <w:sz w:val="20"/>
                <w:szCs w:val="20"/>
              </w:rPr>
              <w:t>,7</w:t>
            </w:r>
            <w:r>
              <w:rPr>
                <w:rFonts w:ascii="Arial" w:hAnsi="Arial" w:cs="Arial"/>
                <w:b/>
                <w:sz w:val="20"/>
                <w:szCs w:val="20"/>
              </w:rPr>
              <w:t>16</w:t>
            </w:r>
          </w:p>
        </w:tc>
        <w:tc>
          <w:tcPr>
            <w:tcW w:w="1087" w:type="pct"/>
            <w:tcBorders>
              <w:bottom w:val="single" w:sz="4" w:space="0" w:color="auto"/>
            </w:tcBorders>
            <w:tcMar>
              <w:top w:w="57" w:type="dxa"/>
              <w:bottom w:w="57" w:type="dxa"/>
            </w:tcMar>
            <w:vAlign w:val="bottom"/>
          </w:tcPr>
          <w:p w14:paraId="3700DB29" w14:textId="4DAFC5AB" w:rsidR="00D70162" w:rsidRPr="002D1A2F" w:rsidRDefault="001100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1,834</w:t>
            </w:r>
          </w:p>
        </w:tc>
      </w:tr>
      <w:tr w:rsidR="00D70162" w:rsidRPr="00BC678F" w14:paraId="50B0CB91" w14:textId="77777777" w:rsidTr="0048637A">
        <w:trPr>
          <w:trHeight w:val="20"/>
        </w:trPr>
        <w:tc>
          <w:tcPr>
            <w:cnfStyle w:val="001000000000" w:firstRow="0" w:lastRow="0" w:firstColumn="1" w:lastColumn="0" w:oddVBand="0" w:evenVBand="0" w:oddHBand="0" w:evenHBand="0" w:firstRowFirstColumn="0" w:firstRowLastColumn="0" w:lastRowFirstColumn="0" w:lastRowLastColumn="0"/>
            <w:tcW w:w="2397" w:type="pct"/>
            <w:tcBorders>
              <w:top w:val="single" w:sz="4" w:space="0" w:color="auto"/>
              <w:bottom w:val="single" w:sz="4" w:space="0" w:color="auto"/>
            </w:tcBorders>
            <w:tcMar>
              <w:top w:w="57" w:type="dxa"/>
              <w:bottom w:w="57" w:type="dxa"/>
            </w:tcMar>
            <w:vAlign w:val="bottom"/>
          </w:tcPr>
          <w:p w14:paraId="796333DD" w14:textId="77777777" w:rsidR="00D70162" w:rsidRPr="002D1A2F" w:rsidRDefault="00D70162">
            <w:pPr>
              <w:rPr>
                <w:rFonts w:ascii="Arial" w:hAnsi="Arial" w:cs="Arial"/>
                <w:b/>
                <w:sz w:val="20"/>
                <w:szCs w:val="20"/>
              </w:rPr>
            </w:pPr>
            <w:r w:rsidRPr="00DC2064">
              <w:rPr>
                <w:rFonts w:ascii="Arial" w:hAnsi="Arial" w:cs="Arial"/>
                <w:b/>
                <w:sz w:val="20"/>
                <w:szCs w:val="20"/>
              </w:rPr>
              <w:t>Total current liabilities</w:t>
            </w:r>
          </w:p>
        </w:tc>
        <w:tc>
          <w:tcPr>
            <w:tcW w:w="391" w:type="pct"/>
            <w:tcBorders>
              <w:top w:val="single" w:sz="4" w:space="0" w:color="auto"/>
              <w:bottom w:val="single" w:sz="4" w:space="0" w:color="auto"/>
            </w:tcBorders>
            <w:tcMar>
              <w:top w:w="57" w:type="dxa"/>
              <w:bottom w:w="57" w:type="dxa"/>
            </w:tcMar>
            <w:vAlign w:val="bottom"/>
          </w:tcPr>
          <w:p w14:paraId="6DC98EDB"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1125" w:type="pct"/>
            <w:tcBorders>
              <w:top w:val="single" w:sz="4" w:space="0" w:color="auto"/>
              <w:bottom w:val="single" w:sz="4" w:space="0" w:color="auto"/>
            </w:tcBorders>
            <w:tcMar>
              <w:top w:w="57" w:type="dxa"/>
              <w:bottom w:w="57" w:type="dxa"/>
            </w:tcMar>
            <w:vAlign w:val="bottom"/>
          </w:tcPr>
          <w:p w14:paraId="687A6536" w14:textId="2486CFCB" w:rsidR="00D70162" w:rsidRPr="00E83884" w:rsidRDefault="005071A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4,716</w:t>
            </w:r>
          </w:p>
        </w:tc>
        <w:tc>
          <w:tcPr>
            <w:tcW w:w="1087" w:type="pct"/>
            <w:tcBorders>
              <w:top w:val="single" w:sz="4" w:space="0" w:color="auto"/>
              <w:bottom w:val="single" w:sz="4" w:space="0" w:color="auto"/>
            </w:tcBorders>
            <w:tcMar>
              <w:top w:w="57" w:type="dxa"/>
              <w:bottom w:w="57" w:type="dxa"/>
            </w:tcMar>
            <w:vAlign w:val="bottom"/>
          </w:tcPr>
          <w:p w14:paraId="3A89B9FC" w14:textId="131A8FF6" w:rsidR="00D70162" w:rsidRPr="002D1A2F" w:rsidRDefault="001100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1,834</w:t>
            </w:r>
          </w:p>
        </w:tc>
      </w:tr>
      <w:tr w:rsidR="00D70162" w:rsidRPr="00BC678F" w14:paraId="5182861E" w14:textId="77777777" w:rsidTr="0048637A">
        <w:trPr>
          <w:trHeight w:val="20"/>
        </w:trPr>
        <w:tc>
          <w:tcPr>
            <w:cnfStyle w:val="001000000000" w:firstRow="0" w:lastRow="0" w:firstColumn="1" w:lastColumn="0" w:oddVBand="0" w:evenVBand="0" w:oddHBand="0" w:evenHBand="0" w:firstRowFirstColumn="0" w:firstRowLastColumn="0" w:lastRowFirstColumn="0" w:lastRowLastColumn="0"/>
            <w:tcW w:w="2397" w:type="pct"/>
            <w:tcBorders>
              <w:top w:val="single" w:sz="4" w:space="0" w:color="auto"/>
            </w:tcBorders>
            <w:tcMar>
              <w:top w:w="57" w:type="dxa"/>
              <w:bottom w:w="57" w:type="dxa"/>
            </w:tcMar>
            <w:vAlign w:val="bottom"/>
          </w:tcPr>
          <w:p w14:paraId="297E5D68" w14:textId="77777777" w:rsidR="00D70162" w:rsidRPr="00DC2064" w:rsidRDefault="00D70162">
            <w:pPr>
              <w:rPr>
                <w:rFonts w:ascii="Arial" w:hAnsi="Arial" w:cs="Arial"/>
                <w:b/>
                <w:sz w:val="20"/>
                <w:szCs w:val="20"/>
              </w:rPr>
            </w:pPr>
          </w:p>
        </w:tc>
        <w:tc>
          <w:tcPr>
            <w:tcW w:w="391" w:type="pct"/>
            <w:tcBorders>
              <w:top w:val="single" w:sz="4" w:space="0" w:color="auto"/>
            </w:tcBorders>
            <w:tcMar>
              <w:top w:w="57" w:type="dxa"/>
              <w:bottom w:w="57" w:type="dxa"/>
            </w:tcMar>
            <w:vAlign w:val="bottom"/>
          </w:tcPr>
          <w:p w14:paraId="6FD22F8D"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1125" w:type="pct"/>
            <w:tcBorders>
              <w:top w:val="single" w:sz="4" w:space="0" w:color="auto"/>
            </w:tcBorders>
            <w:tcMar>
              <w:top w:w="57" w:type="dxa"/>
              <w:bottom w:w="57" w:type="dxa"/>
            </w:tcMar>
            <w:vAlign w:val="bottom"/>
          </w:tcPr>
          <w:p w14:paraId="6D772D14" w14:textId="77777777" w:rsidR="00D70162" w:rsidRPr="00E83884"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087" w:type="pct"/>
            <w:tcBorders>
              <w:top w:val="single" w:sz="4" w:space="0" w:color="auto"/>
            </w:tcBorders>
            <w:tcMar>
              <w:top w:w="57" w:type="dxa"/>
              <w:bottom w:w="57" w:type="dxa"/>
            </w:tcMar>
            <w:vAlign w:val="bottom"/>
          </w:tcPr>
          <w:p w14:paraId="10095806"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70162" w:rsidRPr="00BC678F" w14:paraId="50DFEDF1" w14:textId="77777777" w:rsidTr="0048637A">
        <w:trPr>
          <w:trHeight w:val="20"/>
        </w:trPr>
        <w:tc>
          <w:tcPr>
            <w:cnfStyle w:val="001000000000" w:firstRow="0" w:lastRow="0" w:firstColumn="1" w:lastColumn="0" w:oddVBand="0" w:evenVBand="0" w:oddHBand="0" w:evenHBand="0" w:firstRowFirstColumn="0" w:firstRowLastColumn="0" w:lastRowFirstColumn="0" w:lastRowLastColumn="0"/>
            <w:tcW w:w="2397" w:type="pct"/>
            <w:tcBorders>
              <w:bottom w:val="single" w:sz="4" w:space="0" w:color="auto"/>
            </w:tcBorders>
            <w:tcMar>
              <w:top w:w="57" w:type="dxa"/>
              <w:bottom w:w="57" w:type="dxa"/>
            </w:tcMar>
            <w:vAlign w:val="bottom"/>
          </w:tcPr>
          <w:p w14:paraId="175FFF9F" w14:textId="77777777" w:rsidR="00D70162" w:rsidRPr="002D1A2F" w:rsidRDefault="00D70162">
            <w:pPr>
              <w:rPr>
                <w:rFonts w:ascii="Arial" w:hAnsi="Arial" w:cs="Arial"/>
                <w:b/>
                <w:sz w:val="20"/>
                <w:szCs w:val="20"/>
              </w:rPr>
            </w:pPr>
            <w:r>
              <w:rPr>
                <w:rFonts w:ascii="Arial" w:hAnsi="Arial" w:cs="Arial"/>
                <w:b/>
                <w:sz w:val="20"/>
                <w:szCs w:val="20"/>
              </w:rPr>
              <w:t>Total liabilities</w:t>
            </w:r>
          </w:p>
        </w:tc>
        <w:tc>
          <w:tcPr>
            <w:tcW w:w="391" w:type="pct"/>
            <w:tcBorders>
              <w:bottom w:val="single" w:sz="4" w:space="0" w:color="auto"/>
            </w:tcBorders>
            <w:tcMar>
              <w:top w:w="57" w:type="dxa"/>
              <w:bottom w:w="57" w:type="dxa"/>
            </w:tcMar>
            <w:vAlign w:val="bottom"/>
          </w:tcPr>
          <w:p w14:paraId="58DE3E9E"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1125" w:type="pct"/>
            <w:tcBorders>
              <w:bottom w:val="single" w:sz="4" w:space="0" w:color="auto"/>
            </w:tcBorders>
            <w:tcMar>
              <w:top w:w="57" w:type="dxa"/>
              <w:bottom w:w="57" w:type="dxa"/>
            </w:tcMar>
            <w:vAlign w:val="bottom"/>
          </w:tcPr>
          <w:p w14:paraId="611514A7" w14:textId="62DE6C38" w:rsidR="00D70162" w:rsidRPr="00E83884" w:rsidRDefault="005071A9" w:rsidP="00E9791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4,716</w:t>
            </w:r>
          </w:p>
        </w:tc>
        <w:tc>
          <w:tcPr>
            <w:tcW w:w="1087" w:type="pct"/>
            <w:tcBorders>
              <w:bottom w:val="single" w:sz="4" w:space="0" w:color="auto"/>
            </w:tcBorders>
            <w:tcMar>
              <w:top w:w="57" w:type="dxa"/>
              <w:bottom w:w="57" w:type="dxa"/>
            </w:tcMar>
            <w:vAlign w:val="bottom"/>
          </w:tcPr>
          <w:p w14:paraId="00C64208" w14:textId="3077F33C" w:rsidR="00D70162" w:rsidRPr="002D1A2F" w:rsidRDefault="001100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1,834</w:t>
            </w:r>
          </w:p>
        </w:tc>
      </w:tr>
      <w:tr w:rsidR="00D70162" w:rsidRPr="00BC678F" w14:paraId="32EBE4D2" w14:textId="77777777" w:rsidTr="0048637A">
        <w:trPr>
          <w:trHeight w:val="20"/>
        </w:trPr>
        <w:tc>
          <w:tcPr>
            <w:cnfStyle w:val="001000000000" w:firstRow="0" w:lastRow="0" w:firstColumn="1" w:lastColumn="0" w:oddVBand="0" w:evenVBand="0" w:oddHBand="0" w:evenHBand="0" w:firstRowFirstColumn="0" w:firstRowLastColumn="0" w:lastRowFirstColumn="0" w:lastRowLastColumn="0"/>
            <w:tcW w:w="2397" w:type="pct"/>
            <w:tcBorders>
              <w:top w:val="single" w:sz="4" w:space="0" w:color="auto"/>
            </w:tcBorders>
            <w:tcMar>
              <w:top w:w="57" w:type="dxa"/>
              <w:bottom w:w="57" w:type="dxa"/>
            </w:tcMar>
            <w:vAlign w:val="bottom"/>
          </w:tcPr>
          <w:p w14:paraId="39B829DE" w14:textId="77777777" w:rsidR="00D70162" w:rsidRPr="00DC2064" w:rsidRDefault="00D70162">
            <w:pPr>
              <w:rPr>
                <w:rFonts w:ascii="Arial" w:hAnsi="Arial" w:cs="Arial"/>
                <w:b/>
                <w:sz w:val="20"/>
                <w:szCs w:val="20"/>
              </w:rPr>
            </w:pPr>
          </w:p>
        </w:tc>
        <w:tc>
          <w:tcPr>
            <w:tcW w:w="391" w:type="pct"/>
            <w:tcBorders>
              <w:top w:val="single" w:sz="4" w:space="0" w:color="auto"/>
            </w:tcBorders>
            <w:tcMar>
              <w:top w:w="57" w:type="dxa"/>
              <w:bottom w:w="57" w:type="dxa"/>
            </w:tcMar>
            <w:vAlign w:val="bottom"/>
          </w:tcPr>
          <w:p w14:paraId="692AFD7E"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1125" w:type="pct"/>
            <w:tcBorders>
              <w:top w:val="single" w:sz="4" w:space="0" w:color="auto"/>
            </w:tcBorders>
            <w:tcMar>
              <w:top w:w="57" w:type="dxa"/>
              <w:bottom w:w="57" w:type="dxa"/>
            </w:tcMar>
            <w:vAlign w:val="bottom"/>
          </w:tcPr>
          <w:p w14:paraId="314BAE6E" w14:textId="77777777" w:rsidR="00D70162" w:rsidRPr="00E83884"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087" w:type="pct"/>
            <w:tcBorders>
              <w:top w:val="single" w:sz="4" w:space="0" w:color="auto"/>
            </w:tcBorders>
            <w:tcMar>
              <w:top w:w="57" w:type="dxa"/>
              <w:bottom w:w="57" w:type="dxa"/>
            </w:tcMar>
            <w:vAlign w:val="bottom"/>
          </w:tcPr>
          <w:p w14:paraId="3F6F7BC4"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70162" w:rsidRPr="00BC678F" w14:paraId="19769E37" w14:textId="77777777" w:rsidTr="0048637A">
        <w:trPr>
          <w:trHeight w:val="20"/>
        </w:trPr>
        <w:tc>
          <w:tcPr>
            <w:cnfStyle w:val="001000000000" w:firstRow="0" w:lastRow="0" w:firstColumn="1" w:lastColumn="0" w:oddVBand="0" w:evenVBand="0" w:oddHBand="0" w:evenHBand="0" w:firstRowFirstColumn="0" w:firstRowLastColumn="0" w:lastRowFirstColumn="0" w:lastRowLastColumn="0"/>
            <w:tcW w:w="2397" w:type="pct"/>
            <w:tcBorders>
              <w:bottom w:val="single" w:sz="4" w:space="0" w:color="auto"/>
            </w:tcBorders>
            <w:tcMar>
              <w:top w:w="57" w:type="dxa"/>
              <w:bottom w:w="57" w:type="dxa"/>
            </w:tcMar>
            <w:vAlign w:val="bottom"/>
          </w:tcPr>
          <w:p w14:paraId="1EB6253B" w14:textId="77777777" w:rsidR="00D70162" w:rsidRPr="002D1A2F" w:rsidRDefault="00D70162">
            <w:pPr>
              <w:rPr>
                <w:rFonts w:ascii="Arial" w:hAnsi="Arial" w:cs="Arial"/>
                <w:b/>
                <w:sz w:val="20"/>
                <w:szCs w:val="20"/>
              </w:rPr>
            </w:pPr>
            <w:r>
              <w:rPr>
                <w:rFonts w:ascii="Arial" w:hAnsi="Arial" w:cs="Arial"/>
                <w:b/>
                <w:sz w:val="20"/>
                <w:szCs w:val="20"/>
              </w:rPr>
              <w:t>Net assets</w:t>
            </w:r>
          </w:p>
        </w:tc>
        <w:tc>
          <w:tcPr>
            <w:tcW w:w="391" w:type="pct"/>
            <w:tcBorders>
              <w:bottom w:val="single" w:sz="4" w:space="0" w:color="auto"/>
            </w:tcBorders>
            <w:tcMar>
              <w:top w:w="57" w:type="dxa"/>
              <w:bottom w:w="57" w:type="dxa"/>
            </w:tcMar>
            <w:vAlign w:val="bottom"/>
          </w:tcPr>
          <w:p w14:paraId="4CBF1336"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1125" w:type="pct"/>
            <w:tcBorders>
              <w:bottom w:val="single" w:sz="4" w:space="0" w:color="auto"/>
            </w:tcBorders>
            <w:tcMar>
              <w:top w:w="57" w:type="dxa"/>
              <w:bottom w:w="57" w:type="dxa"/>
            </w:tcMar>
            <w:vAlign w:val="bottom"/>
          </w:tcPr>
          <w:p w14:paraId="5950E318" w14:textId="09EA9982" w:rsidR="00D70162" w:rsidRPr="00E83884" w:rsidRDefault="00680D78" w:rsidP="00AD3761">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378,</w:t>
            </w:r>
            <w:r w:rsidR="005071A9">
              <w:rPr>
                <w:rFonts w:ascii="Arial" w:hAnsi="Arial" w:cs="Arial"/>
                <w:b/>
                <w:sz w:val="20"/>
                <w:szCs w:val="20"/>
              </w:rPr>
              <w:t>77</w:t>
            </w:r>
            <w:r>
              <w:rPr>
                <w:rFonts w:ascii="Arial" w:hAnsi="Arial" w:cs="Arial"/>
                <w:b/>
                <w:sz w:val="20"/>
                <w:szCs w:val="20"/>
              </w:rPr>
              <w:t>1</w:t>
            </w:r>
          </w:p>
        </w:tc>
        <w:tc>
          <w:tcPr>
            <w:tcW w:w="1087" w:type="pct"/>
            <w:tcBorders>
              <w:bottom w:val="single" w:sz="4" w:space="0" w:color="auto"/>
            </w:tcBorders>
            <w:tcMar>
              <w:top w:w="57" w:type="dxa"/>
              <w:bottom w:w="57" w:type="dxa"/>
            </w:tcMar>
            <w:vAlign w:val="bottom"/>
          </w:tcPr>
          <w:p w14:paraId="0F24FFD1" w14:textId="376C53EC" w:rsidR="00D70162" w:rsidRPr="002D1A2F" w:rsidRDefault="001100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771,692</w:t>
            </w:r>
          </w:p>
        </w:tc>
      </w:tr>
      <w:tr w:rsidR="00D70162" w:rsidRPr="00BC678F" w14:paraId="28D66A71" w14:textId="77777777" w:rsidTr="0048637A">
        <w:trPr>
          <w:trHeight w:val="20"/>
        </w:trPr>
        <w:tc>
          <w:tcPr>
            <w:cnfStyle w:val="001000000000" w:firstRow="0" w:lastRow="0" w:firstColumn="1" w:lastColumn="0" w:oddVBand="0" w:evenVBand="0" w:oddHBand="0" w:evenHBand="0" w:firstRowFirstColumn="0" w:firstRowLastColumn="0" w:lastRowFirstColumn="0" w:lastRowLastColumn="0"/>
            <w:tcW w:w="2397" w:type="pct"/>
            <w:tcBorders>
              <w:top w:val="single" w:sz="4" w:space="0" w:color="auto"/>
            </w:tcBorders>
            <w:tcMar>
              <w:top w:w="57" w:type="dxa"/>
              <w:bottom w:w="57" w:type="dxa"/>
            </w:tcMar>
            <w:vAlign w:val="bottom"/>
          </w:tcPr>
          <w:p w14:paraId="76A05AAD" w14:textId="77777777" w:rsidR="00D70162" w:rsidRPr="00DC2064" w:rsidRDefault="00D70162">
            <w:pPr>
              <w:rPr>
                <w:rFonts w:ascii="Arial" w:hAnsi="Arial" w:cs="Arial"/>
                <w:sz w:val="20"/>
                <w:szCs w:val="20"/>
              </w:rPr>
            </w:pPr>
          </w:p>
        </w:tc>
        <w:tc>
          <w:tcPr>
            <w:tcW w:w="391" w:type="pct"/>
            <w:tcBorders>
              <w:top w:val="single" w:sz="4" w:space="0" w:color="auto"/>
            </w:tcBorders>
            <w:tcMar>
              <w:top w:w="57" w:type="dxa"/>
              <w:bottom w:w="57" w:type="dxa"/>
            </w:tcMar>
            <w:vAlign w:val="bottom"/>
          </w:tcPr>
          <w:p w14:paraId="00C38F9E"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1125" w:type="pct"/>
            <w:tcBorders>
              <w:top w:val="single" w:sz="4" w:space="0" w:color="auto"/>
            </w:tcBorders>
            <w:tcMar>
              <w:top w:w="57" w:type="dxa"/>
              <w:bottom w:w="57" w:type="dxa"/>
            </w:tcMar>
            <w:vAlign w:val="bottom"/>
          </w:tcPr>
          <w:p w14:paraId="6969621C" w14:textId="77777777" w:rsidR="00D70162" w:rsidRPr="00E83884"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087" w:type="pct"/>
            <w:tcBorders>
              <w:top w:val="single" w:sz="4" w:space="0" w:color="auto"/>
            </w:tcBorders>
            <w:tcMar>
              <w:top w:w="57" w:type="dxa"/>
              <w:bottom w:w="57" w:type="dxa"/>
            </w:tcMar>
            <w:vAlign w:val="bottom"/>
          </w:tcPr>
          <w:p w14:paraId="0AE5B17B"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70162" w:rsidRPr="00BC678F" w14:paraId="4B3682DB" w14:textId="77777777" w:rsidTr="0048637A">
        <w:trPr>
          <w:trHeight w:val="20"/>
        </w:trPr>
        <w:tc>
          <w:tcPr>
            <w:cnfStyle w:val="001000000000" w:firstRow="0" w:lastRow="0" w:firstColumn="1" w:lastColumn="0" w:oddVBand="0" w:evenVBand="0" w:oddHBand="0" w:evenHBand="0" w:firstRowFirstColumn="0" w:firstRowLastColumn="0" w:lastRowFirstColumn="0" w:lastRowLastColumn="0"/>
            <w:tcW w:w="2397" w:type="pct"/>
            <w:tcMar>
              <w:top w:w="57" w:type="dxa"/>
              <w:bottom w:w="57" w:type="dxa"/>
            </w:tcMar>
            <w:vAlign w:val="bottom"/>
          </w:tcPr>
          <w:p w14:paraId="44BE31B7" w14:textId="77777777" w:rsidR="00D70162" w:rsidRPr="002D1A2F" w:rsidRDefault="00D70162">
            <w:pPr>
              <w:rPr>
                <w:rFonts w:ascii="Arial" w:hAnsi="Arial" w:cs="Arial"/>
                <w:b/>
                <w:sz w:val="20"/>
                <w:szCs w:val="20"/>
              </w:rPr>
            </w:pPr>
            <w:r>
              <w:rPr>
                <w:rFonts w:ascii="Arial" w:hAnsi="Arial" w:cs="Arial"/>
                <w:b/>
                <w:sz w:val="20"/>
                <w:szCs w:val="20"/>
              </w:rPr>
              <w:t>Equity</w:t>
            </w:r>
          </w:p>
        </w:tc>
        <w:tc>
          <w:tcPr>
            <w:tcW w:w="391" w:type="pct"/>
            <w:tcMar>
              <w:top w:w="57" w:type="dxa"/>
              <w:bottom w:w="57" w:type="dxa"/>
            </w:tcMar>
            <w:vAlign w:val="bottom"/>
          </w:tcPr>
          <w:p w14:paraId="4F8609F4"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1125" w:type="pct"/>
            <w:tcMar>
              <w:top w:w="57" w:type="dxa"/>
              <w:bottom w:w="57" w:type="dxa"/>
            </w:tcMar>
            <w:vAlign w:val="bottom"/>
          </w:tcPr>
          <w:p w14:paraId="6438B2A0" w14:textId="77777777" w:rsidR="00D70162" w:rsidRPr="00E83884"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087" w:type="pct"/>
            <w:tcMar>
              <w:top w:w="57" w:type="dxa"/>
              <w:bottom w:w="57" w:type="dxa"/>
            </w:tcMar>
            <w:vAlign w:val="bottom"/>
          </w:tcPr>
          <w:p w14:paraId="6E298DEC"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70162" w:rsidRPr="00BC678F" w14:paraId="5870BDA2" w14:textId="77777777" w:rsidTr="0048637A">
        <w:trPr>
          <w:trHeight w:val="20"/>
        </w:trPr>
        <w:tc>
          <w:tcPr>
            <w:cnfStyle w:val="001000000000" w:firstRow="0" w:lastRow="0" w:firstColumn="1" w:lastColumn="0" w:oddVBand="0" w:evenVBand="0" w:oddHBand="0" w:evenHBand="0" w:firstRowFirstColumn="0" w:firstRowLastColumn="0" w:lastRowFirstColumn="0" w:lastRowLastColumn="0"/>
            <w:tcW w:w="2397" w:type="pct"/>
            <w:tcMar>
              <w:top w:w="57" w:type="dxa"/>
              <w:bottom w:w="57" w:type="dxa"/>
            </w:tcMar>
            <w:vAlign w:val="bottom"/>
          </w:tcPr>
          <w:p w14:paraId="0546E999" w14:textId="77777777" w:rsidR="00D70162" w:rsidRPr="002D1A2F" w:rsidRDefault="00D70162">
            <w:pPr>
              <w:rPr>
                <w:rFonts w:ascii="Arial" w:hAnsi="Arial" w:cs="Arial"/>
                <w:sz w:val="20"/>
                <w:szCs w:val="20"/>
              </w:rPr>
            </w:pPr>
            <w:r w:rsidRPr="00DC2064">
              <w:rPr>
                <w:rFonts w:ascii="Arial" w:hAnsi="Arial" w:cs="Arial"/>
                <w:sz w:val="20"/>
                <w:szCs w:val="20"/>
              </w:rPr>
              <w:t>Share capital</w:t>
            </w:r>
          </w:p>
        </w:tc>
        <w:tc>
          <w:tcPr>
            <w:tcW w:w="391" w:type="pct"/>
            <w:tcMar>
              <w:top w:w="57" w:type="dxa"/>
              <w:bottom w:w="57" w:type="dxa"/>
            </w:tcMar>
            <w:vAlign w:val="bottom"/>
          </w:tcPr>
          <w:p w14:paraId="0C7C447D"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1125" w:type="pct"/>
            <w:tcMar>
              <w:top w:w="57" w:type="dxa"/>
              <w:bottom w:w="57" w:type="dxa"/>
            </w:tcMar>
            <w:vAlign w:val="bottom"/>
          </w:tcPr>
          <w:p w14:paraId="165C21D7" w14:textId="6FE33DA3" w:rsidR="00D70162" w:rsidRPr="00E83884" w:rsidRDefault="00680D78" w:rsidP="00E9791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1,208,818</w:t>
            </w:r>
          </w:p>
        </w:tc>
        <w:tc>
          <w:tcPr>
            <w:tcW w:w="1087" w:type="pct"/>
            <w:tcMar>
              <w:top w:w="57" w:type="dxa"/>
              <w:bottom w:w="57" w:type="dxa"/>
            </w:tcMar>
            <w:vAlign w:val="bottom"/>
          </w:tcPr>
          <w:p w14:paraId="678AF1F2" w14:textId="4B348F29" w:rsidR="00D70162" w:rsidRPr="002D1A2F" w:rsidRDefault="00F60C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r w:rsidR="00721532">
              <w:rPr>
                <w:rFonts w:ascii="Arial" w:hAnsi="Arial" w:cs="Arial"/>
                <w:sz w:val="20"/>
                <w:szCs w:val="20"/>
              </w:rPr>
              <w:t>246</w:t>
            </w:r>
            <w:r>
              <w:rPr>
                <w:rFonts w:ascii="Arial" w:hAnsi="Arial" w:cs="Arial"/>
                <w:sz w:val="20"/>
                <w:szCs w:val="20"/>
              </w:rPr>
              <w:t>,</w:t>
            </w:r>
            <w:r w:rsidR="00721532">
              <w:rPr>
                <w:rFonts w:ascii="Arial" w:hAnsi="Arial" w:cs="Arial"/>
                <w:sz w:val="20"/>
                <w:szCs w:val="20"/>
              </w:rPr>
              <w:t>559</w:t>
            </w:r>
          </w:p>
        </w:tc>
      </w:tr>
      <w:tr w:rsidR="00D70162" w:rsidRPr="00BC678F" w14:paraId="3E2E0BFF" w14:textId="77777777" w:rsidTr="0048637A">
        <w:trPr>
          <w:trHeight w:val="20"/>
        </w:trPr>
        <w:tc>
          <w:tcPr>
            <w:cnfStyle w:val="001000000000" w:firstRow="0" w:lastRow="0" w:firstColumn="1" w:lastColumn="0" w:oddVBand="0" w:evenVBand="0" w:oddHBand="0" w:evenHBand="0" w:firstRowFirstColumn="0" w:firstRowLastColumn="0" w:lastRowFirstColumn="0" w:lastRowLastColumn="0"/>
            <w:tcW w:w="2397" w:type="pct"/>
            <w:tcBorders>
              <w:bottom w:val="single" w:sz="4" w:space="0" w:color="auto"/>
            </w:tcBorders>
            <w:tcMar>
              <w:top w:w="57" w:type="dxa"/>
              <w:bottom w:w="57" w:type="dxa"/>
            </w:tcMar>
            <w:vAlign w:val="bottom"/>
          </w:tcPr>
          <w:p w14:paraId="7827DF31" w14:textId="57386B87" w:rsidR="00D70162" w:rsidRPr="002D1A2F" w:rsidRDefault="00D70162" w:rsidP="007B1A27">
            <w:pPr>
              <w:rPr>
                <w:rFonts w:ascii="Arial" w:hAnsi="Arial" w:cs="Arial"/>
                <w:sz w:val="20"/>
                <w:szCs w:val="20"/>
              </w:rPr>
            </w:pPr>
            <w:r w:rsidRPr="00DC2064">
              <w:rPr>
                <w:rFonts w:ascii="Arial" w:hAnsi="Arial" w:cs="Arial"/>
                <w:sz w:val="20"/>
                <w:szCs w:val="20"/>
              </w:rPr>
              <w:t xml:space="preserve">Retained </w:t>
            </w:r>
            <w:r w:rsidR="007B1A27">
              <w:rPr>
                <w:rFonts w:ascii="Arial" w:hAnsi="Arial" w:cs="Arial"/>
                <w:sz w:val="20"/>
                <w:szCs w:val="20"/>
              </w:rPr>
              <w:t>deficit</w:t>
            </w:r>
          </w:p>
        </w:tc>
        <w:tc>
          <w:tcPr>
            <w:tcW w:w="391" w:type="pct"/>
            <w:tcBorders>
              <w:bottom w:val="single" w:sz="4" w:space="0" w:color="auto"/>
            </w:tcBorders>
            <w:tcMar>
              <w:top w:w="57" w:type="dxa"/>
              <w:bottom w:w="57" w:type="dxa"/>
            </w:tcMar>
            <w:vAlign w:val="bottom"/>
          </w:tcPr>
          <w:p w14:paraId="2CAA57DC"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1125" w:type="pct"/>
            <w:tcBorders>
              <w:bottom w:val="single" w:sz="4" w:space="0" w:color="auto"/>
            </w:tcBorders>
            <w:tcMar>
              <w:top w:w="57" w:type="dxa"/>
              <w:bottom w:w="57" w:type="dxa"/>
            </w:tcMar>
            <w:vAlign w:val="bottom"/>
          </w:tcPr>
          <w:p w14:paraId="1DF94C8B" w14:textId="080FB8B1" w:rsidR="00D70162" w:rsidRPr="00E83884" w:rsidRDefault="00680D78">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(830,</w:t>
            </w:r>
            <w:r w:rsidR="005071A9">
              <w:rPr>
                <w:rFonts w:ascii="Arial" w:hAnsi="Arial" w:cs="Arial"/>
                <w:b/>
                <w:sz w:val="20"/>
                <w:szCs w:val="20"/>
              </w:rPr>
              <w:t>047</w:t>
            </w:r>
            <w:r>
              <w:rPr>
                <w:rFonts w:ascii="Arial" w:hAnsi="Arial" w:cs="Arial"/>
                <w:b/>
                <w:sz w:val="20"/>
                <w:szCs w:val="20"/>
              </w:rPr>
              <w:t>)</w:t>
            </w:r>
          </w:p>
        </w:tc>
        <w:tc>
          <w:tcPr>
            <w:tcW w:w="1087" w:type="pct"/>
            <w:tcBorders>
              <w:bottom w:val="single" w:sz="4" w:space="0" w:color="auto"/>
            </w:tcBorders>
            <w:tcMar>
              <w:top w:w="57" w:type="dxa"/>
              <w:bottom w:w="57" w:type="dxa"/>
            </w:tcMar>
            <w:vAlign w:val="bottom"/>
          </w:tcPr>
          <w:p w14:paraId="7FFA3E1E" w14:textId="418AC8D5" w:rsidR="00D70162" w:rsidRPr="002D1A2F" w:rsidRDefault="001100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(474,867)</w:t>
            </w:r>
          </w:p>
        </w:tc>
      </w:tr>
      <w:tr w:rsidR="00D70162" w:rsidRPr="00BC678F" w14:paraId="56C2A8D6" w14:textId="77777777" w:rsidTr="0048637A">
        <w:trPr>
          <w:trHeight w:val="20"/>
        </w:trPr>
        <w:tc>
          <w:tcPr>
            <w:cnfStyle w:val="001000000000" w:firstRow="0" w:lastRow="0" w:firstColumn="1" w:lastColumn="0" w:oddVBand="0" w:evenVBand="0" w:oddHBand="0" w:evenHBand="0" w:firstRowFirstColumn="0" w:firstRowLastColumn="0" w:lastRowFirstColumn="0" w:lastRowLastColumn="0"/>
            <w:tcW w:w="2397" w:type="pct"/>
            <w:tcBorders>
              <w:top w:val="single" w:sz="4" w:space="0" w:color="auto"/>
              <w:bottom w:val="single" w:sz="4" w:space="0" w:color="auto"/>
            </w:tcBorders>
            <w:tcMar>
              <w:top w:w="57" w:type="dxa"/>
              <w:bottom w:w="57" w:type="dxa"/>
            </w:tcMar>
            <w:vAlign w:val="bottom"/>
          </w:tcPr>
          <w:p w14:paraId="078EFC4C" w14:textId="77777777" w:rsidR="00D70162" w:rsidRPr="002D1A2F" w:rsidRDefault="00D70162">
            <w:pPr>
              <w:rPr>
                <w:rFonts w:ascii="Arial" w:hAnsi="Arial" w:cs="Arial"/>
                <w:b/>
                <w:sz w:val="20"/>
                <w:szCs w:val="20"/>
              </w:rPr>
            </w:pPr>
            <w:r>
              <w:rPr>
                <w:rFonts w:ascii="Arial" w:hAnsi="Arial" w:cs="Arial"/>
                <w:b/>
                <w:sz w:val="20"/>
                <w:szCs w:val="20"/>
              </w:rPr>
              <w:t>Total equity</w:t>
            </w:r>
          </w:p>
        </w:tc>
        <w:tc>
          <w:tcPr>
            <w:tcW w:w="391" w:type="pct"/>
            <w:tcBorders>
              <w:top w:val="single" w:sz="4" w:space="0" w:color="auto"/>
              <w:bottom w:val="single" w:sz="4" w:space="0" w:color="auto"/>
            </w:tcBorders>
            <w:tcMar>
              <w:top w:w="57" w:type="dxa"/>
              <w:bottom w:w="57" w:type="dxa"/>
            </w:tcMar>
            <w:vAlign w:val="bottom"/>
          </w:tcPr>
          <w:p w14:paraId="1371AE1A"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1125" w:type="pct"/>
            <w:tcBorders>
              <w:top w:val="single" w:sz="4" w:space="0" w:color="auto"/>
              <w:bottom w:val="single" w:sz="4" w:space="0" w:color="auto"/>
            </w:tcBorders>
            <w:tcMar>
              <w:top w:w="57" w:type="dxa"/>
              <w:bottom w:w="57" w:type="dxa"/>
            </w:tcMar>
            <w:vAlign w:val="bottom"/>
          </w:tcPr>
          <w:p w14:paraId="0B30E1A8" w14:textId="5E2D1512" w:rsidR="00D70162" w:rsidRPr="00E83884" w:rsidRDefault="00680D78" w:rsidP="005071A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378,</w:t>
            </w:r>
            <w:r w:rsidR="005071A9">
              <w:rPr>
                <w:rFonts w:ascii="Arial" w:hAnsi="Arial" w:cs="Arial"/>
                <w:b/>
                <w:sz w:val="20"/>
                <w:szCs w:val="20"/>
              </w:rPr>
              <w:t>771</w:t>
            </w:r>
          </w:p>
        </w:tc>
        <w:tc>
          <w:tcPr>
            <w:tcW w:w="1087" w:type="pct"/>
            <w:tcBorders>
              <w:top w:val="single" w:sz="4" w:space="0" w:color="auto"/>
              <w:bottom w:val="single" w:sz="4" w:space="0" w:color="auto"/>
            </w:tcBorders>
            <w:tcMar>
              <w:top w:w="57" w:type="dxa"/>
              <w:bottom w:w="57" w:type="dxa"/>
            </w:tcMar>
            <w:vAlign w:val="bottom"/>
          </w:tcPr>
          <w:p w14:paraId="6D4DA513" w14:textId="4797CF44" w:rsidR="00D70162" w:rsidRPr="002D1A2F" w:rsidRDefault="001100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771,692</w:t>
            </w:r>
          </w:p>
        </w:tc>
      </w:tr>
      <w:tr w:rsidR="00D70162" w:rsidRPr="00BC678F" w14:paraId="6ABBB0E8" w14:textId="77777777" w:rsidTr="0048637A">
        <w:trPr>
          <w:trHeight w:val="20"/>
        </w:trPr>
        <w:tc>
          <w:tcPr>
            <w:cnfStyle w:val="001000000000" w:firstRow="0" w:lastRow="0" w:firstColumn="1" w:lastColumn="0" w:oddVBand="0" w:evenVBand="0" w:oddHBand="0" w:evenHBand="0" w:firstRowFirstColumn="0" w:firstRowLastColumn="0" w:lastRowFirstColumn="0" w:lastRowLastColumn="0"/>
            <w:tcW w:w="2397" w:type="pct"/>
            <w:tcBorders>
              <w:top w:val="single" w:sz="4" w:space="0" w:color="auto"/>
            </w:tcBorders>
            <w:tcMar>
              <w:top w:w="57" w:type="dxa"/>
              <w:bottom w:w="57" w:type="dxa"/>
            </w:tcMar>
            <w:vAlign w:val="bottom"/>
          </w:tcPr>
          <w:p w14:paraId="04D3F8FB" w14:textId="77777777" w:rsidR="00D70162" w:rsidRPr="00DC2064" w:rsidRDefault="00D70162">
            <w:pPr>
              <w:rPr>
                <w:rFonts w:ascii="Arial" w:hAnsi="Arial" w:cs="Arial"/>
                <w:sz w:val="20"/>
                <w:szCs w:val="20"/>
              </w:rPr>
            </w:pPr>
          </w:p>
        </w:tc>
        <w:tc>
          <w:tcPr>
            <w:tcW w:w="391" w:type="pct"/>
            <w:tcBorders>
              <w:top w:val="single" w:sz="4" w:space="0" w:color="auto"/>
            </w:tcBorders>
            <w:tcMar>
              <w:top w:w="57" w:type="dxa"/>
              <w:bottom w:w="57" w:type="dxa"/>
            </w:tcMar>
            <w:vAlign w:val="bottom"/>
          </w:tcPr>
          <w:p w14:paraId="5303637D"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1125" w:type="pct"/>
            <w:tcBorders>
              <w:top w:val="single" w:sz="4" w:space="0" w:color="auto"/>
            </w:tcBorders>
            <w:tcMar>
              <w:top w:w="57" w:type="dxa"/>
              <w:bottom w:w="57" w:type="dxa"/>
            </w:tcMar>
            <w:vAlign w:val="bottom"/>
          </w:tcPr>
          <w:p w14:paraId="440C95FD" w14:textId="77777777" w:rsidR="00D70162" w:rsidRPr="00E83884"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087" w:type="pct"/>
            <w:tcBorders>
              <w:top w:val="single" w:sz="4" w:space="0" w:color="auto"/>
            </w:tcBorders>
            <w:tcMar>
              <w:top w:w="57" w:type="dxa"/>
              <w:bottom w:w="57" w:type="dxa"/>
            </w:tcMar>
            <w:vAlign w:val="bottom"/>
          </w:tcPr>
          <w:p w14:paraId="31E2F41C"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70162" w:rsidRPr="00BC678F" w14:paraId="4C353EBC" w14:textId="77777777" w:rsidTr="0048637A">
        <w:trPr>
          <w:trHeight w:val="20"/>
        </w:trPr>
        <w:tc>
          <w:tcPr>
            <w:cnfStyle w:val="001000000000" w:firstRow="0" w:lastRow="0" w:firstColumn="1" w:lastColumn="0" w:oddVBand="0" w:evenVBand="0" w:oddHBand="0" w:evenHBand="0" w:firstRowFirstColumn="0" w:firstRowLastColumn="0" w:lastRowFirstColumn="0" w:lastRowLastColumn="0"/>
            <w:tcW w:w="2397" w:type="pct"/>
            <w:tcBorders>
              <w:bottom w:val="single" w:sz="12" w:space="0" w:color="auto"/>
            </w:tcBorders>
            <w:tcMar>
              <w:top w:w="57" w:type="dxa"/>
              <w:bottom w:w="57" w:type="dxa"/>
            </w:tcMar>
            <w:vAlign w:val="bottom"/>
          </w:tcPr>
          <w:p w14:paraId="3D7EB336" w14:textId="77777777" w:rsidR="00D70162" w:rsidRPr="002D1A2F" w:rsidRDefault="00D70162">
            <w:pPr>
              <w:rPr>
                <w:rFonts w:ascii="Arial" w:hAnsi="Arial" w:cs="Arial"/>
                <w:b/>
                <w:sz w:val="20"/>
                <w:szCs w:val="20"/>
              </w:rPr>
            </w:pPr>
            <w:r w:rsidRPr="00DC2064">
              <w:rPr>
                <w:rFonts w:ascii="Arial" w:hAnsi="Arial" w:cs="Arial"/>
                <w:b/>
                <w:sz w:val="20"/>
                <w:szCs w:val="20"/>
              </w:rPr>
              <w:t>Number of Shares in issue at period/year end</w:t>
            </w:r>
          </w:p>
        </w:tc>
        <w:tc>
          <w:tcPr>
            <w:tcW w:w="391" w:type="pct"/>
            <w:tcBorders>
              <w:bottom w:val="single" w:sz="12" w:space="0" w:color="auto"/>
            </w:tcBorders>
            <w:tcMar>
              <w:top w:w="57" w:type="dxa"/>
              <w:bottom w:w="57" w:type="dxa"/>
            </w:tcMar>
            <w:vAlign w:val="bottom"/>
          </w:tcPr>
          <w:p w14:paraId="40ADECEB"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2D1A2F">
              <w:rPr>
                <w:rFonts w:ascii="Arial" w:hAnsi="Arial" w:cs="Arial"/>
                <w:i/>
                <w:sz w:val="20"/>
                <w:szCs w:val="20"/>
              </w:rPr>
              <w:t>10</w:t>
            </w:r>
          </w:p>
        </w:tc>
        <w:tc>
          <w:tcPr>
            <w:tcW w:w="1125" w:type="pct"/>
            <w:tcBorders>
              <w:bottom w:val="single" w:sz="12" w:space="0" w:color="auto"/>
            </w:tcBorders>
            <w:tcMar>
              <w:top w:w="57" w:type="dxa"/>
              <w:bottom w:w="57" w:type="dxa"/>
            </w:tcMar>
            <w:vAlign w:val="bottom"/>
          </w:tcPr>
          <w:p w14:paraId="6B66C617" w14:textId="5E3651AF" w:rsidR="00D70162" w:rsidRPr="00E83884" w:rsidRDefault="00291CB7">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91CB7">
              <w:rPr>
                <w:rFonts w:ascii="Arial" w:hAnsi="Arial" w:cs="Arial"/>
                <w:b/>
                <w:sz w:val="20"/>
                <w:szCs w:val="20"/>
              </w:rPr>
              <w:t>69,085,590</w:t>
            </w:r>
          </w:p>
        </w:tc>
        <w:tc>
          <w:tcPr>
            <w:tcW w:w="1087" w:type="pct"/>
            <w:tcBorders>
              <w:bottom w:val="single" w:sz="12" w:space="0" w:color="auto"/>
            </w:tcBorders>
            <w:tcMar>
              <w:top w:w="57" w:type="dxa"/>
              <w:bottom w:w="57" w:type="dxa"/>
            </w:tcMar>
            <w:vAlign w:val="bottom"/>
          </w:tcPr>
          <w:p w14:paraId="60CA4E93" w14:textId="304525E7" w:rsidR="00D70162" w:rsidRPr="002D1A2F" w:rsidRDefault="0072153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79</w:t>
            </w:r>
            <w:r w:rsidR="00F60C87">
              <w:rPr>
                <w:rFonts w:ascii="Arial" w:hAnsi="Arial" w:cs="Arial"/>
                <w:sz w:val="20"/>
                <w:szCs w:val="20"/>
              </w:rPr>
              <w:t>,</w:t>
            </w:r>
            <w:r>
              <w:rPr>
                <w:rFonts w:ascii="Arial" w:hAnsi="Arial" w:cs="Arial"/>
                <w:sz w:val="20"/>
                <w:szCs w:val="20"/>
              </w:rPr>
              <w:t>896</w:t>
            </w:r>
            <w:r w:rsidR="00F60C87">
              <w:rPr>
                <w:rFonts w:ascii="Arial" w:hAnsi="Arial" w:cs="Arial"/>
                <w:sz w:val="20"/>
                <w:szCs w:val="20"/>
              </w:rPr>
              <w:t>,</w:t>
            </w:r>
            <w:r>
              <w:rPr>
                <w:rFonts w:ascii="Arial" w:hAnsi="Arial" w:cs="Arial"/>
                <w:sz w:val="20"/>
                <w:szCs w:val="20"/>
              </w:rPr>
              <w:t>731</w:t>
            </w:r>
          </w:p>
        </w:tc>
      </w:tr>
      <w:tr w:rsidR="00D70162" w:rsidRPr="00BC678F" w14:paraId="1147C40D" w14:textId="77777777" w:rsidTr="0048637A">
        <w:trPr>
          <w:trHeight w:val="20"/>
        </w:trPr>
        <w:tc>
          <w:tcPr>
            <w:cnfStyle w:val="001000000000" w:firstRow="0" w:lastRow="0" w:firstColumn="1" w:lastColumn="0" w:oddVBand="0" w:evenVBand="0" w:oddHBand="0" w:evenHBand="0" w:firstRowFirstColumn="0" w:firstRowLastColumn="0" w:lastRowFirstColumn="0" w:lastRowLastColumn="0"/>
            <w:tcW w:w="2397" w:type="pct"/>
            <w:tcBorders>
              <w:bottom w:val="single" w:sz="18" w:space="0" w:color="auto"/>
            </w:tcBorders>
            <w:tcMar>
              <w:top w:w="57" w:type="dxa"/>
              <w:bottom w:w="57" w:type="dxa"/>
            </w:tcMar>
            <w:vAlign w:val="bottom"/>
          </w:tcPr>
          <w:p w14:paraId="31B48A44" w14:textId="77777777" w:rsidR="00D70162" w:rsidRPr="002D1A2F" w:rsidRDefault="00D70162">
            <w:pPr>
              <w:rPr>
                <w:rFonts w:ascii="Arial" w:hAnsi="Arial" w:cs="Arial"/>
                <w:b/>
                <w:sz w:val="20"/>
                <w:szCs w:val="20"/>
              </w:rPr>
            </w:pPr>
            <w:r w:rsidRPr="00DC2064">
              <w:rPr>
                <w:rFonts w:ascii="Arial" w:hAnsi="Arial" w:cs="Arial"/>
                <w:b/>
                <w:sz w:val="20"/>
                <w:szCs w:val="20"/>
              </w:rPr>
              <w:t>Net Asset Value per Share ($)</w:t>
            </w:r>
          </w:p>
        </w:tc>
        <w:tc>
          <w:tcPr>
            <w:tcW w:w="391" w:type="pct"/>
            <w:tcBorders>
              <w:bottom w:val="single" w:sz="18" w:space="0" w:color="auto"/>
            </w:tcBorders>
            <w:tcMar>
              <w:top w:w="57" w:type="dxa"/>
              <w:bottom w:w="57" w:type="dxa"/>
            </w:tcMar>
            <w:vAlign w:val="bottom"/>
          </w:tcPr>
          <w:p w14:paraId="76290F9E" w14:textId="77777777" w:rsidR="00D70162" w:rsidRPr="002D1A2F" w:rsidRDefault="00D70162">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2D1A2F">
              <w:rPr>
                <w:rFonts w:ascii="Arial" w:hAnsi="Arial" w:cs="Arial"/>
                <w:i/>
                <w:sz w:val="20"/>
                <w:szCs w:val="20"/>
              </w:rPr>
              <w:t>10</w:t>
            </w:r>
          </w:p>
        </w:tc>
        <w:tc>
          <w:tcPr>
            <w:tcW w:w="1125" w:type="pct"/>
            <w:tcBorders>
              <w:bottom w:val="single" w:sz="18" w:space="0" w:color="auto"/>
            </w:tcBorders>
            <w:tcMar>
              <w:top w:w="57" w:type="dxa"/>
              <w:bottom w:w="57" w:type="dxa"/>
            </w:tcMar>
            <w:vAlign w:val="bottom"/>
          </w:tcPr>
          <w:p w14:paraId="20491417" w14:textId="028E4B47" w:rsidR="00D70162" w:rsidRPr="00E83884" w:rsidRDefault="00291CB7" w:rsidP="00E9791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91CB7">
              <w:rPr>
                <w:rFonts w:ascii="Arial" w:hAnsi="Arial" w:cs="Arial"/>
                <w:b/>
                <w:sz w:val="20"/>
                <w:szCs w:val="20"/>
              </w:rPr>
              <w:t>5.4</w:t>
            </w:r>
            <w:r w:rsidR="005071A9">
              <w:rPr>
                <w:rFonts w:ascii="Arial" w:hAnsi="Arial" w:cs="Arial"/>
                <w:b/>
                <w:sz w:val="20"/>
                <w:szCs w:val="20"/>
              </w:rPr>
              <w:t>8</w:t>
            </w:r>
          </w:p>
        </w:tc>
        <w:tc>
          <w:tcPr>
            <w:tcW w:w="1087" w:type="pct"/>
            <w:tcBorders>
              <w:bottom w:val="single" w:sz="18" w:space="0" w:color="auto"/>
            </w:tcBorders>
            <w:tcMar>
              <w:top w:w="57" w:type="dxa"/>
              <w:bottom w:w="57" w:type="dxa"/>
            </w:tcMar>
            <w:vAlign w:val="bottom"/>
          </w:tcPr>
          <w:p w14:paraId="2E947B37" w14:textId="12CEDB66" w:rsidR="00D70162" w:rsidRPr="002D1A2F" w:rsidRDefault="001100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9.66</w:t>
            </w:r>
          </w:p>
        </w:tc>
      </w:tr>
    </w:tbl>
    <w:p w14:paraId="0938DCC0" w14:textId="77777777" w:rsidR="00E41A2E" w:rsidRPr="00DC2064" w:rsidRDefault="00E41A2E">
      <w:pPr>
        <w:rPr>
          <w:rFonts w:ascii="Arial" w:hAnsi="Arial" w:cs="Arial"/>
          <w:sz w:val="20"/>
          <w:szCs w:val="20"/>
        </w:rPr>
      </w:pPr>
    </w:p>
    <w:p w14:paraId="657963CD" w14:textId="606CBECB" w:rsidR="00E41A2E" w:rsidRPr="002D1A2F" w:rsidRDefault="00E41A2E">
      <w:pPr>
        <w:rPr>
          <w:rFonts w:ascii="Arial" w:hAnsi="Arial" w:cs="Arial"/>
          <w:sz w:val="20"/>
          <w:szCs w:val="20"/>
        </w:rPr>
      </w:pPr>
      <w:r w:rsidRPr="002D1A2F">
        <w:rPr>
          <w:rFonts w:ascii="Arial" w:hAnsi="Arial" w:cs="Arial"/>
          <w:sz w:val="20"/>
          <w:szCs w:val="20"/>
        </w:rPr>
        <w:t xml:space="preserve">The interim condensed financial statements </w:t>
      </w:r>
      <w:r w:rsidRPr="00DA6879">
        <w:rPr>
          <w:rFonts w:ascii="Arial" w:hAnsi="Arial" w:cs="Arial"/>
          <w:sz w:val="20"/>
          <w:szCs w:val="20"/>
        </w:rPr>
        <w:t>were</w:t>
      </w:r>
      <w:r w:rsidRPr="002D1A2F">
        <w:rPr>
          <w:rFonts w:ascii="Arial" w:hAnsi="Arial" w:cs="Arial"/>
          <w:sz w:val="20"/>
          <w:szCs w:val="20"/>
        </w:rPr>
        <w:t xml:space="preserve"> approved and authorised for issue by the Board of Directors on </w:t>
      </w:r>
      <w:r w:rsidR="007B1A27">
        <w:rPr>
          <w:rFonts w:ascii="Arial" w:eastAsia="Calibri" w:hAnsi="Arial" w:cs="Arial"/>
          <w:sz w:val="20"/>
          <w:szCs w:val="20"/>
        </w:rPr>
        <w:t>18 August 2020</w:t>
      </w:r>
      <w:r w:rsidRPr="002D1A2F">
        <w:rPr>
          <w:rFonts w:ascii="Arial" w:hAnsi="Arial" w:cs="Arial"/>
          <w:sz w:val="20"/>
          <w:szCs w:val="20"/>
        </w:rPr>
        <w:t xml:space="preserve"> and signed on their behalf by:</w:t>
      </w:r>
    </w:p>
    <w:p w14:paraId="7CF69632" w14:textId="77777777" w:rsidR="00E41A2E" w:rsidRPr="002D1A2F" w:rsidRDefault="00E41A2E">
      <w:pPr>
        <w:rPr>
          <w:rFonts w:ascii="Arial" w:hAnsi="Arial" w:cs="Arial"/>
          <w:sz w:val="20"/>
          <w:szCs w:val="20"/>
        </w:rPr>
      </w:pPr>
    </w:p>
    <w:tbl>
      <w:tblPr>
        <w:tblStyle w:val="TableRangedleft1"/>
        <w:tblW w:w="0" w:type="auto"/>
        <w:tblLook w:val="04A0" w:firstRow="1" w:lastRow="0" w:firstColumn="1" w:lastColumn="0" w:noHBand="0" w:noVBand="1"/>
      </w:tblPr>
      <w:tblGrid>
        <w:gridCol w:w="4891"/>
        <w:gridCol w:w="4890"/>
      </w:tblGrid>
      <w:tr w:rsidR="00E41A2E" w:rsidRPr="00BC678F" w14:paraId="5E244282" w14:textId="77777777" w:rsidTr="00B6309A">
        <w:tc>
          <w:tcPr>
            <w:tcW w:w="4923" w:type="dxa"/>
            <w:tcMar>
              <w:top w:w="108" w:type="dxa"/>
              <w:bottom w:w="108" w:type="dxa"/>
            </w:tcMar>
          </w:tcPr>
          <w:p w14:paraId="10C591E2" w14:textId="77777777" w:rsidR="00E41A2E" w:rsidRPr="002D1A2F" w:rsidRDefault="00E41A2E">
            <w:pPr>
              <w:rPr>
                <w:rFonts w:ascii="Arial" w:hAnsi="Arial" w:cs="Arial"/>
                <w:b/>
                <w:sz w:val="20"/>
                <w:szCs w:val="20"/>
              </w:rPr>
            </w:pPr>
          </w:p>
          <w:p w14:paraId="067A4D0B" w14:textId="77777777" w:rsidR="00E41A2E" w:rsidRPr="002D1A2F" w:rsidRDefault="00E41A2E">
            <w:pPr>
              <w:rPr>
                <w:rFonts w:ascii="Arial" w:hAnsi="Arial" w:cs="Arial"/>
                <w:b/>
                <w:sz w:val="20"/>
                <w:szCs w:val="20"/>
              </w:rPr>
            </w:pPr>
            <w:r w:rsidRPr="002D1A2F">
              <w:rPr>
                <w:rFonts w:ascii="Arial" w:hAnsi="Arial" w:cs="Arial"/>
                <w:b/>
                <w:sz w:val="20"/>
                <w:szCs w:val="20"/>
              </w:rPr>
              <w:t>Richard Hayden</w:t>
            </w:r>
          </w:p>
          <w:p w14:paraId="1CEA4C7B" w14:textId="77777777" w:rsidR="00E41A2E" w:rsidRPr="002D1A2F" w:rsidRDefault="00E41A2E">
            <w:pPr>
              <w:rPr>
                <w:rFonts w:ascii="Arial" w:hAnsi="Arial" w:cs="Arial"/>
                <w:sz w:val="20"/>
                <w:szCs w:val="20"/>
              </w:rPr>
            </w:pPr>
            <w:r w:rsidRPr="002D1A2F">
              <w:rPr>
                <w:rFonts w:ascii="Arial" w:hAnsi="Arial" w:cs="Arial"/>
                <w:sz w:val="20"/>
                <w:szCs w:val="20"/>
              </w:rPr>
              <w:t>Chairman</w:t>
            </w:r>
          </w:p>
        </w:tc>
        <w:tc>
          <w:tcPr>
            <w:tcW w:w="4924" w:type="dxa"/>
            <w:tcMar>
              <w:top w:w="108" w:type="dxa"/>
              <w:bottom w:w="108" w:type="dxa"/>
            </w:tcMar>
          </w:tcPr>
          <w:p w14:paraId="6384C7F9" w14:textId="77777777" w:rsidR="00E41A2E" w:rsidRPr="002D1A2F" w:rsidRDefault="00E41A2E">
            <w:pPr>
              <w:rPr>
                <w:rFonts w:ascii="Arial" w:hAnsi="Arial" w:cs="Arial"/>
                <w:b/>
                <w:sz w:val="20"/>
                <w:szCs w:val="20"/>
              </w:rPr>
            </w:pPr>
          </w:p>
          <w:p w14:paraId="15114FBF" w14:textId="77777777" w:rsidR="00E41A2E" w:rsidRPr="002D1A2F" w:rsidRDefault="00E41A2E">
            <w:pPr>
              <w:rPr>
                <w:rFonts w:ascii="Arial" w:hAnsi="Arial" w:cs="Arial"/>
                <w:b/>
                <w:sz w:val="20"/>
                <w:szCs w:val="20"/>
              </w:rPr>
            </w:pPr>
            <w:r w:rsidRPr="002D1A2F">
              <w:rPr>
                <w:rFonts w:ascii="Arial" w:hAnsi="Arial" w:cs="Arial"/>
                <w:b/>
                <w:sz w:val="20"/>
                <w:szCs w:val="20"/>
              </w:rPr>
              <w:t>Patrick Firth</w:t>
            </w:r>
          </w:p>
          <w:p w14:paraId="542D04F6" w14:textId="77777777" w:rsidR="00E41A2E" w:rsidRPr="002D1A2F" w:rsidRDefault="00E41A2E">
            <w:pPr>
              <w:rPr>
                <w:rFonts w:ascii="Arial" w:hAnsi="Arial" w:cs="Arial"/>
                <w:sz w:val="20"/>
                <w:szCs w:val="20"/>
              </w:rPr>
            </w:pPr>
            <w:r w:rsidRPr="002D1A2F">
              <w:rPr>
                <w:rFonts w:ascii="Arial" w:hAnsi="Arial" w:cs="Arial"/>
                <w:sz w:val="20"/>
                <w:szCs w:val="20"/>
              </w:rPr>
              <w:t>Director</w:t>
            </w:r>
          </w:p>
        </w:tc>
      </w:tr>
    </w:tbl>
    <w:p w14:paraId="301859B5" w14:textId="77777777" w:rsidR="00E41A2E" w:rsidRPr="00DC2064" w:rsidRDefault="00E41A2E">
      <w:pPr>
        <w:rPr>
          <w:rFonts w:ascii="Arial" w:hAnsi="Arial" w:cs="Arial"/>
          <w:sz w:val="20"/>
          <w:szCs w:val="20"/>
        </w:rPr>
      </w:pPr>
    </w:p>
    <w:p w14:paraId="31363E7C" w14:textId="77777777" w:rsidR="00E41A2E" w:rsidRPr="002D1A2F" w:rsidRDefault="00E41A2E">
      <w:pPr>
        <w:rPr>
          <w:rFonts w:ascii="Arial" w:hAnsi="Arial" w:cs="Arial"/>
          <w:sz w:val="20"/>
          <w:szCs w:val="20"/>
        </w:rPr>
      </w:pPr>
      <w:r w:rsidRPr="002D1A2F">
        <w:rPr>
          <w:rFonts w:ascii="Arial" w:hAnsi="Arial" w:cs="Arial"/>
          <w:sz w:val="20"/>
          <w:szCs w:val="20"/>
        </w:rPr>
        <w:t>The accompanying notes form an integral part of these interim condensed financial statements.</w:t>
      </w:r>
    </w:p>
    <w:p w14:paraId="0FC38BBA" w14:textId="6C6BB67E" w:rsidR="00E41A2E" w:rsidRDefault="00E41A2E">
      <w:pPr>
        <w:outlineLvl w:val="0"/>
        <w:rPr>
          <w:rFonts w:ascii="Arial" w:hAnsi="Arial" w:cs="Arial"/>
          <w:b/>
          <w:caps/>
          <w:sz w:val="30"/>
          <w:szCs w:val="30"/>
        </w:rPr>
      </w:pPr>
    </w:p>
    <w:p w14:paraId="5BD428F9" w14:textId="77777777" w:rsidR="00497068" w:rsidRDefault="00497068">
      <w:pPr>
        <w:outlineLvl w:val="0"/>
        <w:rPr>
          <w:rFonts w:ascii="Arial" w:hAnsi="Arial" w:cs="Arial"/>
          <w:b/>
          <w:caps/>
          <w:sz w:val="30"/>
          <w:szCs w:val="30"/>
        </w:rPr>
      </w:pPr>
    </w:p>
    <w:p w14:paraId="7534C074" w14:textId="77777777" w:rsidR="00E41A2E" w:rsidRPr="002D1A2F" w:rsidRDefault="00E41A2E">
      <w:pPr>
        <w:outlineLvl w:val="0"/>
        <w:rPr>
          <w:rFonts w:ascii="Arial" w:hAnsi="Arial" w:cs="Arial"/>
          <w:b/>
          <w:caps/>
          <w:sz w:val="30"/>
          <w:szCs w:val="30"/>
        </w:rPr>
      </w:pPr>
      <w:r w:rsidRPr="002D1A2F">
        <w:rPr>
          <w:rFonts w:ascii="Arial" w:hAnsi="Arial" w:cs="Arial"/>
          <w:b/>
          <w:caps/>
          <w:sz w:val="30"/>
          <w:szCs w:val="30"/>
        </w:rPr>
        <w:t>Condensed Statement of Comprehensive Income</w:t>
      </w:r>
    </w:p>
    <w:p w14:paraId="03C826D8" w14:textId="4588F601" w:rsidR="00E41A2E" w:rsidRPr="002D1A2F" w:rsidRDefault="00E41A2E">
      <w:pPr>
        <w:rPr>
          <w:rFonts w:ascii="Arial" w:hAnsi="Arial" w:cs="Arial"/>
          <w:sz w:val="20"/>
          <w:szCs w:val="20"/>
        </w:rPr>
      </w:pPr>
      <w:r w:rsidRPr="002D1A2F">
        <w:rPr>
          <w:rFonts w:ascii="Arial" w:hAnsi="Arial" w:cs="Arial"/>
          <w:sz w:val="20"/>
          <w:szCs w:val="20"/>
        </w:rPr>
        <w:t xml:space="preserve">For </w:t>
      </w:r>
      <w:r w:rsidR="00C75564">
        <w:rPr>
          <w:rFonts w:ascii="Arial" w:hAnsi="Arial" w:cs="Arial"/>
          <w:sz w:val="20"/>
          <w:szCs w:val="20"/>
        </w:rPr>
        <w:t>the six months ended 30 June 2020</w:t>
      </w:r>
      <w:r w:rsidRPr="002D1A2F">
        <w:rPr>
          <w:rFonts w:ascii="Arial" w:hAnsi="Arial" w:cs="Arial"/>
          <w:sz w:val="20"/>
          <w:szCs w:val="20"/>
        </w:rPr>
        <w:t xml:space="preserve"> (Unaudited)</w:t>
      </w:r>
    </w:p>
    <w:tbl>
      <w:tblPr>
        <w:tblStyle w:val="TableGrid3"/>
        <w:tblW w:w="5000" w:type="pct"/>
        <w:tblLook w:val="04A0" w:firstRow="1" w:lastRow="0" w:firstColumn="1" w:lastColumn="0" w:noHBand="0" w:noVBand="1"/>
      </w:tblPr>
      <w:tblGrid>
        <w:gridCol w:w="5029"/>
        <w:gridCol w:w="1129"/>
        <w:gridCol w:w="1833"/>
        <w:gridCol w:w="1790"/>
      </w:tblGrid>
      <w:tr w:rsidR="00E41A2E" w:rsidRPr="00BC678F" w14:paraId="19804D9E" w14:textId="77777777" w:rsidTr="0048637A">
        <w:trPr>
          <w:cnfStyle w:val="100000000000" w:firstRow="1" w:lastRow="0" w:firstColumn="0" w:lastColumn="0" w:oddVBand="0" w:evenVBand="0" w:oddHBand="0" w:evenHBand="0" w:firstRowFirstColumn="0" w:firstRowLastColumn="0" w:lastRowFirstColumn="0" w:lastRowLastColumn="0"/>
          <w:trHeight w:val="1329"/>
        </w:trPr>
        <w:tc>
          <w:tcPr>
            <w:cnfStyle w:val="001000000000" w:firstRow="0" w:lastRow="0" w:firstColumn="1" w:lastColumn="0" w:oddVBand="0" w:evenVBand="0" w:oddHBand="0" w:evenHBand="0" w:firstRowFirstColumn="0" w:firstRowLastColumn="0" w:lastRowFirstColumn="0" w:lastRowLastColumn="0"/>
            <w:tcW w:w="2571" w:type="pct"/>
            <w:tcBorders>
              <w:bottom w:val="single" w:sz="4" w:space="0" w:color="auto"/>
            </w:tcBorders>
            <w:tcMar>
              <w:top w:w="57" w:type="dxa"/>
              <w:bottom w:w="57" w:type="dxa"/>
            </w:tcMar>
            <w:vAlign w:val="bottom"/>
          </w:tcPr>
          <w:p w14:paraId="3F7E2D47" w14:textId="77777777" w:rsidR="00E41A2E" w:rsidRPr="002D1A2F" w:rsidRDefault="00E41A2E">
            <w:pPr>
              <w:rPr>
                <w:rFonts w:ascii="Arial" w:hAnsi="Arial" w:cs="Arial"/>
                <w:sz w:val="20"/>
                <w:szCs w:val="20"/>
              </w:rPr>
            </w:pPr>
          </w:p>
        </w:tc>
        <w:tc>
          <w:tcPr>
            <w:tcW w:w="577" w:type="pct"/>
            <w:tcBorders>
              <w:bottom w:val="single" w:sz="4" w:space="0" w:color="auto"/>
            </w:tcBorders>
            <w:tcMar>
              <w:top w:w="57" w:type="dxa"/>
              <w:bottom w:w="57" w:type="dxa"/>
            </w:tcMar>
            <w:vAlign w:val="bottom"/>
          </w:tcPr>
          <w:p w14:paraId="669BDD60"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sidRPr="002D1A2F">
              <w:rPr>
                <w:rFonts w:ascii="Arial" w:hAnsi="Arial" w:cs="Arial"/>
                <w:i/>
                <w:sz w:val="20"/>
                <w:szCs w:val="20"/>
              </w:rPr>
              <w:t>Notes</w:t>
            </w:r>
          </w:p>
        </w:tc>
        <w:tc>
          <w:tcPr>
            <w:tcW w:w="937" w:type="pct"/>
            <w:tcBorders>
              <w:bottom w:val="single" w:sz="4" w:space="0" w:color="auto"/>
            </w:tcBorders>
            <w:tcMar>
              <w:top w:w="57" w:type="dxa"/>
              <w:bottom w:w="57" w:type="dxa"/>
            </w:tcMar>
            <w:vAlign w:val="bottom"/>
          </w:tcPr>
          <w:p w14:paraId="04888AE3"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1 January</w:t>
            </w:r>
          </w:p>
          <w:p w14:paraId="0544E63C" w14:textId="60DC7C77" w:rsidR="00E41A2E" w:rsidRPr="002D1A2F" w:rsidRDefault="001100E2">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2020</w:t>
            </w:r>
            <w:r w:rsidR="00E41A2E" w:rsidRPr="002D1A2F">
              <w:rPr>
                <w:rFonts w:ascii="Arial" w:hAnsi="Arial" w:cs="Arial"/>
                <w:b/>
                <w:sz w:val="20"/>
                <w:szCs w:val="20"/>
              </w:rPr>
              <w:t xml:space="preserve"> to</w:t>
            </w:r>
          </w:p>
          <w:p w14:paraId="3F412F03"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30 June</w:t>
            </w:r>
          </w:p>
          <w:p w14:paraId="42B56E2A" w14:textId="73898CF1"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20</w:t>
            </w:r>
            <w:r w:rsidR="001100E2">
              <w:rPr>
                <w:rFonts w:ascii="Arial" w:hAnsi="Arial" w:cs="Arial"/>
                <w:b/>
                <w:sz w:val="20"/>
                <w:szCs w:val="20"/>
              </w:rPr>
              <w:t>20</w:t>
            </w:r>
          </w:p>
          <w:p w14:paraId="45502690"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$’000</w:t>
            </w:r>
          </w:p>
        </w:tc>
        <w:tc>
          <w:tcPr>
            <w:tcW w:w="916" w:type="pct"/>
            <w:tcBorders>
              <w:bottom w:val="single" w:sz="4" w:space="0" w:color="auto"/>
            </w:tcBorders>
            <w:tcMar>
              <w:top w:w="57" w:type="dxa"/>
              <w:bottom w:w="57" w:type="dxa"/>
            </w:tcMar>
            <w:vAlign w:val="bottom"/>
          </w:tcPr>
          <w:p w14:paraId="2EE42BF8"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1 January</w:t>
            </w:r>
          </w:p>
          <w:p w14:paraId="027791C7" w14:textId="7A181BFC"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201</w:t>
            </w:r>
            <w:r w:rsidR="001100E2">
              <w:rPr>
                <w:rFonts w:ascii="Arial" w:hAnsi="Arial" w:cs="Arial"/>
                <w:sz w:val="20"/>
                <w:szCs w:val="20"/>
              </w:rPr>
              <w:t>9</w:t>
            </w:r>
            <w:r w:rsidRPr="002D1A2F">
              <w:rPr>
                <w:rFonts w:ascii="Arial" w:hAnsi="Arial" w:cs="Arial"/>
                <w:sz w:val="20"/>
                <w:szCs w:val="20"/>
              </w:rPr>
              <w:t xml:space="preserve"> to</w:t>
            </w:r>
          </w:p>
          <w:p w14:paraId="40203A1D"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30 June</w:t>
            </w:r>
          </w:p>
          <w:p w14:paraId="2F623491" w14:textId="4F918DBA"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201</w:t>
            </w:r>
            <w:r w:rsidR="001100E2">
              <w:rPr>
                <w:rFonts w:ascii="Arial" w:hAnsi="Arial" w:cs="Arial"/>
                <w:sz w:val="20"/>
                <w:szCs w:val="20"/>
              </w:rPr>
              <w:t>9</w:t>
            </w:r>
          </w:p>
          <w:p w14:paraId="65877AD6"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$’000</w:t>
            </w:r>
          </w:p>
        </w:tc>
      </w:tr>
      <w:tr w:rsidR="00E41A2E" w:rsidRPr="00BC678F" w14:paraId="5C1051EC" w14:textId="77777777" w:rsidTr="0048637A">
        <w:tc>
          <w:tcPr>
            <w:cnfStyle w:val="001000000000" w:firstRow="0" w:lastRow="0" w:firstColumn="1" w:lastColumn="0" w:oddVBand="0" w:evenVBand="0" w:oddHBand="0" w:evenHBand="0" w:firstRowFirstColumn="0" w:firstRowLastColumn="0" w:lastRowFirstColumn="0" w:lastRowLastColumn="0"/>
            <w:tcW w:w="2571" w:type="pct"/>
            <w:tcBorders>
              <w:top w:val="single" w:sz="4" w:space="0" w:color="auto"/>
            </w:tcBorders>
            <w:tcMar>
              <w:top w:w="57" w:type="dxa"/>
              <w:bottom w:w="57" w:type="dxa"/>
            </w:tcMar>
            <w:vAlign w:val="bottom"/>
          </w:tcPr>
          <w:p w14:paraId="6A2E731F" w14:textId="36C366B1" w:rsidR="00E41A2E" w:rsidRPr="002D1A2F" w:rsidRDefault="00E41A2E" w:rsidP="00311188">
            <w:pPr>
              <w:rPr>
                <w:rFonts w:ascii="Arial" w:hAnsi="Arial" w:cs="Arial"/>
                <w:b/>
                <w:sz w:val="20"/>
                <w:szCs w:val="20"/>
              </w:rPr>
            </w:pPr>
            <w:r w:rsidRPr="00DC2064">
              <w:rPr>
                <w:rFonts w:ascii="Arial" w:hAnsi="Arial" w:cs="Arial"/>
                <w:b/>
                <w:sz w:val="20"/>
                <w:szCs w:val="20"/>
              </w:rPr>
              <w:t xml:space="preserve">Investment </w:t>
            </w:r>
            <w:r w:rsidR="006D5E64">
              <w:rPr>
                <w:rFonts w:ascii="Arial" w:hAnsi="Arial" w:cs="Arial"/>
                <w:b/>
                <w:sz w:val="20"/>
                <w:szCs w:val="20"/>
              </w:rPr>
              <w:t xml:space="preserve"> loss</w:t>
            </w:r>
          </w:p>
        </w:tc>
        <w:tc>
          <w:tcPr>
            <w:tcW w:w="577" w:type="pct"/>
            <w:tcBorders>
              <w:top w:val="single" w:sz="4" w:space="0" w:color="auto"/>
            </w:tcBorders>
            <w:tcMar>
              <w:top w:w="57" w:type="dxa"/>
              <w:bottom w:w="57" w:type="dxa"/>
            </w:tcMar>
            <w:vAlign w:val="bottom"/>
          </w:tcPr>
          <w:p w14:paraId="13036C78" w14:textId="77777777" w:rsidR="00E41A2E" w:rsidRPr="002D1A2F" w:rsidRDefault="00E41A2E">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937" w:type="pct"/>
            <w:tcBorders>
              <w:top w:val="single" w:sz="4" w:space="0" w:color="auto"/>
            </w:tcBorders>
            <w:tcMar>
              <w:top w:w="57" w:type="dxa"/>
              <w:bottom w:w="57" w:type="dxa"/>
            </w:tcMar>
            <w:vAlign w:val="bottom"/>
          </w:tcPr>
          <w:p w14:paraId="0564E2E8" w14:textId="77777777" w:rsidR="00E41A2E" w:rsidRPr="002D1A2F" w:rsidRDefault="00E41A2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16" w:type="pct"/>
            <w:tcBorders>
              <w:top w:val="single" w:sz="4" w:space="0" w:color="auto"/>
            </w:tcBorders>
            <w:tcMar>
              <w:top w:w="57" w:type="dxa"/>
              <w:bottom w:w="57" w:type="dxa"/>
            </w:tcMar>
            <w:vAlign w:val="bottom"/>
          </w:tcPr>
          <w:p w14:paraId="0A619150" w14:textId="77777777" w:rsidR="00E41A2E" w:rsidRPr="002D1A2F" w:rsidRDefault="00E41A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81B03" w:rsidRPr="00BC678F" w14:paraId="6ED73C8A" w14:textId="77777777" w:rsidTr="0048637A">
        <w:tc>
          <w:tcPr>
            <w:cnfStyle w:val="001000000000" w:firstRow="0" w:lastRow="0" w:firstColumn="1" w:lastColumn="0" w:oddVBand="0" w:evenVBand="0" w:oddHBand="0" w:evenHBand="0" w:firstRowFirstColumn="0" w:firstRowLastColumn="0" w:lastRowFirstColumn="0" w:lastRowLastColumn="0"/>
            <w:tcW w:w="2571" w:type="pct"/>
            <w:tcBorders>
              <w:bottom w:val="single" w:sz="4" w:space="0" w:color="auto"/>
            </w:tcBorders>
            <w:tcMar>
              <w:top w:w="57" w:type="dxa"/>
              <w:bottom w:w="57" w:type="dxa"/>
            </w:tcMar>
            <w:vAlign w:val="bottom"/>
          </w:tcPr>
          <w:p w14:paraId="7923BCD9" w14:textId="77777777" w:rsidR="00281B03" w:rsidRPr="002D1A2F" w:rsidRDefault="00281B03" w:rsidP="00281B03">
            <w:pPr>
              <w:rPr>
                <w:rFonts w:ascii="Arial" w:hAnsi="Arial" w:cs="Arial"/>
                <w:sz w:val="20"/>
                <w:szCs w:val="20"/>
              </w:rPr>
            </w:pPr>
            <w:r w:rsidRPr="00DC2064">
              <w:rPr>
                <w:rFonts w:ascii="Arial" w:hAnsi="Arial" w:cs="Arial"/>
                <w:sz w:val="20"/>
                <w:szCs w:val="20"/>
              </w:rPr>
              <w:t xml:space="preserve">Change in fair value of investment at fair </w:t>
            </w:r>
            <w:r w:rsidRPr="002D1A2F">
              <w:rPr>
                <w:rFonts w:ascii="Arial" w:hAnsi="Arial" w:cs="Arial"/>
                <w:sz w:val="20"/>
                <w:szCs w:val="20"/>
              </w:rPr>
              <w:t>value through profit or loss</w:t>
            </w:r>
          </w:p>
        </w:tc>
        <w:tc>
          <w:tcPr>
            <w:tcW w:w="577" w:type="pct"/>
            <w:tcBorders>
              <w:bottom w:val="single" w:sz="4" w:space="0" w:color="auto"/>
            </w:tcBorders>
            <w:tcMar>
              <w:top w:w="57" w:type="dxa"/>
              <w:bottom w:w="57" w:type="dxa"/>
            </w:tcMar>
            <w:vAlign w:val="bottom"/>
          </w:tcPr>
          <w:p w14:paraId="6B10C32C" w14:textId="77777777" w:rsidR="00281B03" w:rsidRPr="002D1A2F"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2D1A2F">
              <w:rPr>
                <w:rFonts w:ascii="Arial" w:hAnsi="Arial" w:cs="Arial"/>
                <w:i/>
                <w:sz w:val="20"/>
                <w:szCs w:val="20"/>
              </w:rPr>
              <w:t>6</w:t>
            </w:r>
          </w:p>
        </w:tc>
        <w:tc>
          <w:tcPr>
            <w:tcW w:w="937" w:type="pct"/>
            <w:tcBorders>
              <w:bottom w:val="single" w:sz="4" w:space="0" w:color="auto"/>
            </w:tcBorders>
            <w:tcMar>
              <w:top w:w="57" w:type="dxa"/>
              <w:bottom w:w="57" w:type="dxa"/>
            </w:tcMar>
            <w:vAlign w:val="center"/>
          </w:tcPr>
          <w:p w14:paraId="7D1C4FDD" w14:textId="77777777" w:rsidR="00281B03" w:rsidRPr="00E83884"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4230CC3E" w14:textId="6F14D569" w:rsidR="00281B03" w:rsidRPr="00E83884" w:rsidRDefault="00104176" w:rsidP="00BE04E5">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04176">
              <w:rPr>
                <w:rFonts w:ascii="Arial" w:hAnsi="Arial" w:cs="Arial"/>
                <w:b/>
                <w:sz w:val="20"/>
                <w:szCs w:val="20"/>
              </w:rPr>
              <w:t>(353,9</w:t>
            </w:r>
            <w:r w:rsidR="00BE04E5">
              <w:rPr>
                <w:rFonts w:ascii="Arial" w:hAnsi="Arial" w:cs="Arial"/>
                <w:b/>
                <w:sz w:val="20"/>
                <w:szCs w:val="20"/>
              </w:rPr>
              <w:t>27</w:t>
            </w:r>
            <w:r w:rsidRPr="00104176">
              <w:rPr>
                <w:rFonts w:ascii="Arial" w:hAnsi="Arial" w:cs="Arial"/>
                <w:b/>
                <w:sz w:val="20"/>
                <w:szCs w:val="20"/>
              </w:rPr>
              <w:t>)</w:t>
            </w:r>
          </w:p>
        </w:tc>
        <w:tc>
          <w:tcPr>
            <w:tcW w:w="916" w:type="pct"/>
            <w:tcBorders>
              <w:bottom w:val="single" w:sz="4" w:space="0" w:color="auto"/>
            </w:tcBorders>
            <w:tcMar>
              <w:top w:w="57" w:type="dxa"/>
              <w:bottom w:w="57" w:type="dxa"/>
            </w:tcMar>
            <w:vAlign w:val="center"/>
          </w:tcPr>
          <w:p w14:paraId="234DF74A" w14:textId="77777777" w:rsidR="00281B03" w:rsidRPr="00281B03"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5184335" w14:textId="2A314595" w:rsidR="00281B03" w:rsidRPr="00281B03" w:rsidRDefault="001100E2" w:rsidP="0031118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(371</w:t>
            </w:r>
            <w:r w:rsidR="00311188">
              <w:rPr>
                <w:rFonts w:ascii="Arial" w:hAnsi="Arial" w:cs="Arial"/>
                <w:sz w:val="20"/>
                <w:szCs w:val="20"/>
              </w:rPr>
              <w:t>,</w:t>
            </w:r>
            <w:r>
              <w:rPr>
                <w:rFonts w:ascii="Arial" w:hAnsi="Arial" w:cs="Arial"/>
                <w:sz w:val="20"/>
                <w:szCs w:val="20"/>
              </w:rPr>
              <w:t>336)</w:t>
            </w:r>
          </w:p>
        </w:tc>
      </w:tr>
      <w:tr w:rsidR="00281B03" w:rsidRPr="00BC678F" w14:paraId="142EB767" w14:textId="77777777" w:rsidTr="0048637A">
        <w:tc>
          <w:tcPr>
            <w:cnfStyle w:val="001000000000" w:firstRow="0" w:lastRow="0" w:firstColumn="1" w:lastColumn="0" w:oddVBand="0" w:evenVBand="0" w:oddHBand="0" w:evenHBand="0" w:firstRowFirstColumn="0" w:firstRowLastColumn="0" w:lastRowFirstColumn="0" w:lastRowLastColumn="0"/>
            <w:tcW w:w="2571" w:type="pct"/>
            <w:tcBorders>
              <w:top w:val="single" w:sz="4" w:space="0" w:color="auto"/>
            </w:tcBorders>
            <w:tcMar>
              <w:top w:w="57" w:type="dxa"/>
              <w:bottom w:w="57" w:type="dxa"/>
            </w:tcMar>
            <w:vAlign w:val="bottom"/>
          </w:tcPr>
          <w:p w14:paraId="523A76BD" w14:textId="77777777" w:rsidR="00281B03" w:rsidRPr="00DC2064" w:rsidRDefault="00281B03" w:rsidP="00281B03">
            <w:pPr>
              <w:rPr>
                <w:rFonts w:ascii="Arial" w:hAnsi="Arial" w:cs="Arial"/>
                <w:sz w:val="20"/>
                <w:szCs w:val="20"/>
              </w:rPr>
            </w:pPr>
          </w:p>
        </w:tc>
        <w:tc>
          <w:tcPr>
            <w:tcW w:w="577" w:type="pct"/>
            <w:tcBorders>
              <w:top w:val="single" w:sz="4" w:space="0" w:color="auto"/>
            </w:tcBorders>
            <w:tcMar>
              <w:top w:w="57" w:type="dxa"/>
              <w:bottom w:w="57" w:type="dxa"/>
            </w:tcMar>
            <w:vAlign w:val="bottom"/>
          </w:tcPr>
          <w:p w14:paraId="27EA0D33" w14:textId="77777777" w:rsidR="00281B03" w:rsidRPr="002D1A2F"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937" w:type="pct"/>
            <w:tcBorders>
              <w:top w:val="single" w:sz="4" w:space="0" w:color="auto"/>
            </w:tcBorders>
            <w:tcMar>
              <w:top w:w="57" w:type="dxa"/>
              <w:bottom w:w="57" w:type="dxa"/>
            </w:tcMar>
            <w:vAlign w:val="center"/>
          </w:tcPr>
          <w:p w14:paraId="59091D84" w14:textId="77777777" w:rsidR="00281B03" w:rsidRPr="00E83884"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16" w:type="pct"/>
            <w:tcBorders>
              <w:top w:val="single" w:sz="4" w:space="0" w:color="auto"/>
            </w:tcBorders>
            <w:tcMar>
              <w:top w:w="57" w:type="dxa"/>
              <w:bottom w:w="57" w:type="dxa"/>
            </w:tcMar>
            <w:vAlign w:val="center"/>
          </w:tcPr>
          <w:p w14:paraId="4DBE2F70" w14:textId="77777777" w:rsidR="00281B03" w:rsidRPr="00281B03"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81B03" w:rsidRPr="00BC678F" w14:paraId="14A7C694" w14:textId="77777777" w:rsidTr="0048637A">
        <w:tc>
          <w:tcPr>
            <w:cnfStyle w:val="001000000000" w:firstRow="0" w:lastRow="0" w:firstColumn="1" w:lastColumn="0" w:oddVBand="0" w:evenVBand="0" w:oddHBand="0" w:evenHBand="0" w:firstRowFirstColumn="0" w:firstRowLastColumn="0" w:lastRowFirstColumn="0" w:lastRowLastColumn="0"/>
            <w:tcW w:w="2571" w:type="pct"/>
            <w:tcMar>
              <w:top w:w="57" w:type="dxa"/>
              <w:bottom w:w="57" w:type="dxa"/>
            </w:tcMar>
            <w:vAlign w:val="bottom"/>
          </w:tcPr>
          <w:p w14:paraId="5F3EAA7B" w14:textId="77777777" w:rsidR="00281B03" w:rsidRPr="002D1A2F" w:rsidRDefault="00281B03" w:rsidP="00281B03">
            <w:pPr>
              <w:rPr>
                <w:rFonts w:ascii="Arial" w:hAnsi="Arial" w:cs="Arial"/>
                <w:b/>
                <w:sz w:val="20"/>
                <w:szCs w:val="20"/>
              </w:rPr>
            </w:pPr>
            <w:r w:rsidRPr="00DC2064">
              <w:rPr>
                <w:rFonts w:ascii="Arial" w:hAnsi="Arial" w:cs="Arial"/>
                <w:b/>
                <w:sz w:val="20"/>
                <w:szCs w:val="20"/>
              </w:rPr>
              <w:t>Expenses</w:t>
            </w:r>
          </w:p>
        </w:tc>
        <w:tc>
          <w:tcPr>
            <w:tcW w:w="577" w:type="pct"/>
            <w:tcMar>
              <w:top w:w="57" w:type="dxa"/>
              <w:bottom w:w="57" w:type="dxa"/>
            </w:tcMar>
            <w:vAlign w:val="bottom"/>
          </w:tcPr>
          <w:p w14:paraId="021F1624" w14:textId="77777777" w:rsidR="00281B03" w:rsidRPr="002D1A2F"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937" w:type="pct"/>
            <w:tcMar>
              <w:top w:w="57" w:type="dxa"/>
              <w:bottom w:w="57" w:type="dxa"/>
            </w:tcMar>
            <w:vAlign w:val="center"/>
          </w:tcPr>
          <w:p w14:paraId="7DA1144D" w14:textId="77777777" w:rsidR="00281B03" w:rsidRPr="00E83884"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16" w:type="pct"/>
            <w:tcMar>
              <w:top w:w="57" w:type="dxa"/>
              <w:bottom w:w="57" w:type="dxa"/>
            </w:tcMar>
            <w:vAlign w:val="center"/>
          </w:tcPr>
          <w:p w14:paraId="2794DB24" w14:textId="77777777" w:rsidR="00281B03" w:rsidRPr="00281B03"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81B03" w:rsidRPr="00BC678F" w14:paraId="21828EBC" w14:textId="77777777" w:rsidTr="0048637A">
        <w:tc>
          <w:tcPr>
            <w:cnfStyle w:val="001000000000" w:firstRow="0" w:lastRow="0" w:firstColumn="1" w:lastColumn="0" w:oddVBand="0" w:evenVBand="0" w:oddHBand="0" w:evenHBand="0" w:firstRowFirstColumn="0" w:firstRowLastColumn="0" w:lastRowFirstColumn="0" w:lastRowLastColumn="0"/>
            <w:tcW w:w="2571" w:type="pct"/>
            <w:tcMar>
              <w:top w:w="57" w:type="dxa"/>
              <w:bottom w:w="57" w:type="dxa"/>
            </w:tcMar>
            <w:vAlign w:val="bottom"/>
          </w:tcPr>
          <w:p w14:paraId="0379CEB9" w14:textId="77777777" w:rsidR="00281B03" w:rsidRPr="002D1A2F" w:rsidRDefault="00281B03" w:rsidP="00281B03">
            <w:pPr>
              <w:rPr>
                <w:rFonts w:ascii="Arial" w:hAnsi="Arial" w:cs="Arial"/>
                <w:sz w:val="20"/>
                <w:szCs w:val="20"/>
              </w:rPr>
            </w:pPr>
            <w:r w:rsidRPr="00DC2064">
              <w:rPr>
                <w:rFonts w:ascii="Arial" w:hAnsi="Arial" w:cs="Arial"/>
                <w:sz w:val="20"/>
                <w:szCs w:val="20"/>
              </w:rPr>
              <w:lastRenderedPageBreak/>
              <w:t>Directors’ fees and expenses</w:t>
            </w:r>
          </w:p>
        </w:tc>
        <w:tc>
          <w:tcPr>
            <w:tcW w:w="577" w:type="pct"/>
            <w:tcMar>
              <w:top w:w="57" w:type="dxa"/>
              <w:bottom w:w="57" w:type="dxa"/>
            </w:tcMar>
            <w:vAlign w:val="bottom"/>
          </w:tcPr>
          <w:p w14:paraId="72FC3019" w14:textId="77777777" w:rsidR="00281B03" w:rsidRPr="002D1A2F"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937" w:type="pct"/>
            <w:tcMar>
              <w:top w:w="57" w:type="dxa"/>
              <w:bottom w:w="57" w:type="dxa"/>
            </w:tcMar>
            <w:vAlign w:val="bottom"/>
          </w:tcPr>
          <w:p w14:paraId="4FCE2551" w14:textId="73BBAF2F" w:rsidR="00281B03" w:rsidRPr="00E83884" w:rsidRDefault="008B459E" w:rsidP="00281B0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(409)</w:t>
            </w:r>
            <w:r w:rsidRPr="00E83884" w:rsidDel="00E9791A">
              <w:rPr>
                <w:rFonts w:ascii="Arial" w:hAnsi="Arial" w:cs="Arial"/>
                <w:b/>
                <w:sz w:val="20"/>
                <w:szCs w:val="20"/>
              </w:rPr>
              <w:t xml:space="preserve"> </w:t>
            </w:r>
          </w:p>
        </w:tc>
        <w:tc>
          <w:tcPr>
            <w:tcW w:w="916" w:type="pct"/>
            <w:tcMar>
              <w:top w:w="57" w:type="dxa"/>
              <w:bottom w:w="57" w:type="dxa"/>
            </w:tcMar>
            <w:vAlign w:val="bottom"/>
          </w:tcPr>
          <w:p w14:paraId="327A8665" w14:textId="1AA2B708" w:rsidR="00281B03" w:rsidRPr="00281B03" w:rsidRDefault="001100E2"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(619</w:t>
            </w:r>
            <w:r w:rsidR="00281B03" w:rsidRPr="00281B03">
              <w:rPr>
                <w:rFonts w:ascii="Arial" w:hAnsi="Arial" w:cs="Arial"/>
                <w:sz w:val="20"/>
                <w:szCs w:val="20"/>
              </w:rPr>
              <w:t>)</w:t>
            </w:r>
          </w:p>
        </w:tc>
      </w:tr>
      <w:tr w:rsidR="00281B03" w:rsidRPr="00BC678F" w14:paraId="5CCCBE9F" w14:textId="77777777" w:rsidTr="0048637A">
        <w:tc>
          <w:tcPr>
            <w:cnfStyle w:val="001000000000" w:firstRow="0" w:lastRow="0" w:firstColumn="1" w:lastColumn="0" w:oddVBand="0" w:evenVBand="0" w:oddHBand="0" w:evenHBand="0" w:firstRowFirstColumn="0" w:firstRowLastColumn="0" w:lastRowFirstColumn="0" w:lastRowLastColumn="0"/>
            <w:tcW w:w="2571" w:type="pct"/>
            <w:tcMar>
              <w:top w:w="57" w:type="dxa"/>
              <w:bottom w:w="57" w:type="dxa"/>
            </w:tcMar>
            <w:vAlign w:val="bottom"/>
          </w:tcPr>
          <w:p w14:paraId="28AA850F" w14:textId="77777777" w:rsidR="00281B03" w:rsidRPr="002D1A2F" w:rsidRDefault="00281B03" w:rsidP="00281B03">
            <w:pPr>
              <w:rPr>
                <w:rFonts w:ascii="Arial" w:hAnsi="Arial" w:cs="Arial"/>
                <w:sz w:val="20"/>
                <w:szCs w:val="20"/>
              </w:rPr>
            </w:pPr>
            <w:r w:rsidRPr="00DC2064">
              <w:rPr>
                <w:rFonts w:ascii="Arial" w:hAnsi="Arial" w:cs="Arial"/>
                <w:sz w:val="20"/>
                <w:szCs w:val="20"/>
              </w:rPr>
              <w:t>Legal and professional fees</w:t>
            </w:r>
          </w:p>
        </w:tc>
        <w:tc>
          <w:tcPr>
            <w:tcW w:w="577" w:type="pct"/>
            <w:tcMar>
              <w:top w:w="57" w:type="dxa"/>
              <w:bottom w:w="57" w:type="dxa"/>
            </w:tcMar>
            <w:vAlign w:val="bottom"/>
          </w:tcPr>
          <w:p w14:paraId="30BF6438" w14:textId="77777777" w:rsidR="00281B03" w:rsidRPr="002D1A2F"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937" w:type="pct"/>
            <w:tcMar>
              <w:top w:w="57" w:type="dxa"/>
              <w:bottom w:w="57" w:type="dxa"/>
            </w:tcMar>
            <w:vAlign w:val="center"/>
          </w:tcPr>
          <w:p w14:paraId="39749508" w14:textId="331637A7" w:rsidR="00281B03" w:rsidRPr="00E83884" w:rsidRDefault="008B459E" w:rsidP="00BE04E5">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r w:rsidR="00BE04E5">
              <w:rPr>
                <w:rFonts w:ascii="Arial" w:hAnsi="Arial" w:cs="Arial"/>
                <w:b/>
                <w:sz w:val="20"/>
                <w:szCs w:val="20"/>
              </w:rPr>
              <w:t>13</w:t>
            </w:r>
            <w:r w:rsidRPr="00E83884" w:rsidDel="00E9791A">
              <w:rPr>
                <w:rFonts w:ascii="Arial" w:hAnsi="Arial" w:cs="Arial"/>
                <w:b/>
                <w:sz w:val="20"/>
                <w:szCs w:val="20"/>
              </w:rPr>
              <w:t xml:space="preserve"> </w:t>
            </w:r>
          </w:p>
        </w:tc>
        <w:tc>
          <w:tcPr>
            <w:tcW w:w="916" w:type="pct"/>
            <w:tcMar>
              <w:top w:w="57" w:type="dxa"/>
              <w:bottom w:w="57" w:type="dxa"/>
            </w:tcMar>
            <w:vAlign w:val="center"/>
          </w:tcPr>
          <w:p w14:paraId="488621D5" w14:textId="1A36BC6D" w:rsidR="00281B03" w:rsidRPr="00281B03" w:rsidRDefault="001100E2"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(69</w:t>
            </w:r>
            <w:r w:rsidR="00281B03" w:rsidRPr="00281B03">
              <w:rPr>
                <w:rFonts w:ascii="Arial" w:hAnsi="Arial" w:cs="Arial"/>
                <w:sz w:val="20"/>
                <w:szCs w:val="20"/>
              </w:rPr>
              <w:t>)</w:t>
            </w:r>
          </w:p>
        </w:tc>
      </w:tr>
      <w:tr w:rsidR="00281B03" w:rsidRPr="00BC678F" w14:paraId="4C705757" w14:textId="77777777" w:rsidTr="0048637A">
        <w:tc>
          <w:tcPr>
            <w:cnfStyle w:val="001000000000" w:firstRow="0" w:lastRow="0" w:firstColumn="1" w:lastColumn="0" w:oddVBand="0" w:evenVBand="0" w:oddHBand="0" w:evenHBand="0" w:firstRowFirstColumn="0" w:firstRowLastColumn="0" w:lastRowFirstColumn="0" w:lastRowLastColumn="0"/>
            <w:tcW w:w="2571" w:type="pct"/>
            <w:tcBorders>
              <w:bottom w:val="single" w:sz="4" w:space="0" w:color="auto"/>
            </w:tcBorders>
            <w:tcMar>
              <w:top w:w="57" w:type="dxa"/>
              <w:bottom w:w="57" w:type="dxa"/>
            </w:tcMar>
            <w:vAlign w:val="bottom"/>
          </w:tcPr>
          <w:p w14:paraId="35B9B639" w14:textId="77777777" w:rsidR="00281B03" w:rsidRPr="002D1A2F" w:rsidRDefault="00281B03" w:rsidP="00281B03">
            <w:pPr>
              <w:rPr>
                <w:rFonts w:ascii="Arial" w:hAnsi="Arial" w:cs="Arial"/>
                <w:sz w:val="20"/>
                <w:szCs w:val="20"/>
              </w:rPr>
            </w:pPr>
            <w:r w:rsidRPr="00DC2064">
              <w:rPr>
                <w:rFonts w:ascii="Arial" w:hAnsi="Arial" w:cs="Arial"/>
                <w:sz w:val="20"/>
                <w:szCs w:val="20"/>
              </w:rPr>
              <w:t>Other operating expenses</w:t>
            </w:r>
          </w:p>
        </w:tc>
        <w:tc>
          <w:tcPr>
            <w:tcW w:w="577" w:type="pct"/>
            <w:tcBorders>
              <w:bottom w:val="single" w:sz="4" w:space="0" w:color="auto"/>
            </w:tcBorders>
            <w:tcMar>
              <w:top w:w="57" w:type="dxa"/>
              <w:bottom w:w="57" w:type="dxa"/>
            </w:tcMar>
            <w:vAlign w:val="bottom"/>
          </w:tcPr>
          <w:p w14:paraId="30908818" w14:textId="77777777" w:rsidR="00281B03" w:rsidRPr="002D1A2F"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937" w:type="pct"/>
            <w:tcBorders>
              <w:bottom w:val="single" w:sz="4" w:space="0" w:color="auto"/>
            </w:tcBorders>
            <w:tcMar>
              <w:top w:w="57" w:type="dxa"/>
              <w:bottom w:w="57" w:type="dxa"/>
            </w:tcMar>
            <w:vAlign w:val="center"/>
          </w:tcPr>
          <w:p w14:paraId="33C1BCF6" w14:textId="0FA1E0B5" w:rsidR="00281B03" w:rsidRPr="00E83884" w:rsidRDefault="008B459E" w:rsidP="00281B0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(1,159)</w:t>
            </w:r>
            <w:r w:rsidRPr="00E83884" w:rsidDel="00E9791A">
              <w:rPr>
                <w:rFonts w:ascii="Arial" w:hAnsi="Arial" w:cs="Arial"/>
                <w:b/>
                <w:sz w:val="20"/>
                <w:szCs w:val="20"/>
              </w:rPr>
              <w:t xml:space="preserve"> </w:t>
            </w:r>
          </w:p>
        </w:tc>
        <w:tc>
          <w:tcPr>
            <w:tcW w:w="916" w:type="pct"/>
            <w:tcBorders>
              <w:bottom w:val="single" w:sz="4" w:space="0" w:color="auto"/>
            </w:tcBorders>
            <w:tcMar>
              <w:top w:w="57" w:type="dxa"/>
              <w:bottom w:w="57" w:type="dxa"/>
            </w:tcMar>
            <w:vAlign w:val="center"/>
          </w:tcPr>
          <w:p w14:paraId="2A7B04B5" w14:textId="15DB78EB" w:rsidR="00281B03" w:rsidRPr="00281B03" w:rsidRDefault="00281B03" w:rsidP="001100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81B03">
              <w:rPr>
                <w:rFonts w:ascii="Arial" w:hAnsi="Arial" w:cs="Arial"/>
                <w:sz w:val="20"/>
                <w:szCs w:val="20"/>
              </w:rPr>
              <w:t>(1,1</w:t>
            </w:r>
            <w:r w:rsidR="001100E2">
              <w:rPr>
                <w:rFonts w:ascii="Arial" w:hAnsi="Arial" w:cs="Arial"/>
                <w:sz w:val="20"/>
                <w:szCs w:val="20"/>
              </w:rPr>
              <w:t>30</w:t>
            </w:r>
            <w:r w:rsidRPr="00281B03">
              <w:rPr>
                <w:rFonts w:ascii="Arial" w:hAnsi="Arial" w:cs="Arial"/>
                <w:sz w:val="20"/>
                <w:szCs w:val="20"/>
              </w:rPr>
              <w:t>)</w:t>
            </w:r>
          </w:p>
        </w:tc>
      </w:tr>
      <w:tr w:rsidR="00281B03" w:rsidRPr="00BC678F" w14:paraId="48996B83" w14:textId="77777777" w:rsidTr="0048637A">
        <w:tc>
          <w:tcPr>
            <w:cnfStyle w:val="001000000000" w:firstRow="0" w:lastRow="0" w:firstColumn="1" w:lastColumn="0" w:oddVBand="0" w:evenVBand="0" w:oddHBand="0" w:evenHBand="0" w:firstRowFirstColumn="0" w:firstRowLastColumn="0" w:lastRowFirstColumn="0" w:lastRowLastColumn="0"/>
            <w:tcW w:w="2571" w:type="pct"/>
            <w:tcBorders>
              <w:top w:val="single" w:sz="4" w:space="0" w:color="auto"/>
              <w:bottom w:val="single" w:sz="4" w:space="0" w:color="auto"/>
            </w:tcBorders>
            <w:tcMar>
              <w:top w:w="57" w:type="dxa"/>
              <w:bottom w:w="57" w:type="dxa"/>
            </w:tcMar>
            <w:vAlign w:val="bottom"/>
          </w:tcPr>
          <w:p w14:paraId="0CD3784E" w14:textId="77777777" w:rsidR="00281B03" w:rsidRPr="002D1A2F" w:rsidRDefault="00281B03" w:rsidP="00281B03">
            <w:pPr>
              <w:rPr>
                <w:rFonts w:ascii="Arial" w:hAnsi="Arial" w:cs="Arial"/>
                <w:b/>
                <w:sz w:val="20"/>
                <w:szCs w:val="20"/>
              </w:rPr>
            </w:pPr>
            <w:r w:rsidRPr="00DC2064">
              <w:rPr>
                <w:rFonts w:ascii="Arial" w:hAnsi="Arial" w:cs="Arial"/>
                <w:b/>
                <w:sz w:val="20"/>
                <w:szCs w:val="20"/>
              </w:rPr>
              <w:t>Total expenses</w:t>
            </w:r>
          </w:p>
        </w:tc>
        <w:tc>
          <w:tcPr>
            <w:tcW w:w="577" w:type="pct"/>
            <w:tcBorders>
              <w:top w:val="single" w:sz="4" w:space="0" w:color="auto"/>
              <w:bottom w:val="single" w:sz="4" w:space="0" w:color="auto"/>
            </w:tcBorders>
            <w:tcMar>
              <w:top w:w="57" w:type="dxa"/>
              <w:bottom w:w="57" w:type="dxa"/>
            </w:tcMar>
            <w:vAlign w:val="bottom"/>
          </w:tcPr>
          <w:p w14:paraId="27BAF7B1" w14:textId="77777777" w:rsidR="00281B03" w:rsidRPr="002D1A2F"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937" w:type="pct"/>
            <w:tcBorders>
              <w:top w:val="single" w:sz="4" w:space="0" w:color="auto"/>
              <w:bottom w:val="single" w:sz="4" w:space="0" w:color="auto"/>
            </w:tcBorders>
            <w:tcMar>
              <w:top w:w="57" w:type="dxa"/>
              <w:bottom w:w="57" w:type="dxa"/>
            </w:tcMar>
            <w:vAlign w:val="center"/>
          </w:tcPr>
          <w:p w14:paraId="4ABD1359" w14:textId="7661C660" w:rsidR="00281B03" w:rsidRPr="00E83884" w:rsidRDefault="008B459E" w:rsidP="00281B0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w:t>
            </w:r>
            <w:r w:rsidR="00BE04E5">
              <w:rPr>
                <w:rFonts w:ascii="Arial" w:hAnsi="Arial" w:cs="Arial"/>
                <w:b/>
                <w:sz w:val="20"/>
                <w:szCs w:val="20"/>
              </w:rPr>
              <w:t>255</w:t>
            </w:r>
            <w:r>
              <w:rPr>
                <w:rFonts w:ascii="Arial" w:hAnsi="Arial" w:cs="Arial"/>
                <w:b/>
                <w:sz w:val="20"/>
                <w:szCs w:val="20"/>
              </w:rPr>
              <w:t>)</w:t>
            </w:r>
            <w:r w:rsidRPr="00E83884" w:rsidDel="00E9791A">
              <w:rPr>
                <w:rFonts w:ascii="Arial" w:hAnsi="Arial" w:cs="Arial"/>
                <w:b/>
                <w:sz w:val="20"/>
                <w:szCs w:val="20"/>
              </w:rPr>
              <w:t xml:space="preserve"> </w:t>
            </w:r>
          </w:p>
        </w:tc>
        <w:tc>
          <w:tcPr>
            <w:tcW w:w="916" w:type="pct"/>
            <w:tcBorders>
              <w:top w:val="single" w:sz="4" w:space="0" w:color="auto"/>
              <w:bottom w:val="single" w:sz="4" w:space="0" w:color="auto"/>
            </w:tcBorders>
            <w:tcMar>
              <w:top w:w="57" w:type="dxa"/>
              <w:bottom w:w="57" w:type="dxa"/>
            </w:tcMar>
            <w:vAlign w:val="center"/>
          </w:tcPr>
          <w:p w14:paraId="529C1333" w14:textId="30C9C403" w:rsidR="00281B03" w:rsidRPr="00281B03" w:rsidRDefault="001100E2"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(1,818</w:t>
            </w:r>
            <w:r w:rsidR="00281B03" w:rsidRPr="00281B03">
              <w:rPr>
                <w:rFonts w:ascii="Arial" w:hAnsi="Arial" w:cs="Arial"/>
                <w:sz w:val="20"/>
                <w:szCs w:val="20"/>
              </w:rPr>
              <w:t>)</w:t>
            </w:r>
          </w:p>
        </w:tc>
      </w:tr>
      <w:tr w:rsidR="00281B03" w:rsidRPr="00BC678F" w14:paraId="2E75435C" w14:textId="77777777" w:rsidTr="0048637A">
        <w:tc>
          <w:tcPr>
            <w:cnfStyle w:val="001000000000" w:firstRow="0" w:lastRow="0" w:firstColumn="1" w:lastColumn="0" w:oddVBand="0" w:evenVBand="0" w:oddHBand="0" w:evenHBand="0" w:firstRowFirstColumn="0" w:firstRowLastColumn="0" w:lastRowFirstColumn="0" w:lastRowLastColumn="0"/>
            <w:tcW w:w="2571" w:type="pct"/>
            <w:tcBorders>
              <w:top w:val="single" w:sz="4" w:space="0" w:color="auto"/>
            </w:tcBorders>
            <w:tcMar>
              <w:top w:w="57" w:type="dxa"/>
              <w:bottom w:w="57" w:type="dxa"/>
            </w:tcMar>
            <w:vAlign w:val="bottom"/>
          </w:tcPr>
          <w:p w14:paraId="40BE4E37" w14:textId="77777777" w:rsidR="00281B03" w:rsidRPr="00DC2064" w:rsidRDefault="00281B03" w:rsidP="00281B03">
            <w:pPr>
              <w:rPr>
                <w:rFonts w:ascii="Arial" w:hAnsi="Arial" w:cs="Arial"/>
                <w:sz w:val="20"/>
                <w:szCs w:val="20"/>
              </w:rPr>
            </w:pPr>
          </w:p>
        </w:tc>
        <w:tc>
          <w:tcPr>
            <w:tcW w:w="577" w:type="pct"/>
            <w:tcBorders>
              <w:top w:val="single" w:sz="4" w:space="0" w:color="auto"/>
            </w:tcBorders>
            <w:tcMar>
              <w:top w:w="57" w:type="dxa"/>
              <w:bottom w:w="57" w:type="dxa"/>
            </w:tcMar>
            <w:vAlign w:val="bottom"/>
          </w:tcPr>
          <w:p w14:paraId="5FCB74B6" w14:textId="77777777" w:rsidR="00281B03" w:rsidRPr="002D1A2F"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937" w:type="pct"/>
            <w:tcBorders>
              <w:top w:val="single" w:sz="4" w:space="0" w:color="auto"/>
            </w:tcBorders>
            <w:tcMar>
              <w:top w:w="57" w:type="dxa"/>
              <w:bottom w:w="57" w:type="dxa"/>
            </w:tcMar>
            <w:vAlign w:val="center"/>
          </w:tcPr>
          <w:p w14:paraId="1B495711" w14:textId="77777777" w:rsidR="00281B03" w:rsidRPr="00E83884"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16" w:type="pct"/>
            <w:tcBorders>
              <w:top w:val="single" w:sz="4" w:space="0" w:color="auto"/>
            </w:tcBorders>
            <w:tcMar>
              <w:top w:w="57" w:type="dxa"/>
              <w:bottom w:w="57" w:type="dxa"/>
            </w:tcMar>
            <w:vAlign w:val="center"/>
          </w:tcPr>
          <w:p w14:paraId="679DDEB2" w14:textId="77777777" w:rsidR="00281B03" w:rsidRPr="00281B03"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81B03" w:rsidRPr="00BC678F" w14:paraId="2F0B7AD8" w14:textId="77777777" w:rsidTr="0048637A">
        <w:tc>
          <w:tcPr>
            <w:cnfStyle w:val="001000000000" w:firstRow="0" w:lastRow="0" w:firstColumn="1" w:lastColumn="0" w:oddVBand="0" w:evenVBand="0" w:oddHBand="0" w:evenHBand="0" w:firstRowFirstColumn="0" w:firstRowLastColumn="0" w:lastRowFirstColumn="0" w:lastRowLastColumn="0"/>
            <w:tcW w:w="2571" w:type="pct"/>
            <w:tcMar>
              <w:top w:w="57" w:type="dxa"/>
              <w:bottom w:w="57" w:type="dxa"/>
            </w:tcMar>
            <w:vAlign w:val="bottom"/>
          </w:tcPr>
          <w:p w14:paraId="63A5DB17" w14:textId="288D6B5B" w:rsidR="00281B03" w:rsidRPr="002D1A2F" w:rsidRDefault="00281B03" w:rsidP="00311188">
            <w:pPr>
              <w:rPr>
                <w:rFonts w:ascii="Arial" w:hAnsi="Arial" w:cs="Arial"/>
                <w:b/>
                <w:sz w:val="20"/>
                <w:szCs w:val="20"/>
              </w:rPr>
            </w:pPr>
            <w:r w:rsidRPr="00DC2064">
              <w:rPr>
                <w:rFonts w:ascii="Arial" w:hAnsi="Arial" w:cs="Arial"/>
                <w:b/>
                <w:sz w:val="20"/>
                <w:szCs w:val="20"/>
              </w:rPr>
              <w:t>Operating</w:t>
            </w:r>
            <w:r>
              <w:rPr>
                <w:rFonts w:ascii="Arial" w:hAnsi="Arial" w:cs="Arial"/>
                <w:b/>
                <w:sz w:val="20"/>
                <w:szCs w:val="20"/>
              </w:rPr>
              <w:t xml:space="preserve"> loss</w:t>
            </w:r>
            <w:r w:rsidRPr="00DC2064">
              <w:rPr>
                <w:rFonts w:ascii="Arial" w:hAnsi="Arial" w:cs="Arial"/>
                <w:b/>
                <w:sz w:val="20"/>
                <w:szCs w:val="20"/>
              </w:rPr>
              <w:t xml:space="preserve"> for the period</w:t>
            </w:r>
          </w:p>
        </w:tc>
        <w:tc>
          <w:tcPr>
            <w:tcW w:w="577" w:type="pct"/>
            <w:tcMar>
              <w:top w:w="57" w:type="dxa"/>
              <w:bottom w:w="57" w:type="dxa"/>
            </w:tcMar>
            <w:vAlign w:val="bottom"/>
          </w:tcPr>
          <w:p w14:paraId="6CD2E3CF" w14:textId="77777777" w:rsidR="00281B03" w:rsidRPr="002D1A2F"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937" w:type="pct"/>
            <w:tcMar>
              <w:top w:w="57" w:type="dxa"/>
              <w:bottom w:w="57" w:type="dxa"/>
            </w:tcMar>
            <w:vAlign w:val="center"/>
          </w:tcPr>
          <w:p w14:paraId="717A6FF6" w14:textId="2004405F" w:rsidR="00281B03" w:rsidRPr="00E83884" w:rsidRDefault="008B459E" w:rsidP="00281B0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(355,</w:t>
            </w:r>
            <w:r w:rsidR="00BE04E5">
              <w:rPr>
                <w:rFonts w:ascii="Arial" w:hAnsi="Arial" w:cs="Arial"/>
                <w:b/>
                <w:sz w:val="20"/>
                <w:szCs w:val="20"/>
              </w:rPr>
              <w:t>182</w:t>
            </w:r>
            <w:r>
              <w:rPr>
                <w:rFonts w:ascii="Arial" w:hAnsi="Arial" w:cs="Arial"/>
                <w:b/>
                <w:sz w:val="20"/>
                <w:szCs w:val="20"/>
              </w:rPr>
              <w:t>)</w:t>
            </w:r>
          </w:p>
        </w:tc>
        <w:tc>
          <w:tcPr>
            <w:tcW w:w="916" w:type="pct"/>
            <w:tcMar>
              <w:top w:w="57" w:type="dxa"/>
              <w:bottom w:w="57" w:type="dxa"/>
            </w:tcMar>
            <w:vAlign w:val="center"/>
          </w:tcPr>
          <w:p w14:paraId="012622A3" w14:textId="20D95EDF" w:rsidR="00281B03" w:rsidRPr="00281B03" w:rsidRDefault="001100E2"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(373,154)</w:t>
            </w:r>
          </w:p>
        </w:tc>
      </w:tr>
      <w:tr w:rsidR="00281B03" w:rsidRPr="00BC678F" w14:paraId="309658C1" w14:textId="77777777" w:rsidTr="0048637A">
        <w:tc>
          <w:tcPr>
            <w:cnfStyle w:val="001000000000" w:firstRow="0" w:lastRow="0" w:firstColumn="1" w:lastColumn="0" w:oddVBand="0" w:evenVBand="0" w:oddHBand="0" w:evenHBand="0" w:firstRowFirstColumn="0" w:firstRowLastColumn="0" w:lastRowFirstColumn="0" w:lastRowLastColumn="0"/>
            <w:tcW w:w="2571" w:type="pct"/>
            <w:tcMar>
              <w:top w:w="57" w:type="dxa"/>
              <w:bottom w:w="57" w:type="dxa"/>
            </w:tcMar>
            <w:vAlign w:val="bottom"/>
          </w:tcPr>
          <w:p w14:paraId="667469B7" w14:textId="77777777" w:rsidR="00281B03" w:rsidRPr="00DC2064" w:rsidRDefault="00281B03" w:rsidP="00281B03">
            <w:pPr>
              <w:rPr>
                <w:rFonts w:ascii="Arial" w:hAnsi="Arial" w:cs="Arial"/>
                <w:sz w:val="20"/>
                <w:szCs w:val="20"/>
              </w:rPr>
            </w:pPr>
          </w:p>
        </w:tc>
        <w:tc>
          <w:tcPr>
            <w:tcW w:w="577" w:type="pct"/>
            <w:tcMar>
              <w:top w:w="57" w:type="dxa"/>
              <w:bottom w:w="57" w:type="dxa"/>
            </w:tcMar>
            <w:vAlign w:val="bottom"/>
          </w:tcPr>
          <w:p w14:paraId="1B086E22" w14:textId="77777777" w:rsidR="00281B03" w:rsidRPr="002D1A2F"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937" w:type="pct"/>
            <w:tcMar>
              <w:top w:w="57" w:type="dxa"/>
              <w:bottom w:w="57" w:type="dxa"/>
            </w:tcMar>
            <w:vAlign w:val="bottom"/>
          </w:tcPr>
          <w:p w14:paraId="2D75C5A6" w14:textId="77777777" w:rsidR="00281B03" w:rsidRPr="00E83884"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16" w:type="pct"/>
            <w:tcMar>
              <w:top w:w="57" w:type="dxa"/>
              <w:bottom w:w="57" w:type="dxa"/>
            </w:tcMar>
            <w:vAlign w:val="bottom"/>
          </w:tcPr>
          <w:p w14:paraId="1A2C4D18" w14:textId="77777777" w:rsidR="00281B03" w:rsidRPr="00281B03"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81B03" w:rsidRPr="00BC678F" w14:paraId="3D8BD2D2" w14:textId="77777777" w:rsidTr="0048637A">
        <w:tc>
          <w:tcPr>
            <w:cnfStyle w:val="001000000000" w:firstRow="0" w:lastRow="0" w:firstColumn="1" w:lastColumn="0" w:oddVBand="0" w:evenVBand="0" w:oddHBand="0" w:evenHBand="0" w:firstRowFirstColumn="0" w:firstRowLastColumn="0" w:lastRowFirstColumn="0" w:lastRowLastColumn="0"/>
            <w:tcW w:w="2571" w:type="pct"/>
            <w:tcMar>
              <w:top w:w="57" w:type="dxa"/>
              <w:bottom w:w="57" w:type="dxa"/>
            </w:tcMar>
            <w:vAlign w:val="bottom"/>
          </w:tcPr>
          <w:p w14:paraId="12D79F16" w14:textId="056B715A" w:rsidR="00281B03" w:rsidRPr="002D1A2F" w:rsidRDefault="00281B03" w:rsidP="00311188">
            <w:pPr>
              <w:rPr>
                <w:rFonts w:ascii="Arial" w:hAnsi="Arial" w:cs="Arial"/>
                <w:b/>
                <w:sz w:val="20"/>
                <w:szCs w:val="20"/>
              </w:rPr>
            </w:pPr>
            <w:r w:rsidRPr="00DC2064">
              <w:rPr>
                <w:rFonts w:ascii="Arial" w:hAnsi="Arial" w:cs="Arial"/>
                <w:b/>
                <w:sz w:val="20"/>
                <w:szCs w:val="20"/>
              </w:rPr>
              <w:t xml:space="preserve">Finance </w:t>
            </w:r>
            <w:r w:rsidRPr="002D1A2F">
              <w:rPr>
                <w:rFonts w:ascii="Arial" w:hAnsi="Arial" w:cs="Arial"/>
                <w:b/>
                <w:sz w:val="20"/>
                <w:szCs w:val="20"/>
              </w:rPr>
              <w:t>income</w:t>
            </w:r>
            <w:r w:rsidR="00311188">
              <w:rPr>
                <w:rFonts w:ascii="Arial" w:hAnsi="Arial" w:cs="Arial"/>
                <w:b/>
                <w:sz w:val="20"/>
                <w:szCs w:val="20"/>
              </w:rPr>
              <w:t xml:space="preserve"> and</w:t>
            </w:r>
            <w:r w:rsidRPr="002D1A2F">
              <w:rPr>
                <w:rFonts w:ascii="Arial" w:hAnsi="Arial" w:cs="Arial"/>
                <w:b/>
                <w:sz w:val="20"/>
                <w:szCs w:val="20"/>
              </w:rPr>
              <w:t xml:space="preserve"> expenses</w:t>
            </w:r>
          </w:p>
        </w:tc>
        <w:tc>
          <w:tcPr>
            <w:tcW w:w="577" w:type="pct"/>
            <w:tcMar>
              <w:top w:w="57" w:type="dxa"/>
              <w:bottom w:w="57" w:type="dxa"/>
            </w:tcMar>
            <w:vAlign w:val="bottom"/>
          </w:tcPr>
          <w:p w14:paraId="74FEC098" w14:textId="77777777" w:rsidR="00281B03" w:rsidRPr="002D1A2F"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937" w:type="pct"/>
            <w:tcMar>
              <w:top w:w="57" w:type="dxa"/>
              <w:bottom w:w="57" w:type="dxa"/>
            </w:tcMar>
            <w:vAlign w:val="bottom"/>
          </w:tcPr>
          <w:p w14:paraId="6C2F6A7F" w14:textId="77777777" w:rsidR="00281B03" w:rsidRPr="00E83884"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16" w:type="pct"/>
            <w:tcMar>
              <w:top w:w="57" w:type="dxa"/>
              <w:bottom w:w="57" w:type="dxa"/>
            </w:tcMar>
            <w:vAlign w:val="bottom"/>
          </w:tcPr>
          <w:p w14:paraId="72157DE6" w14:textId="77777777" w:rsidR="00281B03" w:rsidRPr="00281B03"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81B03" w:rsidRPr="00BC678F" w14:paraId="0319BB62" w14:textId="77777777" w:rsidTr="0048637A">
        <w:tc>
          <w:tcPr>
            <w:cnfStyle w:val="001000000000" w:firstRow="0" w:lastRow="0" w:firstColumn="1" w:lastColumn="0" w:oddVBand="0" w:evenVBand="0" w:oddHBand="0" w:evenHBand="0" w:firstRowFirstColumn="0" w:firstRowLastColumn="0" w:lastRowFirstColumn="0" w:lastRowLastColumn="0"/>
            <w:tcW w:w="2571" w:type="pct"/>
            <w:tcMar>
              <w:top w:w="57" w:type="dxa"/>
              <w:bottom w:w="57" w:type="dxa"/>
            </w:tcMar>
            <w:vAlign w:val="bottom"/>
          </w:tcPr>
          <w:p w14:paraId="38239C47" w14:textId="05E82ECA" w:rsidR="00281B03" w:rsidRPr="002D1A2F" w:rsidRDefault="00281B03" w:rsidP="00311188">
            <w:pPr>
              <w:rPr>
                <w:rFonts w:ascii="Arial" w:hAnsi="Arial" w:cs="Arial"/>
                <w:sz w:val="20"/>
                <w:szCs w:val="20"/>
              </w:rPr>
            </w:pPr>
            <w:r w:rsidRPr="00DC2064">
              <w:rPr>
                <w:rFonts w:ascii="Arial" w:hAnsi="Arial" w:cs="Arial"/>
                <w:sz w:val="20"/>
                <w:szCs w:val="20"/>
              </w:rPr>
              <w:t>Foreign exchange</w:t>
            </w:r>
            <w:r>
              <w:rPr>
                <w:rFonts w:ascii="Arial" w:hAnsi="Arial" w:cs="Arial"/>
                <w:sz w:val="20"/>
                <w:szCs w:val="20"/>
              </w:rPr>
              <w:t xml:space="preserve"> gain </w:t>
            </w:r>
          </w:p>
        </w:tc>
        <w:tc>
          <w:tcPr>
            <w:tcW w:w="577" w:type="pct"/>
            <w:tcMar>
              <w:top w:w="57" w:type="dxa"/>
              <w:bottom w:w="57" w:type="dxa"/>
            </w:tcMar>
            <w:vAlign w:val="bottom"/>
          </w:tcPr>
          <w:p w14:paraId="492F2F67" w14:textId="77777777" w:rsidR="00281B03" w:rsidRPr="002D1A2F"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937" w:type="pct"/>
            <w:tcMar>
              <w:top w:w="57" w:type="dxa"/>
              <w:bottom w:w="57" w:type="dxa"/>
            </w:tcMar>
            <w:vAlign w:val="bottom"/>
          </w:tcPr>
          <w:p w14:paraId="323A5391" w14:textId="23145C42" w:rsidR="00281B03" w:rsidRPr="00E83884" w:rsidRDefault="008B459E" w:rsidP="008B459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w:t>
            </w:r>
            <w:r w:rsidRPr="00E83884" w:rsidDel="00E9791A">
              <w:rPr>
                <w:rFonts w:ascii="Arial" w:hAnsi="Arial" w:cs="Arial"/>
                <w:b/>
                <w:sz w:val="20"/>
                <w:szCs w:val="20"/>
              </w:rPr>
              <w:t xml:space="preserve"> </w:t>
            </w:r>
          </w:p>
        </w:tc>
        <w:tc>
          <w:tcPr>
            <w:tcW w:w="916" w:type="pct"/>
            <w:tcMar>
              <w:top w:w="57" w:type="dxa"/>
              <w:bottom w:w="57" w:type="dxa"/>
            </w:tcMar>
            <w:vAlign w:val="bottom"/>
          </w:tcPr>
          <w:p w14:paraId="02A4B0A7" w14:textId="0B84C88E" w:rsidR="00281B03" w:rsidRPr="00281B03" w:rsidRDefault="001100E2"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w:t>
            </w:r>
          </w:p>
        </w:tc>
      </w:tr>
      <w:tr w:rsidR="00281B03" w:rsidRPr="00BC678F" w14:paraId="3E4AD9A1" w14:textId="77777777" w:rsidTr="0048637A">
        <w:tc>
          <w:tcPr>
            <w:cnfStyle w:val="001000000000" w:firstRow="0" w:lastRow="0" w:firstColumn="1" w:lastColumn="0" w:oddVBand="0" w:evenVBand="0" w:oddHBand="0" w:evenHBand="0" w:firstRowFirstColumn="0" w:firstRowLastColumn="0" w:lastRowFirstColumn="0" w:lastRowLastColumn="0"/>
            <w:tcW w:w="2571" w:type="pct"/>
            <w:tcMar>
              <w:top w:w="57" w:type="dxa"/>
              <w:bottom w:w="57" w:type="dxa"/>
            </w:tcMar>
            <w:vAlign w:val="bottom"/>
          </w:tcPr>
          <w:p w14:paraId="0D364160" w14:textId="77777777" w:rsidR="00281B03" w:rsidRPr="00DC2064" w:rsidRDefault="00281B03" w:rsidP="00281B03">
            <w:pPr>
              <w:rPr>
                <w:rFonts w:ascii="Arial" w:hAnsi="Arial" w:cs="Arial"/>
                <w:sz w:val="20"/>
                <w:szCs w:val="20"/>
              </w:rPr>
            </w:pPr>
            <w:r>
              <w:rPr>
                <w:rFonts w:ascii="Arial" w:hAnsi="Arial" w:cs="Arial"/>
                <w:sz w:val="20"/>
                <w:szCs w:val="20"/>
              </w:rPr>
              <w:t>Interest income</w:t>
            </w:r>
          </w:p>
        </w:tc>
        <w:tc>
          <w:tcPr>
            <w:tcW w:w="577" w:type="pct"/>
            <w:tcMar>
              <w:top w:w="57" w:type="dxa"/>
              <w:bottom w:w="57" w:type="dxa"/>
            </w:tcMar>
            <w:vAlign w:val="bottom"/>
          </w:tcPr>
          <w:p w14:paraId="7576AEC6" w14:textId="77777777" w:rsidR="00281B03" w:rsidRPr="002D1A2F"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937" w:type="pct"/>
            <w:tcMar>
              <w:top w:w="57" w:type="dxa"/>
              <w:bottom w:w="57" w:type="dxa"/>
            </w:tcMar>
            <w:vAlign w:val="bottom"/>
          </w:tcPr>
          <w:p w14:paraId="651BCF44" w14:textId="5F240879" w:rsidR="00281B03" w:rsidRPr="00E83884" w:rsidRDefault="008B459E" w:rsidP="00281B0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w:t>
            </w:r>
          </w:p>
        </w:tc>
        <w:tc>
          <w:tcPr>
            <w:tcW w:w="916" w:type="pct"/>
            <w:tcMar>
              <w:top w:w="57" w:type="dxa"/>
              <w:bottom w:w="57" w:type="dxa"/>
            </w:tcMar>
            <w:vAlign w:val="bottom"/>
          </w:tcPr>
          <w:p w14:paraId="76EB5C8F" w14:textId="7278604A" w:rsidR="00281B03" w:rsidRPr="00281B03" w:rsidRDefault="001100E2"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r>
      <w:tr w:rsidR="00281B03" w:rsidRPr="00BC678F" w14:paraId="3392BAC4" w14:textId="77777777" w:rsidTr="0048637A">
        <w:tc>
          <w:tcPr>
            <w:cnfStyle w:val="001000000000" w:firstRow="0" w:lastRow="0" w:firstColumn="1" w:lastColumn="0" w:oddVBand="0" w:evenVBand="0" w:oddHBand="0" w:evenHBand="0" w:firstRowFirstColumn="0" w:firstRowLastColumn="0" w:lastRowFirstColumn="0" w:lastRowLastColumn="0"/>
            <w:tcW w:w="2571" w:type="pct"/>
            <w:tcBorders>
              <w:top w:val="single" w:sz="4" w:space="0" w:color="auto"/>
              <w:bottom w:val="single" w:sz="4" w:space="0" w:color="auto"/>
            </w:tcBorders>
            <w:tcMar>
              <w:top w:w="57" w:type="dxa"/>
              <w:bottom w:w="57" w:type="dxa"/>
            </w:tcMar>
            <w:vAlign w:val="bottom"/>
          </w:tcPr>
          <w:p w14:paraId="588BBCBE" w14:textId="77777777" w:rsidR="00281B03" w:rsidRPr="002D1A2F" w:rsidRDefault="00281B03" w:rsidP="00281B03">
            <w:pPr>
              <w:rPr>
                <w:rFonts w:ascii="Arial" w:hAnsi="Arial" w:cs="Arial"/>
                <w:b/>
                <w:sz w:val="20"/>
                <w:szCs w:val="20"/>
              </w:rPr>
            </w:pPr>
            <w:r w:rsidRPr="00DC2064">
              <w:rPr>
                <w:rFonts w:ascii="Arial" w:hAnsi="Arial" w:cs="Arial"/>
                <w:b/>
                <w:sz w:val="20"/>
                <w:szCs w:val="20"/>
              </w:rPr>
              <w:t>Total finance income and expenses</w:t>
            </w:r>
          </w:p>
        </w:tc>
        <w:tc>
          <w:tcPr>
            <w:tcW w:w="577" w:type="pct"/>
            <w:tcBorders>
              <w:top w:val="single" w:sz="4" w:space="0" w:color="auto"/>
              <w:bottom w:val="single" w:sz="4" w:space="0" w:color="auto"/>
            </w:tcBorders>
            <w:tcMar>
              <w:top w:w="57" w:type="dxa"/>
              <w:bottom w:w="57" w:type="dxa"/>
            </w:tcMar>
            <w:vAlign w:val="bottom"/>
          </w:tcPr>
          <w:p w14:paraId="03D4BB44" w14:textId="77777777" w:rsidR="00281B03" w:rsidRPr="002D1A2F"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937" w:type="pct"/>
            <w:tcBorders>
              <w:top w:val="single" w:sz="4" w:space="0" w:color="auto"/>
              <w:bottom w:val="single" w:sz="4" w:space="0" w:color="auto"/>
            </w:tcBorders>
            <w:tcMar>
              <w:top w:w="57" w:type="dxa"/>
              <w:bottom w:w="57" w:type="dxa"/>
            </w:tcMar>
            <w:vAlign w:val="bottom"/>
          </w:tcPr>
          <w:p w14:paraId="1320C4F2" w14:textId="53A19DA0" w:rsidR="00281B03" w:rsidRPr="00E83884" w:rsidRDefault="008B459E" w:rsidP="00281B0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w:t>
            </w:r>
            <w:r w:rsidRPr="00E83884" w:rsidDel="00E9791A">
              <w:rPr>
                <w:rFonts w:ascii="Arial" w:hAnsi="Arial" w:cs="Arial"/>
                <w:b/>
                <w:sz w:val="20"/>
                <w:szCs w:val="20"/>
              </w:rPr>
              <w:t xml:space="preserve"> </w:t>
            </w:r>
          </w:p>
        </w:tc>
        <w:tc>
          <w:tcPr>
            <w:tcW w:w="916" w:type="pct"/>
            <w:tcBorders>
              <w:top w:val="single" w:sz="4" w:space="0" w:color="auto"/>
              <w:bottom w:val="single" w:sz="4" w:space="0" w:color="auto"/>
            </w:tcBorders>
            <w:tcMar>
              <w:top w:w="57" w:type="dxa"/>
              <w:bottom w:w="57" w:type="dxa"/>
            </w:tcMar>
            <w:vAlign w:val="bottom"/>
          </w:tcPr>
          <w:p w14:paraId="6B3035F4" w14:textId="3F6F7426" w:rsidR="00281B03" w:rsidRPr="00281B03" w:rsidRDefault="001100E2"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30</w:t>
            </w:r>
          </w:p>
        </w:tc>
      </w:tr>
      <w:tr w:rsidR="00281B03" w:rsidRPr="00BC678F" w14:paraId="52CB3228" w14:textId="77777777" w:rsidTr="0048637A">
        <w:tc>
          <w:tcPr>
            <w:cnfStyle w:val="001000000000" w:firstRow="0" w:lastRow="0" w:firstColumn="1" w:lastColumn="0" w:oddVBand="0" w:evenVBand="0" w:oddHBand="0" w:evenHBand="0" w:firstRowFirstColumn="0" w:firstRowLastColumn="0" w:lastRowFirstColumn="0" w:lastRowLastColumn="0"/>
            <w:tcW w:w="2571" w:type="pct"/>
            <w:tcBorders>
              <w:top w:val="single" w:sz="4" w:space="0" w:color="auto"/>
            </w:tcBorders>
            <w:tcMar>
              <w:top w:w="57" w:type="dxa"/>
              <w:bottom w:w="57" w:type="dxa"/>
            </w:tcMar>
            <w:vAlign w:val="bottom"/>
          </w:tcPr>
          <w:p w14:paraId="1F13C50D" w14:textId="77777777" w:rsidR="00281B03" w:rsidRPr="00DC2064" w:rsidRDefault="00281B03" w:rsidP="00281B03">
            <w:pPr>
              <w:rPr>
                <w:rFonts w:ascii="Arial" w:hAnsi="Arial" w:cs="Arial"/>
                <w:sz w:val="20"/>
                <w:szCs w:val="20"/>
              </w:rPr>
            </w:pPr>
          </w:p>
        </w:tc>
        <w:tc>
          <w:tcPr>
            <w:tcW w:w="577" w:type="pct"/>
            <w:tcBorders>
              <w:top w:val="single" w:sz="4" w:space="0" w:color="auto"/>
            </w:tcBorders>
            <w:tcMar>
              <w:top w:w="57" w:type="dxa"/>
              <w:bottom w:w="57" w:type="dxa"/>
            </w:tcMar>
            <w:vAlign w:val="bottom"/>
          </w:tcPr>
          <w:p w14:paraId="547B4103" w14:textId="77777777" w:rsidR="00281B03" w:rsidRPr="002D1A2F"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937" w:type="pct"/>
            <w:tcBorders>
              <w:top w:val="single" w:sz="4" w:space="0" w:color="auto"/>
            </w:tcBorders>
            <w:tcMar>
              <w:top w:w="57" w:type="dxa"/>
              <w:bottom w:w="57" w:type="dxa"/>
            </w:tcMar>
            <w:vAlign w:val="bottom"/>
          </w:tcPr>
          <w:p w14:paraId="177A0043" w14:textId="77777777" w:rsidR="00281B03" w:rsidRPr="00E83884"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16" w:type="pct"/>
            <w:tcBorders>
              <w:top w:val="single" w:sz="4" w:space="0" w:color="auto"/>
            </w:tcBorders>
            <w:tcMar>
              <w:top w:w="57" w:type="dxa"/>
              <w:bottom w:w="57" w:type="dxa"/>
            </w:tcMar>
            <w:vAlign w:val="bottom"/>
          </w:tcPr>
          <w:p w14:paraId="3E68BA98" w14:textId="77777777" w:rsidR="00281B03" w:rsidRPr="00281B03"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81B03" w:rsidRPr="00BC678F" w14:paraId="5B601B03" w14:textId="77777777" w:rsidTr="0048637A">
        <w:tc>
          <w:tcPr>
            <w:cnfStyle w:val="001000000000" w:firstRow="0" w:lastRow="0" w:firstColumn="1" w:lastColumn="0" w:oddVBand="0" w:evenVBand="0" w:oddHBand="0" w:evenHBand="0" w:firstRowFirstColumn="0" w:firstRowLastColumn="0" w:lastRowFirstColumn="0" w:lastRowLastColumn="0"/>
            <w:tcW w:w="2571" w:type="pct"/>
            <w:tcMar>
              <w:top w:w="57" w:type="dxa"/>
              <w:bottom w:w="57" w:type="dxa"/>
            </w:tcMar>
            <w:vAlign w:val="bottom"/>
          </w:tcPr>
          <w:p w14:paraId="585019AC" w14:textId="6588A687" w:rsidR="00281B03" w:rsidRPr="002D1A2F" w:rsidRDefault="00281B03" w:rsidP="00311188">
            <w:pPr>
              <w:rPr>
                <w:rFonts w:ascii="Arial" w:hAnsi="Arial" w:cs="Arial"/>
                <w:b/>
                <w:sz w:val="20"/>
                <w:szCs w:val="20"/>
              </w:rPr>
            </w:pPr>
            <w:r>
              <w:rPr>
                <w:rFonts w:ascii="Arial" w:hAnsi="Arial" w:cs="Arial"/>
                <w:b/>
                <w:sz w:val="20"/>
                <w:szCs w:val="20"/>
              </w:rPr>
              <w:t xml:space="preserve">Loss </w:t>
            </w:r>
            <w:r w:rsidRPr="00DC2064">
              <w:rPr>
                <w:rFonts w:ascii="Arial" w:hAnsi="Arial" w:cs="Arial"/>
                <w:b/>
                <w:sz w:val="20"/>
                <w:szCs w:val="20"/>
              </w:rPr>
              <w:t>for the period</w:t>
            </w:r>
          </w:p>
        </w:tc>
        <w:tc>
          <w:tcPr>
            <w:tcW w:w="577" w:type="pct"/>
            <w:tcMar>
              <w:top w:w="57" w:type="dxa"/>
              <w:bottom w:w="57" w:type="dxa"/>
            </w:tcMar>
            <w:vAlign w:val="bottom"/>
          </w:tcPr>
          <w:p w14:paraId="13F5BFF7" w14:textId="77777777" w:rsidR="00281B03" w:rsidRPr="002D1A2F"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937" w:type="pct"/>
            <w:tcMar>
              <w:top w:w="57" w:type="dxa"/>
              <w:bottom w:w="57" w:type="dxa"/>
            </w:tcMar>
            <w:vAlign w:val="center"/>
          </w:tcPr>
          <w:p w14:paraId="55D23075" w14:textId="5E263AC7" w:rsidR="00281B03" w:rsidRPr="00E83884" w:rsidRDefault="008B459E" w:rsidP="00281B0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(355,</w:t>
            </w:r>
            <w:r w:rsidR="00BE04E5">
              <w:rPr>
                <w:rFonts w:ascii="Arial" w:hAnsi="Arial" w:cs="Arial"/>
                <w:b/>
                <w:sz w:val="20"/>
                <w:szCs w:val="20"/>
              </w:rPr>
              <w:t>180</w:t>
            </w:r>
            <w:r>
              <w:rPr>
                <w:rFonts w:ascii="Arial" w:hAnsi="Arial" w:cs="Arial"/>
                <w:b/>
                <w:sz w:val="20"/>
                <w:szCs w:val="20"/>
              </w:rPr>
              <w:t>)</w:t>
            </w:r>
          </w:p>
        </w:tc>
        <w:tc>
          <w:tcPr>
            <w:tcW w:w="916" w:type="pct"/>
            <w:tcMar>
              <w:top w:w="57" w:type="dxa"/>
              <w:bottom w:w="57" w:type="dxa"/>
            </w:tcMar>
            <w:vAlign w:val="center"/>
          </w:tcPr>
          <w:p w14:paraId="7B99EE83" w14:textId="3DE3A924" w:rsidR="00281B03" w:rsidRPr="00281B03" w:rsidRDefault="00C75564"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(373,124)</w:t>
            </w:r>
          </w:p>
        </w:tc>
      </w:tr>
      <w:tr w:rsidR="00281B03" w:rsidRPr="00BC678F" w14:paraId="66F24CEA" w14:textId="77777777" w:rsidTr="0048637A">
        <w:tc>
          <w:tcPr>
            <w:cnfStyle w:val="001000000000" w:firstRow="0" w:lastRow="0" w:firstColumn="1" w:lastColumn="0" w:oddVBand="0" w:evenVBand="0" w:oddHBand="0" w:evenHBand="0" w:firstRowFirstColumn="0" w:firstRowLastColumn="0" w:lastRowFirstColumn="0" w:lastRowLastColumn="0"/>
            <w:tcW w:w="2571" w:type="pct"/>
            <w:tcBorders>
              <w:top w:val="single" w:sz="4" w:space="0" w:color="auto"/>
              <w:bottom w:val="single" w:sz="18" w:space="0" w:color="auto"/>
            </w:tcBorders>
            <w:tcMar>
              <w:top w:w="57" w:type="dxa"/>
              <w:bottom w:w="57" w:type="dxa"/>
            </w:tcMar>
            <w:vAlign w:val="bottom"/>
          </w:tcPr>
          <w:p w14:paraId="10F932DC" w14:textId="1754A19A" w:rsidR="00281B03" w:rsidRPr="002D1A2F" w:rsidRDefault="00281B03" w:rsidP="00311188">
            <w:pPr>
              <w:rPr>
                <w:rFonts w:ascii="Arial" w:hAnsi="Arial" w:cs="Arial"/>
                <w:b/>
                <w:sz w:val="20"/>
                <w:szCs w:val="20"/>
              </w:rPr>
            </w:pPr>
            <w:r w:rsidRPr="00DC2064">
              <w:rPr>
                <w:rFonts w:ascii="Arial" w:hAnsi="Arial" w:cs="Arial"/>
                <w:b/>
                <w:sz w:val="20"/>
                <w:szCs w:val="20"/>
              </w:rPr>
              <w:t>Total comprehensive</w:t>
            </w:r>
            <w:r w:rsidR="00311188">
              <w:rPr>
                <w:rFonts w:ascii="Arial" w:hAnsi="Arial" w:cs="Arial"/>
                <w:b/>
                <w:sz w:val="20"/>
                <w:szCs w:val="20"/>
              </w:rPr>
              <w:t xml:space="preserve"> </w:t>
            </w:r>
            <w:r>
              <w:rPr>
                <w:rFonts w:ascii="Arial" w:hAnsi="Arial" w:cs="Arial"/>
                <w:b/>
                <w:sz w:val="20"/>
                <w:szCs w:val="20"/>
              </w:rPr>
              <w:t xml:space="preserve">loss </w:t>
            </w:r>
            <w:r w:rsidRPr="00DC2064">
              <w:rPr>
                <w:rFonts w:ascii="Arial" w:hAnsi="Arial" w:cs="Arial"/>
                <w:b/>
                <w:sz w:val="20"/>
                <w:szCs w:val="20"/>
              </w:rPr>
              <w:t>for the period</w:t>
            </w:r>
          </w:p>
        </w:tc>
        <w:tc>
          <w:tcPr>
            <w:tcW w:w="577" w:type="pct"/>
            <w:tcBorders>
              <w:top w:val="single" w:sz="4" w:space="0" w:color="auto"/>
              <w:bottom w:val="single" w:sz="18" w:space="0" w:color="auto"/>
            </w:tcBorders>
            <w:tcMar>
              <w:top w:w="57" w:type="dxa"/>
              <w:bottom w:w="57" w:type="dxa"/>
            </w:tcMar>
            <w:vAlign w:val="bottom"/>
          </w:tcPr>
          <w:p w14:paraId="4320E38F" w14:textId="77777777" w:rsidR="00281B03" w:rsidRPr="002D1A2F"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937" w:type="pct"/>
            <w:tcBorders>
              <w:top w:val="single" w:sz="4" w:space="0" w:color="auto"/>
              <w:bottom w:val="single" w:sz="18" w:space="0" w:color="auto"/>
            </w:tcBorders>
            <w:tcMar>
              <w:top w:w="57" w:type="dxa"/>
              <w:bottom w:w="57" w:type="dxa"/>
            </w:tcMar>
            <w:vAlign w:val="center"/>
          </w:tcPr>
          <w:p w14:paraId="5FC6C348" w14:textId="7BA9BBF5" w:rsidR="00281B03" w:rsidRPr="00E83884" w:rsidRDefault="008B459E" w:rsidP="00BE04E5">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(355,</w:t>
            </w:r>
            <w:r w:rsidR="00BE04E5">
              <w:rPr>
                <w:rFonts w:ascii="Arial" w:hAnsi="Arial" w:cs="Arial"/>
                <w:b/>
                <w:sz w:val="20"/>
                <w:szCs w:val="20"/>
              </w:rPr>
              <w:t>180</w:t>
            </w:r>
            <w:r>
              <w:rPr>
                <w:rFonts w:ascii="Arial" w:hAnsi="Arial" w:cs="Arial"/>
                <w:b/>
                <w:sz w:val="20"/>
                <w:szCs w:val="20"/>
              </w:rPr>
              <w:t>)</w:t>
            </w:r>
          </w:p>
        </w:tc>
        <w:tc>
          <w:tcPr>
            <w:tcW w:w="916" w:type="pct"/>
            <w:tcBorders>
              <w:top w:val="single" w:sz="4" w:space="0" w:color="auto"/>
              <w:bottom w:val="single" w:sz="18" w:space="0" w:color="auto"/>
            </w:tcBorders>
            <w:tcMar>
              <w:top w:w="57" w:type="dxa"/>
              <w:bottom w:w="57" w:type="dxa"/>
            </w:tcMar>
            <w:vAlign w:val="center"/>
          </w:tcPr>
          <w:p w14:paraId="673E954B" w14:textId="723573F6" w:rsidR="00281B03" w:rsidRPr="00281B03" w:rsidRDefault="00C75564"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(373,124)</w:t>
            </w:r>
          </w:p>
        </w:tc>
      </w:tr>
      <w:tr w:rsidR="00281B03" w:rsidRPr="00BC678F" w14:paraId="4F111B41" w14:textId="77777777" w:rsidTr="0048637A">
        <w:tc>
          <w:tcPr>
            <w:cnfStyle w:val="001000000000" w:firstRow="0" w:lastRow="0" w:firstColumn="1" w:lastColumn="0" w:oddVBand="0" w:evenVBand="0" w:oddHBand="0" w:evenHBand="0" w:firstRowFirstColumn="0" w:firstRowLastColumn="0" w:lastRowFirstColumn="0" w:lastRowLastColumn="0"/>
            <w:tcW w:w="2571" w:type="pct"/>
            <w:tcBorders>
              <w:top w:val="single" w:sz="18" w:space="0" w:color="auto"/>
            </w:tcBorders>
            <w:tcMar>
              <w:top w:w="57" w:type="dxa"/>
              <w:bottom w:w="57" w:type="dxa"/>
            </w:tcMar>
            <w:vAlign w:val="bottom"/>
          </w:tcPr>
          <w:p w14:paraId="787D91B5" w14:textId="77777777" w:rsidR="00281B03" w:rsidRPr="00DC2064" w:rsidRDefault="00281B03" w:rsidP="00281B03">
            <w:pPr>
              <w:rPr>
                <w:rFonts w:ascii="Arial" w:hAnsi="Arial" w:cs="Arial"/>
                <w:sz w:val="20"/>
                <w:szCs w:val="20"/>
              </w:rPr>
            </w:pPr>
          </w:p>
        </w:tc>
        <w:tc>
          <w:tcPr>
            <w:tcW w:w="577" w:type="pct"/>
            <w:tcBorders>
              <w:top w:val="single" w:sz="18" w:space="0" w:color="auto"/>
            </w:tcBorders>
            <w:tcMar>
              <w:top w:w="57" w:type="dxa"/>
              <w:bottom w:w="57" w:type="dxa"/>
            </w:tcMar>
            <w:vAlign w:val="bottom"/>
          </w:tcPr>
          <w:p w14:paraId="044BD1C1" w14:textId="77777777" w:rsidR="00281B03" w:rsidRPr="002D1A2F"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937" w:type="pct"/>
            <w:tcBorders>
              <w:top w:val="single" w:sz="18" w:space="0" w:color="auto"/>
            </w:tcBorders>
            <w:tcMar>
              <w:top w:w="57" w:type="dxa"/>
              <w:bottom w:w="57" w:type="dxa"/>
            </w:tcMar>
            <w:vAlign w:val="center"/>
          </w:tcPr>
          <w:p w14:paraId="6BBA9C79" w14:textId="77777777" w:rsidR="00281B03" w:rsidRPr="00E83884"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16" w:type="pct"/>
            <w:tcBorders>
              <w:top w:val="single" w:sz="18" w:space="0" w:color="auto"/>
            </w:tcBorders>
            <w:tcMar>
              <w:top w:w="57" w:type="dxa"/>
              <w:bottom w:w="57" w:type="dxa"/>
            </w:tcMar>
            <w:vAlign w:val="center"/>
          </w:tcPr>
          <w:p w14:paraId="7111B31C" w14:textId="77777777" w:rsidR="00281B03" w:rsidRPr="00281B03"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81B03" w:rsidRPr="00BC678F" w14:paraId="6BBC59DB" w14:textId="77777777" w:rsidTr="0048637A">
        <w:tc>
          <w:tcPr>
            <w:cnfStyle w:val="001000000000" w:firstRow="0" w:lastRow="0" w:firstColumn="1" w:lastColumn="0" w:oddVBand="0" w:evenVBand="0" w:oddHBand="0" w:evenHBand="0" w:firstRowFirstColumn="0" w:firstRowLastColumn="0" w:lastRowFirstColumn="0" w:lastRowLastColumn="0"/>
            <w:tcW w:w="2571" w:type="pct"/>
            <w:tcBorders>
              <w:bottom w:val="single" w:sz="18" w:space="0" w:color="auto"/>
            </w:tcBorders>
            <w:tcMar>
              <w:top w:w="57" w:type="dxa"/>
              <w:bottom w:w="57" w:type="dxa"/>
            </w:tcMar>
            <w:vAlign w:val="bottom"/>
          </w:tcPr>
          <w:p w14:paraId="5E4F5D9C" w14:textId="3209D401" w:rsidR="00281B03" w:rsidRPr="00DC2064" w:rsidRDefault="00281B03" w:rsidP="00311188">
            <w:pPr>
              <w:rPr>
                <w:rFonts w:ascii="Arial" w:hAnsi="Arial" w:cs="Arial"/>
                <w:b/>
                <w:sz w:val="20"/>
                <w:szCs w:val="20"/>
              </w:rPr>
            </w:pPr>
            <w:r w:rsidRPr="00DC2064">
              <w:rPr>
                <w:rFonts w:ascii="Arial" w:hAnsi="Arial" w:cs="Arial"/>
                <w:b/>
                <w:sz w:val="20"/>
                <w:szCs w:val="20"/>
              </w:rPr>
              <w:t>Basic</w:t>
            </w:r>
            <w:r w:rsidRPr="002D1A2F">
              <w:rPr>
                <w:rFonts w:ascii="Arial" w:hAnsi="Arial" w:cs="Arial"/>
                <w:b/>
                <w:sz w:val="20"/>
                <w:szCs w:val="20"/>
              </w:rPr>
              <w:t xml:space="preserve"> </w:t>
            </w:r>
            <w:r>
              <w:rPr>
                <w:rFonts w:ascii="Arial" w:hAnsi="Arial" w:cs="Arial"/>
                <w:b/>
                <w:sz w:val="20"/>
                <w:szCs w:val="20"/>
              </w:rPr>
              <w:t xml:space="preserve">Loss </w:t>
            </w:r>
            <w:r w:rsidRPr="002D1A2F">
              <w:rPr>
                <w:rFonts w:ascii="Arial" w:hAnsi="Arial" w:cs="Arial"/>
                <w:b/>
                <w:sz w:val="20"/>
                <w:szCs w:val="20"/>
              </w:rPr>
              <w:t>per Share (cents)</w:t>
            </w:r>
          </w:p>
        </w:tc>
        <w:tc>
          <w:tcPr>
            <w:tcW w:w="577" w:type="pct"/>
            <w:tcBorders>
              <w:bottom w:val="single" w:sz="18" w:space="0" w:color="auto"/>
            </w:tcBorders>
            <w:tcMar>
              <w:top w:w="57" w:type="dxa"/>
              <w:bottom w:w="57" w:type="dxa"/>
            </w:tcMar>
            <w:vAlign w:val="bottom"/>
          </w:tcPr>
          <w:p w14:paraId="25C71113" w14:textId="77777777" w:rsidR="00281B03" w:rsidRPr="002D1A2F"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2D1A2F">
              <w:rPr>
                <w:rFonts w:ascii="Arial" w:hAnsi="Arial" w:cs="Arial"/>
                <w:i/>
                <w:sz w:val="20"/>
                <w:szCs w:val="20"/>
              </w:rPr>
              <w:t>10</w:t>
            </w:r>
          </w:p>
        </w:tc>
        <w:tc>
          <w:tcPr>
            <w:tcW w:w="937" w:type="pct"/>
            <w:tcBorders>
              <w:bottom w:val="single" w:sz="18" w:space="0" w:color="auto"/>
            </w:tcBorders>
            <w:tcMar>
              <w:top w:w="57" w:type="dxa"/>
              <w:bottom w:w="57" w:type="dxa"/>
            </w:tcMar>
            <w:vAlign w:val="center"/>
          </w:tcPr>
          <w:p w14:paraId="60E6D2DA" w14:textId="46DDF0D1" w:rsidR="00281B03" w:rsidRPr="00E83884" w:rsidRDefault="008B459E" w:rsidP="00BE04E5">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(45</w:t>
            </w:r>
            <w:r w:rsidR="00BE04E5">
              <w:rPr>
                <w:rFonts w:ascii="Arial" w:hAnsi="Arial" w:cs="Arial"/>
                <w:b/>
                <w:sz w:val="20"/>
                <w:szCs w:val="20"/>
              </w:rPr>
              <w:t>7</w:t>
            </w:r>
            <w:r>
              <w:rPr>
                <w:rFonts w:ascii="Arial" w:hAnsi="Arial" w:cs="Arial"/>
                <w:b/>
                <w:sz w:val="20"/>
                <w:szCs w:val="20"/>
              </w:rPr>
              <w:t>.</w:t>
            </w:r>
            <w:r w:rsidR="00BE04E5">
              <w:rPr>
                <w:rFonts w:ascii="Arial" w:hAnsi="Arial" w:cs="Arial"/>
                <w:b/>
                <w:sz w:val="20"/>
                <w:szCs w:val="20"/>
              </w:rPr>
              <w:t>59</w:t>
            </w:r>
            <w:r>
              <w:rPr>
                <w:rFonts w:ascii="Arial" w:hAnsi="Arial" w:cs="Arial"/>
                <w:b/>
                <w:sz w:val="20"/>
                <w:szCs w:val="20"/>
              </w:rPr>
              <w:t>)</w:t>
            </w:r>
          </w:p>
        </w:tc>
        <w:tc>
          <w:tcPr>
            <w:tcW w:w="916" w:type="pct"/>
            <w:tcBorders>
              <w:bottom w:val="single" w:sz="18" w:space="0" w:color="auto"/>
            </w:tcBorders>
            <w:tcMar>
              <w:top w:w="57" w:type="dxa"/>
              <w:bottom w:w="57" w:type="dxa"/>
            </w:tcMar>
            <w:vAlign w:val="center"/>
          </w:tcPr>
          <w:p w14:paraId="1233E3F1" w14:textId="411EA78B" w:rsidR="00281B03" w:rsidRPr="00281B03" w:rsidRDefault="00C75564"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(467.01)</w:t>
            </w:r>
          </w:p>
        </w:tc>
      </w:tr>
      <w:tr w:rsidR="00281B03" w:rsidRPr="00BC678F" w14:paraId="6A63FB37" w14:textId="77777777" w:rsidTr="0048637A">
        <w:tc>
          <w:tcPr>
            <w:cnfStyle w:val="001000000000" w:firstRow="0" w:lastRow="0" w:firstColumn="1" w:lastColumn="0" w:oddVBand="0" w:evenVBand="0" w:oddHBand="0" w:evenHBand="0" w:firstRowFirstColumn="0" w:firstRowLastColumn="0" w:lastRowFirstColumn="0" w:lastRowLastColumn="0"/>
            <w:tcW w:w="2571" w:type="pct"/>
            <w:tcBorders>
              <w:bottom w:val="single" w:sz="18" w:space="0" w:color="auto"/>
            </w:tcBorders>
            <w:tcMar>
              <w:top w:w="57" w:type="dxa"/>
              <w:bottom w:w="57" w:type="dxa"/>
            </w:tcMar>
            <w:vAlign w:val="bottom"/>
          </w:tcPr>
          <w:p w14:paraId="33D02770" w14:textId="2CA53311" w:rsidR="00281B03" w:rsidRPr="002D1A2F" w:rsidRDefault="00281B03" w:rsidP="00311188">
            <w:pPr>
              <w:rPr>
                <w:rFonts w:ascii="Arial" w:hAnsi="Arial" w:cs="Arial"/>
                <w:b/>
                <w:sz w:val="20"/>
                <w:szCs w:val="20"/>
              </w:rPr>
            </w:pPr>
            <w:r w:rsidRPr="002D1A2F">
              <w:rPr>
                <w:rFonts w:ascii="Arial" w:hAnsi="Arial" w:cs="Arial"/>
                <w:b/>
                <w:sz w:val="20"/>
                <w:szCs w:val="20"/>
              </w:rPr>
              <w:t xml:space="preserve">Diluted </w:t>
            </w:r>
            <w:r>
              <w:rPr>
                <w:rFonts w:ascii="Arial" w:hAnsi="Arial" w:cs="Arial"/>
                <w:b/>
                <w:sz w:val="20"/>
                <w:szCs w:val="20"/>
              </w:rPr>
              <w:t xml:space="preserve">Loss </w:t>
            </w:r>
            <w:r w:rsidRPr="002D1A2F">
              <w:rPr>
                <w:rFonts w:ascii="Arial" w:hAnsi="Arial" w:cs="Arial"/>
                <w:b/>
                <w:sz w:val="20"/>
                <w:szCs w:val="20"/>
              </w:rPr>
              <w:t>per Share (cents)</w:t>
            </w:r>
          </w:p>
        </w:tc>
        <w:tc>
          <w:tcPr>
            <w:tcW w:w="577" w:type="pct"/>
            <w:tcBorders>
              <w:bottom w:val="single" w:sz="18" w:space="0" w:color="auto"/>
            </w:tcBorders>
            <w:tcMar>
              <w:top w:w="57" w:type="dxa"/>
              <w:bottom w:w="57" w:type="dxa"/>
            </w:tcMar>
            <w:vAlign w:val="bottom"/>
          </w:tcPr>
          <w:p w14:paraId="5385B759" w14:textId="77777777" w:rsidR="00281B03" w:rsidRPr="002D1A2F"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2D1A2F">
              <w:rPr>
                <w:rFonts w:ascii="Arial" w:hAnsi="Arial" w:cs="Arial"/>
                <w:i/>
                <w:sz w:val="20"/>
                <w:szCs w:val="20"/>
              </w:rPr>
              <w:t>10</w:t>
            </w:r>
          </w:p>
        </w:tc>
        <w:tc>
          <w:tcPr>
            <w:tcW w:w="937" w:type="pct"/>
            <w:tcBorders>
              <w:bottom w:val="single" w:sz="18" w:space="0" w:color="auto"/>
            </w:tcBorders>
            <w:tcMar>
              <w:top w:w="57" w:type="dxa"/>
              <w:bottom w:w="57" w:type="dxa"/>
            </w:tcMar>
            <w:vAlign w:val="center"/>
          </w:tcPr>
          <w:p w14:paraId="4BD7ABFF" w14:textId="14B63AA6" w:rsidR="00281B03" w:rsidRPr="00E83884" w:rsidRDefault="008B459E" w:rsidP="00281B0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(45</w:t>
            </w:r>
            <w:r w:rsidR="00BE04E5">
              <w:rPr>
                <w:rFonts w:ascii="Arial" w:hAnsi="Arial" w:cs="Arial"/>
                <w:b/>
                <w:sz w:val="20"/>
                <w:szCs w:val="20"/>
              </w:rPr>
              <w:t>7</w:t>
            </w:r>
            <w:r>
              <w:rPr>
                <w:rFonts w:ascii="Arial" w:hAnsi="Arial" w:cs="Arial"/>
                <w:b/>
                <w:sz w:val="20"/>
                <w:szCs w:val="20"/>
              </w:rPr>
              <w:t>.</w:t>
            </w:r>
            <w:r w:rsidR="00BE04E5">
              <w:rPr>
                <w:rFonts w:ascii="Arial" w:hAnsi="Arial" w:cs="Arial"/>
                <w:b/>
                <w:sz w:val="20"/>
                <w:szCs w:val="20"/>
              </w:rPr>
              <w:t>59</w:t>
            </w:r>
            <w:r>
              <w:rPr>
                <w:rFonts w:ascii="Arial" w:hAnsi="Arial" w:cs="Arial"/>
                <w:b/>
                <w:sz w:val="20"/>
                <w:szCs w:val="20"/>
              </w:rPr>
              <w:t>)</w:t>
            </w:r>
          </w:p>
        </w:tc>
        <w:tc>
          <w:tcPr>
            <w:tcW w:w="916" w:type="pct"/>
            <w:tcBorders>
              <w:bottom w:val="single" w:sz="18" w:space="0" w:color="auto"/>
            </w:tcBorders>
            <w:tcMar>
              <w:top w:w="57" w:type="dxa"/>
              <w:bottom w:w="57" w:type="dxa"/>
            </w:tcMar>
            <w:vAlign w:val="center"/>
          </w:tcPr>
          <w:p w14:paraId="2BEE273C" w14:textId="1E9FD824" w:rsidR="00281B03" w:rsidRPr="00281B03" w:rsidRDefault="00C75564"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(467.01)</w:t>
            </w:r>
          </w:p>
        </w:tc>
      </w:tr>
    </w:tbl>
    <w:p w14:paraId="18A965B1" w14:textId="77777777" w:rsidR="00E41A2E" w:rsidRPr="00DC2064" w:rsidRDefault="00E41A2E">
      <w:pPr>
        <w:rPr>
          <w:rFonts w:ascii="Arial" w:hAnsi="Arial" w:cs="Arial"/>
          <w:sz w:val="20"/>
          <w:szCs w:val="20"/>
        </w:rPr>
      </w:pPr>
    </w:p>
    <w:p w14:paraId="35AF02AE" w14:textId="77777777" w:rsidR="00E41A2E" w:rsidRPr="002D1A2F" w:rsidRDefault="00E41A2E">
      <w:pPr>
        <w:rPr>
          <w:rFonts w:ascii="Arial" w:hAnsi="Arial" w:cs="Arial"/>
          <w:sz w:val="20"/>
          <w:szCs w:val="20"/>
        </w:rPr>
      </w:pPr>
      <w:r w:rsidRPr="002D1A2F">
        <w:rPr>
          <w:rFonts w:ascii="Arial" w:hAnsi="Arial" w:cs="Arial"/>
          <w:sz w:val="20"/>
          <w:szCs w:val="20"/>
        </w:rPr>
        <w:t>All activities derive from continuing operations.</w:t>
      </w:r>
    </w:p>
    <w:p w14:paraId="16069CB6" w14:textId="77777777" w:rsidR="00E41A2E" w:rsidRPr="002D1A2F" w:rsidRDefault="00E41A2E">
      <w:pPr>
        <w:rPr>
          <w:rFonts w:ascii="Arial" w:hAnsi="Arial" w:cs="Arial"/>
          <w:sz w:val="20"/>
          <w:szCs w:val="20"/>
        </w:rPr>
      </w:pPr>
    </w:p>
    <w:p w14:paraId="16B6C13F" w14:textId="77777777" w:rsidR="00E41A2E" w:rsidRPr="002D1A2F" w:rsidRDefault="00E41A2E">
      <w:pPr>
        <w:rPr>
          <w:rFonts w:ascii="Arial" w:hAnsi="Arial" w:cs="Arial"/>
          <w:sz w:val="20"/>
          <w:szCs w:val="20"/>
        </w:rPr>
      </w:pPr>
      <w:r w:rsidRPr="002D1A2F">
        <w:rPr>
          <w:rFonts w:ascii="Arial" w:hAnsi="Arial" w:cs="Arial"/>
          <w:sz w:val="20"/>
          <w:szCs w:val="20"/>
        </w:rPr>
        <w:t>The accompanying notes form an integral part of these interim condensed financial statements.</w:t>
      </w:r>
    </w:p>
    <w:p w14:paraId="7B646ADE" w14:textId="7EF8B655" w:rsidR="00E41A2E" w:rsidRDefault="00E41A2E">
      <w:pPr>
        <w:rPr>
          <w:rFonts w:ascii="Arial" w:hAnsi="Arial" w:cs="Arial"/>
        </w:rPr>
      </w:pPr>
    </w:p>
    <w:p w14:paraId="0397C07F" w14:textId="5E5ECEE9" w:rsidR="001935C9" w:rsidRDefault="001935C9">
      <w:pPr>
        <w:rPr>
          <w:rFonts w:ascii="Arial" w:hAnsi="Arial" w:cs="Arial"/>
          <w:sz w:val="30"/>
          <w:szCs w:val="30"/>
        </w:rPr>
      </w:pPr>
    </w:p>
    <w:p w14:paraId="7634A472" w14:textId="77777777" w:rsidR="005F7878" w:rsidRDefault="005F7878">
      <w:pPr>
        <w:rPr>
          <w:rFonts w:ascii="Arial" w:hAnsi="Arial" w:cs="Arial"/>
          <w:sz w:val="30"/>
          <w:szCs w:val="30"/>
        </w:rPr>
      </w:pPr>
    </w:p>
    <w:p w14:paraId="20EA754C" w14:textId="77777777" w:rsidR="00E41A2E" w:rsidRPr="002D1A2F" w:rsidRDefault="00E41A2E">
      <w:pPr>
        <w:outlineLvl w:val="0"/>
        <w:rPr>
          <w:rFonts w:ascii="Arial" w:hAnsi="Arial" w:cs="Arial"/>
          <w:b/>
          <w:caps/>
          <w:sz w:val="30"/>
          <w:szCs w:val="30"/>
        </w:rPr>
      </w:pPr>
      <w:r w:rsidRPr="002D1A2F">
        <w:rPr>
          <w:rFonts w:ascii="Arial" w:hAnsi="Arial" w:cs="Arial"/>
          <w:b/>
          <w:caps/>
          <w:sz w:val="30"/>
          <w:szCs w:val="30"/>
        </w:rPr>
        <w:t>Condensed Statement of Changes in Equity</w:t>
      </w:r>
    </w:p>
    <w:p w14:paraId="5DA2B95A" w14:textId="0F029898" w:rsidR="00E41A2E" w:rsidRPr="002D1A2F" w:rsidRDefault="00E41A2E">
      <w:pPr>
        <w:rPr>
          <w:rFonts w:ascii="Arial" w:hAnsi="Arial" w:cs="Arial"/>
          <w:sz w:val="20"/>
          <w:szCs w:val="20"/>
        </w:rPr>
      </w:pPr>
      <w:r w:rsidRPr="002D1A2F">
        <w:rPr>
          <w:rFonts w:ascii="Arial" w:hAnsi="Arial" w:cs="Arial"/>
          <w:sz w:val="20"/>
          <w:szCs w:val="20"/>
        </w:rPr>
        <w:t xml:space="preserve">For </w:t>
      </w:r>
      <w:r w:rsidR="00C75564">
        <w:rPr>
          <w:rFonts w:ascii="Arial" w:hAnsi="Arial" w:cs="Arial"/>
          <w:sz w:val="20"/>
          <w:szCs w:val="20"/>
        </w:rPr>
        <w:t>the six months ended 30 June 2020</w:t>
      </w:r>
      <w:r w:rsidRPr="002D1A2F">
        <w:rPr>
          <w:rFonts w:ascii="Arial" w:hAnsi="Arial" w:cs="Arial"/>
          <w:sz w:val="20"/>
          <w:szCs w:val="20"/>
        </w:rPr>
        <w:t xml:space="preserve"> (Unaudited)</w:t>
      </w:r>
    </w:p>
    <w:p w14:paraId="46AD9C3E" w14:textId="77777777" w:rsidR="00E41A2E" w:rsidRPr="002D1A2F" w:rsidRDefault="00E41A2E">
      <w:pPr>
        <w:rPr>
          <w:rFonts w:ascii="Arial" w:hAnsi="Arial" w:cs="Arial"/>
          <w:sz w:val="20"/>
          <w:szCs w:val="20"/>
        </w:rPr>
      </w:pPr>
    </w:p>
    <w:tbl>
      <w:tblPr>
        <w:tblStyle w:val="TableGrid3"/>
        <w:tblW w:w="5000" w:type="pct"/>
        <w:tblLook w:val="04A0" w:firstRow="1" w:lastRow="0" w:firstColumn="1" w:lastColumn="0" w:noHBand="0" w:noVBand="1"/>
      </w:tblPr>
      <w:tblGrid>
        <w:gridCol w:w="4742"/>
        <w:gridCol w:w="1541"/>
        <w:gridCol w:w="1823"/>
        <w:gridCol w:w="1675"/>
      </w:tblGrid>
      <w:tr w:rsidR="00B9013D" w:rsidRPr="00BC678F" w14:paraId="11C99962" w14:textId="77777777" w:rsidTr="0048637A">
        <w:trPr>
          <w:cnfStyle w:val="100000000000" w:firstRow="1" w:lastRow="0" w:firstColumn="0" w:lastColumn="0" w:oddVBand="0" w:evenVBand="0" w:oddHBand="0"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2424" w:type="pct"/>
            <w:tcBorders>
              <w:bottom w:val="single" w:sz="4" w:space="0" w:color="auto"/>
            </w:tcBorders>
            <w:tcMar>
              <w:top w:w="57" w:type="dxa"/>
              <w:bottom w:w="57" w:type="dxa"/>
            </w:tcMar>
            <w:vAlign w:val="bottom"/>
          </w:tcPr>
          <w:p w14:paraId="0D4FDB9B" w14:textId="77777777" w:rsidR="00B9013D" w:rsidRPr="002D1A2F" w:rsidRDefault="00B9013D">
            <w:pPr>
              <w:rPr>
                <w:rFonts w:ascii="Arial" w:hAnsi="Arial" w:cs="Arial"/>
                <w:sz w:val="20"/>
                <w:szCs w:val="20"/>
              </w:rPr>
            </w:pPr>
          </w:p>
        </w:tc>
        <w:tc>
          <w:tcPr>
            <w:tcW w:w="788" w:type="pct"/>
            <w:tcBorders>
              <w:bottom w:val="single" w:sz="4" w:space="0" w:color="auto"/>
            </w:tcBorders>
            <w:tcMar>
              <w:top w:w="57" w:type="dxa"/>
              <w:bottom w:w="57" w:type="dxa"/>
            </w:tcMar>
            <w:vAlign w:val="bottom"/>
          </w:tcPr>
          <w:p w14:paraId="4BA87E0F" w14:textId="77777777" w:rsidR="00B9013D" w:rsidRPr="002D1A2F" w:rsidRDefault="00B9013D">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 xml:space="preserve">Share </w:t>
            </w:r>
          </w:p>
          <w:p w14:paraId="19F8DA7F" w14:textId="77777777" w:rsidR="00B9013D" w:rsidRPr="002D1A2F" w:rsidRDefault="00B9013D">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capital</w:t>
            </w:r>
          </w:p>
          <w:p w14:paraId="7AE2F3D4" w14:textId="77777777" w:rsidR="00B9013D" w:rsidRPr="002D1A2F" w:rsidRDefault="00B9013D">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$’000</w:t>
            </w:r>
          </w:p>
        </w:tc>
        <w:tc>
          <w:tcPr>
            <w:tcW w:w="932" w:type="pct"/>
            <w:tcBorders>
              <w:bottom w:val="single" w:sz="4" w:space="0" w:color="auto"/>
            </w:tcBorders>
            <w:tcMar>
              <w:top w:w="57" w:type="dxa"/>
              <w:bottom w:w="57" w:type="dxa"/>
            </w:tcMar>
            <w:vAlign w:val="bottom"/>
          </w:tcPr>
          <w:p w14:paraId="6FB106F8" w14:textId="47681484" w:rsidR="00B9013D" w:rsidRPr="002D1A2F" w:rsidRDefault="00B9013D">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Retained</w:t>
            </w:r>
          </w:p>
          <w:p w14:paraId="75655B24" w14:textId="77777777" w:rsidR="00B9013D" w:rsidRPr="002D1A2F" w:rsidRDefault="00B9013D">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earnings</w:t>
            </w:r>
          </w:p>
          <w:p w14:paraId="4C666871" w14:textId="77777777" w:rsidR="00B9013D" w:rsidRPr="002D1A2F" w:rsidRDefault="00B9013D">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$’000</w:t>
            </w:r>
          </w:p>
        </w:tc>
        <w:tc>
          <w:tcPr>
            <w:tcW w:w="857" w:type="pct"/>
            <w:tcBorders>
              <w:bottom w:val="single" w:sz="4" w:space="0" w:color="auto"/>
            </w:tcBorders>
            <w:tcMar>
              <w:top w:w="57" w:type="dxa"/>
              <w:bottom w:w="57" w:type="dxa"/>
            </w:tcMar>
            <w:vAlign w:val="bottom"/>
          </w:tcPr>
          <w:p w14:paraId="0FC19457" w14:textId="77777777" w:rsidR="00B9013D" w:rsidRPr="002D1A2F" w:rsidRDefault="00B9013D">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 xml:space="preserve">Total </w:t>
            </w:r>
          </w:p>
          <w:p w14:paraId="1064868E" w14:textId="77777777" w:rsidR="00B9013D" w:rsidRPr="002D1A2F" w:rsidRDefault="00B9013D">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Equity</w:t>
            </w:r>
          </w:p>
          <w:p w14:paraId="7B8AAADB" w14:textId="77777777" w:rsidR="00B9013D" w:rsidRPr="002D1A2F" w:rsidRDefault="00B9013D">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$’000</w:t>
            </w:r>
          </w:p>
        </w:tc>
      </w:tr>
      <w:tr w:rsidR="00B9013D" w:rsidRPr="00BC678F" w14:paraId="04FF6E64" w14:textId="77777777" w:rsidTr="0048637A">
        <w:tc>
          <w:tcPr>
            <w:cnfStyle w:val="001000000000" w:firstRow="0" w:lastRow="0" w:firstColumn="1" w:lastColumn="0" w:oddVBand="0" w:evenVBand="0" w:oddHBand="0" w:evenHBand="0" w:firstRowFirstColumn="0" w:firstRowLastColumn="0" w:lastRowFirstColumn="0" w:lastRowLastColumn="0"/>
            <w:tcW w:w="2424" w:type="pct"/>
            <w:tcBorders>
              <w:top w:val="single" w:sz="4" w:space="0" w:color="auto"/>
            </w:tcBorders>
            <w:tcMar>
              <w:top w:w="57" w:type="dxa"/>
              <w:bottom w:w="57" w:type="dxa"/>
            </w:tcMar>
            <w:vAlign w:val="bottom"/>
          </w:tcPr>
          <w:p w14:paraId="7E0E07CF" w14:textId="5B507663" w:rsidR="00B9013D" w:rsidRPr="002D1A2F" w:rsidRDefault="00B9013D" w:rsidP="00C75564">
            <w:pPr>
              <w:rPr>
                <w:rFonts w:ascii="Arial" w:hAnsi="Arial" w:cs="Arial"/>
                <w:b/>
                <w:sz w:val="20"/>
                <w:szCs w:val="20"/>
              </w:rPr>
            </w:pPr>
            <w:r>
              <w:rPr>
                <w:rFonts w:ascii="Arial" w:hAnsi="Arial" w:cs="Arial"/>
                <w:b/>
                <w:sz w:val="20"/>
                <w:szCs w:val="20"/>
              </w:rPr>
              <w:t>As at 1 January 2020</w:t>
            </w:r>
          </w:p>
        </w:tc>
        <w:tc>
          <w:tcPr>
            <w:tcW w:w="788" w:type="pct"/>
            <w:tcBorders>
              <w:top w:val="single" w:sz="4" w:space="0" w:color="auto"/>
            </w:tcBorders>
            <w:tcMar>
              <w:top w:w="57" w:type="dxa"/>
              <w:bottom w:w="57" w:type="dxa"/>
            </w:tcMar>
            <w:vAlign w:val="bottom"/>
          </w:tcPr>
          <w:p w14:paraId="7B4E8DC7" w14:textId="4BF4DCB5" w:rsidR="00B9013D" w:rsidRPr="00E83884" w:rsidRDefault="00855DCB">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855DCB">
              <w:rPr>
                <w:rFonts w:ascii="Arial" w:hAnsi="Arial" w:cs="Arial"/>
                <w:b/>
                <w:sz w:val="20"/>
                <w:szCs w:val="20"/>
              </w:rPr>
              <w:t>1,246,559</w:t>
            </w:r>
          </w:p>
        </w:tc>
        <w:tc>
          <w:tcPr>
            <w:tcW w:w="932" w:type="pct"/>
            <w:tcBorders>
              <w:top w:val="single" w:sz="4" w:space="0" w:color="auto"/>
            </w:tcBorders>
            <w:tcMar>
              <w:top w:w="57" w:type="dxa"/>
              <w:bottom w:w="57" w:type="dxa"/>
            </w:tcMar>
            <w:vAlign w:val="bottom"/>
          </w:tcPr>
          <w:p w14:paraId="0FA1F59F" w14:textId="34BA8DDA" w:rsidR="00B9013D" w:rsidRPr="00E83884" w:rsidRDefault="00B9013D" w:rsidP="008B459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w:t>
            </w:r>
            <w:r w:rsidR="008B459E">
              <w:rPr>
                <w:rFonts w:ascii="Arial" w:hAnsi="Arial" w:cs="Arial"/>
                <w:b/>
                <w:sz w:val="20"/>
                <w:szCs w:val="20"/>
              </w:rPr>
              <w:t>474,867</w:t>
            </w:r>
            <w:r>
              <w:rPr>
                <w:rFonts w:ascii="Arial" w:hAnsi="Arial" w:cs="Arial"/>
                <w:b/>
                <w:sz w:val="20"/>
                <w:szCs w:val="20"/>
              </w:rPr>
              <w:t>)</w:t>
            </w:r>
          </w:p>
        </w:tc>
        <w:tc>
          <w:tcPr>
            <w:tcW w:w="857" w:type="pct"/>
            <w:tcBorders>
              <w:top w:val="single" w:sz="4" w:space="0" w:color="auto"/>
            </w:tcBorders>
            <w:tcMar>
              <w:top w:w="57" w:type="dxa"/>
              <w:bottom w:w="57" w:type="dxa"/>
            </w:tcMar>
            <w:vAlign w:val="bottom"/>
          </w:tcPr>
          <w:p w14:paraId="53587EA5" w14:textId="402CF8C9" w:rsidR="00B9013D" w:rsidRPr="00E83884" w:rsidRDefault="008B459E" w:rsidP="008B459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771</w:t>
            </w:r>
            <w:r w:rsidR="00B9013D" w:rsidRPr="00E83884">
              <w:rPr>
                <w:rFonts w:ascii="Arial" w:hAnsi="Arial" w:cs="Arial"/>
                <w:b/>
                <w:sz w:val="20"/>
                <w:szCs w:val="20"/>
              </w:rPr>
              <w:t>,</w:t>
            </w:r>
            <w:r>
              <w:rPr>
                <w:rFonts w:ascii="Arial" w:hAnsi="Arial" w:cs="Arial"/>
                <w:b/>
                <w:sz w:val="20"/>
                <w:szCs w:val="20"/>
              </w:rPr>
              <w:t>692</w:t>
            </w:r>
          </w:p>
        </w:tc>
      </w:tr>
      <w:tr w:rsidR="00B9013D" w:rsidRPr="00BC678F" w14:paraId="177AD26F" w14:textId="77777777" w:rsidTr="0048637A">
        <w:tc>
          <w:tcPr>
            <w:cnfStyle w:val="001000000000" w:firstRow="0" w:lastRow="0" w:firstColumn="1" w:lastColumn="0" w:oddVBand="0" w:evenVBand="0" w:oddHBand="0" w:evenHBand="0" w:firstRowFirstColumn="0" w:firstRowLastColumn="0" w:lastRowFirstColumn="0" w:lastRowLastColumn="0"/>
            <w:tcW w:w="2424" w:type="pct"/>
            <w:tcMar>
              <w:top w:w="57" w:type="dxa"/>
              <w:bottom w:w="57" w:type="dxa"/>
            </w:tcMar>
            <w:vAlign w:val="bottom"/>
          </w:tcPr>
          <w:p w14:paraId="563A9BC3" w14:textId="77777777" w:rsidR="00B9013D" w:rsidRPr="00DC2064" w:rsidRDefault="00B9013D">
            <w:pPr>
              <w:rPr>
                <w:rFonts w:ascii="Arial" w:hAnsi="Arial" w:cs="Arial"/>
                <w:sz w:val="20"/>
                <w:szCs w:val="20"/>
              </w:rPr>
            </w:pPr>
          </w:p>
        </w:tc>
        <w:tc>
          <w:tcPr>
            <w:tcW w:w="788" w:type="pct"/>
            <w:tcMar>
              <w:top w:w="57" w:type="dxa"/>
              <w:bottom w:w="57" w:type="dxa"/>
            </w:tcMar>
            <w:vAlign w:val="bottom"/>
          </w:tcPr>
          <w:p w14:paraId="217672D7" w14:textId="77777777" w:rsidR="00B9013D" w:rsidRPr="00E83884" w:rsidRDefault="00B9013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32" w:type="pct"/>
            <w:tcMar>
              <w:top w:w="57" w:type="dxa"/>
              <w:bottom w:w="57" w:type="dxa"/>
            </w:tcMar>
            <w:vAlign w:val="bottom"/>
          </w:tcPr>
          <w:p w14:paraId="58206444" w14:textId="53D7A680" w:rsidR="00B9013D" w:rsidRPr="00E83884" w:rsidRDefault="00B9013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857" w:type="pct"/>
            <w:tcMar>
              <w:top w:w="57" w:type="dxa"/>
              <w:bottom w:w="57" w:type="dxa"/>
            </w:tcMar>
            <w:vAlign w:val="bottom"/>
          </w:tcPr>
          <w:p w14:paraId="6DB36D73" w14:textId="77777777" w:rsidR="00B9013D" w:rsidRPr="00E83884" w:rsidRDefault="00B9013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B9013D" w:rsidRPr="00BC678F" w14:paraId="352169ED" w14:textId="77777777" w:rsidTr="0048637A">
        <w:tc>
          <w:tcPr>
            <w:cnfStyle w:val="001000000000" w:firstRow="0" w:lastRow="0" w:firstColumn="1" w:lastColumn="0" w:oddVBand="0" w:evenVBand="0" w:oddHBand="0" w:evenHBand="0" w:firstRowFirstColumn="0" w:firstRowLastColumn="0" w:lastRowFirstColumn="0" w:lastRowLastColumn="0"/>
            <w:tcW w:w="2424" w:type="pct"/>
            <w:tcMar>
              <w:top w:w="57" w:type="dxa"/>
              <w:bottom w:w="57" w:type="dxa"/>
            </w:tcMar>
            <w:vAlign w:val="bottom"/>
          </w:tcPr>
          <w:p w14:paraId="5DE7B753" w14:textId="6F2AB06F" w:rsidR="00B9013D" w:rsidRPr="002D1A2F" w:rsidRDefault="00B9013D" w:rsidP="00213C6C">
            <w:pPr>
              <w:rPr>
                <w:rFonts w:ascii="Arial" w:hAnsi="Arial" w:cs="Arial"/>
                <w:sz w:val="20"/>
                <w:szCs w:val="20"/>
              </w:rPr>
            </w:pPr>
            <w:r>
              <w:rPr>
                <w:rFonts w:ascii="Arial" w:hAnsi="Arial" w:cs="Arial"/>
                <w:sz w:val="20"/>
                <w:szCs w:val="20"/>
              </w:rPr>
              <w:t>Loss</w:t>
            </w:r>
            <w:r w:rsidRPr="00DC2064">
              <w:rPr>
                <w:rFonts w:ascii="Arial" w:hAnsi="Arial" w:cs="Arial"/>
                <w:sz w:val="20"/>
                <w:szCs w:val="20"/>
              </w:rPr>
              <w:t xml:space="preserve"> for the period</w:t>
            </w:r>
          </w:p>
        </w:tc>
        <w:tc>
          <w:tcPr>
            <w:tcW w:w="788" w:type="pct"/>
            <w:tcMar>
              <w:top w:w="57" w:type="dxa"/>
              <w:bottom w:w="57" w:type="dxa"/>
            </w:tcMar>
            <w:vAlign w:val="bottom"/>
          </w:tcPr>
          <w:p w14:paraId="1D70E48A" w14:textId="73E0B677" w:rsidR="00B9013D" w:rsidRPr="00213C6C" w:rsidRDefault="008B459E" w:rsidP="00213C6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w:t>
            </w:r>
          </w:p>
        </w:tc>
        <w:tc>
          <w:tcPr>
            <w:tcW w:w="932" w:type="pct"/>
            <w:tcMar>
              <w:top w:w="57" w:type="dxa"/>
              <w:bottom w:w="57" w:type="dxa"/>
            </w:tcMar>
            <w:vAlign w:val="bottom"/>
          </w:tcPr>
          <w:p w14:paraId="0EFC3F81" w14:textId="2DF4AE66" w:rsidR="00B9013D" w:rsidRPr="00E83884" w:rsidRDefault="008B459E" w:rsidP="00213C6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(355,</w:t>
            </w:r>
            <w:r w:rsidR="00BE04E5">
              <w:rPr>
                <w:rFonts w:ascii="Arial" w:hAnsi="Arial" w:cs="Arial"/>
                <w:b/>
                <w:sz w:val="20"/>
                <w:szCs w:val="20"/>
              </w:rPr>
              <w:t>1</w:t>
            </w:r>
            <w:r>
              <w:rPr>
                <w:rFonts w:ascii="Arial" w:hAnsi="Arial" w:cs="Arial"/>
                <w:b/>
                <w:sz w:val="20"/>
                <w:szCs w:val="20"/>
              </w:rPr>
              <w:t>8</w:t>
            </w:r>
            <w:r w:rsidR="00BE04E5">
              <w:rPr>
                <w:rFonts w:ascii="Arial" w:hAnsi="Arial" w:cs="Arial"/>
                <w:b/>
                <w:sz w:val="20"/>
                <w:szCs w:val="20"/>
              </w:rPr>
              <w:t>0</w:t>
            </w:r>
            <w:r>
              <w:rPr>
                <w:rFonts w:ascii="Arial" w:hAnsi="Arial" w:cs="Arial"/>
                <w:b/>
                <w:sz w:val="20"/>
                <w:szCs w:val="20"/>
              </w:rPr>
              <w:t>)</w:t>
            </w:r>
          </w:p>
        </w:tc>
        <w:tc>
          <w:tcPr>
            <w:tcW w:w="857" w:type="pct"/>
            <w:tcMar>
              <w:top w:w="57" w:type="dxa"/>
              <w:bottom w:w="57" w:type="dxa"/>
            </w:tcMar>
            <w:vAlign w:val="bottom"/>
          </w:tcPr>
          <w:p w14:paraId="7E1CE245" w14:textId="1ED34C75" w:rsidR="00B9013D" w:rsidRPr="00E83884" w:rsidRDefault="008B459E" w:rsidP="00213C6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(355,</w:t>
            </w:r>
            <w:r w:rsidR="00BE04E5">
              <w:rPr>
                <w:rFonts w:ascii="Arial" w:hAnsi="Arial" w:cs="Arial"/>
                <w:b/>
                <w:sz w:val="20"/>
                <w:szCs w:val="20"/>
              </w:rPr>
              <w:t>1</w:t>
            </w:r>
            <w:r>
              <w:rPr>
                <w:rFonts w:ascii="Arial" w:hAnsi="Arial" w:cs="Arial"/>
                <w:b/>
                <w:sz w:val="20"/>
                <w:szCs w:val="20"/>
              </w:rPr>
              <w:t>8</w:t>
            </w:r>
            <w:r w:rsidR="00BE04E5">
              <w:rPr>
                <w:rFonts w:ascii="Arial" w:hAnsi="Arial" w:cs="Arial"/>
                <w:b/>
                <w:sz w:val="20"/>
                <w:szCs w:val="20"/>
              </w:rPr>
              <w:t>0</w:t>
            </w:r>
            <w:r>
              <w:rPr>
                <w:rFonts w:ascii="Arial" w:hAnsi="Arial" w:cs="Arial"/>
                <w:b/>
                <w:sz w:val="20"/>
                <w:szCs w:val="20"/>
              </w:rPr>
              <w:t>)</w:t>
            </w:r>
          </w:p>
        </w:tc>
      </w:tr>
      <w:tr w:rsidR="00B9013D" w:rsidRPr="00BC678F" w14:paraId="318062E8" w14:textId="77777777" w:rsidTr="0048637A">
        <w:tc>
          <w:tcPr>
            <w:cnfStyle w:val="001000000000" w:firstRow="0" w:lastRow="0" w:firstColumn="1" w:lastColumn="0" w:oddVBand="0" w:evenVBand="0" w:oddHBand="0" w:evenHBand="0" w:firstRowFirstColumn="0" w:firstRowLastColumn="0" w:lastRowFirstColumn="0" w:lastRowLastColumn="0"/>
            <w:tcW w:w="2424" w:type="pct"/>
            <w:tcMar>
              <w:top w:w="57" w:type="dxa"/>
              <w:bottom w:w="57" w:type="dxa"/>
            </w:tcMar>
            <w:vAlign w:val="bottom"/>
          </w:tcPr>
          <w:p w14:paraId="0DD42868" w14:textId="4B279858" w:rsidR="00B9013D" w:rsidRDefault="00B9013D" w:rsidP="00213C6C">
            <w:pPr>
              <w:rPr>
                <w:rFonts w:ascii="Arial" w:hAnsi="Arial" w:cs="Arial"/>
                <w:sz w:val="20"/>
                <w:szCs w:val="20"/>
              </w:rPr>
            </w:pPr>
            <w:r>
              <w:rPr>
                <w:rFonts w:ascii="Arial" w:hAnsi="Arial" w:cs="Arial"/>
                <w:sz w:val="20"/>
                <w:szCs w:val="20"/>
              </w:rPr>
              <w:t>Buyback and cancellation of shares</w:t>
            </w:r>
          </w:p>
        </w:tc>
        <w:tc>
          <w:tcPr>
            <w:tcW w:w="788" w:type="pct"/>
            <w:tcMar>
              <w:top w:w="57" w:type="dxa"/>
              <w:bottom w:w="57" w:type="dxa"/>
            </w:tcMar>
            <w:vAlign w:val="bottom"/>
          </w:tcPr>
          <w:p w14:paraId="1F1EE351" w14:textId="6E5A352A" w:rsidR="00B9013D" w:rsidRPr="00213C6C" w:rsidRDefault="008B459E" w:rsidP="00213C6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(37,741)</w:t>
            </w:r>
          </w:p>
        </w:tc>
        <w:tc>
          <w:tcPr>
            <w:tcW w:w="932" w:type="pct"/>
            <w:tcMar>
              <w:top w:w="57" w:type="dxa"/>
              <w:bottom w:w="57" w:type="dxa"/>
            </w:tcMar>
            <w:vAlign w:val="bottom"/>
          </w:tcPr>
          <w:p w14:paraId="7F03637A" w14:textId="15B684AC" w:rsidR="00B9013D" w:rsidRDefault="008B459E" w:rsidP="00213C6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w:t>
            </w:r>
          </w:p>
        </w:tc>
        <w:tc>
          <w:tcPr>
            <w:tcW w:w="857" w:type="pct"/>
            <w:tcMar>
              <w:top w:w="57" w:type="dxa"/>
              <w:bottom w:w="57" w:type="dxa"/>
            </w:tcMar>
            <w:vAlign w:val="bottom"/>
          </w:tcPr>
          <w:p w14:paraId="400C4358" w14:textId="160C6A11" w:rsidR="00B9013D" w:rsidRDefault="008B459E" w:rsidP="00213C6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(37,741)</w:t>
            </w:r>
          </w:p>
        </w:tc>
      </w:tr>
      <w:tr w:rsidR="00B9013D" w:rsidRPr="00BC678F" w14:paraId="6DE1B86B" w14:textId="77777777" w:rsidTr="0048637A">
        <w:tc>
          <w:tcPr>
            <w:cnfStyle w:val="001000000000" w:firstRow="0" w:lastRow="0" w:firstColumn="1" w:lastColumn="0" w:oddVBand="0" w:evenVBand="0" w:oddHBand="0" w:evenHBand="0" w:firstRowFirstColumn="0" w:firstRowLastColumn="0" w:lastRowFirstColumn="0" w:lastRowLastColumn="0"/>
            <w:tcW w:w="2424" w:type="pct"/>
            <w:tcBorders>
              <w:top w:val="single" w:sz="4" w:space="0" w:color="auto"/>
            </w:tcBorders>
            <w:tcMar>
              <w:top w:w="57" w:type="dxa"/>
              <w:bottom w:w="57" w:type="dxa"/>
            </w:tcMar>
            <w:vAlign w:val="bottom"/>
          </w:tcPr>
          <w:p w14:paraId="5DE9827C" w14:textId="77777777" w:rsidR="00B9013D" w:rsidRPr="00DC2064" w:rsidRDefault="00B9013D" w:rsidP="00213C6C">
            <w:pPr>
              <w:rPr>
                <w:rFonts w:ascii="Arial" w:hAnsi="Arial" w:cs="Arial"/>
                <w:b/>
                <w:sz w:val="20"/>
                <w:szCs w:val="20"/>
              </w:rPr>
            </w:pPr>
          </w:p>
        </w:tc>
        <w:tc>
          <w:tcPr>
            <w:tcW w:w="788" w:type="pct"/>
            <w:tcBorders>
              <w:top w:val="single" w:sz="4" w:space="0" w:color="auto"/>
            </w:tcBorders>
            <w:tcMar>
              <w:top w:w="57" w:type="dxa"/>
              <w:bottom w:w="57" w:type="dxa"/>
            </w:tcMar>
            <w:vAlign w:val="bottom"/>
          </w:tcPr>
          <w:p w14:paraId="623FC3A2" w14:textId="77777777" w:rsidR="00B9013D" w:rsidRPr="00213C6C" w:rsidRDefault="00B9013D" w:rsidP="00213C6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32" w:type="pct"/>
            <w:tcBorders>
              <w:top w:val="single" w:sz="4" w:space="0" w:color="auto"/>
            </w:tcBorders>
            <w:tcMar>
              <w:top w:w="57" w:type="dxa"/>
              <w:bottom w:w="57" w:type="dxa"/>
            </w:tcMar>
            <w:vAlign w:val="bottom"/>
          </w:tcPr>
          <w:p w14:paraId="43410FF8" w14:textId="360F6916" w:rsidR="00B9013D" w:rsidRPr="00E83884" w:rsidRDefault="00B9013D" w:rsidP="00213C6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857" w:type="pct"/>
            <w:tcBorders>
              <w:top w:val="single" w:sz="4" w:space="0" w:color="auto"/>
            </w:tcBorders>
            <w:tcMar>
              <w:top w:w="57" w:type="dxa"/>
              <w:bottom w:w="57" w:type="dxa"/>
            </w:tcMar>
            <w:vAlign w:val="bottom"/>
          </w:tcPr>
          <w:p w14:paraId="320E6912" w14:textId="77777777" w:rsidR="00B9013D" w:rsidRPr="00E83884" w:rsidRDefault="00B9013D" w:rsidP="00213C6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B9013D" w:rsidRPr="00BC678F" w14:paraId="1C0AF903" w14:textId="77777777" w:rsidTr="0048637A">
        <w:tc>
          <w:tcPr>
            <w:cnfStyle w:val="001000000000" w:firstRow="0" w:lastRow="0" w:firstColumn="1" w:lastColumn="0" w:oddVBand="0" w:evenVBand="0" w:oddHBand="0" w:evenHBand="0" w:firstRowFirstColumn="0" w:firstRowLastColumn="0" w:lastRowFirstColumn="0" w:lastRowLastColumn="0"/>
            <w:tcW w:w="2424" w:type="pct"/>
            <w:tcBorders>
              <w:bottom w:val="single" w:sz="18" w:space="0" w:color="auto"/>
            </w:tcBorders>
            <w:tcMar>
              <w:top w:w="57" w:type="dxa"/>
              <w:bottom w:w="57" w:type="dxa"/>
            </w:tcMar>
            <w:vAlign w:val="bottom"/>
          </w:tcPr>
          <w:p w14:paraId="076CDBC2" w14:textId="71EB0B68" w:rsidR="00B9013D" w:rsidRPr="002D1A2F" w:rsidRDefault="00B9013D" w:rsidP="00213C6C">
            <w:pPr>
              <w:rPr>
                <w:rFonts w:ascii="Arial" w:hAnsi="Arial" w:cs="Arial"/>
                <w:b/>
                <w:sz w:val="20"/>
                <w:szCs w:val="20"/>
              </w:rPr>
            </w:pPr>
            <w:r w:rsidRPr="00DC2064">
              <w:rPr>
                <w:rFonts w:ascii="Arial" w:hAnsi="Arial" w:cs="Arial"/>
                <w:b/>
                <w:sz w:val="20"/>
                <w:szCs w:val="20"/>
              </w:rPr>
              <w:t>As at 30 June 20</w:t>
            </w:r>
            <w:r>
              <w:rPr>
                <w:rFonts w:ascii="Arial" w:hAnsi="Arial" w:cs="Arial"/>
                <w:b/>
                <w:sz w:val="20"/>
                <w:szCs w:val="20"/>
              </w:rPr>
              <w:t>20</w:t>
            </w:r>
          </w:p>
        </w:tc>
        <w:tc>
          <w:tcPr>
            <w:tcW w:w="788" w:type="pct"/>
            <w:tcBorders>
              <w:bottom w:val="single" w:sz="18" w:space="0" w:color="auto"/>
            </w:tcBorders>
            <w:tcMar>
              <w:top w:w="57" w:type="dxa"/>
              <w:bottom w:w="57" w:type="dxa"/>
            </w:tcMar>
            <w:vAlign w:val="bottom"/>
          </w:tcPr>
          <w:p w14:paraId="763750C1" w14:textId="754DCEC3" w:rsidR="00B9013D" w:rsidRPr="00213C6C" w:rsidRDefault="008B459E" w:rsidP="00213C6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1,208,818</w:t>
            </w:r>
          </w:p>
        </w:tc>
        <w:tc>
          <w:tcPr>
            <w:tcW w:w="932" w:type="pct"/>
            <w:tcBorders>
              <w:bottom w:val="single" w:sz="18" w:space="0" w:color="auto"/>
            </w:tcBorders>
            <w:tcMar>
              <w:top w:w="57" w:type="dxa"/>
              <w:bottom w:w="57" w:type="dxa"/>
            </w:tcMar>
            <w:vAlign w:val="bottom"/>
          </w:tcPr>
          <w:p w14:paraId="4321ED8E" w14:textId="2B28F055" w:rsidR="00B9013D" w:rsidRPr="00E83884" w:rsidRDefault="008B459E" w:rsidP="00BE04E5">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(830,</w:t>
            </w:r>
            <w:r w:rsidR="00BE04E5">
              <w:rPr>
                <w:rFonts w:ascii="Arial" w:hAnsi="Arial" w:cs="Arial"/>
                <w:b/>
                <w:sz w:val="20"/>
                <w:szCs w:val="20"/>
              </w:rPr>
              <w:t>047</w:t>
            </w:r>
            <w:r>
              <w:rPr>
                <w:rFonts w:ascii="Arial" w:hAnsi="Arial" w:cs="Arial"/>
                <w:b/>
                <w:sz w:val="20"/>
                <w:szCs w:val="20"/>
              </w:rPr>
              <w:t>)</w:t>
            </w:r>
          </w:p>
        </w:tc>
        <w:tc>
          <w:tcPr>
            <w:tcW w:w="857" w:type="pct"/>
            <w:tcBorders>
              <w:bottom w:val="single" w:sz="18" w:space="0" w:color="auto"/>
            </w:tcBorders>
            <w:tcMar>
              <w:top w:w="57" w:type="dxa"/>
              <w:bottom w:w="57" w:type="dxa"/>
            </w:tcMar>
            <w:vAlign w:val="bottom"/>
          </w:tcPr>
          <w:p w14:paraId="07A33A94" w14:textId="5C98BFD3" w:rsidR="00B9013D" w:rsidRPr="00E83884" w:rsidRDefault="008B459E" w:rsidP="00BE04E5">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378,</w:t>
            </w:r>
            <w:r w:rsidR="00BE04E5">
              <w:rPr>
                <w:rFonts w:ascii="Arial" w:hAnsi="Arial" w:cs="Arial"/>
                <w:b/>
                <w:sz w:val="20"/>
                <w:szCs w:val="20"/>
              </w:rPr>
              <w:t>771</w:t>
            </w:r>
          </w:p>
        </w:tc>
      </w:tr>
    </w:tbl>
    <w:p w14:paraId="6BFFB93C" w14:textId="77777777" w:rsidR="00E41A2E" w:rsidRPr="00DC2064" w:rsidRDefault="00E41A2E">
      <w:pPr>
        <w:rPr>
          <w:rFonts w:ascii="Arial" w:hAnsi="Arial" w:cs="Arial"/>
          <w:sz w:val="20"/>
          <w:szCs w:val="20"/>
        </w:rPr>
      </w:pPr>
    </w:p>
    <w:p w14:paraId="4C722822" w14:textId="77777777" w:rsidR="00E41A2E" w:rsidRPr="002D1A2F" w:rsidRDefault="00E41A2E">
      <w:pPr>
        <w:rPr>
          <w:rFonts w:ascii="Arial" w:hAnsi="Arial" w:cs="Arial"/>
          <w:sz w:val="20"/>
          <w:szCs w:val="20"/>
        </w:rPr>
      </w:pPr>
    </w:p>
    <w:p w14:paraId="527A8B6C" w14:textId="1518BBDD" w:rsidR="00F23446" w:rsidRPr="002D1A2F" w:rsidRDefault="00F23446" w:rsidP="00F23446">
      <w:pPr>
        <w:rPr>
          <w:rFonts w:ascii="Arial" w:hAnsi="Arial" w:cs="Arial"/>
          <w:sz w:val="20"/>
          <w:szCs w:val="20"/>
        </w:rPr>
      </w:pPr>
      <w:r w:rsidRPr="002D1A2F">
        <w:rPr>
          <w:rFonts w:ascii="Arial" w:hAnsi="Arial" w:cs="Arial"/>
          <w:sz w:val="20"/>
          <w:szCs w:val="20"/>
        </w:rPr>
        <w:t>For the six months ended 30 June 201</w:t>
      </w:r>
      <w:r w:rsidR="00C75564">
        <w:rPr>
          <w:rFonts w:ascii="Arial" w:hAnsi="Arial" w:cs="Arial"/>
          <w:sz w:val="20"/>
          <w:szCs w:val="20"/>
        </w:rPr>
        <w:t>9</w:t>
      </w:r>
      <w:r w:rsidRPr="002D1A2F">
        <w:rPr>
          <w:rFonts w:ascii="Arial" w:hAnsi="Arial" w:cs="Arial"/>
          <w:sz w:val="20"/>
          <w:szCs w:val="20"/>
        </w:rPr>
        <w:t xml:space="preserve"> (Unaudited)</w:t>
      </w:r>
    </w:p>
    <w:p w14:paraId="42439DBA" w14:textId="77777777" w:rsidR="00F23446" w:rsidRPr="002D1A2F" w:rsidRDefault="00F23446" w:rsidP="00F23446">
      <w:pPr>
        <w:rPr>
          <w:rFonts w:ascii="Arial" w:hAnsi="Arial" w:cs="Arial"/>
          <w:sz w:val="20"/>
          <w:szCs w:val="20"/>
        </w:rPr>
      </w:pPr>
    </w:p>
    <w:tbl>
      <w:tblPr>
        <w:tblStyle w:val="TableGrid3"/>
        <w:tblW w:w="5000" w:type="pct"/>
        <w:tblLook w:val="04A0" w:firstRow="1" w:lastRow="0" w:firstColumn="1" w:lastColumn="0" w:noHBand="0" w:noVBand="1"/>
      </w:tblPr>
      <w:tblGrid>
        <w:gridCol w:w="4735"/>
        <w:gridCol w:w="1541"/>
        <w:gridCol w:w="1823"/>
        <w:gridCol w:w="1682"/>
      </w:tblGrid>
      <w:tr w:rsidR="00F23446" w:rsidRPr="00BC678F" w14:paraId="632CC3C9" w14:textId="77777777" w:rsidTr="0048637A">
        <w:trPr>
          <w:cnfStyle w:val="100000000000" w:firstRow="1" w:lastRow="0" w:firstColumn="0" w:lastColumn="0" w:oddVBand="0" w:evenVBand="0" w:oddHBand="0"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2420" w:type="pct"/>
            <w:tcBorders>
              <w:bottom w:val="single" w:sz="4" w:space="0" w:color="auto"/>
            </w:tcBorders>
            <w:tcMar>
              <w:top w:w="57" w:type="dxa"/>
              <w:bottom w:w="57" w:type="dxa"/>
            </w:tcMar>
            <w:vAlign w:val="bottom"/>
          </w:tcPr>
          <w:p w14:paraId="3706CD33" w14:textId="77777777" w:rsidR="00F23446" w:rsidRPr="00557BF1" w:rsidRDefault="00F23446" w:rsidP="00247A2D">
            <w:pPr>
              <w:rPr>
                <w:rFonts w:ascii="Arial" w:hAnsi="Arial" w:cs="Arial"/>
                <w:sz w:val="20"/>
                <w:szCs w:val="20"/>
              </w:rPr>
            </w:pPr>
          </w:p>
        </w:tc>
        <w:tc>
          <w:tcPr>
            <w:tcW w:w="788" w:type="pct"/>
            <w:tcBorders>
              <w:bottom w:val="single" w:sz="4" w:space="0" w:color="auto"/>
            </w:tcBorders>
            <w:tcMar>
              <w:top w:w="57" w:type="dxa"/>
              <w:bottom w:w="57" w:type="dxa"/>
            </w:tcMar>
            <w:vAlign w:val="bottom"/>
          </w:tcPr>
          <w:p w14:paraId="1AFAF532" w14:textId="77777777" w:rsidR="00F23446" w:rsidRPr="00557BF1" w:rsidRDefault="00F23446" w:rsidP="00247A2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57BF1">
              <w:rPr>
                <w:rFonts w:ascii="Arial" w:hAnsi="Arial" w:cs="Arial"/>
                <w:sz w:val="20"/>
                <w:szCs w:val="20"/>
              </w:rPr>
              <w:t xml:space="preserve">Share </w:t>
            </w:r>
          </w:p>
          <w:p w14:paraId="289D4693" w14:textId="77777777" w:rsidR="00F23446" w:rsidRPr="00557BF1" w:rsidRDefault="00F23446" w:rsidP="00247A2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57BF1">
              <w:rPr>
                <w:rFonts w:ascii="Arial" w:hAnsi="Arial" w:cs="Arial"/>
                <w:sz w:val="20"/>
                <w:szCs w:val="20"/>
              </w:rPr>
              <w:t>capital</w:t>
            </w:r>
          </w:p>
          <w:p w14:paraId="34A92CDA" w14:textId="77777777" w:rsidR="00F23446" w:rsidRPr="00557BF1" w:rsidRDefault="00F23446" w:rsidP="00247A2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57BF1">
              <w:rPr>
                <w:rFonts w:ascii="Arial" w:hAnsi="Arial" w:cs="Arial"/>
                <w:sz w:val="20"/>
                <w:szCs w:val="20"/>
              </w:rPr>
              <w:t>$’000</w:t>
            </w:r>
          </w:p>
        </w:tc>
        <w:tc>
          <w:tcPr>
            <w:tcW w:w="932" w:type="pct"/>
            <w:tcBorders>
              <w:bottom w:val="single" w:sz="4" w:space="0" w:color="auto"/>
            </w:tcBorders>
            <w:tcMar>
              <w:top w:w="57" w:type="dxa"/>
              <w:bottom w:w="57" w:type="dxa"/>
            </w:tcMar>
            <w:vAlign w:val="bottom"/>
          </w:tcPr>
          <w:p w14:paraId="592A6A8E" w14:textId="77777777" w:rsidR="00F23446" w:rsidRPr="00557BF1" w:rsidRDefault="00F23446" w:rsidP="00247A2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57BF1">
              <w:rPr>
                <w:rFonts w:ascii="Arial" w:hAnsi="Arial" w:cs="Arial"/>
                <w:sz w:val="20"/>
                <w:szCs w:val="20"/>
              </w:rPr>
              <w:t>Retained</w:t>
            </w:r>
          </w:p>
          <w:p w14:paraId="4B46AEBD" w14:textId="77777777" w:rsidR="00F23446" w:rsidRPr="00557BF1" w:rsidRDefault="00F23446" w:rsidP="00247A2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57BF1">
              <w:rPr>
                <w:rFonts w:ascii="Arial" w:hAnsi="Arial" w:cs="Arial"/>
                <w:sz w:val="20"/>
                <w:szCs w:val="20"/>
              </w:rPr>
              <w:t>earnings</w:t>
            </w:r>
          </w:p>
          <w:p w14:paraId="71AA6ABD" w14:textId="77777777" w:rsidR="00F23446" w:rsidRPr="00557BF1" w:rsidRDefault="00F23446" w:rsidP="00247A2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57BF1">
              <w:rPr>
                <w:rFonts w:ascii="Arial" w:hAnsi="Arial" w:cs="Arial"/>
                <w:sz w:val="20"/>
                <w:szCs w:val="20"/>
              </w:rPr>
              <w:t>$’000</w:t>
            </w:r>
          </w:p>
        </w:tc>
        <w:tc>
          <w:tcPr>
            <w:tcW w:w="860" w:type="pct"/>
            <w:tcBorders>
              <w:bottom w:val="single" w:sz="4" w:space="0" w:color="auto"/>
            </w:tcBorders>
            <w:tcMar>
              <w:top w:w="57" w:type="dxa"/>
              <w:bottom w:w="57" w:type="dxa"/>
            </w:tcMar>
            <w:vAlign w:val="bottom"/>
          </w:tcPr>
          <w:p w14:paraId="31CDCBF2" w14:textId="77777777" w:rsidR="00F23446" w:rsidRPr="00557BF1" w:rsidRDefault="00F23446" w:rsidP="00247A2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57BF1">
              <w:rPr>
                <w:rFonts w:ascii="Arial" w:hAnsi="Arial" w:cs="Arial"/>
                <w:sz w:val="20"/>
                <w:szCs w:val="20"/>
              </w:rPr>
              <w:t xml:space="preserve">Total </w:t>
            </w:r>
          </w:p>
          <w:p w14:paraId="3F15E359" w14:textId="77777777" w:rsidR="00F23446" w:rsidRPr="00557BF1" w:rsidRDefault="00F23446" w:rsidP="00247A2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57BF1">
              <w:rPr>
                <w:rFonts w:ascii="Arial" w:hAnsi="Arial" w:cs="Arial"/>
                <w:sz w:val="20"/>
                <w:szCs w:val="20"/>
              </w:rPr>
              <w:t>Equity</w:t>
            </w:r>
          </w:p>
          <w:p w14:paraId="45BF9E68" w14:textId="77777777" w:rsidR="00F23446" w:rsidRPr="00557BF1" w:rsidRDefault="00F23446" w:rsidP="00247A2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57BF1">
              <w:rPr>
                <w:rFonts w:ascii="Arial" w:hAnsi="Arial" w:cs="Arial"/>
                <w:sz w:val="20"/>
                <w:szCs w:val="20"/>
              </w:rPr>
              <w:t>$’000</w:t>
            </w:r>
          </w:p>
        </w:tc>
      </w:tr>
      <w:tr w:rsidR="00281B03" w:rsidRPr="00BC678F" w14:paraId="5CBE4978" w14:textId="77777777" w:rsidTr="0048637A">
        <w:tc>
          <w:tcPr>
            <w:cnfStyle w:val="001000000000" w:firstRow="0" w:lastRow="0" w:firstColumn="1" w:lastColumn="0" w:oddVBand="0" w:evenVBand="0" w:oddHBand="0" w:evenHBand="0" w:firstRowFirstColumn="0" w:firstRowLastColumn="0" w:lastRowFirstColumn="0" w:lastRowLastColumn="0"/>
            <w:tcW w:w="2420" w:type="pct"/>
            <w:tcBorders>
              <w:top w:val="single" w:sz="4" w:space="0" w:color="auto"/>
            </w:tcBorders>
            <w:tcMar>
              <w:top w:w="57" w:type="dxa"/>
              <w:bottom w:w="57" w:type="dxa"/>
            </w:tcMar>
            <w:vAlign w:val="bottom"/>
          </w:tcPr>
          <w:p w14:paraId="475FE537" w14:textId="5C21AA1F" w:rsidR="00281B03" w:rsidRPr="00557BF1" w:rsidRDefault="00281B03" w:rsidP="00C75564">
            <w:pPr>
              <w:rPr>
                <w:rFonts w:ascii="Arial" w:hAnsi="Arial" w:cs="Arial"/>
                <w:sz w:val="20"/>
                <w:szCs w:val="20"/>
              </w:rPr>
            </w:pPr>
            <w:r w:rsidRPr="00557BF1">
              <w:rPr>
                <w:rFonts w:ascii="Arial" w:hAnsi="Arial" w:cs="Arial"/>
                <w:sz w:val="20"/>
                <w:szCs w:val="20"/>
              </w:rPr>
              <w:t>As at 1 January 201</w:t>
            </w:r>
            <w:r w:rsidR="00C75564">
              <w:rPr>
                <w:rFonts w:ascii="Arial" w:hAnsi="Arial" w:cs="Arial"/>
                <w:sz w:val="20"/>
                <w:szCs w:val="20"/>
              </w:rPr>
              <w:t>9</w:t>
            </w:r>
          </w:p>
        </w:tc>
        <w:tc>
          <w:tcPr>
            <w:tcW w:w="788" w:type="pct"/>
            <w:tcBorders>
              <w:top w:val="single" w:sz="4" w:space="0" w:color="auto"/>
            </w:tcBorders>
            <w:tcMar>
              <w:top w:w="57" w:type="dxa"/>
              <w:bottom w:w="57" w:type="dxa"/>
            </w:tcMar>
            <w:vAlign w:val="bottom"/>
          </w:tcPr>
          <w:p w14:paraId="44E937BC" w14:textId="02B05AA7" w:rsidR="00281B03" w:rsidRPr="00281B03" w:rsidRDefault="00281B03" w:rsidP="00C755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81B03">
              <w:rPr>
                <w:rFonts w:ascii="Arial" w:hAnsi="Arial" w:cs="Arial"/>
                <w:sz w:val="20"/>
                <w:szCs w:val="20"/>
              </w:rPr>
              <w:t>1,</w:t>
            </w:r>
            <w:r w:rsidR="00C75564">
              <w:rPr>
                <w:rFonts w:ascii="Arial" w:hAnsi="Arial" w:cs="Arial"/>
                <w:sz w:val="20"/>
                <w:szCs w:val="20"/>
              </w:rPr>
              <w:t>246,559</w:t>
            </w:r>
          </w:p>
        </w:tc>
        <w:tc>
          <w:tcPr>
            <w:tcW w:w="932" w:type="pct"/>
            <w:tcBorders>
              <w:top w:val="single" w:sz="4" w:space="0" w:color="auto"/>
            </w:tcBorders>
            <w:tcMar>
              <w:top w:w="57" w:type="dxa"/>
              <w:bottom w:w="57" w:type="dxa"/>
            </w:tcMar>
            <w:vAlign w:val="bottom"/>
          </w:tcPr>
          <w:p w14:paraId="420C0F73" w14:textId="1D407F18" w:rsidR="00281B03" w:rsidRPr="00281B03" w:rsidRDefault="00C75564"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184,702</w:t>
            </w:r>
          </w:p>
        </w:tc>
        <w:tc>
          <w:tcPr>
            <w:tcW w:w="860" w:type="pct"/>
            <w:tcBorders>
              <w:top w:val="single" w:sz="4" w:space="0" w:color="auto"/>
            </w:tcBorders>
            <w:tcMar>
              <w:top w:w="57" w:type="dxa"/>
              <w:bottom w:w="57" w:type="dxa"/>
            </w:tcMar>
            <w:vAlign w:val="bottom"/>
          </w:tcPr>
          <w:p w14:paraId="63B974AF" w14:textId="79EA31E1" w:rsidR="00281B03" w:rsidRPr="00281B03" w:rsidRDefault="00281B03" w:rsidP="00C755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81B03">
              <w:rPr>
                <w:rFonts w:ascii="Arial" w:hAnsi="Arial" w:cs="Arial"/>
                <w:sz w:val="20"/>
                <w:szCs w:val="20"/>
              </w:rPr>
              <w:t>1,43</w:t>
            </w:r>
            <w:r w:rsidR="00C75564">
              <w:rPr>
                <w:rFonts w:ascii="Arial" w:hAnsi="Arial" w:cs="Arial"/>
                <w:sz w:val="20"/>
                <w:szCs w:val="20"/>
              </w:rPr>
              <w:t>1</w:t>
            </w:r>
            <w:r w:rsidRPr="00281B03">
              <w:rPr>
                <w:rFonts w:ascii="Arial" w:hAnsi="Arial" w:cs="Arial"/>
                <w:sz w:val="20"/>
                <w:szCs w:val="20"/>
              </w:rPr>
              <w:t>,</w:t>
            </w:r>
            <w:r w:rsidR="00C75564">
              <w:rPr>
                <w:rFonts w:ascii="Arial" w:hAnsi="Arial" w:cs="Arial"/>
                <w:sz w:val="20"/>
                <w:szCs w:val="20"/>
              </w:rPr>
              <w:t>261</w:t>
            </w:r>
          </w:p>
        </w:tc>
      </w:tr>
      <w:tr w:rsidR="00281B03" w:rsidRPr="00BC678F" w14:paraId="26781698" w14:textId="77777777" w:rsidTr="0048637A">
        <w:tc>
          <w:tcPr>
            <w:cnfStyle w:val="001000000000" w:firstRow="0" w:lastRow="0" w:firstColumn="1" w:lastColumn="0" w:oddVBand="0" w:evenVBand="0" w:oddHBand="0" w:evenHBand="0" w:firstRowFirstColumn="0" w:firstRowLastColumn="0" w:lastRowFirstColumn="0" w:lastRowLastColumn="0"/>
            <w:tcW w:w="2420" w:type="pct"/>
            <w:tcMar>
              <w:top w:w="57" w:type="dxa"/>
              <w:bottom w:w="57" w:type="dxa"/>
            </w:tcMar>
            <w:vAlign w:val="bottom"/>
          </w:tcPr>
          <w:p w14:paraId="0B157004" w14:textId="77777777" w:rsidR="00281B03" w:rsidRPr="00557BF1" w:rsidRDefault="00281B03" w:rsidP="00281B03">
            <w:pPr>
              <w:rPr>
                <w:rFonts w:ascii="Arial" w:hAnsi="Arial" w:cs="Arial"/>
                <w:sz w:val="20"/>
                <w:szCs w:val="20"/>
              </w:rPr>
            </w:pPr>
          </w:p>
        </w:tc>
        <w:tc>
          <w:tcPr>
            <w:tcW w:w="788" w:type="pct"/>
            <w:tcMar>
              <w:top w:w="57" w:type="dxa"/>
              <w:bottom w:w="57" w:type="dxa"/>
            </w:tcMar>
            <w:vAlign w:val="bottom"/>
          </w:tcPr>
          <w:p w14:paraId="507700C0" w14:textId="77777777" w:rsidR="00281B03" w:rsidRPr="00281B03"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32" w:type="pct"/>
            <w:tcMar>
              <w:top w:w="57" w:type="dxa"/>
              <w:bottom w:w="57" w:type="dxa"/>
            </w:tcMar>
            <w:vAlign w:val="bottom"/>
          </w:tcPr>
          <w:p w14:paraId="0064A18B" w14:textId="77777777" w:rsidR="00281B03" w:rsidRPr="00281B03"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60" w:type="pct"/>
            <w:tcMar>
              <w:top w:w="57" w:type="dxa"/>
              <w:bottom w:w="57" w:type="dxa"/>
            </w:tcMar>
            <w:vAlign w:val="bottom"/>
          </w:tcPr>
          <w:p w14:paraId="2F95F22B" w14:textId="77777777" w:rsidR="00281B03" w:rsidRPr="00281B03"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81B03" w:rsidRPr="00BC678F" w14:paraId="0229F4B8" w14:textId="77777777" w:rsidTr="0048637A">
        <w:tc>
          <w:tcPr>
            <w:cnfStyle w:val="001000000000" w:firstRow="0" w:lastRow="0" w:firstColumn="1" w:lastColumn="0" w:oddVBand="0" w:evenVBand="0" w:oddHBand="0" w:evenHBand="0" w:firstRowFirstColumn="0" w:firstRowLastColumn="0" w:lastRowFirstColumn="0" w:lastRowLastColumn="0"/>
            <w:tcW w:w="2420" w:type="pct"/>
            <w:tcMar>
              <w:top w:w="57" w:type="dxa"/>
              <w:bottom w:w="57" w:type="dxa"/>
            </w:tcMar>
            <w:vAlign w:val="bottom"/>
          </w:tcPr>
          <w:p w14:paraId="68078535" w14:textId="71E92007" w:rsidR="00C75564" w:rsidRPr="00557BF1" w:rsidRDefault="00C75564" w:rsidP="00281B03">
            <w:pPr>
              <w:rPr>
                <w:rFonts w:ascii="Arial" w:hAnsi="Arial" w:cs="Arial"/>
                <w:sz w:val="20"/>
                <w:szCs w:val="20"/>
              </w:rPr>
            </w:pPr>
            <w:r>
              <w:rPr>
                <w:rFonts w:ascii="Arial" w:hAnsi="Arial" w:cs="Arial"/>
                <w:sz w:val="20"/>
                <w:szCs w:val="20"/>
              </w:rPr>
              <w:t>Loss</w:t>
            </w:r>
            <w:r w:rsidR="00281B03" w:rsidRPr="00557BF1">
              <w:rPr>
                <w:rFonts w:ascii="Arial" w:hAnsi="Arial" w:cs="Arial"/>
                <w:sz w:val="20"/>
                <w:szCs w:val="20"/>
              </w:rPr>
              <w:t xml:space="preserve"> for the period</w:t>
            </w:r>
          </w:p>
        </w:tc>
        <w:tc>
          <w:tcPr>
            <w:tcW w:w="788" w:type="pct"/>
            <w:tcMar>
              <w:top w:w="57" w:type="dxa"/>
              <w:bottom w:w="57" w:type="dxa"/>
            </w:tcMar>
            <w:vAlign w:val="bottom"/>
          </w:tcPr>
          <w:p w14:paraId="038E20BE" w14:textId="08B546AB" w:rsidR="00C75564" w:rsidRPr="00281B03" w:rsidRDefault="00281B03" w:rsidP="00C755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81B03">
              <w:rPr>
                <w:rFonts w:ascii="Arial" w:hAnsi="Arial" w:cs="Arial"/>
                <w:sz w:val="20"/>
                <w:szCs w:val="20"/>
              </w:rPr>
              <w:t>-</w:t>
            </w:r>
          </w:p>
        </w:tc>
        <w:tc>
          <w:tcPr>
            <w:tcW w:w="932" w:type="pct"/>
            <w:tcMar>
              <w:top w:w="57" w:type="dxa"/>
              <w:bottom w:w="57" w:type="dxa"/>
            </w:tcMar>
            <w:vAlign w:val="bottom"/>
          </w:tcPr>
          <w:p w14:paraId="7E8ACE5E" w14:textId="45DB4A11" w:rsidR="00C75564" w:rsidRPr="00281B03" w:rsidRDefault="00C75564" w:rsidP="00C755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(373</w:t>
            </w:r>
            <w:r w:rsidR="00281B03" w:rsidRPr="00281B03">
              <w:rPr>
                <w:rFonts w:ascii="Arial" w:hAnsi="Arial" w:cs="Arial"/>
                <w:sz w:val="20"/>
                <w:szCs w:val="20"/>
              </w:rPr>
              <w:t>,</w:t>
            </w:r>
            <w:r>
              <w:rPr>
                <w:rFonts w:ascii="Arial" w:hAnsi="Arial" w:cs="Arial"/>
                <w:sz w:val="20"/>
                <w:szCs w:val="20"/>
              </w:rPr>
              <w:t>124)</w:t>
            </w:r>
          </w:p>
        </w:tc>
        <w:tc>
          <w:tcPr>
            <w:tcW w:w="860" w:type="pct"/>
            <w:tcMar>
              <w:top w:w="57" w:type="dxa"/>
              <w:bottom w:w="57" w:type="dxa"/>
            </w:tcMar>
            <w:vAlign w:val="bottom"/>
          </w:tcPr>
          <w:p w14:paraId="2E1BF8F1" w14:textId="1F561E76" w:rsidR="00C75564" w:rsidRPr="00281B03" w:rsidRDefault="00C75564" w:rsidP="00C755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(373,124)</w:t>
            </w:r>
          </w:p>
        </w:tc>
      </w:tr>
      <w:tr w:rsidR="00C75564" w:rsidRPr="00BC678F" w14:paraId="0C79DA38" w14:textId="77777777" w:rsidTr="0048637A">
        <w:tc>
          <w:tcPr>
            <w:cnfStyle w:val="001000000000" w:firstRow="0" w:lastRow="0" w:firstColumn="1" w:lastColumn="0" w:oddVBand="0" w:evenVBand="0" w:oddHBand="0" w:evenHBand="0" w:firstRowFirstColumn="0" w:firstRowLastColumn="0" w:lastRowFirstColumn="0" w:lastRowLastColumn="0"/>
            <w:tcW w:w="2420" w:type="pct"/>
            <w:tcMar>
              <w:top w:w="57" w:type="dxa"/>
              <w:bottom w:w="57" w:type="dxa"/>
            </w:tcMar>
            <w:vAlign w:val="bottom"/>
          </w:tcPr>
          <w:p w14:paraId="43DE9540" w14:textId="7B95C6AE" w:rsidR="00C75564" w:rsidRDefault="00C75564" w:rsidP="00281B03">
            <w:pPr>
              <w:rPr>
                <w:rFonts w:ascii="Arial" w:hAnsi="Arial" w:cs="Arial"/>
                <w:sz w:val="20"/>
                <w:szCs w:val="20"/>
              </w:rPr>
            </w:pPr>
            <w:r>
              <w:rPr>
                <w:rFonts w:ascii="Arial" w:hAnsi="Arial" w:cs="Arial"/>
                <w:sz w:val="20"/>
                <w:szCs w:val="20"/>
              </w:rPr>
              <w:t>Cancellation of shares</w:t>
            </w:r>
          </w:p>
        </w:tc>
        <w:tc>
          <w:tcPr>
            <w:tcW w:w="788" w:type="pct"/>
            <w:tcMar>
              <w:top w:w="57" w:type="dxa"/>
              <w:bottom w:w="57" w:type="dxa"/>
            </w:tcMar>
            <w:vAlign w:val="bottom"/>
          </w:tcPr>
          <w:p w14:paraId="4D109696" w14:textId="2981C8A2" w:rsidR="00C75564" w:rsidRPr="00281B03" w:rsidRDefault="00C75564"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(42)</w:t>
            </w:r>
          </w:p>
        </w:tc>
        <w:tc>
          <w:tcPr>
            <w:tcW w:w="932" w:type="pct"/>
            <w:tcMar>
              <w:top w:w="57" w:type="dxa"/>
              <w:bottom w:w="57" w:type="dxa"/>
            </w:tcMar>
            <w:vAlign w:val="bottom"/>
          </w:tcPr>
          <w:p w14:paraId="106DC645" w14:textId="72FAA852" w:rsidR="00C75564" w:rsidRDefault="00C75564"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860" w:type="pct"/>
            <w:tcMar>
              <w:top w:w="57" w:type="dxa"/>
              <w:bottom w:w="57" w:type="dxa"/>
            </w:tcMar>
            <w:vAlign w:val="bottom"/>
          </w:tcPr>
          <w:p w14:paraId="5E5C0D5F" w14:textId="151837D8" w:rsidR="00C75564" w:rsidRDefault="00C75564"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(42)</w:t>
            </w:r>
          </w:p>
        </w:tc>
      </w:tr>
      <w:tr w:rsidR="00281B03" w:rsidRPr="00BC678F" w14:paraId="2BCD9653" w14:textId="77777777" w:rsidTr="0048637A">
        <w:tc>
          <w:tcPr>
            <w:cnfStyle w:val="001000000000" w:firstRow="0" w:lastRow="0" w:firstColumn="1" w:lastColumn="0" w:oddVBand="0" w:evenVBand="0" w:oddHBand="0" w:evenHBand="0" w:firstRowFirstColumn="0" w:firstRowLastColumn="0" w:lastRowFirstColumn="0" w:lastRowLastColumn="0"/>
            <w:tcW w:w="2420" w:type="pct"/>
            <w:tcBorders>
              <w:top w:val="single" w:sz="4" w:space="0" w:color="auto"/>
            </w:tcBorders>
            <w:tcMar>
              <w:top w:w="57" w:type="dxa"/>
              <w:bottom w:w="57" w:type="dxa"/>
            </w:tcMar>
            <w:vAlign w:val="bottom"/>
          </w:tcPr>
          <w:p w14:paraId="1E9DEF0B" w14:textId="77777777" w:rsidR="00281B03" w:rsidRPr="00557BF1" w:rsidRDefault="00281B03" w:rsidP="00281B03">
            <w:pPr>
              <w:rPr>
                <w:rFonts w:ascii="Arial" w:hAnsi="Arial" w:cs="Arial"/>
                <w:sz w:val="20"/>
                <w:szCs w:val="20"/>
              </w:rPr>
            </w:pPr>
          </w:p>
        </w:tc>
        <w:tc>
          <w:tcPr>
            <w:tcW w:w="788" w:type="pct"/>
            <w:tcBorders>
              <w:top w:val="single" w:sz="4" w:space="0" w:color="auto"/>
            </w:tcBorders>
            <w:tcMar>
              <w:top w:w="57" w:type="dxa"/>
              <w:bottom w:w="57" w:type="dxa"/>
            </w:tcMar>
            <w:vAlign w:val="bottom"/>
          </w:tcPr>
          <w:p w14:paraId="2BE83551" w14:textId="77777777" w:rsidR="00281B03" w:rsidRPr="00281B03"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32" w:type="pct"/>
            <w:tcBorders>
              <w:top w:val="single" w:sz="4" w:space="0" w:color="auto"/>
            </w:tcBorders>
            <w:tcMar>
              <w:top w:w="57" w:type="dxa"/>
              <w:bottom w:w="57" w:type="dxa"/>
            </w:tcMar>
            <w:vAlign w:val="bottom"/>
          </w:tcPr>
          <w:p w14:paraId="06523760" w14:textId="77777777" w:rsidR="00281B03" w:rsidRPr="00281B03"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60" w:type="pct"/>
            <w:tcBorders>
              <w:top w:val="single" w:sz="4" w:space="0" w:color="auto"/>
            </w:tcBorders>
            <w:tcMar>
              <w:top w:w="57" w:type="dxa"/>
              <w:bottom w:w="57" w:type="dxa"/>
            </w:tcMar>
            <w:vAlign w:val="bottom"/>
          </w:tcPr>
          <w:p w14:paraId="1B231447" w14:textId="77777777" w:rsidR="00281B03" w:rsidRPr="00281B03" w:rsidRDefault="00281B03"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81B03" w:rsidRPr="00BC678F" w14:paraId="4C44200F" w14:textId="77777777" w:rsidTr="0048637A">
        <w:tc>
          <w:tcPr>
            <w:cnfStyle w:val="001000000000" w:firstRow="0" w:lastRow="0" w:firstColumn="1" w:lastColumn="0" w:oddVBand="0" w:evenVBand="0" w:oddHBand="0" w:evenHBand="0" w:firstRowFirstColumn="0" w:firstRowLastColumn="0" w:lastRowFirstColumn="0" w:lastRowLastColumn="0"/>
            <w:tcW w:w="2420" w:type="pct"/>
            <w:tcBorders>
              <w:bottom w:val="single" w:sz="18" w:space="0" w:color="auto"/>
            </w:tcBorders>
            <w:tcMar>
              <w:top w:w="57" w:type="dxa"/>
              <w:bottom w:w="57" w:type="dxa"/>
            </w:tcMar>
            <w:vAlign w:val="bottom"/>
          </w:tcPr>
          <w:p w14:paraId="090CC047" w14:textId="7750E082" w:rsidR="00281B03" w:rsidRPr="00557BF1" w:rsidRDefault="00281B03" w:rsidP="00281B03">
            <w:pPr>
              <w:rPr>
                <w:rFonts w:ascii="Arial" w:hAnsi="Arial" w:cs="Arial"/>
                <w:sz w:val="20"/>
                <w:szCs w:val="20"/>
              </w:rPr>
            </w:pPr>
            <w:r w:rsidRPr="00557BF1">
              <w:rPr>
                <w:rFonts w:ascii="Arial" w:hAnsi="Arial" w:cs="Arial"/>
                <w:sz w:val="20"/>
                <w:szCs w:val="20"/>
              </w:rPr>
              <w:t>As at 30 June 201</w:t>
            </w:r>
            <w:r w:rsidR="00C75564">
              <w:rPr>
                <w:rFonts w:ascii="Arial" w:hAnsi="Arial" w:cs="Arial"/>
                <w:sz w:val="20"/>
                <w:szCs w:val="20"/>
              </w:rPr>
              <w:t>9</w:t>
            </w:r>
          </w:p>
        </w:tc>
        <w:tc>
          <w:tcPr>
            <w:tcW w:w="788" w:type="pct"/>
            <w:tcBorders>
              <w:bottom w:val="single" w:sz="18" w:space="0" w:color="auto"/>
            </w:tcBorders>
            <w:tcMar>
              <w:top w:w="57" w:type="dxa"/>
              <w:bottom w:w="57" w:type="dxa"/>
            </w:tcMar>
            <w:vAlign w:val="bottom"/>
          </w:tcPr>
          <w:p w14:paraId="49391A44" w14:textId="7FCED05E" w:rsidR="00281B03" w:rsidRPr="00281B03" w:rsidRDefault="00281B03" w:rsidP="00C755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81B03">
              <w:rPr>
                <w:rFonts w:ascii="Arial" w:hAnsi="Arial" w:cs="Arial"/>
                <w:sz w:val="20"/>
                <w:szCs w:val="20"/>
              </w:rPr>
              <w:t>1,</w:t>
            </w:r>
            <w:r w:rsidR="00C75564">
              <w:rPr>
                <w:rFonts w:ascii="Arial" w:hAnsi="Arial" w:cs="Arial"/>
                <w:sz w:val="20"/>
                <w:szCs w:val="20"/>
              </w:rPr>
              <w:t>246,517</w:t>
            </w:r>
          </w:p>
        </w:tc>
        <w:tc>
          <w:tcPr>
            <w:tcW w:w="932" w:type="pct"/>
            <w:tcBorders>
              <w:bottom w:val="single" w:sz="18" w:space="0" w:color="auto"/>
            </w:tcBorders>
            <w:tcMar>
              <w:top w:w="57" w:type="dxa"/>
              <w:bottom w:w="57" w:type="dxa"/>
            </w:tcMar>
            <w:vAlign w:val="bottom"/>
          </w:tcPr>
          <w:p w14:paraId="2EB17E91" w14:textId="7A9FD464" w:rsidR="00281B03" w:rsidRPr="00281B03" w:rsidRDefault="00C75564" w:rsidP="00281B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(188,422)</w:t>
            </w:r>
          </w:p>
        </w:tc>
        <w:tc>
          <w:tcPr>
            <w:tcW w:w="860" w:type="pct"/>
            <w:tcBorders>
              <w:bottom w:val="single" w:sz="18" w:space="0" w:color="auto"/>
            </w:tcBorders>
            <w:tcMar>
              <w:top w:w="57" w:type="dxa"/>
              <w:bottom w:w="57" w:type="dxa"/>
            </w:tcMar>
            <w:vAlign w:val="bottom"/>
          </w:tcPr>
          <w:p w14:paraId="6A514EAD" w14:textId="260BB12E" w:rsidR="00281B03" w:rsidRPr="00281B03" w:rsidRDefault="00281B03" w:rsidP="00C755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81B03">
              <w:rPr>
                <w:rFonts w:ascii="Arial" w:hAnsi="Arial" w:cs="Arial"/>
                <w:sz w:val="20"/>
                <w:szCs w:val="20"/>
              </w:rPr>
              <w:t>1,</w:t>
            </w:r>
            <w:r w:rsidR="00C75564">
              <w:rPr>
                <w:rFonts w:ascii="Arial" w:hAnsi="Arial" w:cs="Arial"/>
                <w:sz w:val="20"/>
                <w:szCs w:val="20"/>
              </w:rPr>
              <w:t>058,095</w:t>
            </w:r>
          </w:p>
        </w:tc>
      </w:tr>
    </w:tbl>
    <w:p w14:paraId="6C8EB7CA" w14:textId="77777777" w:rsidR="00E41A2E" w:rsidRPr="002D1A2F" w:rsidRDefault="00E41A2E">
      <w:pPr>
        <w:rPr>
          <w:rFonts w:ascii="Arial" w:hAnsi="Arial" w:cs="Arial"/>
          <w:sz w:val="20"/>
          <w:szCs w:val="20"/>
        </w:rPr>
      </w:pPr>
    </w:p>
    <w:p w14:paraId="3A2DA024" w14:textId="77777777" w:rsidR="00E41A2E" w:rsidRPr="002D1A2F" w:rsidRDefault="00E41A2E">
      <w:pPr>
        <w:rPr>
          <w:rFonts w:ascii="Arial" w:hAnsi="Arial" w:cs="Arial"/>
        </w:rPr>
      </w:pPr>
      <w:r w:rsidRPr="002D1A2F">
        <w:rPr>
          <w:rFonts w:ascii="Arial" w:hAnsi="Arial" w:cs="Arial"/>
          <w:sz w:val="20"/>
          <w:szCs w:val="20"/>
        </w:rPr>
        <w:t>The accompanying notes form an integral part of these interim condensed financial statements.</w:t>
      </w:r>
    </w:p>
    <w:p w14:paraId="63C065FD" w14:textId="77777777" w:rsidR="00253324" w:rsidRPr="002D1A2F" w:rsidRDefault="00253324">
      <w:pPr>
        <w:rPr>
          <w:rFonts w:ascii="Arial" w:hAnsi="Arial" w:cs="Arial"/>
        </w:rPr>
      </w:pPr>
    </w:p>
    <w:p w14:paraId="3FDE9C62" w14:textId="77777777" w:rsidR="00253324" w:rsidRPr="002D1A2F" w:rsidRDefault="00253324">
      <w:pPr>
        <w:rPr>
          <w:rFonts w:ascii="Arial" w:hAnsi="Arial" w:cs="Arial"/>
        </w:rPr>
      </w:pPr>
    </w:p>
    <w:p w14:paraId="1CCC21F8" w14:textId="77777777" w:rsidR="0090421B" w:rsidRDefault="0090421B">
      <w:pPr>
        <w:rPr>
          <w:rFonts w:ascii="Arial" w:hAnsi="Arial" w:cs="Arial"/>
        </w:rPr>
      </w:pPr>
    </w:p>
    <w:p w14:paraId="3F7619BB" w14:textId="77777777" w:rsidR="00E41A2E" w:rsidRPr="002D1A2F" w:rsidRDefault="00E41A2E">
      <w:pPr>
        <w:rPr>
          <w:rFonts w:ascii="Arial" w:hAnsi="Arial" w:cs="Arial"/>
          <w:b/>
          <w:caps/>
          <w:sz w:val="30"/>
          <w:szCs w:val="30"/>
        </w:rPr>
      </w:pPr>
      <w:r w:rsidRPr="002D1A2F">
        <w:rPr>
          <w:rFonts w:ascii="Arial" w:hAnsi="Arial" w:cs="Arial"/>
          <w:b/>
          <w:caps/>
          <w:sz w:val="30"/>
          <w:szCs w:val="30"/>
        </w:rPr>
        <w:t>Condensed Statement of Cash Flows</w:t>
      </w:r>
    </w:p>
    <w:p w14:paraId="30C602A3" w14:textId="1F15DA3E" w:rsidR="00E41A2E" w:rsidRPr="002D1A2F" w:rsidRDefault="00E41A2E">
      <w:pPr>
        <w:rPr>
          <w:rFonts w:ascii="Arial" w:hAnsi="Arial" w:cs="Arial"/>
          <w:sz w:val="20"/>
          <w:szCs w:val="20"/>
        </w:rPr>
      </w:pPr>
      <w:r w:rsidRPr="002D1A2F">
        <w:rPr>
          <w:rFonts w:ascii="Arial" w:hAnsi="Arial" w:cs="Arial"/>
          <w:sz w:val="20"/>
          <w:szCs w:val="20"/>
        </w:rPr>
        <w:t>For the six months ended 30 June 20</w:t>
      </w:r>
      <w:r w:rsidR="00C75564">
        <w:rPr>
          <w:rFonts w:ascii="Arial" w:hAnsi="Arial" w:cs="Arial"/>
          <w:sz w:val="20"/>
          <w:szCs w:val="20"/>
        </w:rPr>
        <w:t>20</w:t>
      </w:r>
      <w:r w:rsidRPr="002D1A2F">
        <w:rPr>
          <w:rFonts w:ascii="Arial" w:hAnsi="Arial" w:cs="Arial"/>
          <w:sz w:val="20"/>
          <w:szCs w:val="20"/>
        </w:rPr>
        <w:t xml:space="preserve"> (Unaudited)</w:t>
      </w:r>
    </w:p>
    <w:tbl>
      <w:tblPr>
        <w:tblStyle w:val="TableGrid3"/>
        <w:tblW w:w="5000" w:type="pct"/>
        <w:tblLook w:val="04A0" w:firstRow="1" w:lastRow="0" w:firstColumn="1" w:lastColumn="0" w:noHBand="0" w:noVBand="1"/>
      </w:tblPr>
      <w:tblGrid>
        <w:gridCol w:w="6154"/>
        <w:gridCol w:w="1833"/>
        <w:gridCol w:w="1794"/>
      </w:tblGrid>
      <w:tr w:rsidR="00E41A2E" w:rsidRPr="00BC678F" w14:paraId="467DBDFB" w14:textId="77777777" w:rsidTr="0048637A">
        <w:trPr>
          <w:cnfStyle w:val="100000000000" w:firstRow="1" w:lastRow="0" w:firstColumn="0" w:lastColumn="0" w:oddVBand="0" w:evenVBand="0" w:oddHBand="0" w:evenHBand="0" w:firstRowFirstColumn="0" w:firstRowLastColumn="0" w:lastRowFirstColumn="0" w:lastRowLastColumn="0"/>
          <w:trHeight w:val="1427"/>
        </w:trPr>
        <w:tc>
          <w:tcPr>
            <w:cnfStyle w:val="001000000000" w:firstRow="0" w:lastRow="0" w:firstColumn="1" w:lastColumn="0" w:oddVBand="0" w:evenVBand="0" w:oddHBand="0" w:evenHBand="0" w:firstRowFirstColumn="0" w:firstRowLastColumn="0" w:lastRowFirstColumn="0" w:lastRowLastColumn="0"/>
            <w:tcW w:w="3146" w:type="pct"/>
            <w:tcBorders>
              <w:bottom w:val="single" w:sz="4" w:space="0" w:color="auto"/>
            </w:tcBorders>
            <w:tcMar>
              <w:top w:w="57" w:type="dxa"/>
              <w:bottom w:w="57" w:type="dxa"/>
            </w:tcMar>
            <w:vAlign w:val="bottom"/>
          </w:tcPr>
          <w:p w14:paraId="7594701B" w14:textId="77777777" w:rsidR="00E41A2E" w:rsidRPr="002D1A2F" w:rsidRDefault="00E41A2E">
            <w:pPr>
              <w:rPr>
                <w:rFonts w:ascii="Arial" w:hAnsi="Arial" w:cs="Arial"/>
                <w:sz w:val="20"/>
                <w:szCs w:val="20"/>
              </w:rPr>
            </w:pPr>
          </w:p>
        </w:tc>
        <w:tc>
          <w:tcPr>
            <w:tcW w:w="937" w:type="pct"/>
            <w:tcBorders>
              <w:bottom w:val="single" w:sz="4" w:space="0" w:color="auto"/>
            </w:tcBorders>
            <w:tcMar>
              <w:top w:w="57" w:type="dxa"/>
              <w:bottom w:w="57" w:type="dxa"/>
            </w:tcMar>
            <w:vAlign w:val="bottom"/>
          </w:tcPr>
          <w:p w14:paraId="5A9DA8FA"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1 January</w:t>
            </w:r>
          </w:p>
          <w:p w14:paraId="6D6871AF" w14:textId="3CCAC77C" w:rsidR="00E41A2E" w:rsidRPr="002D1A2F" w:rsidRDefault="00C75564">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2020</w:t>
            </w:r>
            <w:r w:rsidR="00E41A2E" w:rsidRPr="002D1A2F">
              <w:rPr>
                <w:rFonts w:ascii="Arial" w:hAnsi="Arial" w:cs="Arial"/>
                <w:b/>
                <w:sz w:val="20"/>
                <w:szCs w:val="20"/>
              </w:rPr>
              <w:t xml:space="preserve"> to</w:t>
            </w:r>
          </w:p>
          <w:p w14:paraId="5ADE31DF"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30 June</w:t>
            </w:r>
          </w:p>
          <w:p w14:paraId="192C160D" w14:textId="0729CC8A"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20</w:t>
            </w:r>
            <w:r w:rsidR="00C75564">
              <w:rPr>
                <w:rFonts w:ascii="Arial" w:hAnsi="Arial" w:cs="Arial"/>
                <w:b/>
                <w:sz w:val="20"/>
                <w:szCs w:val="20"/>
              </w:rPr>
              <w:t>20</w:t>
            </w:r>
          </w:p>
          <w:p w14:paraId="4B56A2A0"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$’000</w:t>
            </w:r>
          </w:p>
        </w:tc>
        <w:tc>
          <w:tcPr>
            <w:tcW w:w="917" w:type="pct"/>
            <w:tcBorders>
              <w:bottom w:val="single" w:sz="4" w:space="0" w:color="auto"/>
            </w:tcBorders>
            <w:tcMar>
              <w:top w:w="57" w:type="dxa"/>
              <w:bottom w:w="57" w:type="dxa"/>
            </w:tcMar>
            <w:vAlign w:val="bottom"/>
          </w:tcPr>
          <w:p w14:paraId="046A5919" w14:textId="77777777" w:rsidR="003C4D82" w:rsidRPr="003C4D82" w:rsidRDefault="003C4D82" w:rsidP="003C4D8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C4D82">
              <w:rPr>
                <w:rFonts w:ascii="Arial" w:hAnsi="Arial" w:cs="Arial"/>
                <w:sz w:val="20"/>
                <w:szCs w:val="20"/>
              </w:rPr>
              <w:t>1 January</w:t>
            </w:r>
          </w:p>
          <w:p w14:paraId="7EE8D8A3" w14:textId="73E26AB4" w:rsidR="003C4D82" w:rsidRPr="003C4D82" w:rsidRDefault="00C75564" w:rsidP="003C4D8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2019</w:t>
            </w:r>
            <w:r w:rsidR="003C4D82" w:rsidRPr="003C4D82">
              <w:rPr>
                <w:rFonts w:ascii="Arial" w:hAnsi="Arial" w:cs="Arial"/>
                <w:sz w:val="20"/>
                <w:szCs w:val="20"/>
              </w:rPr>
              <w:t xml:space="preserve"> to</w:t>
            </w:r>
          </w:p>
          <w:p w14:paraId="45CBED22" w14:textId="77777777" w:rsidR="003C4D82" w:rsidRPr="003C4D82" w:rsidRDefault="003C4D82" w:rsidP="003C4D8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C4D82">
              <w:rPr>
                <w:rFonts w:ascii="Arial" w:hAnsi="Arial" w:cs="Arial"/>
                <w:sz w:val="20"/>
                <w:szCs w:val="20"/>
              </w:rPr>
              <w:t>30 June</w:t>
            </w:r>
          </w:p>
          <w:p w14:paraId="3B551E5F" w14:textId="20A0DF3F" w:rsidR="003C4D82" w:rsidRPr="003C4D82" w:rsidRDefault="003C4D82" w:rsidP="003C4D8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C4D82">
              <w:rPr>
                <w:rFonts w:ascii="Arial" w:hAnsi="Arial" w:cs="Arial"/>
                <w:sz w:val="20"/>
                <w:szCs w:val="20"/>
              </w:rPr>
              <w:t>201</w:t>
            </w:r>
            <w:r w:rsidR="00C75564">
              <w:rPr>
                <w:rFonts w:ascii="Arial" w:hAnsi="Arial" w:cs="Arial"/>
                <w:sz w:val="20"/>
                <w:szCs w:val="20"/>
              </w:rPr>
              <w:t>9</w:t>
            </w:r>
          </w:p>
          <w:p w14:paraId="5A6DEF2F" w14:textId="72E29890" w:rsidR="00E41A2E" w:rsidRPr="002D1A2F" w:rsidRDefault="003C4D8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C4D82">
              <w:rPr>
                <w:rFonts w:ascii="Arial" w:hAnsi="Arial" w:cs="Arial"/>
                <w:sz w:val="20"/>
                <w:szCs w:val="20"/>
              </w:rPr>
              <w:t>$’000</w:t>
            </w:r>
          </w:p>
        </w:tc>
      </w:tr>
      <w:tr w:rsidR="00E41A2E" w:rsidRPr="00BC678F" w14:paraId="3D1ABFA0" w14:textId="77777777" w:rsidTr="0048637A">
        <w:tc>
          <w:tcPr>
            <w:cnfStyle w:val="001000000000" w:firstRow="0" w:lastRow="0" w:firstColumn="1" w:lastColumn="0" w:oddVBand="0" w:evenVBand="0" w:oddHBand="0" w:evenHBand="0" w:firstRowFirstColumn="0" w:firstRowLastColumn="0" w:lastRowFirstColumn="0" w:lastRowLastColumn="0"/>
            <w:tcW w:w="3146" w:type="pct"/>
            <w:tcBorders>
              <w:top w:val="single" w:sz="4" w:space="0" w:color="auto"/>
            </w:tcBorders>
            <w:tcMar>
              <w:top w:w="57" w:type="dxa"/>
              <w:bottom w:w="57" w:type="dxa"/>
            </w:tcMar>
            <w:vAlign w:val="bottom"/>
          </w:tcPr>
          <w:p w14:paraId="60EE3334" w14:textId="6291A56A" w:rsidR="00E41A2E" w:rsidRPr="002D1A2F" w:rsidRDefault="00B76220" w:rsidP="00C7611E">
            <w:pPr>
              <w:rPr>
                <w:rFonts w:ascii="Arial" w:hAnsi="Arial" w:cs="Arial"/>
                <w:b/>
                <w:sz w:val="20"/>
                <w:szCs w:val="20"/>
              </w:rPr>
            </w:pPr>
            <w:r w:rsidRPr="00B76220">
              <w:rPr>
                <w:rFonts w:ascii="Arial" w:hAnsi="Arial" w:cs="Arial"/>
                <w:b/>
                <w:sz w:val="20"/>
                <w:szCs w:val="20"/>
              </w:rPr>
              <w:t>Cash flow used in operating activities</w:t>
            </w:r>
          </w:p>
        </w:tc>
        <w:tc>
          <w:tcPr>
            <w:tcW w:w="937" w:type="pct"/>
            <w:tcBorders>
              <w:top w:val="single" w:sz="4" w:space="0" w:color="auto"/>
            </w:tcBorders>
            <w:tcMar>
              <w:top w:w="57" w:type="dxa"/>
              <w:bottom w:w="57" w:type="dxa"/>
            </w:tcMar>
            <w:vAlign w:val="bottom"/>
          </w:tcPr>
          <w:p w14:paraId="2D2F36BF" w14:textId="77777777" w:rsidR="00E41A2E" w:rsidRPr="002D1A2F" w:rsidRDefault="00E41A2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17" w:type="pct"/>
            <w:tcBorders>
              <w:top w:val="single" w:sz="4" w:space="0" w:color="auto"/>
            </w:tcBorders>
            <w:tcMar>
              <w:top w:w="57" w:type="dxa"/>
              <w:bottom w:w="57" w:type="dxa"/>
            </w:tcMar>
            <w:vAlign w:val="bottom"/>
          </w:tcPr>
          <w:p w14:paraId="07540399" w14:textId="77777777" w:rsidR="00E41A2E" w:rsidRPr="002D1A2F" w:rsidRDefault="00E41A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C4D82" w:rsidRPr="00BC678F" w14:paraId="52079436" w14:textId="77777777" w:rsidTr="0048637A">
        <w:tc>
          <w:tcPr>
            <w:cnfStyle w:val="001000000000" w:firstRow="0" w:lastRow="0" w:firstColumn="1" w:lastColumn="0" w:oddVBand="0" w:evenVBand="0" w:oddHBand="0" w:evenHBand="0" w:firstRowFirstColumn="0" w:firstRowLastColumn="0" w:lastRowFirstColumn="0" w:lastRowLastColumn="0"/>
            <w:tcW w:w="3146" w:type="pct"/>
            <w:tcBorders>
              <w:bottom w:val="single" w:sz="4" w:space="0" w:color="auto"/>
            </w:tcBorders>
            <w:tcMar>
              <w:top w:w="57" w:type="dxa"/>
              <w:bottom w:w="57" w:type="dxa"/>
            </w:tcMar>
            <w:vAlign w:val="bottom"/>
          </w:tcPr>
          <w:p w14:paraId="46363C0F" w14:textId="3FCBD36D" w:rsidR="003C4D82" w:rsidRPr="002D1A2F" w:rsidRDefault="003C4D82" w:rsidP="00C7611E">
            <w:pPr>
              <w:rPr>
                <w:rFonts w:ascii="Arial" w:hAnsi="Arial" w:cs="Arial"/>
                <w:sz w:val="20"/>
                <w:szCs w:val="20"/>
              </w:rPr>
            </w:pPr>
            <w:r w:rsidRPr="00DC2064">
              <w:rPr>
                <w:rFonts w:ascii="Arial" w:hAnsi="Arial" w:cs="Arial"/>
                <w:sz w:val="20"/>
                <w:szCs w:val="20"/>
              </w:rPr>
              <w:t xml:space="preserve">Operating </w:t>
            </w:r>
            <w:r>
              <w:rPr>
                <w:rFonts w:ascii="Arial" w:hAnsi="Arial" w:cs="Arial"/>
                <w:sz w:val="20"/>
                <w:szCs w:val="20"/>
              </w:rPr>
              <w:t xml:space="preserve">loss </w:t>
            </w:r>
            <w:r w:rsidRPr="00DC2064">
              <w:rPr>
                <w:rFonts w:ascii="Arial" w:hAnsi="Arial" w:cs="Arial"/>
                <w:sz w:val="20"/>
                <w:szCs w:val="20"/>
              </w:rPr>
              <w:t>for the financial period</w:t>
            </w:r>
          </w:p>
        </w:tc>
        <w:tc>
          <w:tcPr>
            <w:tcW w:w="937" w:type="pct"/>
            <w:tcBorders>
              <w:bottom w:val="single" w:sz="4" w:space="0" w:color="auto"/>
            </w:tcBorders>
            <w:tcMar>
              <w:top w:w="57" w:type="dxa"/>
              <w:bottom w:w="57" w:type="dxa"/>
            </w:tcMar>
            <w:vAlign w:val="center"/>
          </w:tcPr>
          <w:p w14:paraId="29AAEA9C" w14:textId="3FCCCE2A" w:rsidR="003C4D82" w:rsidRPr="00E83884" w:rsidRDefault="008B459E" w:rsidP="00297C3F">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(355,</w:t>
            </w:r>
            <w:r w:rsidR="00297C3F">
              <w:rPr>
                <w:rFonts w:ascii="Arial" w:hAnsi="Arial" w:cs="Arial"/>
                <w:b/>
                <w:sz w:val="20"/>
                <w:szCs w:val="20"/>
              </w:rPr>
              <w:t>182</w:t>
            </w:r>
            <w:r>
              <w:rPr>
                <w:rFonts w:ascii="Arial" w:hAnsi="Arial" w:cs="Arial"/>
                <w:b/>
                <w:sz w:val="20"/>
                <w:szCs w:val="20"/>
              </w:rPr>
              <w:t>)</w:t>
            </w:r>
          </w:p>
        </w:tc>
        <w:tc>
          <w:tcPr>
            <w:tcW w:w="917" w:type="pct"/>
            <w:tcBorders>
              <w:bottom w:val="single" w:sz="4" w:space="0" w:color="auto"/>
            </w:tcBorders>
            <w:tcMar>
              <w:top w:w="57" w:type="dxa"/>
              <w:bottom w:w="57" w:type="dxa"/>
            </w:tcMar>
            <w:vAlign w:val="center"/>
          </w:tcPr>
          <w:p w14:paraId="1CF73060" w14:textId="411AE86B" w:rsidR="003C4D82" w:rsidRPr="003C4D82" w:rsidRDefault="00C75564" w:rsidP="003C4D8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5564">
              <w:rPr>
                <w:rFonts w:ascii="Arial" w:hAnsi="Arial" w:cs="Arial"/>
                <w:sz w:val="20"/>
                <w:szCs w:val="20"/>
              </w:rPr>
              <w:t>(373,154)</w:t>
            </w:r>
          </w:p>
        </w:tc>
      </w:tr>
      <w:tr w:rsidR="003C4D82" w:rsidRPr="00BC678F" w14:paraId="5202D783" w14:textId="77777777" w:rsidTr="0048637A">
        <w:tc>
          <w:tcPr>
            <w:cnfStyle w:val="001000000000" w:firstRow="0" w:lastRow="0" w:firstColumn="1" w:lastColumn="0" w:oddVBand="0" w:evenVBand="0" w:oddHBand="0" w:evenHBand="0" w:firstRowFirstColumn="0" w:firstRowLastColumn="0" w:lastRowFirstColumn="0" w:lastRowLastColumn="0"/>
            <w:tcW w:w="3146" w:type="pct"/>
            <w:tcBorders>
              <w:top w:val="single" w:sz="4" w:space="0" w:color="auto"/>
            </w:tcBorders>
            <w:tcMar>
              <w:top w:w="57" w:type="dxa"/>
              <w:bottom w:w="57" w:type="dxa"/>
            </w:tcMar>
            <w:vAlign w:val="bottom"/>
          </w:tcPr>
          <w:p w14:paraId="07CDC472" w14:textId="77777777" w:rsidR="003C4D82" w:rsidRPr="00DC2064" w:rsidRDefault="003C4D82" w:rsidP="003C4D82">
            <w:pPr>
              <w:rPr>
                <w:rFonts w:ascii="Arial" w:hAnsi="Arial" w:cs="Arial"/>
                <w:sz w:val="20"/>
                <w:szCs w:val="20"/>
              </w:rPr>
            </w:pPr>
          </w:p>
        </w:tc>
        <w:tc>
          <w:tcPr>
            <w:tcW w:w="937" w:type="pct"/>
            <w:tcBorders>
              <w:top w:val="single" w:sz="4" w:space="0" w:color="auto"/>
            </w:tcBorders>
            <w:tcMar>
              <w:top w:w="57" w:type="dxa"/>
              <w:bottom w:w="57" w:type="dxa"/>
            </w:tcMar>
            <w:vAlign w:val="center"/>
          </w:tcPr>
          <w:p w14:paraId="7BF6014F" w14:textId="77777777" w:rsidR="003C4D82" w:rsidRPr="00E83884" w:rsidRDefault="003C4D82" w:rsidP="003C4D8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17" w:type="pct"/>
            <w:tcBorders>
              <w:top w:val="single" w:sz="4" w:space="0" w:color="auto"/>
            </w:tcBorders>
            <w:tcMar>
              <w:top w:w="57" w:type="dxa"/>
              <w:bottom w:w="57" w:type="dxa"/>
            </w:tcMar>
            <w:vAlign w:val="center"/>
          </w:tcPr>
          <w:p w14:paraId="279D20DF" w14:textId="77777777" w:rsidR="003C4D82" w:rsidRPr="003C4D82" w:rsidRDefault="003C4D82" w:rsidP="003C4D8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C4D82" w:rsidRPr="00BC678F" w14:paraId="1B2F1AFF" w14:textId="77777777" w:rsidTr="0048637A">
        <w:tc>
          <w:tcPr>
            <w:cnfStyle w:val="001000000000" w:firstRow="0" w:lastRow="0" w:firstColumn="1" w:lastColumn="0" w:oddVBand="0" w:evenVBand="0" w:oddHBand="0" w:evenHBand="0" w:firstRowFirstColumn="0" w:firstRowLastColumn="0" w:lastRowFirstColumn="0" w:lastRowLastColumn="0"/>
            <w:tcW w:w="3146" w:type="pct"/>
            <w:tcMar>
              <w:top w:w="57" w:type="dxa"/>
              <w:bottom w:w="57" w:type="dxa"/>
            </w:tcMar>
            <w:vAlign w:val="bottom"/>
          </w:tcPr>
          <w:p w14:paraId="5212A7E3" w14:textId="77777777" w:rsidR="003C4D82" w:rsidRPr="002D1A2F" w:rsidRDefault="003C4D82" w:rsidP="003C4D82">
            <w:pPr>
              <w:rPr>
                <w:rFonts w:ascii="Arial" w:hAnsi="Arial" w:cs="Arial"/>
                <w:sz w:val="20"/>
                <w:szCs w:val="20"/>
              </w:rPr>
            </w:pPr>
            <w:r w:rsidRPr="00DC2064">
              <w:rPr>
                <w:rFonts w:ascii="Arial" w:hAnsi="Arial" w:cs="Arial"/>
                <w:sz w:val="20"/>
                <w:szCs w:val="20"/>
              </w:rPr>
              <w:t>Adjustments for:</w:t>
            </w:r>
          </w:p>
        </w:tc>
        <w:tc>
          <w:tcPr>
            <w:tcW w:w="937" w:type="pct"/>
            <w:tcMar>
              <w:top w:w="57" w:type="dxa"/>
              <w:bottom w:w="57" w:type="dxa"/>
            </w:tcMar>
            <w:vAlign w:val="center"/>
          </w:tcPr>
          <w:p w14:paraId="30BF8D80" w14:textId="77777777" w:rsidR="003C4D82" w:rsidRPr="00E83884" w:rsidRDefault="003C4D82" w:rsidP="003C4D8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17" w:type="pct"/>
            <w:tcMar>
              <w:top w:w="57" w:type="dxa"/>
              <w:bottom w:w="57" w:type="dxa"/>
            </w:tcMar>
            <w:vAlign w:val="center"/>
          </w:tcPr>
          <w:p w14:paraId="3FA43FC4" w14:textId="77777777" w:rsidR="003C4D82" w:rsidRPr="003C4D82" w:rsidRDefault="003C4D82" w:rsidP="003C4D8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C4D82" w:rsidRPr="00BC678F" w14:paraId="7829B961" w14:textId="77777777" w:rsidTr="0048637A">
        <w:tc>
          <w:tcPr>
            <w:cnfStyle w:val="001000000000" w:firstRow="0" w:lastRow="0" w:firstColumn="1" w:lastColumn="0" w:oddVBand="0" w:evenVBand="0" w:oddHBand="0" w:evenHBand="0" w:firstRowFirstColumn="0" w:firstRowLastColumn="0" w:lastRowFirstColumn="0" w:lastRowLastColumn="0"/>
            <w:tcW w:w="3146" w:type="pct"/>
            <w:tcMar>
              <w:top w:w="57" w:type="dxa"/>
              <w:bottom w:w="57" w:type="dxa"/>
            </w:tcMar>
            <w:vAlign w:val="bottom"/>
          </w:tcPr>
          <w:p w14:paraId="792B657A" w14:textId="77777777" w:rsidR="003C4D82" w:rsidRPr="00DC2064" w:rsidRDefault="003C4D82" w:rsidP="003C4D82">
            <w:pPr>
              <w:rPr>
                <w:rFonts w:ascii="Arial" w:hAnsi="Arial" w:cs="Arial"/>
                <w:sz w:val="20"/>
                <w:szCs w:val="20"/>
              </w:rPr>
            </w:pPr>
            <w:r>
              <w:rPr>
                <w:rFonts w:ascii="Arial" w:hAnsi="Arial" w:cs="Arial"/>
                <w:sz w:val="20"/>
                <w:szCs w:val="20"/>
              </w:rPr>
              <w:t>Net finance income</w:t>
            </w:r>
          </w:p>
        </w:tc>
        <w:tc>
          <w:tcPr>
            <w:tcW w:w="937" w:type="pct"/>
            <w:tcMar>
              <w:top w:w="57" w:type="dxa"/>
              <w:bottom w:w="57" w:type="dxa"/>
            </w:tcMar>
            <w:vAlign w:val="center"/>
          </w:tcPr>
          <w:p w14:paraId="10E0E60B" w14:textId="1A833285" w:rsidR="003C4D82" w:rsidRPr="00E83884" w:rsidRDefault="008B459E" w:rsidP="003C4D8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w:t>
            </w:r>
          </w:p>
        </w:tc>
        <w:tc>
          <w:tcPr>
            <w:tcW w:w="917" w:type="pct"/>
            <w:tcMar>
              <w:top w:w="57" w:type="dxa"/>
              <w:bottom w:w="57" w:type="dxa"/>
            </w:tcMar>
            <w:vAlign w:val="center"/>
          </w:tcPr>
          <w:p w14:paraId="1EE5FD0E" w14:textId="5424D603" w:rsidR="003C4D82" w:rsidRPr="003C4D82" w:rsidRDefault="00C75564" w:rsidP="003C4D8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5564">
              <w:rPr>
                <w:rFonts w:ascii="Arial" w:hAnsi="Arial" w:cs="Arial"/>
                <w:sz w:val="20"/>
                <w:szCs w:val="20"/>
              </w:rPr>
              <w:t>20</w:t>
            </w:r>
          </w:p>
        </w:tc>
      </w:tr>
      <w:tr w:rsidR="003C4D82" w:rsidRPr="00BC678F" w14:paraId="3CC2AAD7" w14:textId="77777777" w:rsidTr="0048637A">
        <w:tc>
          <w:tcPr>
            <w:cnfStyle w:val="001000000000" w:firstRow="0" w:lastRow="0" w:firstColumn="1" w:lastColumn="0" w:oddVBand="0" w:evenVBand="0" w:oddHBand="0" w:evenHBand="0" w:firstRowFirstColumn="0" w:firstRowLastColumn="0" w:lastRowFirstColumn="0" w:lastRowLastColumn="0"/>
            <w:tcW w:w="3146" w:type="pct"/>
            <w:tcMar>
              <w:top w:w="57" w:type="dxa"/>
              <w:bottom w:w="57" w:type="dxa"/>
            </w:tcMar>
            <w:vAlign w:val="bottom"/>
          </w:tcPr>
          <w:p w14:paraId="73B9C063" w14:textId="77777777" w:rsidR="003C4D82" w:rsidRPr="002D1A2F" w:rsidRDefault="003C4D82" w:rsidP="003C4D82">
            <w:pPr>
              <w:rPr>
                <w:rFonts w:ascii="Arial" w:hAnsi="Arial" w:cs="Arial"/>
                <w:sz w:val="20"/>
                <w:szCs w:val="20"/>
              </w:rPr>
            </w:pPr>
            <w:r w:rsidRPr="00DC2064">
              <w:rPr>
                <w:rFonts w:ascii="Arial" w:hAnsi="Arial" w:cs="Arial"/>
                <w:sz w:val="20"/>
                <w:szCs w:val="20"/>
              </w:rPr>
              <w:t>Change in fair value o</w:t>
            </w:r>
            <w:r>
              <w:rPr>
                <w:rFonts w:ascii="Arial" w:hAnsi="Arial" w:cs="Arial"/>
                <w:sz w:val="20"/>
                <w:szCs w:val="20"/>
              </w:rPr>
              <w:t>f</w:t>
            </w:r>
            <w:r w:rsidRPr="00DC2064">
              <w:rPr>
                <w:rFonts w:ascii="Arial" w:hAnsi="Arial" w:cs="Arial"/>
                <w:sz w:val="20"/>
                <w:szCs w:val="20"/>
              </w:rPr>
              <w:t xml:space="preserve"> investment at fair value through profit or loss</w:t>
            </w:r>
          </w:p>
        </w:tc>
        <w:tc>
          <w:tcPr>
            <w:tcW w:w="937" w:type="pct"/>
            <w:tcMar>
              <w:top w:w="57" w:type="dxa"/>
              <w:bottom w:w="57" w:type="dxa"/>
            </w:tcMar>
            <w:vAlign w:val="bottom"/>
          </w:tcPr>
          <w:p w14:paraId="38168370" w14:textId="0E785D68" w:rsidR="003C4D82" w:rsidRPr="00E83884" w:rsidRDefault="008B459E" w:rsidP="003C4D8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353,9</w:t>
            </w:r>
            <w:r w:rsidR="00BE04E5">
              <w:rPr>
                <w:rFonts w:ascii="Arial" w:hAnsi="Arial" w:cs="Arial"/>
                <w:b/>
                <w:sz w:val="20"/>
                <w:szCs w:val="20"/>
              </w:rPr>
              <w:t>27</w:t>
            </w:r>
            <w:r w:rsidRPr="00E83884" w:rsidDel="00E9791A">
              <w:rPr>
                <w:rFonts w:ascii="Arial" w:hAnsi="Arial" w:cs="Arial"/>
                <w:b/>
                <w:sz w:val="20"/>
                <w:szCs w:val="20"/>
              </w:rPr>
              <w:t xml:space="preserve"> </w:t>
            </w:r>
          </w:p>
        </w:tc>
        <w:tc>
          <w:tcPr>
            <w:tcW w:w="917" w:type="pct"/>
            <w:tcMar>
              <w:top w:w="57" w:type="dxa"/>
              <w:bottom w:w="57" w:type="dxa"/>
            </w:tcMar>
            <w:vAlign w:val="bottom"/>
          </w:tcPr>
          <w:p w14:paraId="52BD21B3" w14:textId="66C492F8" w:rsidR="003C4D82" w:rsidRPr="003C4D82" w:rsidRDefault="00C75564" w:rsidP="003C4D8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5564">
              <w:rPr>
                <w:rFonts w:ascii="Arial" w:hAnsi="Arial" w:cs="Arial"/>
                <w:sz w:val="20"/>
                <w:szCs w:val="20"/>
              </w:rPr>
              <w:t>371,336</w:t>
            </w:r>
          </w:p>
        </w:tc>
      </w:tr>
      <w:tr w:rsidR="003C4D82" w:rsidRPr="00BC678F" w14:paraId="5E843ECF" w14:textId="77777777" w:rsidTr="0048637A">
        <w:tc>
          <w:tcPr>
            <w:cnfStyle w:val="001000000000" w:firstRow="0" w:lastRow="0" w:firstColumn="1" w:lastColumn="0" w:oddVBand="0" w:evenVBand="0" w:oddHBand="0" w:evenHBand="0" w:firstRowFirstColumn="0" w:firstRowLastColumn="0" w:lastRowFirstColumn="0" w:lastRowLastColumn="0"/>
            <w:tcW w:w="3146" w:type="pct"/>
            <w:tcMar>
              <w:top w:w="57" w:type="dxa"/>
              <w:bottom w:w="57" w:type="dxa"/>
            </w:tcMar>
            <w:vAlign w:val="bottom"/>
          </w:tcPr>
          <w:p w14:paraId="1320D9A4" w14:textId="77777777" w:rsidR="003C4D82" w:rsidRPr="002D1A2F" w:rsidRDefault="003C4D82" w:rsidP="003C4D82">
            <w:pPr>
              <w:rPr>
                <w:rFonts w:ascii="Arial" w:hAnsi="Arial" w:cs="Arial"/>
                <w:sz w:val="20"/>
                <w:szCs w:val="20"/>
              </w:rPr>
            </w:pPr>
            <w:r w:rsidRPr="00DC2064">
              <w:rPr>
                <w:rFonts w:ascii="Arial" w:hAnsi="Arial" w:cs="Arial"/>
                <w:sz w:val="20"/>
                <w:szCs w:val="20"/>
              </w:rPr>
              <w:t>Movement in trade receivables</w:t>
            </w:r>
          </w:p>
        </w:tc>
        <w:tc>
          <w:tcPr>
            <w:tcW w:w="937" w:type="pct"/>
            <w:tcMar>
              <w:top w:w="57" w:type="dxa"/>
              <w:bottom w:w="57" w:type="dxa"/>
            </w:tcMar>
            <w:vAlign w:val="center"/>
          </w:tcPr>
          <w:p w14:paraId="6E4A32C1" w14:textId="1660F3FB" w:rsidR="003C4D82" w:rsidRPr="00E83884" w:rsidRDefault="008B459E" w:rsidP="003C4D8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352</w:t>
            </w:r>
          </w:p>
        </w:tc>
        <w:tc>
          <w:tcPr>
            <w:tcW w:w="917" w:type="pct"/>
            <w:tcMar>
              <w:top w:w="57" w:type="dxa"/>
              <w:bottom w:w="57" w:type="dxa"/>
            </w:tcMar>
            <w:vAlign w:val="center"/>
          </w:tcPr>
          <w:p w14:paraId="2F8A0F93" w14:textId="3C6C80B2" w:rsidR="003C4D82" w:rsidRPr="003C4D82" w:rsidRDefault="00C75564" w:rsidP="003C4D8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5564">
              <w:rPr>
                <w:rFonts w:ascii="Arial" w:hAnsi="Arial" w:cs="Arial"/>
                <w:sz w:val="20"/>
                <w:szCs w:val="20"/>
              </w:rPr>
              <w:t>362</w:t>
            </w:r>
          </w:p>
        </w:tc>
      </w:tr>
      <w:tr w:rsidR="003C4D82" w:rsidRPr="00BC678F" w14:paraId="17516BC9" w14:textId="77777777" w:rsidTr="0048637A">
        <w:tc>
          <w:tcPr>
            <w:cnfStyle w:val="001000000000" w:firstRow="0" w:lastRow="0" w:firstColumn="1" w:lastColumn="0" w:oddVBand="0" w:evenVBand="0" w:oddHBand="0" w:evenHBand="0" w:firstRowFirstColumn="0" w:firstRowLastColumn="0" w:lastRowFirstColumn="0" w:lastRowLastColumn="0"/>
            <w:tcW w:w="3146" w:type="pct"/>
            <w:tcMar>
              <w:top w:w="57" w:type="dxa"/>
              <w:bottom w:w="57" w:type="dxa"/>
            </w:tcMar>
            <w:vAlign w:val="bottom"/>
          </w:tcPr>
          <w:p w14:paraId="126A8530" w14:textId="0462BF00" w:rsidR="003C4D82" w:rsidRPr="002D1A2F" w:rsidRDefault="00C7611E" w:rsidP="003C4D82">
            <w:pPr>
              <w:rPr>
                <w:rFonts w:ascii="Arial" w:hAnsi="Arial" w:cs="Arial"/>
                <w:sz w:val="20"/>
                <w:szCs w:val="20"/>
              </w:rPr>
            </w:pPr>
            <w:r>
              <w:rPr>
                <w:rFonts w:ascii="Arial" w:hAnsi="Arial" w:cs="Arial"/>
                <w:sz w:val="20"/>
                <w:szCs w:val="20"/>
              </w:rPr>
              <w:t>Mo</w:t>
            </w:r>
            <w:r w:rsidR="003C4D82" w:rsidRPr="00DC2064">
              <w:rPr>
                <w:rFonts w:ascii="Arial" w:hAnsi="Arial" w:cs="Arial"/>
                <w:sz w:val="20"/>
                <w:szCs w:val="20"/>
              </w:rPr>
              <w:t>vement in trade payables</w:t>
            </w:r>
          </w:p>
        </w:tc>
        <w:tc>
          <w:tcPr>
            <w:tcW w:w="937" w:type="pct"/>
            <w:tcMar>
              <w:top w:w="57" w:type="dxa"/>
              <w:bottom w:w="57" w:type="dxa"/>
            </w:tcMar>
            <w:vAlign w:val="center"/>
          </w:tcPr>
          <w:p w14:paraId="1B842AD4" w14:textId="118E96B8" w:rsidR="003C4D82" w:rsidRPr="00E83884" w:rsidRDefault="0061312D" w:rsidP="00BE04E5">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(1,264)</w:t>
            </w:r>
          </w:p>
        </w:tc>
        <w:tc>
          <w:tcPr>
            <w:tcW w:w="917" w:type="pct"/>
            <w:tcMar>
              <w:top w:w="57" w:type="dxa"/>
              <w:bottom w:w="57" w:type="dxa"/>
            </w:tcMar>
            <w:vAlign w:val="center"/>
          </w:tcPr>
          <w:p w14:paraId="386BB6D2" w14:textId="6B839F3E" w:rsidR="003C4D82" w:rsidRPr="003C4D82" w:rsidRDefault="003C4D82" w:rsidP="00C755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C4D82">
              <w:rPr>
                <w:rFonts w:ascii="Arial" w:hAnsi="Arial" w:cs="Arial"/>
                <w:sz w:val="20"/>
                <w:szCs w:val="20"/>
              </w:rPr>
              <w:t>2</w:t>
            </w:r>
            <w:r w:rsidR="00C75564">
              <w:rPr>
                <w:rFonts w:ascii="Arial" w:hAnsi="Arial" w:cs="Arial"/>
                <w:sz w:val="20"/>
                <w:szCs w:val="20"/>
              </w:rPr>
              <w:t>90</w:t>
            </w:r>
          </w:p>
        </w:tc>
      </w:tr>
      <w:tr w:rsidR="003C4D82" w:rsidRPr="00BC678F" w14:paraId="1A1D553D" w14:textId="77777777" w:rsidTr="0048637A">
        <w:tc>
          <w:tcPr>
            <w:cnfStyle w:val="001000000000" w:firstRow="0" w:lastRow="0" w:firstColumn="1" w:lastColumn="0" w:oddVBand="0" w:evenVBand="0" w:oddHBand="0" w:evenHBand="0" w:firstRowFirstColumn="0" w:firstRowLastColumn="0" w:lastRowFirstColumn="0" w:lastRowLastColumn="0"/>
            <w:tcW w:w="3146" w:type="pct"/>
            <w:tcBorders>
              <w:top w:val="single" w:sz="4" w:space="0" w:color="auto"/>
              <w:bottom w:val="single" w:sz="4" w:space="0" w:color="auto"/>
            </w:tcBorders>
            <w:tcMar>
              <w:top w:w="57" w:type="dxa"/>
              <w:bottom w:w="57" w:type="dxa"/>
            </w:tcMar>
            <w:vAlign w:val="bottom"/>
          </w:tcPr>
          <w:p w14:paraId="29A0BB2A" w14:textId="6AEFEE09" w:rsidR="003C4D82" w:rsidRPr="002D1A2F" w:rsidRDefault="003C4D82" w:rsidP="00F6771C">
            <w:pPr>
              <w:rPr>
                <w:rFonts w:ascii="Arial" w:hAnsi="Arial" w:cs="Arial"/>
                <w:b/>
                <w:sz w:val="20"/>
                <w:szCs w:val="20"/>
              </w:rPr>
            </w:pPr>
            <w:r w:rsidRPr="00DC2064">
              <w:rPr>
                <w:rFonts w:ascii="Arial" w:hAnsi="Arial" w:cs="Arial"/>
                <w:b/>
                <w:sz w:val="20"/>
                <w:szCs w:val="20"/>
              </w:rPr>
              <w:t>Net cash used in operating activities</w:t>
            </w:r>
          </w:p>
        </w:tc>
        <w:tc>
          <w:tcPr>
            <w:tcW w:w="937" w:type="pct"/>
            <w:tcBorders>
              <w:top w:val="single" w:sz="4" w:space="0" w:color="auto"/>
              <w:bottom w:val="single" w:sz="4" w:space="0" w:color="auto"/>
            </w:tcBorders>
            <w:tcMar>
              <w:top w:w="57" w:type="dxa"/>
              <w:bottom w:w="57" w:type="dxa"/>
            </w:tcMar>
            <w:vAlign w:val="center"/>
          </w:tcPr>
          <w:p w14:paraId="1638F621" w14:textId="3A86936F" w:rsidR="003C4D82" w:rsidRPr="00E83884" w:rsidRDefault="0061312D" w:rsidP="003C4D8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(2,167)</w:t>
            </w:r>
            <w:r w:rsidR="008B459E" w:rsidRPr="00E83884" w:rsidDel="00E9791A">
              <w:rPr>
                <w:rFonts w:ascii="Arial" w:hAnsi="Arial" w:cs="Arial"/>
                <w:b/>
                <w:sz w:val="20"/>
                <w:szCs w:val="20"/>
              </w:rPr>
              <w:t xml:space="preserve"> </w:t>
            </w:r>
          </w:p>
        </w:tc>
        <w:tc>
          <w:tcPr>
            <w:tcW w:w="917" w:type="pct"/>
            <w:tcBorders>
              <w:top w:val="single" w:sz="4" w:space="0" w:color="auto"/>
              <w:bottom w:val="single" w:sz="4" w:space="0" w:color="auto"/>
            </w:tcBorders>
            <w:tcMar>
              <w:top w:w="57" w:type="dxa"/>
              <w:bottom w:w="57" w:type="dxa"/>
            </w:tcMar>
            <w:vAlign w:val="center"/>
          </w:tcPr>
          <w:p w14:paraId="2247087D" w14:textId="060C3EB0" w:rsidR="003C4D82" w:rsidRPr="003C4D82" w:rsidRDefault="00C75564" w:rsidP="003C4D8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(1,146</w:t>
            </w:r>
            <w:r w:rsidR="003C4D82" w:rsidRPr="003C4D82">
              <w:rPr>
                <w:rFonts w:ascii="Arial" w:hAnsi="Arial" w:cs="Arial"/>
                <w:sz w:val="20"/>
                <w:szCs w:val="20"/>
              </w:rPr>
              <w:t>)</w:t>
            </w:r>
          </w:p>
        </w:tc>
      </w:tr>
      <w:tr w:rsidR="003C4D82" w:rsidRPr="00BC678F" w14:paraId="444DF0C6" w14:textId="77777777" w:rsidTr="0048637A">
        <w:tc>
          <w:tcPr>
            <w:cnfStyle w:val="001000000000" w:firstRow="0" w:lastRow="0" w:firstColumn="1" w:lastColumn="0" w:oddVBand="0" w:evenVBand="0" w:oddHBand="0" w:evenHBand="0" w:firstRowFirstColumn="0" w:firstRowLastColumn="0" w:lastRowFirstColumn="0" w:lastRowLastColumn="0"/>
            <w:tcW w:w="3146" w:type="pct"/>
            <w:tcBorders>
              <w:top w:val="single" w:sz="4" w:space="0" w:color="auto"/>
            </w:tcBorders>
            <w:tcMar>
              <w:top w:w="57" w:type="dxa"/>
              <w:bottom w:w="57" w:type="dxa"/>
            </w:tcMar>
            <w:vAlign w:val="bottom"/>
          </w:tcPr>
          <w:p w14:paraId="725BD6FB" w14:textId="77777777" w:rsidR="003C4D82" w:rsidRPr="00DC2064" w:rsidRDefault="003C4D82" w:rsidP="003C4D82">
            <w:pPr>
              <w:rPr>
                <w:rFonts w:ascii="Arial" w:hAnsi="Arial" w:cs="Arial"/>
                <w:sz w:val="20"/>
                <w:szCs w:val="20"/>
              </w:rPr>
            </w:pPr>
          </w:p>
        </w:tc>
        <w:tc>
          <w:tcPr>
            <w:tcW w:w="937" w:type="pct"/>
            <w:tcBorders>
              <w:top w:val="single" w:sz="4" w:space="0" w:color="auto"/>
            </w:tcBorders>
            <w:tcMar>
              <w:top w:w="57" w:type="dxa"/>
              <w:bottom w:w="57" w:type="dxa"/>
            </w:tcMar>
            <w:vAlign w:val="bottom"/>
          </w:tcPr>
          <w:p w14:paraId="48534282" w14:textId="77777777" w:rsidR="003C4D82" w:rsidRPr="00E83884" w:rsidRDefault="003C4D82" w:rsidP="003C4D8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17" w:type="pct"/>
            <w:tcBorders>
              <w:top w:val="single" w:sz="4" w:space="0" w:color="auto"/>
            </w:tcBorders>
            <w:tcMar>
              <w:top w:w="57" w:type="dxa"/>
              <w:bottom w:w="57" w:type="dxa"/>
            </w:tcMar>
            <w:vAlign w:val="bottom"/>
          </w:tcPr>
          <w:p w14:paraId="3D2B61A6" w14:textId="77777777" w:rsidR="003C4D82" w:rsidRPr="003C4D82" w:rsidRDefault="003C4D82" w:rsidP="003C4D8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C4D82" w:rsidRPr="00BC678F" w14:paraId="7E237489" w14:textId="77777777" w:rsidTr="0048637A">
        <w:tc>
          <w:tcPr>
            <w:cnfStyle w:val="001000000000" w:firstRow="0" w:lastRow="0" w:firstColumn="1" w:lastColumn="0" w:oddVBand="0" w:evenVBand="0" w:oddHBand="0" w:evenHBand="0" w:firstRowFirstColumn="0" w:firstRowLastColumn="0" w:lastRowFirstColumn="0" w:lastRowLastColumn="0"/>
            <w:tcW w:w="3146" w:type="pct"/>
            <w:tcMar>
              <w:top w:w="57" w:type="dxa"/>
              <w:bottom w:w="57" w:type="dxa"/>
            </w:tcMar>
            <w:vAlign w:val="bottom"/>
          </w:tcPr>
          <w:p w14:paraId="7D1AC31A" w14:textId="77777777" w:rsidR="003C4D82" w:rsidRPr="002D1A2F" w:rsidRDefault="003C4D82" w:rsidP="003C4D82">
            <w:pPr>
              <w:rPr>
                <w:rFonts w:ascii="Arial" w:hAnsi="Arial" w:cs="Arial"/>
                <w:b/>
                <w:sz w:val="20"/>
                <w:szCs w:val="20"/>
              </w:rPr>
            </w:pPr>
            <w:r w:rsidRPr="00DC2064">
              <w:rPr>
                <w:rFonts w:ascii="Arial" w:hAnsi="Arial" w:cs="Arial"/>
                <w:b/>
                <w:sz w:val="20"/>
                <w:szCs w:val="20"/>
              </w:rPr>
              <w:t>Cash flow generated from</w:t>
            </w:r>
            <w:r>
              <w:rPr>
                <w:rFonts w:ascii="Arial" w:hAnsi="Arial" w:cs="Arial"/>
                <w:b/>
                <w:sz w:val="20"/>
                <w:szCs w:val="20"/>
              </w:rPr>
              <w:t xml:space="preserve"> </w:t>
            </w:r>
            <w:r w:rsidRPr="00DC2064">
              <w:rPr>
                <w:rFonts w:ascii="Arial" w:hAnsi="Arial" w:cs="Arial"/>
                <w:b/>
                <w:sz w:val="20"/>
                <w:szCs w:val="20"/>
              </w:rPr>
              <w:t>investing activities</w:t>
            </w:r>
          </w:p>
        </w:tc>
        <w:tc>
          <w:tcPr>
            <w:tcW w:w="937" w:type="pct"/>
            <w:tcMar>
              <w:top w:w="57" w:type="dxa"/>
              <w:bottom w:w="57" w:type="dxa"/>
            </w:tcMar>
            <w:vAlign w:val="bottom"/>
          </w:tcPr>
          <w:p w14:paraId="06BBC139" w14:textId="77777777" w:rsidR="003C4D82" w:rsidRPr="00E83884" w:rsidRDefault="003C4D82" w:rsidP="003C4D8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17" w:type="pct"/>
            <w:tcMar>
              <w:top w:w="57" w:type="dxa"/>
              <w:bottom w:w="57" w:type="dxa"/>
            </w:tcMar>
            <w:vAlign w:val="bottom"/>
          </w:tcPr>
          <w:p w14:paraId="6BF05616" w14:textId="77777777" w:rsidR="003C4D82" w:rsidRPr="003C4D82" w:rsidRDefault="003C4D82" w:rsidP="003C4D8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C4D82" w:rsidRPr="00BC678F" w14:paraId="69E587C4" w14:textId="77777777" w:rsidTr="0048637A">
        <w:tc>
          <w:tcPr>
            <w:cnfStyle w:val="001000000000" w:firstRow="0" w:lastRow="0" w:firstColumn="1" w:lastColumn="0" w:oddVBand="0" w:evenVBand="0" w:oddHBand="0" w:evenHBand="0" w:firstRowFirstColumn="0" w:firstRowLastColumn="0" w:lastRowFirstColumn="0" w:lastRowLastColumn="0"/>
            <w:tcW w:w="3146" w:type="pct"/>
            <w:tcBorders>
              <w:bottom w:val="single" w:sz="4" w:space="0" w:color="auto"/>
            </w:tcBorders>
            <w:tcMar>
              <w:top w:w="57" w:type="dxa"/>
              <w:bottom w:w="57" w:type="dxa"/>
            </w:tcMar>
            <w:vAlign w:val="bottom"/>
          </w:tcPr>
          <w:p w14:paraId="313AB736" w14:textId="77777777" w:rsidR="003C4D82" w:rsidRPr="002D1A2F" w:rsidRDefault="003C4D82" w:rsidP="003C4D82">
            <w:pPr>
              <w:rPr>
                <w:rFonts w:ascii="Arial" w:hAnsi="Arial" w:cs="Arial"/>
                <w:sz w:val="20"/>
                <w:szCs w:val="20"/>
              </w:rPr>
            </w:pPr>
            <w:r w:rsidRPr="00DC2064">
              <w:rPr>
                <w:rFonts w:ascii="Arial" w:hAnsi="Arial" w:cs="Arial"/>
                <w:sz w:val="20"/>
                <w:szCs w:val="20"/>
              </w:rPr>
              <w:t>Distribution from the Partnership</w:t>
            </w:r>
          </w:p>
        </w:tc>
        <w:tc>
          <w:tcPr>
            <w:tcW w:w="937" w:type="pct"/>
            <w:tcBorders>
              <w:bottom w:val="single" w:sz="4" w:space="0" w:color="auto"/>
            </w:tcBorders>
            <w:tcMar>
              <w:top w:w="57" w:type="dxa"/>
              <w:bottom w:w="57" w:type="dxa"/>
            </w:tcMar>
            <w:vAlign w:val="center"/>
          </w:tcPr>
          <w:p w14:paraId="34936DCE" w14:textId="7DA33234" w:rsidR="003C4D82" w:rsidRPr="00E83884" w:rsidRDefault="008B459E" w:rsidP="00BE04E5">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41,98</w:t>
            </w:r>
            <w:r w:rsidR="00BE04E5">
              <w:rPr>
                <w:rFonts w:ascii="Arial" w:hAnsi="Arial" w:cs="Arial"/>
                <w:b/>
                <w:sz w:val="20"/>
                <w:szCs w:val="20"/>
              </w:rPr>
              <w:t>0</w:t>
            </w:r>
          </w:p>
        </w:tc>
        <w:tc>
          <w:tcPr>
            <w:tcW w:w="917" w:type="pct"/>
            <w:tcBorders>
              <w:bottom w:val="single" w:sz="4" w:space="0" w:color="auto"/>
            </w:tcBorders>
            <w:tcMar>
              <w:top w:w="57" w:type="dxa"/>
              <w:bottom w:w="57" w:type="dxa"/>
            </w:tcMar>
            <w:vAlign w:val="center"/>
          </w:tcPr>
          <w:p w14:paraId="16E853DA" w14:textId="35009514" w:rsidR="003C4D82" w:rsidRPr="003C4D82" w:rsidRDefault="00C75564" w:rsidP="003C4D8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w:t>
            </w:r>
            <w:r w:rsidR="003C4D82" w:rsidRPr="003C4D82">
              <w:rPr>
                <w:rFonts w:ascii="Arial" w:hAnsi="Arial" w:cs="Arial"/>
                <w:sz w:val="20"/>
                <w:szCs w:val="20"/>
              </w:rPr>
              <w:t>00</w:t>
            </w:r>
          </w:p>
        </w:tc>
      </w:tr>
      <w:tr w:rsidR="003C4D82" w:rsidRPr="00BC678F" w14:paraId="52963273" w14:textId="77777777" w:rsidTr="0048637A">
        <w:tc>
          <w:tcPr>
            <w:cnfStyle w:val="001000000000" w:firstRow="0" w:lastRow="0" w:firstColumn="1" w:lastColumn="0" w:oddVBand="0" w:evenVBand="0" w:oddHBand="0" w:evenHBand="0" w:firstRowFirstColumn="0" w:firstRowLastColumn="0" w:lastRowFirstColumn="0" w:lastRowLastColumn="0"/>
            <w:tcW w:w="3146" w:type="pct"/>
            <w:tcBorders>
              <w:top w:val="single" w:sz="4" w:space="0" w:color="auto"/>
              <w:bottom w:val="single" w:sz="4" w:space="0" w:color="auto"/>
            </w:tcBorders>
            <w:tcMar>
              <w:top w:w="57" w:type="dxa"/>
              <w:bottom w:w="57" w:type="dxa"/>
            </w:tcMar>
            <w:vAlign w:val="bottom"/>
          </w:tcPr>
          <w:p w14:paraId="25966589" w14:textId="77777777" w:rsidR="003C4D82" w:rsidRPr="002D1A2F" w:rsidRDefault="003C4D82" w:rsidP="003C4D82">
            <w:pPr>
              <w:rPr>
                <w:rFonts w:ascii="Arial" w:hAnsi="Arial" w:cs="Arial"/>
                <w:sz w:val="20"/>
                <w:szCs w:val="20"/>
              </w:rPr>
            </w:pPr>
            <w:r w:rsidRPr="00DC2064">
              <w:rPr>
                <w:rFonts w:ascii="Arial" w:hAnsi="Arial" w:cs="Arial"/>
                <w:b/>
                <w:sz w:val="20"/>
                <w:szCs w:val="20"/>
              </w:rPr>
              <w:t>Net cash generated from</w:t>
            </w:r>
            <w:r>
              <w:rPr>
                <w:rFonts w:ascii="Arial" w:hAnsi="Arial" w:cs="Arial"/>
                <w:b/>
                <w:sz w:val="20"/>
                <w:szCs w:val="20"/>
              </w:rPr>
              <w:t xml:space="preserve"> </w:t>
            </w:r>
            <w:r w:rsidRPr="00DC2064">
              <w:rPr>
                <w:rFonts w:ascii="Arial" w:hAnsi="Arial" w:cs="Arial"/>
                <w:b/>
                <w:sz w:val="20"/>
                <w:szCs w:val="20"/>
              </w:rPr>
              <w:t xml:space="preserve">investing </w:t>
            </w:r>
            <w:r w:rsidRPr="002D1A2F">
              <w:rPr>
                <w:rFonts w:ascii="Arial" w:hAnsi="Arial" w:cs="Arial"/>
                <w:b/>
                <w:sz w:val="20"/>
                <w:szCs w:val="20"/>
              </w:rPr>
              <w:t>activities</w:t>
            </w:r>
          </w:p>
        </w:tc>
        <w:tc>
          <w:tcPr>
            <w:tcW w:w="937" w:type="pct"/>
            <w:tcBorders>
              <w:top w:val="single" w:sz="4" w:space="0" w:color="auto"/>
              <w:bottom w:val="single" w:sz="4" w:space="0" w:color="auto"/>
            </w:tcBorders>
            <w:tcMar>
              <w:top w:w="57" w:type="dxa"/>
              <w:bottom w:w="57" w:type="dxa"/>
            </w:tcMar>
            <w:vAlign w:val="center"/>
          </w:tcPr>
          <w:p w14:paraId="15C211DD" w14:textId="78C9F517" w:rsidR="003C4D82" w:rsidRPr="00E83884" w:rsidRDefault="008B459E" w:rsidP="003C4D8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41,98</w:t>
            </w:r>
            <w:r w:rsidR="00BE04E5">
              <w:rPr>
                <w:rFonts w:ascii="Arial" w:hAnsi="Arial" w:cs="Arial"/>
                <w:b/>
                <w:sz w:val="20"/>
                <w:szCs w:val="20"/>
              </w:rPr>
              <w:t>0</w:t>
            </w:r>
          </w:p>
        </w:tc>
        <w:tc>
          <w:tcPr>
            <w:tcW w:w="917" w:type="pct"/>
            <w:tcBorders>
              <w:top w:val="single" w:sz="4" w:space="0" w:color="auto"/>
              <w:bottom w:val="single" w:sz="4" w:space="0" w:color="auto"/>
            </w:tcBorders>
            <w:tcMar>
              <w:top w:w="57" w:type="dxa"/>
              <w:bottom w:w="57" w:type="dxa"/>
            </w:tcMar>
            <w:vAlign w:val="center"/>
          </w:tcPr>
          <w:p w14:paraId="5133FDA3" w14:textId="687D5D82" w:rsidR="003C4D82" w:rsidRPr="003C4D82" w:rsidRDefault="00C75564" w:rsidP="003C4D8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w:t>
            </w:r>
            <w:r w:rsidR="003C4D82" w:rsidRPr="003C4D82">
              <w:rPr>
                <w:rFonts w:ascii="Arial" w:hAnsi="Arial" w:cs="Arial"/>
                <w:sz w:val="20"/>
                <w:szCs w:val="20"/>
              </w:rPr>
              <w:t>00</w:t>
            </w:r>
          </w:p>
        </w:tc>
      </w:tr>
      <w:tr w:rsidR="003C4D82" w:rsidRPr="00BC678F" w14:paraId="46B49617" w14:textId="77777777" w:rsidTr="0048637A">
        <w:tc>
          <w:tcPr>
            <w:cnfStyle w:val="001000000000" w:firstRow="0" w:lastRow="0" w:firstColumn="1" w:lastColumn="0" w:oddVBand="0" w:evenVBand="0" w:oddHBand="0" w:evenHBand="0" w:firstRowFirstColumn="0" w:firstRowLastColumn="0" w:lastRowFirstColumn="0" w:lastRowLastColumn="0"/>
            <w:tcW w:w="3146" w:type="pct"/>
            <w:tcBorders>
              <w:bottom w:val="single" w:sz="4" w:space="0" w:color="auto"/>
            </w:tcBorders>
            <w:tcMar>
              <w:top w:w="57" w:type="dxa"/>
              <w:bottom w:w="57" w:type="dxa"/>
            </w:tcMar>
            <w:vAlign w:val="bottom"/>
          </w:tcPr>
          <w:p w14:paraId="1A249222" w14:textId="77777777" w:rsidR="003C4D82" w:rsidRPr="00723ECC" w:rsidRDefault="003C4D82" w:rsidP="003C4D82">
            <w:pPr>
              <w:rPr>
                <w:rFonts w:ascii="Arial" w:hAnsi="Arial" w:cs="Arial"/>
                <w:sz w:val="20"/>
                <w:szCs w:val="20"/>
              </w:rPr>
            </w:pPr>
          </w:p>
        </w:tc>
        <w:tc>
          <w:tcPr>
            <w:tcW w:w="937" w:type="pct"/>
            <w:tcBorders>
              <w:bottom w:val="single" w:sz="4" w:space="0" w:color="auto"/>
            </w:tcBorders>
            <w:tcMar>
              <w:top w:w="57" w:type="dxa"/>
              <w:bottom w:w="57" w:type="dxa"/>
            </w:tcMar>
            <w:vAlign w:val="center"/>
          </w:tcPr>
          <w:p w14:paraId="0806D083" w14:textId="77777777" w:rsidR="003C4D82" w:rsidRPr="00E83884" w:rsidRDefault="003C4D82" w:rsidP="003C4D8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17" w:type="pct"/>
            <w:tcBorders>
              <w:bottom w:val="single" w:sz="4" w:space="0" w:color="auto"/>
            </w:tcBorders>
            <w:tcMar>
              <w:top w:w="57" w:type="dxa"/>
              <w:bottom w:w="57" w:type="dxa"/>
            </w:tcMar>
            <w:vAlign w:val="center"/>
          </w:tcPr>
          <w:p w14:paraId="0879E0E0" w14:textId="77777777" w:rsidR="003C4D82" w:rsidRPr="003C4D82" w:rsidRDefault="003C4D82" w:rsidP="003C4D8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F5D13" w:rsidRPr="00BC678F" w14:paraId="7CFA79DB" w14:textId="77777777" w:rsidTr="0048637A">
        <w:tc>
          <w:tcPr>
            <w:cnfStyle w:val="001000000000" w:firstRow="0" w:lastRow="0" w:firstColumn="1" w:lastColumn="0" w:oddVBand="0" w:evenVBand="0" w:oddHBand="0" w:evenHBand="0" w:firstRowFirstColumn="0" w:firstRowLastColumn="0" w:lastRowFirstColumn="0" w:lastRowLastColumn="0"/>
            <w:tcW w:w="3146" w:type="pct"/>
            <w:tcBorders>
              <w:bottom w:val="single" w:sz="4" w:space="0" w:color="auto"/>
            </w:tcBorders>
            <w:tcMar>
              <w:top w:w="57" w:type="dxa"/>
              <w:bottom w:w="57" w:type="dxa"/>
            </w:tcMar>
            <w:vAlign w:val="bottom"/>
          </w:tcPr>
          <w:p w14:paraId="52222C58" w14:textId="665578A6" w:rsidR="007F5D13" w:rsidRPr="00723ECC" w:rsidRDefault="007F5D13" w:rsidP="007F5D13">
            <w:pPr>
              <w:rPr>
                <w:rFonts w:ascii="Arial" w:hAnsi="Arial" w:cs="Arial"/>
                <w:sz w:val="20"/>
                <w:szCs w:val="20"/>
              </w:rPr>
            </w:pPr>
            <w:r w:rsidRPr="00DC2064">
              <w:rPr>
                <w:rFonts w:ascii="Arial" w:hAnsi="Arial" w:cs="Arial"/>
                <w:b/>
                <w:sz w:val="20"/>
                <w:szCs w:val="20"/>
              </w:rPr>
              <w:t xml:space="preserve">Cash flow </w:t>
            </w:r>
            <w:r>
              <w:rPr>
                <w:rFonts w:ascii="Arial" w:hAnsi="Arial" w:cs="Arial"/>
                <w:b/>
                <w:sz w:val="20"/>
                <w:szCs w:val="20"/>
              </w:rPr>
              <w:t>used in financing</w:t>
            </w:r>
            <w:r w:rsidRPr="00DC2064">
              <w:rPr>
                <w:rFonts w:ascii="Arial" w:hAnsi="Arial" w:cs="Arial"/>
                <w:b/>
                <w:sz w:val="20"/>
                <w:szCs w:val="20"/>
              </w:rPr>
              <w:t xml:space="preserve"> activities</w:t>
            </w:r>
          </w:p>
        </w:tc>
        <w:tc>
          <w:tcPr>
            <w:tcW w:w="937" w:type="pct"/>
            <w:tcBorders>
              <w:bottom w:val="single" w:sz="4" w:space="0" w:color="auto"/>
            </w:tcBorders>
            <w:tcMar>
              <w:top w:w="57" w:type="dxa"/>
              <w:bottom w:w="57" w:type="dxa"/>
            </w:tcMar>
            <w:vAlign w:val="center"/>
          </w:tcPr>
          <w:p w14:paraId="040C0AFB" w14:textId="77777777" w:rsidR="007F5D13" w:rsidRPr="00E83884" w:rsidRDefault="007F5D13" w:rsidP="007F5D1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17" w:type="pct"/>
            <w:tcBorders>
              <w:bottom w:val="single" w:sz="4" w:space="0" w:color="auto"/>
            </w:tcBorders>
            <w:tcMar>
              <w:top w:w="57" w:type="dxa"/>
              <w:bottom w:w="57" w:type="dxa"/>
            </w:tcMar>
            <w:vAlign w:val="center"/>
          </w:tcPr>
          <w:p w14:paraId="5D0DFEF2" w14:textId="77777777" w:rsidR="007F5D13" w:rsidRPr="003C4D82" w:rsidRDefault="007F5D13" w:rsidP="007F5D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F5D13" w:rsidRPr="00BC678F" w14:paraId="10F846DD" w14:textId="77777777" w:rsidTr="0048637A">
        <w:tc>
          <w:tcPr>
            <w:cnfStyle w:val="001000000000" w:firstRow="0" w:lastRow="0" w:firstColumn="1" w:lastColumn="0" w:oddVBand="0" w:evenVBand="0" w:oddHBand="0" w:evenHBand="0" w:firstRowFirstColumn="0" w:firstRowLastColumn="0" w:lastRowFirstColumn="0" w:lastRowLastColumn="0"/>
            <w:tcW w:w="3146" w:type="pct"/>
            <w:tcBorders>
              <w:bottom w:val="single" w:sz="4" w:space="0" w:color="auto"/>
            </w:tcBorders>
            <w:tcMar>
              <w:top w:w="57" w:type="dxa"/>
              <w:bottom w:w="57" w:type="dxa"/>
            </w:tcMar>
            <w:vAlign w:val="bottom"/>
          </w:tcPr>
          <w:p w14:paraId="1A096FFD" w14:textId="7D2C7A2E" w:rsidR="007F5D13" w:rsidRPr="00723ECC" w:rsidRDefault="00B9013D" w:rsidP="006246BA">
            <w:pPr>
              <w:rPr>
                <w:rFonts w:ascii="Arial" w:hAnsi="Arial" w:cs="Arial"/>
                <w:sz w:val="20"/>
                <w:szCs w:val="20"/>
              </w:rPr>
            </w:pPr>
            <w:r>
              <w:rPr>
                <w:rFonts w:ascii="Arial" w:hAnsi="Arial" w:cs="Arial"/>
                <w:sz w:val="20"/>
                <w:szCs w:val="20"/>
              </w:rPr>
              <w:t>Buyback</w:t>
            </w:r>
            <w:r w:rsidR="008217A8">
              <w:rPr>
                <w:rFonts w:ascii="Arial" w:hAnsi="Arial" w:cs="Arial"/>
                <w:sz w:val="20"/>
                <w:szCs w:val="20"/>
              </w:rPr>
              <w:t xml:space="preserve"> of shares</w:t>
            </w:r>
          </w:p>
        </w:tc>
        <w:tc>
          <w:tcPr>
            <w:tcW w:w="937" w:type="pct"/>
            <w:tcBorders>
              <w:bottom w:val="single" w:sz="4" w:space="0" w:color="auto"/>
            </w:tcBorders>
            <w:tcMar>
              <w:top w:w="57" w:type="dxa"/>
              <w:bottom w:w="57" w:type="dxa"/>
            </w:tcMar>
            <w:vAlign w:val="center"/>
          </w:tcPr>
          <w:p w14:paraId="771A0164" w14:textId="57D2D4B3" w:rsidR="007F5D13" w:rsidRPr="00E83884" w:rsidRDefault="008B459E" w:rsidP="0061312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w:t>
            </w:r>
            <w:r w:rsidR="0061312D">
              <w:rPr>
                <w:rFonts w:ascii="Arial" w:hAnsi="Arial" w:cs="Arial"/>
                <w:b/>
                <w:sz w:val="20"/>
                <w:szCs w:val="20"/>
              </w:rPr>
              <w:t>33,595</w:t>
            </w:r>
            <w:r>
              <w:rPr>
                <w:rFonts w:ascii="Arial" w:hAnsi="Arial" w:cs="Arial"/>
                <w:b/>
                <w:sz w:val="20"/>
                <w:szCs w:val="20"/>
              </w:rPr>
              <w:t>)</w:t>
            </w:r>
          </w:p>
        </w:tc>
        <w:tc>
          <w:tcPr>
            <w:tcW w:w="917" w:type="pct"/>
            <w:tcBorders>
              <w:bottom w:val="single" w:sz="4" w:space="0" w:color="auto"/>
            </w:tcBorders>
            <w:tcMar>
              <w:top w:w="57" w:type="dxa"/>
              <w:bottom w:w="57" w:type="dxa"/>
            </w:tcMar>
            <w:vAlign w:val="center"/>
          </w:tcPr>
          <w:p w14:paraId="3BB45A48" w14:textId="742E81B4" w:rsidR="007F5D13" w:rsidRPr="007F5D13" w:rsidRDefault="00C75564" w:rsidP="007F5D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(42)</w:t>
            </w:r>
          </w:p>
        </w:tc>
      </w:tr>
      <w:tr w:rsidR="007F5D13" w:rsidRPr="00BC678F" w14:paraId="6B02E189" w14:textId="77777777" w:rsidTr="0048637A">
        <w:tc>
          <w:tcPr>
            <w:cnfStyle w:val="001000000000" w:firstRow="0" w:lastRow="0" w:firstColumn="1" w:lastColumn="0" w:oddVBand="0" w:evenVBand="0" w:oddHBand="0" w:evenHBand="0" w:firstRowFirstColumn="0" w:firstRowLastColumn="0" w:lastRowFirstColumn="0" w:lastRowLastColumn="0"/>
            <w:tcW w:w="3146" w:type="pct"/>
            <w:tcBorders>
              <w:bottom w:val="single" w:sz="4" w:space="0" w:color="auto"/>
            </w:tcBorders>
            <w:tcMar>
              <w:top w:w="57" w:type="dxa"/>
              <w:bottom w:w="57" w:type="dxa"/>
            </w:tcMar>
            <w:vAlign w:val="bottom"/>
          </w:tcPr>
          <w:p w14:paraId="09D15F06" w14:textId="58169FA7" w:rsidR="007F5D13" w:rsidRPr="007F5D13" w:rsidRDefault="007F5D13" w:rsidP="007F5D13">
            <w:pPr>
              <w:rPr>
                <w:rFonts w:ascii="Arial" w:hAnsi="Arial" w:cs="Arial"/>
                <w:b/>
                <w:sz w:val="20"/>
                <w:szCs w:val="20"/>
              </w:rPr>
            </w:pPr>
            <w:r w:rsidRPr="007F5D13">
              <w:rPr>
                <w:rFonts w:ascii="Arial" w:hAnsi="Arial" w:cs="Arial"/>
                <w:b/>
                <w:sz w:val="20"/>
                <w:szCs w:val="20"/>
              </w:rPr>
              <w:t xml:space="preserve">Net cash used in financing activities </w:t>
            </w:r>
          </w:p>
        </w:tc>
        <w:tc>
          <w:tcPr>
            <w:tcW w:w="937" w:type="pct"/>
            <w:tcBorders>
              <w:bottom w:val="single" w:sz="4" w:space="0" w:color="auto"/>
            </w:tcBorders>
            <w:tcMar>
              <w:top w:w="57" w:type="dxa"/>
              <w:bottom w:w="57" w:type="dxa"/>
            </w:tcMar>
            <w:vAlign w:val="center"/>
          </w:tcPr>
          <w:p w14:paraId="403729D8" w14:textId="4E36CCE4" w:rsidR="007F5D13" w:rsidRPr="00E83884" w:rsidRDefault="008B459E" w:rsidP="007F5D1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w:t>
            </w:r>
            <w:r w:rsidR="0061312D">
              <w:rPr>
                <w:rFonts w:ascii="Arial" w:hAnsi="Arial" w:cs="Arial"/>
                <w:b/>
                <w:sz w:val="20"/>
                <w:szCs w:val="20"/>
              </w:rPr>
              <w:t>33,595</w:t>
            </w:r>
            <w:r>
              <w:rPr>
                <w:rFonts w:ascii="Arial" w:hAnsi="Arial" w:cs="Arial"/>
                <w:b/>
                <w:sz w:val="20"/>
                <w:szCs w:val="20"/>
              </w:rPr>
              <w:t>)</w:t>
            </w:r>
          </w:p>
        </w:tc>
        <w:tc>
          <w:tcPr>
            <w:tcW w:w="917" w:type="pct"/>
            <w:tcBorders>
              <w:bottom w:val="single" w:sz="4" w:space="0" w:color="auto"/>
            </w:tcBorders>
            <w:tcMar>
              <w:top w:w="57" w:type="dxa"/>
              <w:bottom w:w="57" w:type="dxa"/>
            </w:tcMar>
            <w:vAlign w:val="center"/>
          </w:tcPr>
          <w:p w14:paraId="1F4D13F2" w14:textId="09F296D2" w:rsidR="007F5D13" w:rsidRPr="00C75564" w:rsidRDefault="00C75564" w:rsidP="007F5D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5564">
              <w:rPr>
                <w:rFonts w:ascii="Arial" w:hAnsi="Arial" w:cs="Arial"/>
                <w:sz w:val="20"/>
                <w:szCs w:val="20"/>
              </w:rPr>
              <w:t>(42)</w:t>
            </w:r>
          </w:p>
        </w:tc>
      </w:tr>
      <w:tr w:rsidR="007F5D13" w:rsidRPr="00BC678F" w14:paraId="4746E871" w14:textId="77777777" w:rsidTr="0048637A">
        <w:tc>
          <w:tcPr>
            <w:cnfStyle w:val="001000000000" w:firstRow="0" w:lastRow="0" w:firstColumn="1" w:lastColumn="0" w:oddVBand="0" w:evenVBand="0" w:oddHBand="0" w:evenHBand="0" w:firstRowFirstColumn="0" w:firstRowLastColumn="0" w:lastRowFirstColumn="0" w:lastRowLastColumn="0"/>
            <w:tcW w:w="3146" w:type="pct"/>
            <w:tcBorders>
              <w:bottom w:val="single" w:sz="4" w:space="0" w:color="auto"/>
            </w:tcBorders>
            <w:tcMar>
              <w:top w:w="57" w:type="dxa"/>
              <w:bottom w:w="57" w:type="dxa"/>
            </w:tcMar>
            <w:vAlign w:val="bottom"/>
          </w:tcPr>
          <w:p w14:paraId="09386025" w14:textId="77777777" w:rsidR="007F5D13" w:rsidRPr="00723ECC" w:rsidRDefault="007F5D13" w:rsidP="007F5D13">
            <w:pPr>
              <w:rPr>
                <w:rFonts w:ascii="Arial" w:hAnsi="Arial" w:cs="Arial"/>
                <w:sz w:val="20"/>
                <w:szCs w:val="20"/>
              </w:rPr>
            </w:pPr>
          </w:p>
        </w:tc>
        <w:tc>
          <w:tcPr>
            <w:tcW w:w="937" w:type="pct"/>
            <w:tcBorders>
              <w:bottom w:val="single" w:sz="4" w:space="0" w:color="auto"/>
            </w:tcBorders>
            <w:tcMar>
              <w:top w:w="57" w:type="dxa"/>
              <w:bottom w:w="57" w:type="dxa"/>
            </w:tcMar>
            <w:vAlign w:val="center"/>
          </w:tcPr>
          <w:p w14:paraId="52CD2F53" w14:textId="77777777" w:rsidR="007F5D13" w:rsidRPr="00E83884" w:rsidRDefault="007F5D13" w:rsidP="007F5D1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17" w:type="pct"/>
            <w:tcBorders>
              <w:bottom w:val="single" w:sz="4" w:space="0" w:color="auto"/>
            </w:tcBorders>
            <w:tcMar>
              <w:top w:w="57" w:type="dxa"/>
              <w:bottom w:w="57" w:type="dxa"/>
            </w:tcMar>
            <w:vAlign w:val="center"/>
          </w:tcPr>
          <w:p w14:paraId="249D72B9" w14:textId="77777777" w:rsidR="007F5D13" w:rsidRPr="003C4D82" w:rsidRDefault="007F5D13" w:rsidP="007F5D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F5D13" w:rsidRPr="00BC678F" w14:paraId="7E4582FD" w14:textId="77777777" w:rsidTr="0048637A">
        <w:tc>
          <w:tcPr>
            <w:cnfStyle w:val="001000000000" w:firstRow="0" w:lastRow="0" w:firstColumn="1" w:lastColumn="0" w:oddVBand="0" w:evenVBand="0" w:oddHBand="0" w:evenHBand="0" w:firstRowFirstColumn="0" w:firstRowLastColumn="0" w:lastRowFirstColumn="0" w:lastRowLastColumn="0"/>
            <w:tcW w:w="3146" w:type="pct"/>
            <w:tcBorders>
              <w:bottom w:val="single" w:sz="4" w:space="0" w:color="auto"/>
            </w:tcBorders>
            <w:tcMar>
              <w:top w:w="57" w:type="dxa"/>
              <w:bottom w:w="57" w:type="dxa"/>
            </w:tcMar>
            <w:vAlign w:val="bottom"/>
          </w:tcPr>
          <w:p w14:paraId="6A6310F4" w14:textId="77777777" w:rsidR="007F5D13" w:rsidRPr="00723ECC" w:rsidRDefault="007F5D13" w:rsidP="007F5D13">
            <w:pPr>
              <w:rPr>
                <w:rFonts w:ascii="Arial" w:hAnsi="Arial" w:cs="Arial"/>
                <w:sz w:val="20"/>
                <w:szCs w:val="20"/>
              </w:rPr>
            </w:pPr>
          </w:p>
        </w:tc>
        <w:tc>
          <w:tcPr>
            <w:tcW w:w="937" w:type="pct"/>
            <w:tcBorders>
              <w:bottom w:val="single" w:sz="4" w:space="0" w:color="auto"/>
            </w:tcBorders>
            <w:tcMar>
              <w:top w:w="57" w:type="dxa"/>
              <w:bottom w:w="57" w:type="dxa"/>
            </w:tcMar>
            <w:vAlign w:val="center"/>
          </w:tcPr>
          <w:p w14:paraId="758E5DD8" w14:textId="77777777" w:rsidR="007F5D13" w:rsidRPr="00E83884" w:rsidRDefault="007F5D13" w:rsidP="007F5D1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17" w:type="pct"/>
            <w:tcBorders>
              <w:bottom w:val="single" w:sz="4" w:space="0" w:color="auto"/>
            </w:tcBorders>
            <w:tcMar>
              <w:top w:w="57" w:type="dxa"/>
              <w:bottom w:w="57" w:type="dxa"/>
            </w:tcMar>
            <w:vAlign w:val="center"/>
          </w:tcPr>
          <w:p w14:paraId="71B31550" w14:textId="77777777" w:rsidR="007F5D13" w:rsidRPr="003C4D82" w:rsidRDefault="007F5D13" w:rsidP="007F5D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F5D13" w:rsidRPr="00BC678F" w14:paraId="37DA6644" w14:textId="77777777" w:rsidTr="0048637A">
        <w:tc>
          <w:tcPr>
            <w:cnfStyle w:val="001000000000" w:firstRow="0" w:lastRow="0" w:firstColumn="1" w:lastColumn="0" w:oddVBand="0" w:evenVBand="0" w:oddHBand="0" w:evenHBand="0" w:firstRowFirstColumn="0" w:firstRowLastColumn="0" w:lastRowFirstColumn="0" w:lastRowLastColumn="0"/>
            <w:tcW w:w="3146" w:type="pct"/>
            <w:tcBorders>
              <w:bottom w:val="single" w:sz="4" w:space="0" w:color="auto"/>
            </w:tcBorders>
            <w:tcMar>
              <w:top w:w="57" w:type="dxa"/>
              <w:bottom w:w="57" w:type="dxa"/>
            </w:tcMar>
            <w:vAlign w:val="bottom"/>
          </w:tcPr>
          <w:p w14:paraId="164F812B" w14:textId="77777777" w:rsidR="007F5D13" w:rsidRPr="00723ECC" w:rsidRDefault="007F5D13" w:rsidP="007F5D13">
            <w:pPr>
              <w:rPr>
                <w:rFonts w:ascii="Arial" w:hAnsi="Arial" w:cs="Arial"/>
                <w:sz w:val="20"/>
                <w:szCs w:val="20"/>
              </w:rPr>
            </w:pPr>
            <w:r w:rsidRPr="00723ECC">
              <w:rPr>
                <w:rFonts w:ascii="Arial" w:hAnsi="Arial" w:cs="Arial"/>
                <w:sz w:val="20"/>
                <w:szCs w:val="20"/>
              </w:rPr>
              <w:t>Net movement in cash and cash equivalents during the period</w:t>
            </w:r>
          </w:p>
        </w:tc>
        <w:tc>
          <w:tcPr>
            <w:tcW w:w="937" w:type="pct"/>
            <w:tcBorders>
              <w:bottom w:val="single" w:sz="4" w:space="0" w:color="auto"/>
            </w:tcBorders>
            <w:tcMar>
              <w:top w:w="57" w:type="dxa"/>
              <w:bottom w:w="57" w:type="dxa"/>
            </w:tcMar>
            <w:vAlign w:val="center"/>
          </w:tcPr>
          <w:p w14:paraId="031B18E1" w14:textId="76518E2E" w:rsidR="007F5D13" w:rsidRPr="00E83884" w:rsidRDefault="00800AA3" w:rsidP="007F5D1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6,218</w:t>
            </w:r>
          </w:p>
        </w:tc>
        <w:tc>
          <w:tcPr>
            <w:tcW w:w="917" w:type="pct"/>
            <w:tcBorders>
              <w:bottom w:val="single" w:sz="4" w:space="0" w:color="auto"/>
            </w:tcBorders>
            <w:tcMar>
              <w:top w:w="57" w:type="dxa"/>
              <w:bottom w:w="57" w:type="dxa"/>
            </w:tcMar>
            <w:vAlign w:val="center"/>
          </w:tcPr>
          <w:p w14:paraId="41962370" w14:textId="0C251AAA" w:rsidR="007F5D13" w:rsidRPr="003C4D82" w:rsidRDefault="00C75564" w:rsidP="007F5D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912</w:t>
            </w:r>
          </w:p>
        </w:tc>
      </w:tr>
      <w:tr w:rsidR="007F5D13" w:rsidRPr="00BC678F" w14:paraId="0B4FE9E5" w14:textId="77777777" w:rsidTr="0048637A">
        <w:tc>
          <w:tcPr>
            <w:cnfStyle w:val="001000000000" w:firstRow="0" w:lastRow="0" w:firstColumn="1" w:lastColumn="0" w:oddVBand="0" w:evenVBand="0" w:oddHBand="0" w:evenHBand="0" w:firstRowFirstColumn="0" w:firstRowLastColumn="0" w:lastRowFirstColumn="0" w:lastRowLastColumn="0"/>
            <w:tcW w:w="3146" w:type="pct"/>
            <w:tcBorders>
              <w:top w:val="single" w:sz="4" w:space="0" w:color="auto"/>
            </w:tcBorders>
            <w:tcMar>
              <w:top w:w="57" w:type="dxa"/>
              <w:bottom w:w="57" w:type="dxa"/>
            </w:tcMar>
            <w:vAlign w:val="bottom"/>
          </w:tcPr>
          <w:p w14:paraId="509222BB" w14:textId="77777777" w:rsidR="007F5D13" w:rsidRPr="00DC2064" w:rsidRDefault="007F5D13" w:rsidP="007F5D13">
            <w:pPr>
              <w:rPr>
                <w:rFonts w:ascii="Arial" w:hAnsi="Arial" w:cs="Arial"/>
                <w:sz w:val="20"/>
                <w:szCs w:val="20"/>
              </w:rPr>
            </w:pPr>
          </w:p>
        </w:tc>
        <w:tc>
          <w:tcPr>
            <w:tcW w:w="937" w:type="pct"/>
            <w:tcBorders>
              <w:top w:val="single" w:sz="4" w:space="0" w:color="auto"/>
            </w:tcBorders>
            <w:tcMar>
              <w:top w:w="57" w:type="dxa"/>
              <w:bottom w:w="57" w:type="dxa"/>
            </w:tcMar>
            <w:vAlign w:val="center"/>
          </w:tcPr>
          <w:p w14:paraId="114B4C95" w14:textId="77777777" w:rsidR="007F5D13" w:rsidRPr="00E83884" w:rsidRDefault="007F5D13" w:rsidP="007F5D1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17" w:type="pct"/>
            <w:tcBorders>
              <w:top w:val="single" w:sz="4" w:space="0" w:color="auto"/>
            </w:tcBorders>
            <w:tcMar>
              <w:top w:w="57" w:type="dxa"/>
              <w:bottom w:w="57" w:type="dxa"/>
            </w:tcMar>
            <w:vAlign w:val="center"/>
          </w:tcPr>
          <w:p w14:paraId="10C5B225" w14:textId="194CCC32" w:rsidR="007F5D13" w:rsidRPr="003C4D82" w:rsidRDefault="007F5D13" w:rsidP="007F5D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F5D13" w:rsidRPr="00BC678F" w14:paraId="7452F359" w14:textId="77777777" w:rsidTr="0048637A">
        <w:tc>
          <w:tcPr>
            <w:cnfStyle w:val="001000000000" w:firstRow="0" w:lastRow="0" w:firstColumn="1" w:lastColumn="0" w:oddVBand="0" w:evenVBand="0" w:oddHBand="0" w:evenHBand="0" w:firstRowFirstColumn="0" w:firstRowLastColumn="0" w:lastRowFirstColumn="0" w:lastRowLastColumn="0"/>
            <w:tcW w:w="3146" w:type="pct"/>
            <w:tcMar>
              <w:top w:w="57" w:type="dxa"/>
              <w:bottom w:w="57" w:type="dxa"/>
            </w:tcMar>
            <w:vAlign w:val="bottom"/>
          </w:tcPr>
          <w:p w14:paraId="13CCAF5D" w14:textId="77777777" w:rsidR="007F5D13" w:rsidRPr="002D1A2F" w:rsidRDefault="007F5D13" w:rsidP="007F5D13">
            <w:pPr>
              <w:rPr>
                <w:rFonts w:ascii="Arial" w:hAnsi="Arial" w:cs="Arial"/>
                <w:sz w:val="20"/>
                <w:szCs w:val="20"/>
              </w:rPr>
            </w:pPr>
            <w:r w:rsidRPr="00DC2064">
              <w:rPr>
                <w:rFonts w:ascii="Arial" w:hAnsi="Arial" w:cs="Arial"/>
                <w:sz w:val="20"/>
                <w:szCs w:val="20"/>
              </w:rPr>
              <w:t>Cash and cash equivalents at the beginning of</w:t>
            </w:r>
            <w:r w:rsidRPr="002D1A2F">
              <w:rPr>
                <w:rFonts w:ascii="Arial" w:hAnsi="Arial" w:cs="Arial"/>
                <w:sz w:val="20"/>
                <w:szCs w:val="20"/>
              </w:rPr>
              <w:t xml:space="preserve"> the period</w:t>
            </w:r>
          </w:p>
        </w:tc>
        <w:tc>
          <w:tcPr>
            <w:tcW w:w="937" w:type="pct"/>
            <w:tcMar>
              <w:top w:w="57" w:type="dxa"/>
              <w:bottom w:w="57" w:type="dxa"/>
            </w:tcMar>
            <w:vAlign w:val="center"/>
          </w:tcPr>
          <w:p w14:paraId="2E704CF7" w14:textId="31C880FC" w:rsidR="007F5D13" w:rsidRPr="00E83884" w:rsidRDefault="00800AA3" w:rsidP="007F5D1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211</w:t>
            </w:r>
          </w:p>
        </w:tc>
        <w:tc>
          <w:tcPr>
            <w:tcW w:w="917" w:type="pct"/>
            <w:tcMar>
              <w:top w:w="57" w:type="dxa"/>
              <w:bottom w:w="57" w:type="dxa"/>
            </w:tcMar>
            <w:vAlign w:val="center"/>
          </w:tcPr>
          <w:p w14:paraId="254572D4" w14:textId="4C04FF9C" w:rsidR="007F5D13" w:rsidRPr="003C4D82" w:rsidRDefault="00C75564" w:rsidP="007F5D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2,132</w:t>
            </w:r>
          </w:p>
        </w:tc>
      </w:tr>
      <w:tr w:rsidR="007F5D13" w:rsidRPr="00BC678F" w14:paraId="11839D7C" w14:textId="77777777" w:rsidTr="0048637A">
        <w:tc>
          <w:tcPr>
            <w:cnfStyle w:val="001000000000" w:firstRow="0" w:lastRow="0" w:firstColumn="1" w:lastColumn="0" w:oddVBand="0" w:evenVBand="0" w:oddHBand="0" w:evenHBand="0" w:firstRowFirstColumn="0" w:firstRowLastColumn="0" w:lastRowFirstColumn="0" w:lastRowLastColumn="0"/>
            <w:tcW w:w="3146" w:type="pct"/>
            <w:tcBorders>
              <w:bottom w:val="single" w:sz="4" w:space="0" w:color="auto"/>
            </w:tcBorders>
            <w:tcMar>
              <w:top w:w="57" w:type="dxa"/>
              <w:bottom w:w="57" w:type="dxa"/>
            </w:tcMar>
            <w:vAlign w:val="bottom"/>
          </w:tcPr>
          <w:p w14:paraId="2D4E9059" w14:textId="77777777" w:rsidR="007F5D13" w:rsidRPr="002D1A2F" w:rsidRDefault="007F5D13" w:rsidP="007F5D13">
            <w:pPr>
              <w:rPr>
                <w:rFonts w:ascii="Arial" w:hAnsi="Arial" w:cs="Arial"/>
                <w:sz w:val="20"/>
                <w:szCs w:val="20"/>
              </w:rPr>
            </w:pPr>
            <w:r w:rsidRPr="00DC2064">
              <w:rPr>
                <w:rFonts w:ascii="Arial" w:hAnsi="Arial" w:cs="Arial"/>
                <w:sz w:val="20"/>
                <w:szCs w:val="20"/>
              </w:rPr>
              <w:t>Effect of foreign exchange rate changes</w:t>
            </w:r>
          </w:p>
        </w:tc>
        <w:tc>
          <w:tcPr>
            <w:tcW w:w="937" w:type="pct"/>
            <w:tcBorders>
              <w:bottom w:val="single" w:sz="4" w:space="0" w:color="auto"/>
            </w:tcBorders>
            <w:tcMar>
              <w:top w:w="57" w:type="dxa"/>
              <w:bottom w:w="57" w:type="dxa"/>
            </w:tcMar>
            <w:vAlign w:val="center"/>
          </w:tcPr>
          <w:p w14:paraId="3A047947" w14:textId="19D951BF" w:rsidR="007F5D13" w:rsidRPr="00E83884" w:rsidRDefault="00800AA3" w:rsidP="007F5D1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w:t>
            </w:r>
            <w:r w:rsidRPr="00E83884" w:rsidDel="00E9791A">
              <w:rPr>
                <w:rFonts w:ascii="Arial" w:hAnsi="Arial" w:cs="Arial"/>
                <w:b/>
                <w:sz w:val="20"/>
                <w:szCs w:val="20"/>
              </w:rPr>
              <w:t xml:space="preserve"> </w:t>
            </w:r>
          </w:p>
        </w:tc>
        <w:tc>
          <w:tcPr>
            <w:tcW w:w="917" w:type="pct"/>
            <w:tcBorders>
              <w:bottom w:val="single" w:sz="4" w:space="0" w:color="auto"/>
            </w:tcBorders>
            <w:tcMar>
              <w:top w:w="57" w:type="dxa"/>
              <w:bottom w:w="57" w:type="dxa"/>
            </w:tcMar>
            <w:vAlign w:val="center"/>
          </w:tcPr>
          <w:p w14:paraId="58AD758E" w14:textId="23CC8272" w:rsidR="007F5D13" w:rsidRPr="003C4D82" w:rsidRDefault="00C75564" w:rsidP="007F5D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w:t>
            </w:r>
          </w:p>
        </w:tc>
      </w:tr>
      <w:tr w:rsidR="007F5D13" w:rsidRPr="00BC678F" w14:paraId="69CE49D5" w14:textId="77777777" w:rsidTr="0048637A">
        <w:tc>
          <w:tcPr>
            <w:cnfStyle w:val="001000000000" w:firstRow="0" w:lastRow="0" w:firstColumn="1" w:lastColumn="0" w:oddVBand="0" w:evenVBand="0" w:oddHBand="0" w:evenHBand="0" w:firstRowFirstColumn="0" w:firstRowLastColumn="0" w:lastRowFirstColumn="0" w:lastRowLastColumn="0"/>
            <w:tcW w:w="3146" w:type="pct"/>
            <w:tcBorders>
              <w:top w:val="single" w:sz="4" w:space="0" w:color="auto"/>
              <w:bottom w:val="single" w:sz="18" w:space="0" w:color="auto"/>
            </w:tcBorders>
            <w:tcMar>
              <w:top w:w="57" w:type="dxa"/>
              <w:bottom w:w="57" w:type="dxa"/>
            </w:tcMar>
            <w:vAlign w:val="bottom"/>
          </w:tcPr>
          <w:p w14:paraId="013D49CF" w14:textId="77777777" w:rsidR="007F5D13" w:rsidRPr="002D1A2F" w:rsidRDefault="007F5D13" w:rsidP="007F5D13">
            <w:pPr>
              <w:rPr>
                <w:rFonts w:ascii="Arial" w:hAnsi="Arial" w:cs="Arial"/>
                <w:b/>
                <w:sz w:val="20"/>
                <w:szCs w:val="20"/>
              </w:rPr>
            </w:pPr>
            <w:r w:rsidRPr="00DC2064">
              <w:rPr>
                <w:rFonts w:ascii="Arial" w:hAnsi="Arial" w:cs="Arial"/>
                <w:b/>
                <w:sz w:val="20"/>
                <w:szCs w:val="20"/>
              </w:rPr>
              <w:t>Cash and cash equivalents at the end of the period</w:t>
            </w:r>
          </w:p>
        </w:tc>
        <w:tc>
          <w:tcPr>
            <w:tcW w:w="937" w:type="pct"/>
            <w:tcBorders>
              <w:top w:val="single" w:sz="4" w:space="0" w:color="auto"/>
              <w:bottom w:val="single" w:sz="18" w:space="0" w:color="auto"/>
            </w:tcBorders>
            <w:tcMar>
              <w:top w:w="57" w:type="dxa"/>
              <w:bottom w:w="57" w:type="dxa"/>
            </w:tcMar>
            <w:vAlign w:val="center"/>
          </w:tcPr>
          <w:p w14:paraId="274540AD" w14:textId="4121D2BF" w:rsidR="007F5D13" w:rsidRPr="00E83884" w:rsidRDefault="00800AA3" w:rsidP="007F5D1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6,431</w:t>
            </w:r>
          </w:p>
        </w:tc>
        <w:tc>
          <w:tcPr>
            <w:tcW w:w="917" w:type="pct"/>
            <w:tcBorders>
              <w:top w:val="single" w:sz="4" w:space="0" w:color="auto"/>
              <w:bottom w:val="single" w:sz="18" w:space="0" w:color="auto"/>
            </w:tcBorders>
            <w:tcMar>
              <w:top w:w="57" w:type="dxa"/>
              <w:bottom w:w="57" w:type="dxa"/>
            </w:tcMar>
            <w:vAlign w:val="center"/>
          </w:tcPr>
          <w:p w14:paraId="26CEE259" w14:textId="4444BF24" w:rsidR="007F5D13" w:rsidRPr="003C4D82" w:rsidRDefault="00C75564" w:rsidP="007F5D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3,054</w:t>
            </w:r>
          </w:p>
        </w:tc>
      </w:tr>
    </w:tbl>
    <w:p w14:paraId="29F35C3D" w14:textId="77777777" w:rsidR="00E41A2E" w:rsidRPr="00DC2064" w:rsidRDefault="00E41A2E">
      <w:pPr>
        <w:tabs>
          <w:tab w:val="left" w:pos="6903"/>
        </w:tabs>
        <w:rPr>
          <w:rFonts w:ascii="Arial" w:hAnsi="Arial" w:cs="Arial"/>
          <w:sz w:val="20"/>
          <w:szCs w:val="20"/>
        </w:rPr>
      </w:pPr>
    </w:p>
    <w:p w14:paraId="782668F2" w14:textId="77777777" w:rsidR="00E41A2E" w:rsidRPr="002D1A2F" w:rsidRDefault="00E41A2E">
      <w:pPr>
        <w:tabs>
          <w:tab w:val="left" w:pos="6903"/>
        </w:tabs>
        <w:rPr>
          <w:rFonts w:ascii="Arial" w:hAnsi="Arial" w:cs="Arial"/>
          <w:sz w:val="20"/>
          <w:szCs w:val="20"/>
        </w:rPr>
      </w:pPr>
      <w:r w:rsidRPr="002D1A2F">
        <w:rPr>
          <w:rFonts w:ascii="Arial" w:hAnsi="Arial" w:cs="Arial"/>
          <w:sz w:val="20"/>
          <w:szCs w:val="20"/>
        </w:rPr>
        <w:t>The accompanying notes form an integral part of these interim condensed financial statements.</w:t>
      </w:r>
    </w:p>
    <w:p w14:paraId="0F8DF168" w14:textId="77777777" w:rsidR="00E41A2E" w:rsidRPr="002D1A2F" w:rsidRDefault="00E41A2E">
      <w:pPr>
        <w:tabs>
          <w:tab w:val="left" w:pos="6903"/>
        </w:tabs>
        <w:rPr>
          <w:rFonts w:ascii="Arial" w:hAnsi="Arial" w:cs="Arial"/>
        </w:rPr>
      </w:pPr>
    </w:p>
    <w:p w14:paraId="207A5810" w14:textId="10913389" w:rsidR="007F5D13" w:rsidRDefault="007F5D13">
      <w:pPr>
        <w:rPr>
          <w:rFonts w:ascii="Arial" w:hAnsi="Arial" w:cs="Arial"/>
          <w:b/>
          <w:caps/>
          <w:sz w:val="30"/>
          <w:szCs w:val="30"/>
        </w:rPr>
      </w:pPr>
    </w:p>
    <w:p w14:paraId="7EFED664" w14:textId="77777777" w:rsidR="004D2AFE" w:rsidRDefault="004D2AFE">
      <w:pPr>
        <w:rPr>
          <w:rFonts w:ascii="Arial" w:hAnsi="Arial" w:cs="Arial"/>
          <w:b/>
          <w:caps/>
          <w:sz w:val="30"/>
          <w:szCs w:val="30"/>
        </w:rPr>
      </w:pPr>
    </w:p>
    <w:p w14:paraId="1173A4F4" w14:textId="77777777" w:rsidR="00E41A2E" w:rsidRPr="002D1A2F" w:rsidRDefault="00E41A2E">
      <w:pPr>
        <w:rPr>
          <w:rFonts w:ascii="Arial" w:hAnsi="Arial" w:cs="Arial"/>
          <w:b/>
          <w:caps/>
          <w:sz w:val="30"/>
          <w:szCs w:val="30"/>
        </w:rPr>
      </w:pPr>
      <w:r w:rsidRPr="002D1A2F">
        <w:rPr>
          <w:rFonts w:ascii="Arial" w:hAnsi="Arial" w:cs="Arial"/>
          <w:b/>
          <w:caps/>
          <w:sz w:val="30"/>
          <w:szCs w:val="30"/>
        </w:rPr>
        <w:t>Notes to the UNAUDITED Interim Condensed Financial Statements</w:t>
      </w:r>
    </w:p>
    <w:p w14:paraId="1C8BEA67" w14:textId="06631D08" w:rsidR="00E41A2E" w:rsidRPr="002D1A2F" w:rsidRDefault="00E41A2E">
      <w:pPr>
        <w:tabs>
          <w:tab w:val="left" w:pos="6903"/>
        </w:tabs>
        <w:rPr>
          <w:rFonts w:ascii="Arial" w:hAnsi="Arial" w:cs="Arial"/>
          <w:sz w:val="20"/>
          <w:szCs w:val="20"/>
        </w:rPr>
      </w:pPr>
      <w:r w:rsidRPr="002D1A2F">
        <w:rPr>
          <w:rFonts w:ascii="Arial" w:hAnsi="Arial" w:cs="Arial"/>
          <w:sz w:val="20"/>
          <w:szCs w:val="20"/>
        </w:rPr>
        <w:t xml:space="preserve">For </w:t>
      </w:r>
      <w:r w:rsidR="00C75564">
        <w:rPr>
          <w:rFonts w:ascii="Arial" w:hAnsi="Arial" w:cs="Arial"/>
          <w:sz w:val="20"/>
          <w:szCs w:val="20"/>
        </w:rPr>
        <w:t>the six months ended 30 June 2020</w:t>
      </w:r>
    </w:p>
    <w:p w14:paraId="3EAC2904" w14:textId="4D4640EF" w:rsidR="00E41A2E" w:rsidRDefault="00E41A2E">
      <w:pPr>
        <w:tabs>
          <w:tab w:val="left" w:pos="6903"/>
        </w:tabs>
        <w:rPr>
          <w:rFonts w:ascii="Arial" w:hAnsi="Arial" w:cs="Arial"/>
        </w:rPr>
      </w:pPr>
    </w:p>
    <w:p w14:paraId="1B35E3B3" w14:textId="77777777" w:rsidR="00947447" w:rsidRPr="002D1A2F" w:rsidRDefault="00947447">
      <w:pPr>
        <w:tabs>
          <w:tab w:val="left" w:pos="6903"/>
        </w:tabs>
        <w:rPr>
          <w:rFonts w:ascii="Arial" w:hAnsi="Arial" w:cs="Arial"/>
        </w:rPr>
      </w:pPr>
    </w:p>
    <w:p w14:paraId="6DAE4FBF" w14:textId="77777777" w:rsidR="00E41A2E" w:rsidRPr="002D1A2F" w:rsidRDefault="00E41A2E">
      <w:pPr>
        <w:ind w:left="567" w:hanging="567"/>
        <w:outlineLvl w:val="1"/>
        <w:rPr>
          <w:rFonts w:ascii="Arial" w:hAnsi="Arial" w:cs="Arial"/>
          <w:b/>
          <w:sz w:val="28"/>
          <w:szCs w:val="28"/>
        </w:rPr>
      </w:pPr>
      <w:r w:rsidRPr="002D1A2F">
        <w:rPr>
          <w:rFonts w:ascii="Arial" w:hAnsi="Arial" w:cs="Arial"/>
          <w:b/>
          <w:sz w:val="28"/>
          <w:szCs w:val="28"/>
        </w:rPr>
        <w:t>1.</w:t>
      </w:r>
      <w:r w:rsidRPr="002D1A2F">
        <w:rPr>
          <w:rFonts w:ascii="Arial" w:hAnsi="Arial" w:cs="Arial"/>
          <w:b/>
          <w:sz w:val="28"/>
          <w:szCs w:val="28"/>
        </w:rPr>
        <w:tab/>
        <w:t>General information</w:t>
      </w:r>
    </w:p>
    <w:p w14:paraId="533655A9" w14:textId="697B964F" w:rsidR="00E41A2E" w:rsidRPr="002D1A2F" w:rsidRDefault="00E41A2E">
      <w:pPr>
        <w:autoSpaceDE w:val="0"/>
        <w:autoSpaceDN w:val="0"/>
        <w:adjustRightInd w:val="0"/>
        <w:ind w:left="567"/>
        <w:rPr>
          <w:rFonts w:ascii="Arial" w:hAnsi="Arial" w:cs="Arial"/>
          <w:sz w:val="20"/>
          <w:szCs w:val="20"/>
        </w:rPr>
      </w:pPr>
      <w:r w:rsidRPr="002D1A2F">
        <w:rPr>
          <w:rFonts w:ascii="Arial" w:hAnsi="Arial" w:cs="Arial"/>
          <w:sz w:val="20"/>
          <w:szCs w:val="20"/>
        </w:rPr>
        <w:t xml:space="preserve">Riverstone Energy Limited is a company limited by shares, which was incorporated on 23 May 2013 in Guernsey with an unlimited life and registered with the GFSC as a Registered Closed-ended Collective Investment Scheme pursuant to the POI Law. </w:t>
      </w:r>
      <w:r w:rsidR="0028193F" w:rsidRPr="002D1A2F">
        <w:rPr>
          <w:rFonts w:ascii="Arial" w:hAnsi="Arial" w:cs="Arial"/>
          <w:sz w:val="20"/>
          <w:szCs w:val="20"/>
        </w:rPr>
        <w:t xml:space="preserve">The Company’s </w:t>
      </w:r>
      <w:r w:rsidR="004643ED">
        <w:rPr>
          <w:rFonts w:ascii="Arial" w:hAnsi="Arial" w:cs="Arial"/>
          <w:sz w:val="20"/>
          <w:szCs w:val="20"/>
        </w:rPr>
        <w:t>O</w:t>
      </w:r>
      <w:r w:rsidR="0028193F" w:rsidRPr="002D1A2F">
        <w:rPr>
          <w:rFonts w:ascii="Arial" w:hAnsi="Arial" w:cs="Arial"/>
          <w:sz w:val="20"/>
          <w:szCs w:val="20"/>
        </w:rPr>
        <w:t xml:space="preserve">rdinary </w:t>
      </w:r>
      <w:r w:rsidR="004643ED">
        <w:rPr>
          <w:rFonts w:ascii="Arial" w:hAnsi="Arial" w:cs="Arial"/>
          <w:sz w:val="20"/>
          <w:szCs w:val="20"/>
        </w:rPr>
        <w:t>S</w:t>
      </w:r>
      <w:r w:rsidR="0028193F" w:rsidRPr="002D1A2F">
        <w:rPr>
          <w:rFonts w:ascii="Arial" w:hAnsi="Arial" w:cs="Arial"/>
          <w:sz w:val="20"/>
          <w:szCs w:val="20"/>
        </w:rPr>
        <w:t xml:space="preserve">hares were admitted to the UK Listing Authority’s Official List and to trading on the London Stock Exchange as part of its IPO which completed on </w:t>
      </w:r>
      <w:r w:rsidRPr="002D1A2F">
        <w:rPr>
          <w:rFonts w:ascii="Arial" w:hAnsi="Arial" w:cs="Arial"/>
          <w:sz w:val="20"/>
          <w:szCs w:val="20"/>
        </w:rPr>
        <w:t xml:space="preserve">29 October 2013. </w:t>
      </w:r>
      <w:r w:rsidR="00845785">
        <w:rPr>
          <w:rFonts w:ascii="Arial" w:hAnsi="Arial" w:cs="Arial"/>
          <w:sz w:val="20"/>
          <w:szCs w:val="20"/>
        </w:rPr>
        <w:t>T</w:t>
      </w:r>
      <w:r w:rsidRPr="006A4CA2">
        <w:rPr>
          <w:rFonts w:ascii="Arial" w:hAnsi="Arial" w:cs="Arial"/>
          <w:sz w:val="20"/>
          <w:szCs w:val="20"/>
        </w:rPr>
        <w:t>he registered office of the Company is</w:t>
      </w:r>
      <w:r w:rsidR="004643ED" w:rsidRPr="006A4CA2">
        <w:rPr>
          <w:rFonts w:ascii="Arial" w:hAnsi="Arial" w:cs="Arial"/>
          <w:sz w:val="20"/>
          <w:szCs w:val="20"/>
        </w:rPr>
        <w:t xml:space="preserve"> PO Box 286, Floor 2, Trafa</w:t>
      </w:r>
      <w:r w:rsidR="006A4CA2" w:rsidRPr="006A4CA2">
        <w:rPr>
          <w:rFonts w:ascii="Arial" w:hAnsi="Arial" w:cs="Arial"/>
          <w:sz w:val="20"/>
          <w:szCs w:val="20"/>
        </w:rPr>
        <w:t>lgar Court, </w:t>
      </w:r>
      <w:r w:rsidR="004643ED" w:rsidRPr="006A4CA2">
        <w:rPr>
          <w:rFonts w:ascii="Arial" w:hAnsi="Arial" w:cs="Arial"/>
          <w:sz w:val="20"/>
          <w:szCs w:val="20"/>
        </w:rPr>
        <w:t>Les Banques, St Peter Port, Guernsey, GY1 4LY</w:t>
      </w:r>
      <w:r w:rsidRPr="006A4CA2">
        <w:rPr>
          <w:rFonts w:ascii="Arial" w:hAnsi="Arial" w:cs="Arial"/>
          <w:sz w:val="20"/>
          <w:szCs w:val="20"/>
        </w:rPr>
        <w:t>.</w:t>
      </w:r>
    </w:p>
    <w:p w14:paraId="66811739" w14:textId="77777777" w:rsidR="00E41A2E" w:rsidRPr="002D1A2F" w:rsidRDefault="00E41A2E">
      <w:pPr>
        <w:tabs>
          <w:tab w:val="left" w:pos="6903"/>
        </w:tabs>
        <w:ind w:left="567"/>
        <w:rPr>
          <w:rFonts w:ascii="Arial" w:hAnsi="Arial" w:cs="Arial"/>
          <w:sz w:val="20"/>
          <w:szCs w:val="20"/>
        </w:rPr>
      </w:pPr>
    </w:p>
    <w:p w14:paraId="0164D5F4" w14:textId="77777777" w:rsidR="00E41A2E" w:rsidRPr="002D1A2F" w:rsidRDefault="00E41A2E">
      <w:pPr>
        <w:tabs>
          <w:tab w:val="left" w:pos="6903"/>
        </w:tabs>
        <w:ind w:left="567"/>
        <w:rPr>
          <w:rFonts w:ascii="Arial" w:hAnsi="Arial" w:cs="Arial"/>
          <w:sz w:val="20"/>
          <w:szCs w:val="20"/>
        </w:rPr>
      </w:pPr>
      <w:r w:rsidRPr="002D1A2F">
        <w:rPr>
          <w:rFonts w:ascii="Arial" w:hAnsi="Arial" w:cs="Arial"/>
          <w:sz w:val="20"/>
          <w:szCs w:val="20"/>
        </w:rPr>
        <w:t>The Company makes its investments through the Partnership, a Cayman Islands registered exempted limited partnership, in which the Company is the sole limited partner. The principal place of business of the Partnership is the Cayman Islands. Both the Company and the Partnership are subject to the Investment Management Agreement with the Investment Manager, a company registered in the Cayman Islands.</w:t>
      </w:r>
    </w:p>
    <w:p w14:paraId="1470A8DE" w14:textId="77777777" w:rsidR="00E41A2E" w:rsidRPr="002D1A2F" w:rsidRDefault="00E41A2E">
      <w:pPr>
        <w:tabs>
          <w:tab w:val="left" w:pos="6903"/>
        </w:tabs>
        <w:ind w:left="567"/>
        <w:rPr>
          <w:rFonts w:ascii="Arial" w:hAnsi="Arial" w:cs="Arial"/>
          <w:sz w:val="20"/>
          <w:szCs w:val="20"/>
        </w:rPr>
      </w:pPr>
    </w:p>
    <w:p w14:paraId="410AFB1B" w14:textId="11445D65" w:rsidR="00E41A2E" w:rsidRPr="002D1A2F" w:rsidRDefault="00E41A2E">
      <w:pPr>
        <w:tabs>
          <w:tab w:val="left" w:pos="6903"/>
        </w:tabs>
        <w:ind w:left="567"/>
        <w:rPr>
          <w:rFonts w:ascii="Arial" w:hAnsi="Arial" w:cs="Arial"/>
          <w:sz w:val="20"/>
          <w:szCs w:val="20"/>
        </w:rPr>
      </w:pPr>
      <w:r w:rsidRPr="00233789">
        <w:rPr>
          <w:rFonts w:ascii="Arial" w:hAnsi="Arial" w:cs="Arial"/>
          <w:sz w:val="20"/>
          <w:szCs w:val="20"/>
        </w:rPr>
        <w:t>The Partnership</w:t>
      </w:r>
      <w:r w:rsidR="007A2F5C" w:rsidRPr="00233789">
        <w:rPr>
          <w:rFonts w:ascii="Arial" w:hAnsi="Arial" w:cs="Arial"/>
          <w:sz w:val="20"/>
          <w:szCs w:val="20"/>
        </w:rPr>
        <w:t xml:space="preserve"> has the right to</w:t>
      </w:r>
      <w:r w:rsidRPr="00233789">
        <w:rPr>
          <w:rFonts w:ascii="Arial" w:hAnsi="Arial" w:cs="Arial"/>
          <w:sz w:val="20"/>
          <w:szCs w:val="20"/>
        </w:rPr>
        <w:t xml:space="preserve"> invest alongside</w:t>
      </w:r>
      <w:r w:rsidR="007A2F5C" w:rsidRPr="00233789">
        <w:rPr>
          <w:rFonts w:ascii="Arial" w:hAnsi="Arial" w:cs="Arial"/>
          <w:sz w:val="20"/>
          <w:szCs w:val="20"/>
        </w:rPr>
        <w:t xml:space="preserve"> the</w:t>
      </w:r>
      <w:r w:rsidRPr="00233789">
        <w:rPr>
          <w:rFonts w:ascii="Arial" w:hAnsi="Arial" w:cs="Arial"/>
          <w:sz w:val="20"/>
          <w:szCs w:val="20"/>
        </w:rPr>
        <w:t xml:space="preserve"> Private Riverstone Funds in all Qualifying Investments in which the Private Riverstone Funds participate. The</w:t>
      </w:r>
      <w:r w:rsidRPr="002D1A2F">
        <w:rPr>
          <w:rFonts w:ascii="Arial" w:hAnsi="Arial" w:cs="Arial"/>
          <w:sz w:val="20"/>
          <w:szCs w:val="20"/>
        </w:rPr>
        <w:t xml:space="preserve">se funds are managed and advised by affiliates of the Investment Manager. </w:t>
      </w:r>
      <w:r w:rsidR="001B3B87">
        <w:rPr>
          <w:rFonts w:ascii="Arial" w:eastAsia="Calibri" w:hAnsi="Arial" w:cs="Arial"/>
          <w:sz w:val="20"/>
          <w:szCs w:val="20"/>
          <w:lang w:val="en-US"/>
        </w:rPr>
        <w:t xml:space="preserve">The Partnership’s investment in </w:t>
      </w:r>
      <w:r w:rsidR="001C04F6">
        <w:rPr>
          <w:rFonts w:ascii="Arial" w:eastAsia="Calibri" w:hAnsi="Arial" w:cs="Arial"/>
          <w:sz w:val="20"/>
          <w:szCs w:val="20"/>
          <w:lang w:val="en-US"/>
        </w:rPr>
        <w:t xml:space="preserve">Ridgebury H3 </w:t>
      </w:r>
      <w:r w:rsidR="001B3B87">
        <w:rPr>
          <w:rFonts w:ascii="Arial" w:eastAsia="Calibri" w:hAnsi="Arial" w:cs="Arial"/>
          <w:sz w:val="20"/>
          <w:szCs w:val="20"/>
          <w:lang w:val="en-US"/>
        </w:rPr>
        <w:t xml:space="preserve">in 2019 </w:t>
      </w:r>
      <w:r w:rsidR="001C04F6">
        <w:rPr>
          <w:rFonts w:ascii="Arial" w:eastAsia="Calibri" w:hAnsi="Arial" w:cs="Arial"/>
          <w:sz w:val="20"/>
          <w:szCs w:val="20"/>
          <w:lang w:val="en-US"/>
        </w:rPr>
        <w:t>demonstrate</w:t>
      </w:r>
      <w:r w:rsidR="006B0C93">
        <w:rPr>
          <w:rFonts w:ascii="Arial" w:eastAsia="Calibri" w:hAnsi="Arial" w:cs="Arial"/>
          <w:sz w:val="20"/>
          <w:szCs w:val="20"/>
          <w:lang w:val="en-US"/>
        </w:rPr>
        <w:t>s</w:t>
      </w:r>
      <w:r w:rsidR="001C04F6">
        <w:rPr>
          <w:rFonts w:ascii="Arial" w:eastAsia="Calibri" w:hAnsi="Arial" w:cs="Arial"/>
          <w:sz w:val="20"/>
          <w:szCs w:val="20"/>
          <w:lang w:val="en-US"/>
        </w:rPr>
        <w:t xml:space="preserve"> its modified investment strategy as the Private Riverstone Funds did not participate</w:t>
      </w:r>
      <w:r w:rsidR="001C04F6">
        <w:rPr>
          <w:rFonts w:ascii="Arial" w:hAnsi="Arial" w:cs="Arial"/>
          <w:sz w:val="20"/>
          <w:szCs w:val="20"/>
        </w:rPr>
        <w:t xml:space="preserve">. </w:t>
      </w:r>
      <w:r w:rsidRPr="002D1A2F">
        <w:rPr>
          <w:rFonts w:ascii="Arial" w:hAnsi="Arial" w:cs="Arial"/>
          <w:sz w:val="20"/>
          <w:szCs w:val="20"/>
        </w:rPr>
        <w:t>Further detail of these investments is provided in the Investment Manager’s Report.</w:t>
      </w:r>
    </w:p>
    <w:p w14:paraId="6FD7397B" w14:textId="7E3440CA" w:rsidR="00213F9C" w:rsidRDefault="00213F9C">
      <w:pPr>
        <w:tabs>
          <w:tab w:val="left" w:pos="6903"/>
        </w:tabs>
        <w:ind w:left="567"/>
        <w:rPr>
          <w:rFonts w:ascii="Arial" w:hAnsi="Arial" w:cs="Arial"/>
        </w:rPr>
      </w:pPr>
    </w:p>
    <w:p w14:paraId="35A670E8" w14:textId="77777777" w:rsidR="00947447" w:rsidRPr="002D1A2F" w:rsidRDefault="00947447">
      <w:pPr>
        <w:tabs>
          <w:tab w:val="left" w:pos="6903"/>
        </w:tabs>
        <w:ind w:left="567"/>
        <w:rPr>
          <w:rFonts w:ascii="Arial" w:hAnsi="Arial" w:cs="Arial"/>
        </w:rPr>
      </w:pPr>
    </w:p>
    <w:p w14:paraId="70A9372B" w14:textId="77777777" w:rsidR="005018B0" w:rsidRPr="005018B0" w:rsidRDefault="00E41A2E" w:rsidP="005018B0">
      <w:pPr>
        <w:ind w:left="567" w:hanging="567"/>
        <w:outlineLvl w:val="1"/>
        <w:rPr>
          <w:rFonts w:ascii="Arial" w:hAnsi="Arial" w:cs="Arial"/>
          <w:b/>
          <w:sz w:val="28"/>
          <w:szCs w:val="28"/>
        </w:rPr>
      </w:pPr>
      <w:r w:rsidRPr="005018B0">
        <w:rPr>
          <w:rFonts w:ascii="Arial" w:hAnsi="Arial" w:cs="Arial"/>
          <w:b/>
          <w:sz w:val="28"/>
          <w:szCs w:val="28"/>
        </w:rPr>
        <w:t>2.</w:t>
      </w:r>
      <w:r w:rsidRPr="005018B0">
        <w:rPr>
          <w:rFonts w:ascii="Arial" w:hAnsi="Arial" w:cs="Arial"/>
          <w:b/>
          <w:sz w:val="28"/>
          <w:szCs w:val="28"/>
        </w:rPr>
        <w:tab/>
      </w:r>
      <w:r w:rsidR="005018B0" w:rsidRPr="000F0E3B">
        <w:rPr>
          <w:rFonts w:ascii="Arial" w:hAnsi="Arial" w:cs="Arial"/>
          <w:b/>
          <w:sz w:val="28"/>
          <w:szCs w:val="28"/>
        </w:rPr>
        <w:t>New standards, interpretations and amendments adopted by the Company</w:t>
      </w:r>
    </w:p>
    <w:p w14:paraId="436AAE05" w14:textId="3D96A41D" w:rsidR="006B0C93" w:rsidRDefault="005018B0" w:rsidP="005018B0">
      <w:pPr>
        <w:tabs>
          <w:tab w:val="left" w:pos="6903"/>
        </w:tabs>
        <w:ind w:left="567"/>
        <w:rPr>
          <w:rFonts w:ascii="Arial" w:hAnsi="Arial" w:cs="Arial"/>
          <w:sz w:val="20"/>
          <w:szCs w:val="20"/>
        </w:rPr>
      </w:pPr>
      <w:r w:rsidRPr="005018B0">
        <w:rPr>
          <w:rFonts w:ascii="Arial" w:hAnsi="Arial" w:cs="Arial"/>
          <w:sz w:val="20"/>
          <w:szCs w:val="20"/>
        </w:rPr>
        <w:t>The accounting policies adopted in the preparation of the interim condensed financial statements are consistent with those followed in the preparation of the Company’s annual financial statements for the year ended 31 December 201</w:t>
      </w:r>
      <w:r w:rsidR="00C75564">
        <w:rPr>
          <w:rFonts w:ascii="Arial" w:hAnsi="Arial" w:cs="Arial"/>
          <w:sz w:val="20"/>
          <w:szCs w:val="20"/>
        </w:rPr>
        <w:t>9</w:t>
      </w:r>
      <w:r w:rsidR="006B0C93">
        <w:rPr>
          <w:rFonts w:ascii="Arial" w:hAnsi="Arial" w:cs="Arial"/>
          <w:sz w:val="20"/>
          <w:szCs w:val="20"/>
        </w:rPr>
        <w:t xml:space="preserve">, </w:t>
      </w:r>
      <w:r w:rsidR="0061312D">
        <w:rPr>
          <w:rFonts w:ascii="Arial" w:hAnsi="Arial" w:cs="Arial"/>
          <w:sz w:val="20"/>
          <w:szCs w:val="20"/>
        </w:rPr>
        <w:t xml:space="preserve">which were prepared in accordance with IFRS as adopted by the European Union, </w:t>
      </w:r>
      <w:r w:rsidR="006B0C93">
        <w:rPr>
          <w:rFonts w:ascii="Arial" w:hAnsi="Arial" w:cs="Arial"/>
          <w:sz w:val="20"/>
          <w:szCs w:val="20"/>
        </w:rPr>
        <w:t>with the addition of the below accounting policy adopted within these interim condensed financial statements</w:t>
      </w:r>
      <w:r w:rsidRPr="005018B0">
        <w:rPr>
          <w:rFonts w:ascii="Arial" w:hAnsi="Arial" w:cs="Arial"/>
          <w:sz w:val="20"/>
          <w:szCs w:val="20"/>
        </w:rPr>
        <w:t xml:space="preserve">. </w:t>
      </w:r>
    </w:p>
    <w:p w14:paraId="776F8CEA" w14:textId="3A1F5EB1" w:rsidR="006B0C93" w:rsidRDefault="006B0C93" w:rsidP="005018B0">
      <w:pPr>
        <w:tabs>
          <w:tab w:val="left" w:pos="6903"/>
        </w:tabs>
        <w:ind w:left="567"/>
        <w:rPr>
          <w:rFonts w:ascii="Arial" w:hAnsi="Arial" w:cs="Arial"/>
          <w:sz w:val="20"/>
          <w:szCs w:val="20"/>
        </w:rPr>
      </w:pPr>
    </w:p>
    <w:p w14:paraId="608081A4" w14:textId="5223395C" w:rsidR="006B0C93" w:rsidRPr="005522B0" w:rsidRDefault="006B0C93" w:rsidP="005018B0">
      <w:pPr>
        <w:tabs>
          <w:tab w:val="left" w:pos="6903"/>
        </w:tabs>
        <w:ind w:left="567"/>
        <w:rPr>
          <w:rFonts w:ascii="Arial" w:hAnsi="Arial" w:cs="Arial"/>
          <w:b/>
          <w:sz w:val="20"/>
          <w:szCs w:val="20"/>
        </w:rPr>
      </w:pPr>
      <w:r w:rsidRPr="005522B0">
        <w:rPr>
          <w:rFonts w:ascii="Arial" w:hAnsi="Arial" w:cs="Arial"/>
          <w:b/>
          <w:sz w:val="20"/>
          <w:szCs w:val="20"/>
        </w:rPr>
        <w:t xml:space="preserve">Repurchase of </w:t>
      </w:r>
      <w:r w:rsidR="0022205F" w:rsidRPr="005522B0">
        <w:rPr>
          <w:rFonts w:ascii="Arial" w:hAnsi="Arial" w:cs="Arial"/>
          <w:b/>
          <w:sz w:val="20"/>
          <w:szCs w:val="20"/>
        </w:rPr>
        <w:t>O</w:t>
      </w:r>
      <w:r w:rsidRPr="005522B0">
        <w:rPr>
          <w:rFonts w:ascii="Arial" w:hAnsi="Arial" w:cs="Arial"/>
          <w:b/>
          <w:sz w:val="20"/>
          <w:szCs w:val="20"/>
        </w:rPr>
        <w:t xml:space="preserve">rdinary </w:t>
      </w:r>
      <w:r w:rsidR="0022205F" w:rsidRPr="005522B0">
        <w:rPr>
          <w:rFonts w:ascii="Arial" w:hAnsi="Arial" w:cs="Arial"/>
          <w:b/>
          <w:sz w:val="20"/>
          <w:szCs w:val="20"/>
        </w:rPr>
        <w:t>S</w:t>
      </w:r>
      <w:r w:rsidRPr="005522B0">
        <w:rPr>
          <w:rFonts w:ascii="Arial" w:hAnsi="Arial" w:cs="Arial"/>
          <w:b/>
          <w:sz w:val="20"/>
          <w:szCs w:val="20"/>
        </w:rPr>
        <w:t>hares for cancellation</w:t>
      </w:r>
    </w:p>
    <w:p w14:paraId="38B24FCB" w14:textId="2C5C708A" w:rsidR="006B0C93" w:rsidRDefault="00AB7C43" w:rsidP="005018B0">
      <w:pPr>
        <w:tabs>
          <w:tab w:val="left" w:pos="6903"/>
        </w:tabs>
        <w:ind w:left="567"/>
        <w:rPr>
          <w:rFonts w:ascii="Arial" w:hAnsi="Arial" w:cs="Arial"/>
          <w:sz w:val="20"/>
          <w:szCs w:val="20"/>
        </w:rPr>
      </w:pPr>
      <w:r w:rsidRPr="005522B0">
        <w:rPr>
          <w:rFonts w:ascii="Arial" w:hAnsi="Arial" w:cs="Arial"/>
          <w:sz w:val="20"/>
          <w:szCs w:val="20"/>
        </w:rPr>
        <w:t xml:space="preserve">The cost of repurchasing </w:t>
      </w:r>
      <w:r w:rsidR="0022205F" w:rsidRPr="005522B0">
        <w:rPr>
          <w:rFonts w:ascii="Arial" w:hAnsi="Arial" w:cs="Arial"/>
          <w:sz w:val="20"/>
          <w:szCs w:val="20"/>
        </w:rPr>
        <w:t>O</w:t>
      </w:r>
      <w:r w:rsidRPr="005522B0">
        <w:rPr>
          <w:rFonts w:ascii="Arial" w:hAnsi="Arial" w:cs="Arial"/>
          <w:sz w:val="20"/>
          <w:szCs w:val="20"/>
        </w:rPr>
        <w:t xml:space="preserve">rdinary </w:t>
      </w:r>
      <w:r w:rsidR="0022205F" w:rsidRPr="005522B0">
        <w:rPr>
          <w:rFonts w:ascii="Arial" w:hAnsi="Arial" w:cs="Arial"/>
          <w:sz w:val="20"/>
          <w:szCs w:val="20"/>
        </w:rPr>
        <w:t>S</w:t>
      </w:r>
      <w:r w:rsidRPr="005522B0">
        <w:rPr>
          <w:rFonts w:ascii="Arial" w:hAnsi="Arial" w:cs="Arial"/>
          <w:sz w:val="20"/>
          <w:szCs w:val="20"/>
        </w:rPr>
        <w:t xml:space="preserve">hares, including any related stamp duty and transaction costs, is charged to </w:t>
      </w:r>
      <w:r w:rsidR="00B9013D" w:rsidRPr="005522B0">
        <w:rPr>
          <w:rFonts w:ascii="Arial" w:hAnsi="Arial" w:cs="Arial"/>
          <w:sz w:val="20"/>
          <w:szCs w:val="20"/>
        </w:rPr>
        <w:t>‘Share Capital’</w:t>
      </w:r>
      <w:r w:rsidRPr="005522B0">
        <w:rPr>
          <w:rFonts w:ascii="Arial" w:hAnsi="Arial" w:cs="Arial"/>
          <w:sz w:val="20"/>
          <w:szCs w:val="20"/>
        </w:rPr>
        <w:t xml:space="preserve"> and dealt with in the Condensed Statement of Changes In Equity. Share repurchase</w:t>
      </w:r>
      <w:r w:rsidR="005522B0">
        <w:rPr>
          <w:rFonts w:ascii="Arial" w:hAnsi="Arial" w:cs="Arial"/>
          <w:sz w:val="20"/>
          <w:szCs w:val="20"/>
        </w:rPr>
        <w:t xml:space="preserve"> and cancellation</w:t>
      </w:r>
      <w:r w:rsidRPr="005522B0">
        <w:rPr>
          <w:rFonts w:ascii="Arial" w:hAnsi="Arial" w:cs="Arial"/>
          <w:sz w:val="20"/>
          <w:szCs w:val="20"/>
        </w:rPr>
        <w:t xml:space="preserve"> transactions are accou</w:t>
      </w:r>
      <w:r w:rsidR="00B9013D" w:rsidRPr="005522B0">
        <w:rPr>
          <w:rFonts w:ascii="Arial" w:hAnsi="Arial" w:cs="Arial"/>
          <w:sz w:val="20"/>
          <w:szCs w:val="20"/>
        </w:rPr>
        <w:t>nted for on a trade date basis.</w:t>
      </w:r>
    </w:p>
    <w:p w14:paraId="33190155" w14:textId="77777777" w:rsidR="006B0C93" w:rsidRDefault="006B0C93" w:rsidP="005018B0">
      <w:pPr>
        <w:tabs>
          <w:tab w:val="left" w:pos="6903"/>
        </w:tabs>
        <w:ind w:left="567"/>
        <w:rPr>
          <w:rFonts w:ascii="Arial" w:hAnsi="Arial" w:cs="Arial"/>
          <w:sz w:val="20"/>
          <w:szCs w:val="20"/>
        </w:rPr>
      </w:pPr>
    </w:p>
    <w:p w14:paraId="26B65B24" w14:textId="0D7DEDD0" w:rsidR="005018B0" w:rsidRDefault="005018B0" w:rsidP="005018B0">
      <w:pPr>
        <w:tabs>
          <w:tab w:val="left" w:pos="6903"/>
        </w:tabs>
        <w:ind w:left="567"/>
        <w:rPr>
          <w:rFonts w:ascii="Arial" w:hAnsi="Arial" w:cs="Arial"/>
          <w:sz w:val="20"/>
          <w:szCs w:val="20"/>
        </w:rPr>
      </w:pPr>
      <w:r w:rsidRPr="005018B0">
        <w:rPr>
          <w:rFonts w:ascii="Arial" w:hAnsi="Arial" w:cs="Arial"/>
          <w:sz w:val="20"/>
          <w:szCs w:val="20"/>
        </w:rPr>
        <w:t xml:space="preserve">The Company has not early adopted any standard, interpretation or amendment that has been issued but is not yet effective. </w:t>
      </w:r>
    </w:p>
    <w:p w14:paraId="797BE41A" w14:textId="5BBBB1AA" w:rsidR="00FB0556" w:rsidRDefault="00FB0556" w:rsidP="00FB0556">
      <w:pPr>
        <w:tabs>
          <w:tab w:val="left" w:pos="6903"/>
        </w:tabs>
        <w:rPr>
          <w:rFonts w:ascii="Arial" w:hAnsi="Arial" w:cs="Arial"/>
          <w:sz w:val="20"/>
          <w:szCs w:val="20"/>
        </w:rPr>
      </w:pPr>
    </w:p>
    <w:p w14:paraId="6404138A" w14:textId="62F30AE6" w:rsidR="00FB0556" w:rsidRPr="00DD1C7C" w:rsidRDefault="00FB0556" w:rsidP="00FB0556">
      <w:pPr>
        <w:tabs>
          <w:tab w:val="left" w:pos="6903"/>
        </w:tabs>
        <w:ind w:left="567"/>
        <w:rPr>
          <w:rFonts w:ascii="Arial" w:hAnsi="Arial" w:cs="Arial"/>
          <w:sz w:val="20"/>
          <w:szCs w:val="20"/>
        </w:rPr>
      </w:pPr>
      <w:r w:rsidRPr="00A31BAC">
        <w:rPr>
          <w:rFonts w:ascii="Arial" w:hAnsi="Arial" w:cs="Arial"/>
          <w:sz w:val="20"/>
          <w:szCs w:val="20"/>
        </w:rPr>
        <w:t>The Company applied, for the first time, certain standards and amendments, which are effective for annual periods</w:t>
      </w:r>
      <w:r>
        <w:rPr>
          <w:rFonts w:ascii="Arial" w:hAnsi="Arial" w:cs="Arial"/>
          <w:sz w:val="20"/>
          <w:szCs w:val="20"/>
        </w:rPr>
        <w:t xml:space="preserve"> </w:t>
      </w:r>
      <w:r w:rsidRPr="00A31BAC">
        <w:rPr>
          <w:rFonts w:ascii="Arial" w:hAnsi="Arial" w:cs="Arial"/>
          <w:sz w:val="20"/>
          <w:szCs w:val="20"/>
        </w:rPr>
        <w:t>beginning on or after 1 January 20</w:t>
      </w:r>
      <w:r w:rsidR="00AB7C43">
        <w:rPr>
          <w:rFonts w:ascii="Arial" w:hAnsi="Arial" w:cs="Arial"/>
          <w:sz w:val="20"/>
          <w:szCs w:val="20"/>
        </w:rPr>
        <w:t>20</w:t>
      </w:r>
      <w:r w:rsidRPr="00A31BAC">
        <w:rPr>
          <w:rFonts w:ascii="Arial" w:hAnsi="Arial" w:cs="Arial"/>
          <w:sz w:val="20"/>
          <w:szCs w:val="20"/>
        </w:rPr>
        <w:t>. The new standards or amendments to existing standards and interpretations,</w:t>
      </w:r>
      <w:r>
        <w:rPr>
          <w:rFonts w:ascii="Arial" w:hAnsi="Arial" w:cs="Arial"/>
          <w:sz w:val="20"/>
          <w:szCs w:val="20"/>
        </w:rPr>
        <w:t xml:space="preserve"> </w:t>
      </w:r>
      <w:r w:rsidRPr="00A31BAC">
        <w:rPr>
          <w:rFonts w:ascii="Arial" w:hAnsi="Arial" w:cs="Arial"/>
          <w:sz w:val="20"/>
          <w:szCs w:val="20"/>
        </w:rPr>
        <w:t>effective from 1 January 20</w:t>
      </w:r>
      <w:r w:rsidR="00AB7C43">
        <w:rPr>
          <w:rFonts w:ascii="Arial" w:hAnsi="Arial" w:cs="Arial"/>
          <w:sz w:val="20"/>
          <w:szCs w:val="20"/>
        </w:rPr>
        <w:t>20</w:t>
      </w:r>
      <w:r w:rsidRPr="00A31BAC">
        <w:rPr>
          <w:rFonts w:ascii="Arial" w:hAnsi="Arial" w:cs="Arial"/>
          <w:sz w:val="20"/>
          <w:szCs w:val="20"/>
        </w:rPr>
        <w:t>, did not have a material impact o</w:t>
      </w:r>
      <w:r>
        <w:rPr>
          <w:rFonts w:ascii="Arial" w:hAnsi="Arial" w:cs="Arial"/>
          <w:sz w:val="20"/>
          <w:szCs w:val="20"/>
        </w:rPr>
        <w:t xml:space="preserve">n the Company’s </w:t>
      </w:r>
      <w:r w:rsidRPr="00A31BAC">
        <w:rPr>
          <w:rFonts w:ascii="Arial" w:hAnsi="Arial" w:cs="Arial"/>
          <w:sz w:val="20"/>
          <w:szCs w:val="20"/>
        </w:rPr>
        <w:t>interim</w:t>
      </w:r>
      <w:r>
        <w:rPr>
          <w:rFonts w:ascii="Arial" w:hAnsi="Arial" w:cs="Arial"/>
          <w:sz w:val="20"/>
          <w:szCs w:val="20"/>
        </w:rPr>
        <w:t xml:space="preserve"> condensed financial statements</w:t>
      </w:r>
      <w:r w:rsidRPr="00A31BAC">
        <w:rPr>
          <w:rFonts w:ascii="Arial" w:hAnsi="Arial" w:cs="Arial"/>
          <w:sz w:val="20"/>
          <w:szCs w:val="20"/>
        </w:rPr>
        <w:t>. It is not anticipated that any standard which is not yet effective, will have a material impact on the Company's</w:t>
      </w:r>
      <w:r>
        <w:rPr>
          <w:rFonts w:ascii="Arial" w:hAnsi="Arial" w:cs="Arial"/>
          <w:sz w:val="20"/>
          <w:szCs w:val="20"/>
        </w:rPr>
        <w:t xml:space="preserve"> </w:t>
      </w:r>
      <w:r w:rsidRPr="00A31BAC">
        <w:rPr>
          <w:rFonts w:ascii="Arial" w:hAnsi="Arial" w:cs="Arial"/>
          <w:sz w:val="20"/>
          <w:szCs w:val="20"/>
        </w:rPr>
        <w:t xml:space="preserve">financial position or </w:t>
      </w:r>
      <w:r>
        <w:rPr>
          <w:rFonts w:ascii="Arial" w:hAnsi="Arial" w:cs="Arial"/>
          <w:sz w:val="20"/>
          <w:szCs w:val="20"/>
        </w:rPr>
        <w:t xml:space="preserve">on the </w:t>
      </w:r>
      <w:r w:rsidRPr="00A31BAC">
        <w:rPr>
          <w:rFonts w:ascii="Arial" w:hAnsi="Arial" w:cs="Arial"/>
          <w:sz w:val="20"/>
          <w:szCs w:val="20"/>
        </w:rPr>
        <w:t>performance of the Company</w:t>
      </w:r>
      <w:r>
        <w:rPr>
          <w:rFonts w:ascii="Arial" w:hAnsi="Arial" w:cs="Arial"/>
          <w:sz w:val="20"/>
          <w:szCs w:val="20"/>
        </w:rPr>
        <w:t>’s</w:t>
      </w:r>
      <w:r w:rsidRPr="00A31BAC">
        <w:rPr>
          <w:rFonts w:ascii="Arial" w:hAnsi="Arial" w:cs="Arial"/>
          <w:sz w:val="20"/>
          <w:szCs w:val="20"/>
        </w:rPr>
        <w:t xml:space="preserve"> statements.</w:t>
      </w:r>
    </w:p>
    <w:p w14:paraId="21C36D52" w14:textId="77777777" w:rsidR="00A57F7D" w:rsidRDefault="00A57F7D">
      <w:pPr>
        <w:tabs>
          <w:tab w:val="left" w:pos="6903"/>
        </w:tabs>
        <w:ind w:left="567"/>
        <w:rPr>
          <w:rFonts w:ascii="Arial" w:hAnsi="Arial" w:cs="Arial"/>
          <w:sz w:val="20"/>
          <w:szCs w:val="20"/>
        </w:rPr>
      </w:pPr>
    </w:p>
    <w:p w14:paraId="0A53E705" w14:textId="2A2E8505" w:rsidR="00213F9C" w:rsidRPr="00213F9C" w:rsidRDefault="00E41A2E" w:rsidP="00213F9C">
      <w:pPr>
        <w:tabs>
          <w:tab w:val="left" w:pos="6903"/>
        </w:tabs>
        <w:ind w:left="567"/>
        <w:rPr>
          <w:rFonts w:ascii="Arial" w:hAnsi="Arial" w:cs="Arial"/>
          <w:sz w:val="20"/>
          <w:szCs w:val="20"/>
        </w:rPr>
      </w:pPr>
      <w:r w:rsidRPr="002D1A2F">
        <w:rPr>
          <w:rFonts w:ascii="Arial" w:hAnsi="Arial" w:cs="Arial"/>
          <w:sz w:val="20"/>
          <w:szCs w:val="20"/>
        </w:rPr>
        <w:t>These interim condensed financial statements are presented in U.S. dollars and are rounded to the nearest $’000, unless otherwise indicated.</w:t>
      </w:r>
    </w:p>
    <w:p w14:paraId="3B281847" w14:textId="3AE8D130" w:rsidR="00E41A2E" w:rsidRDefault="00E41A2E">
      <w:pPr>
        <w:tabs>
          <w:tab w:val="left" w:pos="6903"/>
        </w:tabs>
        <w:ind w:left="567"/>
        <w:rPr>
          <w:rFonts w:ascii="Arial" w:hAnsi="Arial" w:cs="Arial"/>
        </w:rPr>
      </w:pPr>
    </w:p>
    <w:p w14:paraId="10ADFF9F" w14:textId="77777777" w:rsidR="00947447" w:rsidRDefault="00947447">
      <w:pPr>
        <w:tabs>
          <w:tab w:val="left" w:pos="6903"/>
        </w:tabs>
        <w:ind w:left="567"/>
        <w:rPr>
          <w:rFonts w:ascii="Arial" w:hAnsi="Arial" w:cs="Arial"/>
        </w:rPr>
      </w:pPr>
    </w:p>
    <w:p w14:paraId="0C382C7F" w14:textId="311150AB" w:rsidR="00E41A2E" w:rsidRPr="002D1A2F" w:rsidRDefault="00E41A2E">
      <w:pPr>
        <w:ind w:left="567" w:hanging="567"/>
        <w:outlineLvl w:val="1"/>
        <w:rPr>
          <w:rFonts w:ascii="Arial" w:hAnsi="Arial" w:cs="Arial"/>
          <w:b/>
          <w:sz w:val="28"/>
          <w:szCs w:val="28"/>
        </w:rPr>
      </w:pPr>
      <w:r w:rsidRPr="002D1A2F">
        <w:rPr>
          <w:rFonts w:ascii="Arial" w:hAnsi="Arial" w:cs="Arial"/>
          <w:b/>
          <w:sz w:val="28"/>
          <w:szCs w:val="28"/>
        </w:rPr>
        <w:t>3.</w:t>
      </w:r>
      <w:r w:rsidRPr="002D1A2F">
        <w:rPr>
          <w:rFonts w:ascii="Arial" w:hAnsi="Arial" w:cs="Arial"/>
          <w:b/>
          <w:sz w:val="28"/>
          <w:szCs w:val="28"/>
        </w:rPr>
        <w:tab/>
        <w:t>Critical accounting judgement</w:t>
      </w:r>
      <w:r w:rsidR="00A729E8">
        <w:rPr>
          <w:rFonts w:ascii="Arial" w:hAnsi="Arial" w:cs="Arial"/>
          <w:b/>
          <w:sz w:val="28"/>
          <w:szCs w:val="28"/>
        </w:rPr>
        <w:t>s</w:t>
      </w:r>
      <w:r w:rsidRPr="002D1A2F">
        <w:rPr>
          <w:rFonts w:ascii="Arial" w:hAnsi="Arial" w:cs="Arial"/>
          <w:b/>
          <w:sz w:val="28"/>
          <w:szCs w:val="28"/>
        </w:rPr>
        <w:t xml:space="preserve"> and estimation uncertainty</w:t>
      </w:r>
    </w:p>
    <w:p w14:paraId="620FA94D" w14:textId="65BA9B9A" w:rsidR="00E41A2E" w:rsidRDefault="00E41A2E">
      <w:pPr>
        <w:ind w:left="567"/>
        <w:rPr>
          <w:rFonts w:ascii="Arial" w:hAnsi="Arial" w:cs="Arial"/>
          <w:sz w:val="20"/>
          <w:szCs w:val="20"/>
        </w:rPr>
      </w:pPr>
      <w:r w:rsidRPr="002D1A2F">
        <w:rPr>
          <w:rFonts w:ascii="Arial" w:hAnsi="Arial" w:cs="Arial"/>
          <w:sz w:val="20"/>
          <w:szCs w:val="20"/>
        </w:rPr>
        <w:t xml:space="preserve">The estimates and judgements made by </w:t>
      </w:r>
      <w:r w:rsidR="006E727F">
        <w:rPr>
          <w:rFonts w:ascii="Arial" w:hAnsi="Arial" w:cs="Arial"/>
          <w:sz w:val="20"/>
          <w:szCs w:val="20"/>
        </w:rPr>
        <w:t xml:space="preserve">the Investment Manager </w:t>
      </w:r>
      <w:r w:rsidRPr="002D1A2F">
        <w:rPr>
          <w:rFonts w:ascii="Arial" w:hAnsi="Arial" w:cs="Arial"/>
          <w:sz w:val="20"/>
          <w:szCs w:val="20"/>
        </w:rPr>
        <w:t>are consistent with those made in the Financial Statements for the year ended 31 December 201</w:t>
      </w:r>
      <w:r w:rsidR="00C75564">
        <w:rPr>
          <w:rFonts w:ascii="Arial" w:hAnsi="Arial" w:cs="Arial"/>
          <w:sz w:val="20"/>
          <w:szCs w:val="20"/>
        </w:rPr>
        <w:t>9</w:t>
      </w:r>
      <w:r w:rsidRPr="002D1A2F">
        <w:rPr>
          <w:rFonts w:ascii="Arial" w:hAnsi="Arial" w:cs="Arial"/>
          <w:sz w:val="20"/>
          <w:szCs w:val="20"/>
        </w:rPr>
        <w:t>.</w:t>
      </w:r>
    </w:p>
    <w:p w14:paraId="42F060FA" w14:textId="1717F23F" w:rsidR="0061312D" w:rsidRDefault="0061312D">
      <w:pPr>
        <w:ind w:left="567"/>
        <w:rPr>
          <w:rFonts w:ascii="Arial" w:hAnsi="Arial" w:cs="Arial"/>
          <w:sz w:val="20"/>
          <w:szCs w:val="20"/>
        </w:rPr>
      </w:pPr>
    </w:p>
    <w:p w14:paraId="0CB523A5" w14:textId="6E4A0323" w:rsidR="0061312D" w:rsidRDefault="0061312D">
      <w:pPr>
        <w:ind w:left="567"/>
        <w:rPr>
          <w:rFonts w:ascii="Arial" w:hAnsi="Arial" w:cs="Arial"/>
          <w:sz w:val="20"/>
          <w:szCs w:val="20"/>
        </w:rPr>
      </w:pPr>
      <w:r>
        <w:rPr>
          <w:rFonts w:ascii="Arial" w:hAnsi="Arial" w:cs="Arial"/>
          <w:b/>
          <w:sz w:val="20"/>
          <w:szCs w:val="20"/>
        </w:rPr>
        <w:t>Going concern</w:t>
      </w:r>
    </w:p>
    <w:p w14:paraId="56ECEFC5" w14:textId="77777777" w:rsidR="0048637A" w:rsidRDefault="0048637A" w:rsidP="00BA7527">
      <w:pPr>
        <w:ind w:left="540"/>
        <w:rPr>
          <w:rFonts w:ascii="Arial" w:hAnsi="Arial" w:cs="Arial"/>
          <w:sz w:val="20"/>
          <w:szCs w:val="20"/>
        </w:rPr>
      </w:pPr>
    </w:p>
    <w:p w14:paraId="1B1A10A6" w14:textId="3A25CB16" w:rsidR="00BA7527" w:rsidRDefault="00BA7527" w:rsidP="00BA7527">
      <w:pPr>
        <w:ind w:left="540"/>
        <w:rPr>
          <w:rFonts w:ascii="Arial" w:hAnsi="Arial" w:cs="Arial"/>
          <w:sz w:val="20"/>
          <w:szCs w:val="20"/>
        </w:rPr>
      </w:pPr>
      <w:r w:rsidRPr="00586ECF">
        <w:rPr>
          <w:rFonts w:ascii="Arial" w:hAnsi="Arial" w:cs="Arial"/>
          <w:sz w:val="20"/>
          <w:szCs w:val="20"/>
        </w:rPr>
        <w:t>The Company’s</w:t>
      </w:r>
      <w:r>
        <w:rPr>
          <w:rFonts w:ascii="Arial" w:hAnsi="Arial" w:cs="Arial"/>
          <w:sz w:val="20"/>
          <w:szCs w:val="20"/>
        </w:rPr>
        <w:t xml:space="preserve"> unaudited</w:t>
      </w:r>
      <w:r w:rsidRPr="00586ECF">
        <w:rPr>
          <w:rFonts w:ascii="Arial" w:hAnsi="Arial" w:cs="Arial"/>
          <w:sz w:val="20"/>
          <w:szCs w:val="20"/>
        </w:rPr>
        <w:t xml:space="preserve"> </w:t>
      </w:r>
      <w:r>
        <w:rPr>
          <w:rFonts w:ascii="Arial" w:hAnsi="Arial" w:cs="Arial"/>
          <w:sz w:val="20"/>
          <w:szCs w:val="20"/>
        </w:rPr>
        <w:t>interim condensed f</w:t>
      </w:r>
      <w:r w:rsidRPr="00586ECF">
        <w:rPr>
          <w:rFonts w:ascii="Arial" w:hAnsi="Arial" w:cs="Arial"/>
          <w:sz w:val="20"/>
          <w:szCs w:val="20"/>
        </w:rPr>
        <w:t xml:space="preserve">inancial </w:t>
      </w:r>
      <w:r>
        <w:rPr>
          <w:rFonts w:ascii="Arial" w:hAnsi="Arial" w:cs="Arial"/>
          <w:sz w:val="20"/>
          <w:szCs w:val="20"/>
        </w:rPr>
        <w:t>s</w:t>
      </w:r>
      <w:r w:rsidRPr="00586ECF">
        <w:rPr>
          <w:rFonts w:ascii="Arial" w:hAnsi="Arial" w:cs="Arial"/>
          <w:sz w:val="20"/>
          <w:szCs w:val="20"/>
        </w:rPr>
        <w:t xml:space="preserve">tatements are prepared in accordance with Guernsey law and IFRS and presented on a going concern basis. In the context of the uncertain outcome of the Discontinuation Resolution Vote in Q4 2020, and </w:t>
      </w:r>
      <w:r>
        <w:rPr>
          <w:rFonts w:ascii="Arial" w:hAnsi="Arial" w:cs="Arial"/>
          <w:sz w:val="20"/>
          <w:szCs w:val="20"/>
        </w:rPr>
        <w:t>the continuing weakness in the oil and gas market and ongoing impact of</w:t>
      </w:r>
      <w:r w:rsidRPr="00586ECF">
        <w:rPr>
          <w:rFonts w:ascii="Arial" w:hAnsi="Arial" w:cs="Arial"/>
          <w:sz w:val="20"/>
          <w:szCs w:val="20"/>
        </w:rPr>
        <w:t xml:space="preserve"> COVID-19, there is a material uncertainty which casts significant doubt over the ability of the Company to continue as a Going Concern. However, the </w:t>
      </w:r>
      <w:r>
        <w:rPr>
          <w:rFonts w:ascii="Arial" w:hAnsi="Arial" w:cs="Arial"/>
          <w:sz w:val="20"/>
          <w:szCs w:val="20"/>
        </w:rPr>
        <w:t>unaudited interim condensed f</w:t>
      </w:r>
      <w:r w:rsidRPr="00586ECF">
        <w:rPr>
          <w:rFonts w:ascii="Arial" w:hAnsi="Arial" w:cs="Arial"/>
          <w:sz w:val="20"/>
          <w:szCs w:val="20"/>
        </w:rPr>
        <w:t xml:space="preserve">inancial </w:t>
      </w:r>
      <w:r>
        <w:rPr>
          <w:rFonts w:ascii="Arial" w:hAnsi="Arial" w:cs="Arial"/>
          <w:sz w:val="20"/>
          <w:szCs w:val="20"/>
        </w:rPr>
        <w:t>s</w:t>
      </w:r>
      <w:r w:rsidRPr="00586ECF">
        <w:rPr>
          <w:rFonts w:ascii="Arial" w:hAnsi="Arial" w:cs="Arial"/>
          <w:sz w:val="20"/>
          <w:szCs w:val="20"/>
        </w:rPr>
        <w:t>tatements have been prepared on a going concern basis for the reasons set out below and as the Directors, with recommendation from the Audit Committee</w:t>
      </w:r>
      <w:r>
        <w:rPr>
          <w:rFonts w:ascii="Arial" w:hAnsi="Arial" w:cs="Arial"/>
          <w:sz w:val="20"/>
          <w:szCs w:val="20"/>
        </w:rPr>
        <w:t>,</w:t>
      </w:r>
      <w:r w:rsidRPr="00586ECF">
        <w:rPr>
          <w:rFonts w:ascii="Arial" w:hAnsi="Arial" w:cs="Arial"/>
          <w:sz w:val="20"/>
          <w:szCs w:val="20"/>
        </w:rPr>
        <w:t xml:space="preserve"> have a reasonable </w:t>
      </w:r>
      <w:r w:rsidRPr="00586ECF">
        <w:rPr>
          <w:rFonts w:ascii="Arial" w:hAnsi="Arial" w:cs="Arial"/>
          <w:sz w:val="20"/>
          <w:szCs w:val="20"/>
        </w:rPr>
        <w:lastRenderedPageBreak/>
        <w:t xml:space="preserve">expectation that the Company has adequate resources to continue in operational existence for the </w:t>
      </w:r>
      <w:r w:rsidR="00665C27">
        <w:rPr>
          <w:rFonts w:ascii="Arial" w:hAnsi="Arial" w:cs="Arial"/>
          <w:sz w:val="20"/>
          <w:szCs w:val="20"/>
        </w:rPr>
        <w:t>next 12 months</w:t>
      </w:r>
      <w:r w:rsidRPr="00586ECF">
        <w:rPr>
          <w:rFonts w:ascii="Arial" w:hAnsi="Arial" w:cs="Arial"/>
          <w:sz w:val="20"/>
          <w:szCs w:val="20"/>
        </w:rPr>
        <w:t>. In reaching this conclusion, the Directors have considered the risks that could impact the Company’s liquidity over the next 12 months from the date of approval of the</w:t>
      </w:r>
      <w:r>
        <w:rPr>
          <w:rFonts w:ascii="Arial" w:hAnsi="Arial" w:cs="Arial"/>
          <w:sz w:val="20"/>
          <w:szCs w:val="20"/>
        </w:rPr>
        <w:t xml:space="preserve"> unaudited</w:t>
      </w:r>
      <w:r w:rsidRPr="00586ECF">
        <w:rPr>
          <w:rFonts w:ascii="Arial" w:hAnsi="Arial" w:cs="Arial"/>
          <w:sz w:val="20"/>
          <w:szCs w:val="20"/>
        </w:rPr>
        <w:t xml:space="preserve"> </w:t>
      </w:r>
      <w:r>
        <w:rPr>
          <w:rFonts w:ascii="Arial" w:hAnsi="Arial" w:cs="Arial"/>
          <w:sz w:val="20"/>
          <w:szCs w:val="20"/>
        </w:rPr>
        <w:t>interim condensed f</w:t>
      </w:r>
      <w:r w:rsidRPr="00586ECF">
        <w:rPr>
          <w:rFonts w:ascii="Arial" w:hAnsi="Arial" w:cs="Arial"/>
          <w:sz w:val="20"/>
          <w:szCs w:val="20"/>
        </w:rPr>
        <w:t xml:space="preserve">inancial </w:t>
      </w:r>
      <w:r>
        <w:rPr>
          <w:rFonts w:ascii="Arial" w:hAnsi="Arial" w:cs="Arial"/>
          <w:sz w:val="20"/>
          <w:szCs w:val="20"/>
        </w:rPr>
        <w:t>s</w:t>
      </w:r>
      <w:r w:rsidRPr="00586ECF">
        <w:rPr>
          <w:rFonts w:ascii="Arial" w:hAnsi="Arial" w:cs="Arial"/>
          <w:sz w:val="20"/>
          <w:szCs w:val="20"/>
        </w:rPr>
        <w:t>tatements, as well as taken into account the following five key considerations, which are discussed further below.</w:t>
      </w:r>
    </w:p>
    <w:p w14:paraId="63950D2E" w14:textId="77777777" w:rsidR="00F1163D" w:rsidRPr="00586ECF" w:rsidRDefault="00F1163D" w:rsidP="00BA7527">
      <w:pPr>
        <w:ind w:left="540"/>
        <w:rPr>
          <w:rFonts w:ascii="Arial" w:hAnsi="Arial" w:cs="Arial"/>
          <w:sz w:val="20"/>
          <w:szCs w:val="20"/>
        </w:rPr>
      </w:pPr>
    </w:p>
    <w:p w14:paraId="51FD7649" w14:textId="2FE8FD8F" w:rsidR="00BA7527" w:rsidRPr="00586ECF" w:rsidRDefault="00BA7527" w:rsidP="00BA7527">
      <w:pPr>
        <w:ind w:left="540"/>
        <w:rPr>
          <w:rFonts w:ascii="Arial" w:hAnsi="Arial" w:cs="Arial"/>
          <w:sz w:val="20"/>
          <w:szCs w:val="20"/>
        </w:rPr>
      </w:pPr>
      <w:r w:rsidRPr="00586ECF">
        <w:rPr>
          <w:rFonts w:ascii="Arial" w:hAnsi="Arial" w:cs="Arial"/>
          <w:sz w:val="20"/>
          <w:szCs w:val="20"/>
        </w:rPr>
        <w:t>1.</w:t>
      </w:r>
      <w:r w:rsidRPr="00586ECF">
        <w:rPr>
          <w:rFonts w:ascii="Arial" w:hAnsi="Arial" w:cs="Arial"/>
          <w:sz w:val="20"/>
          <w:szCs w:val="20"/>
        </w:rPr>
        <w:tab/>
        <w:t xml:space="preserve">Available liquid resources </w:t>
      </w:r>
      <w:r w:rsidR="00665C27">
        <w:rPr>
          <w:rFonts w:ascii="Arial" w:hAnsi="Arial" w:cs="Arial"/>
          <w:sz w:val="20"/>
          <w:szCs w:val="20"/>
        </w:rPr>
        <w:t xml:space="preserve">and potential proceeds from investment realisations </w:t>
      </w:r>
      <w:r w:rsidRPr="00586ECF">
        <w:rPr>
          <w:rFonts w:ascii="Arial" w:hAnsi="Arial" w:cs="Arial"/>
          <w:sz w:val="20"/>
          <w:szCs w:val="20"/>
        </w:rPr>
        <w:t xml:space="preserve">versus </w:t>
      </w:r>
      <w:r w:rsidR="00CF4233">
        <w:rPr>
          <w:rFonts w:ascii="Arial" w:hAnsi="Arial" w:cs="Arial"/>
          <w:sz w:val="20"/>
          <w:szCs w:val="20"/>
        </w:rPr>
        <w:t xml:space="preserve">current and </w:t>
      </w:r>
      <w:r w:rsidRPr="00586ECF">
        <w:rPr>
          <w:rFonts w:ascii="Arial" w:hAnsi="Arial" w:cs="Arial"/>
          <w:sz w:val="20"/>
          <w:szCs w:val="20"/>
        </w:rPr>
        <w:t>expected liabilities of the Company over the next twelve months</w:t>
      </w:r>
      <w:r w:rsidR="00665C27">
        <w:rPr>
          <w:rFonts w:ascii="Arial" w:hAnsi="Arial" w:cs="Arial"/>
          <w:sz w:val="20"/>
          <w:szCs w:val="20"/>
        </w:rPr>
        <w:t>, including completion of the previously announced share repurchase programme</w:t>
      </w:r>
    </w:p>
    <w:p w14:paraId="03AFC163" w14:textId="51776C39" w:rsidR="00BA7527" w:rsidRPr="00586ECF" w:rsidRDefault="00BA7527" w:rsidP="00BA7527">
      <w:pPr>
        <w:ind w:left="540"/>
        <w:rPr>
          <w:rFonts w:ascii="Arial" w:hAnsi="Arial" w:cs="Arial"/>
          <w:sz w:val="20"/>
          <w:szCs w:val="20"/>
        </w:rPr>
      </w:pPr>
      <w:r w:rsidRPr="00586ECF">
        <w:rPr>
          <w:rFonts w:ascii="Arial" w:hAnsi="Arial" w:cs="Arial"/>
          <w:sz w:val="20"/>
          <w:szCs w:val="20"/>
        </w:rPr>
        <w:t>2.</w:t>
      </w:r>
      <w:r w:rsidRPr="00586ECF">
        <w:rPr>
          <w:rFonts w:ascii="Arial" w:hAnsi="Arial" w:cs="Arial"/>
          <w:sz w:val="20"/>
          <w:szCs w:val="20"/>
        </w:rPr>
        <w:tab/>
        <w:t xml:space="preserve">Available liquid resources </w:t>
      </w:r>
      <w:r w:rsidR="00665C27">
        <w:rPr>
          <w:rFonts w:ascii="Arial" w:hAnsi="Arial" w:cs="Arial"/>
          <w:sz w:val="20"/>
          <w:szCs w:val="20"/>
        </w:rPr>
        <w:t xml:space="preserve">and potential proceeds from investment realisations </w:t>
      </w:r>
      <w:r w:rsidRPr="00586ECF">
        <w:rPr>
          <w:rFonts w:ascii="Arial" w:hAnsi="Arial" w:cs="Arial"/>
          <w:sz w:val="20"/>
          <w:szCs w:val="20"/>
        </w:rPr>
        <w:t>versus potential unfunded commitments of the Partnership</w:t>
      </w:r>
    </w:p>
    <w:p w14:paraId="089AB7E7" w14:textId="77777777" w:rsidR="00BA7527" w:rsidRPr="00586ECF" w:rsidRDefault="00BA7527" w:rsidP="00BA7527">
      <w:pPr>
        <w:ind w:left="540"/>
        <w:rPr>
          <w:rFonts w:ascii="Arial" w:hAnsi="Arial" w:cs="Arial"/>
          <w:sz w:val="20"/>
          <w:szCs w:val="20"/>
        </w:rPr>
      </w:pPr>
      <w:r w:rsidRPr="00586ECF">
        <w:rPr>
          <w:rFonts w:ascii="Arial" w:hAnsi="Arial" w:cs="Arial"/>
          <w:sz w:val="20"/>
          <w:szCs w:val="20"/>
        </w:rPr>
        <w:t>3.</w:t>
      </w:r>
      <w:r w:rsidRPr="00586ECF">
        <w:rPr>
          <w:rFonts w:ascii="Arial" w:hAnsi="Arial" w:cs="Arial"/>
          <w:sz w:val="20"/>
          <w:szCs w:val="20"/>
        </w:rPr>
        <w:tab/>
        <w:t>Discontinuation Resolution</w:t>
      </w:r>
    </w:p>
    <w:p w14:paraId="328DD097" w14:textId="77777777" w:rsidR="00BA7527" w:rsidRPr="00586ECF" w:rsidRDefault="00BA7527" w:rsidP="00BA7527">
      <w:pPr>
        <w:ind w:left="540"/>
        <w:rPr>
          <w:rFonts w:ascii="Arial" w:hAnsi="Arial" w:cs="Arial"/>
          <w:sz w:val="20"/>
          <w:szCs w:val="20"/>
        </w:rPr>
      </w:pPr>
      <w:r w:rsidRPr="00586ECF">
        <w:rPr>
          <w:rFonts w:ascii="Arial" w:hAnsi="Arial" w:cs="Arial"/>
          <w:sz w:val="20"/>
          <w:szCs w:val="20"/>
        </w:rPr>
        <w:t>4.</w:t>
      </w:r>
      <w:r w:rsidRPr="00586ECF">
        <w:rPr>
          <w:rFonts w:ascii="Arial" w:hAnsi="Arial" w:cs="Arial"/>
          <w:sz w:val="20"/>
          <w:szCs w:val="20"/>
        </w:rPr>
        <w:tab/>
        <w:t>Discount to NAV of the Company</w:t>
      </w:r>
    </w:p>
    <w:p w14:paraId="05880920" w14:textId="77777777" w:rsidR="00BA7527" w:rsidRPr="00586ECF" w:rsidRDefault="00BA7527" w:rsidP="00BA7527">
      <w:pPr>
        <w:ind w:left="540"/>
        <w:rPr>
          <w:rFonts w:ascii="Arial" w:hAnsi="Arial" w:cs="Arial"/>
          <w:sz w:val="20"/>
          <w:szCs w:val="20"/>
        </w:rPr>
      </w:pPr>
      <w:r w:rsidRPr="00586ECF">
        <w:rPr>
          <w:rFonts w:ascii="Arial" w:hAnsi="Arial" w:cs="Arial"/>
          <w:sz w:val="20"/>
          <w:szCs w:val="20"/>
        </w:rPr>
        <w:t>5.</w:t>
      </w:r>
      <w:r w:rsidRPr="00586ECF">
        <w:rPr>
          <w:rFonts w:ascii="Arial" w:hAnsi="Arial" w:cs="Arial"/>
          <w:sz w:val="20"/>
          <w:szCs w:val="20"/>
        </w:rPr>
        <w:tab/>
        <w:t>COVID-19</w:t>
      </w:r>
    </w:p>
    <w:p w14:paraId="4ED2C30D" w14:textId="77777777" w:rsidR="00BA7527" w:rsidRPr="00586ECF" w:rsidRDefault="00BA7527" w:rsidP="00BA7527">
      <w:pPr>
        <w:ind w:left="540"/>
        <w:rPr>
          <w:rFonts w:ascii="Arial" w:hAnsi="Arial" w:cs="Arial"/>
          <w:sz w:val="20"/>
          <w:szCs w:val="20"/>
        </w:rPr>
      </w:pPr>
    </w:p>
    <w:p w14:paraId="0691ACEE" w14:textId="02940EDE" w:rsidR="00BA7527" w:rsidRPr="00586ECF" w:rsidRDefault="00BA7527" w:rsidP="00BA7527">
      <w:pPr>
        <w:ind w:left="540"/>
        <w:rPr>
          <w:rFonts w:ascii="Arial" w:hAnsi="Arial" w:cs="Arial"/>
          <w:i/>
          <w:sz w:val="20"/>
          <w:szCs w:val="20"/>
          <w:u w:val="single"/>
        </w:rPr>
      </w:pPr>
      <w:r w:rsidRPr="00586ECF">
        <w:rPr>
          <w:rFonts w:ascii="Arial" w:hAnsi="Arial" w:cs="Arial"/>
          <w:i/>
          <w:sz w:val="20"/>
          <w:szCs w:val="20"/>
          <w:u w:val="single"/>
        </w:rPr>
        <w:t xml:space="preserve">1. Available liquid resources </w:t>
      </w:r>
      <w:r w:rsidR="00665C27">
        <w:rPr>
          <w:rFonts w:ascii="Arial" w:hAnsi="Arial" w:cs="Arial"/>
          <w:i/>
          <w:sz w:val="20"/>
          <w:szCs w:val="20"/>
          <w:u w:val="single"/>
        </w:rPr>
        <w:t xml:space="preserve">and potential proceeds from investment realisations </w:t>
      </w:r>
      <w:r w:rsidRPr="00586ECF">
        <w:rPr>
          <w:rFonts w:ascii="Arial" w:hAnsi="Arial" w:cs="Arial"/>
          <w:i/>
          <w:sz w:val="20"/>
          <w:szCs w:val="20"/>
          <w:u w:val="single"/>
        </w:rPr>
        <w:t xml:space="preserve">versus </w:t>
      </w:r>
      <w:r w:rsidR="00CF4233">
        <w:rPr>
          <w:rFonts w:ascii="Arial" w:hAnsi="Arial" w:cs="Arial"/>
          <w:i/>
          <w:sz w:val="20"/>
          <w:szCs w:val="20"/>
          <w:u w:val="single"/>
        </w:rPr>
        <w:t xml:space="preserve">current and </w:t>
      </w:r>
      <w:r w:rsidRPr="00586ECF">
        <w:rPr>
          <w:rFonts w:ascii="Arial" w:hAnsi="Arial" w:cs="Arial"/>
          <w:i/>
          <w:sz w:val="20"/>
          <w:szCs w:val="20"/>
          <w:u w:val="single"/>
        </w:rPr>
        <w:t>expected liabilities of the Company over the next twelve months</w:t>
      </w:r>
      <w:r w:rsidR="00665C27">
        <w:rPr>
          <w:rFonts w:ascii="Arial" w:hAnsi="Arial" w:cs="Arial"/>
          <w:i/>
          <w:sz w:val="20"/>
          <w:szCs w:val="20"/>
          <w:u w:val="single"/>
        </w:rPr>
        <w:t>, including completion of the previously announced share repurchase programme</w:t>
      </w:r>
    </w:p>
    <w:p w14:paraId="42D8DD26" w14:textId="77777777" w:rsidR="0048637A" w:rsidRDefault="0048637A" w:rsidP="00BA7527">
      <w:pPr>
        <w:ind w:left="540"/>
        <w:rPr>
          <w:rFonts w:ascii="Arial" w:hAnsi="Arial" w:cs="Arial"/>
          <w:sz w:val="20"/>
          <w:szCs w:val="20"/>
        </w:rPr>
      </w:pPr>
    </w:p>
    <w:p w14:paraId="34C0FD45" w14:textId="5AB73E2B" w:rsidR="00BA7527" w:rsidRPr="00586ECF" w:rsidRDefault="00BA7527" w:rsidP="00BA7527">
      <w:pPr>
        <w:ind w:left="540"/>
        <w:rPr>
          <w:rFonts w:ascii="Arial" w:hAnsi="Arial" w:cs="Arial"/>
          <w:sz w:val="20"/>
          <w:szCs w:val="20"/>
        </w:rPr>
      </w:pPr>
      <w:r w:rsidRPr="00586ECF">
        <w:rPr>
          <w:rFonts w:ascii="Arial" w:hAnsi="Arial" w:cs="Arial"/>
          <w:sz w:val="20"/>
          <w:szCs w:val="20"/>
        </w:rPr>
        <w:t xml:space="preserve">The Directors have a reasonable expectation that the Company has adequate resources to continue in operational existence for the next twelve months, as explained below. The </w:t>
      </w:r>
      <w:r w:rsidRPr="00E10245">
        <w:rPr>
          <w:rFonts w:ascii="Arial" w:hAnsi="Arial" w:cs="Arial"/>
          <w:sz w:val="20"/>
          <w:szCs w:val="20"/>
        </w:rPr>
        <w:t>Company retained $11.5 million of cash in the IPO and Placing and Open Offer, and has</w:t>
      </w:r>
      <w:r w:rsidRPr="005E76C9">
        <w:rPr>
          <w:rFonts w:ascii="Arial" w:hAnsi="Arial" w:cs="Arial"/>
          <w:sz w:val="20"/>
          <w:szCs w:val="20"/>
        </w:rPr>
        <w:t xml:space="preserve"> </w:t>
      </w:r>
      <w:r>
        <w:rPr>
          <w:rFonts w:ascii="Arial" w:hAnsi="Arial" w:cs="Arial"/>
          <w:sz w:val="20"/>
          <w:szCs w:val="20"/>
        </w:rPr>
        <w:t>requested and</w:t>
      </w:r>
      <w:r w:rsidRPr="00E10245">
        <w:rPr>
          <w:rFonts w:ascii="Arial" w:hAnsi="Arial" w:cs="Arial"/>
          <w:sz w:val="20"/>
          <w:szCs w:val="20"/>
        </w:rPr>
        <w:t xml:space="preserve"> received six distributions</w:t>
      </w:r>
      <w:r>
        <w:rPr>
          <w:rFonts w:ascii="Arial" w:hAnsi="Arial" w:cs="Arial"/>
          <w:sz w:val="20"/>
          <w:szCs w:val="20"/>
        </w:rPr>
        <w:t xml:space="preserve"> for working capital needs</w:t>
      </w:r>
      <w:r w:rsidRPr="00E10245">
        <w:rPr>
          <w:rFonts w:ascii="Arial" w:hAnsi="Arial" w:cs="Arial"/>
          <w:sz w:val="20"/>
          <w:szCs w:val="20"/>
        </w:rPr>
        <w:t xml:space="preserve"> in aggregate of $19.3 million from the Partnership cumulatively through 30 June 2020, of which $</w:t>
      </w:r>
      <w:r>
        <w:rPr>
          <w:rFonts w:ascii="Arial" w:eastAsiaTheme="minorHAnsi" w:hAnsi="Arial" w:cs="Arial"/>
          <w:sz w:val="20"/>
          <w:szCs w:val="20"/>
        </w:rPr>
        <w:t>6.4</w:t>
      </w:r>
      <w:r w:rsidRPr="00E10245">
        <w:rPr>
          <w:rFonts w:ascii="Arial" w:eastAsiaTheme="minorHAnsi" w:hAnsi="Arial" w:cs="Arial"/>
          <w:sz w:val="20"/>
          <w:szCs w:val="20"/>
        </w:rPr>
        <w:t xml:space="preserve"> </w:t>
      </w:r>
      <w:r w:rsidRPr="00E10245">
        <w:rPr>
          <w:rFonts w:ascii="Arial" w:hAnsi="Arial" w:cs="Arial"/>
          <w:sz w:val="20"/>
          <w:szCs w:val="20"/>
        </w:rPr>
        <w:t>million remains at 30 June 2020 (31 December 2019: $0.2 million).</w:t>
      </w:r>
      <w:r w:rsidR="00CF4233">
        <w:rPr>
          <w:rFonts w:ascii="Arial" w:hAnsi="Arial" w:cs="Arial"/>
          <w:sz w:val="20"/>
          <w:szCs w:val="20"/>
        </w:rPr>
        <w:t xml:space="preserve"> This cash balance is sufficient to cover the Company’s existing liabilities at 30 June 2020 of $4.7 million, but the Company will require a distribution of $2.3 million </w:t>
      </w:r>
      <w:r w:rsidR="00665C27">
        <w:rPr>
          <w:rFonts w:ascii="Arial" w:hAnsi="Arial" w:cs="Arial"/>
          <w:sz w:val="20"/>
          <w:szCs w:val="20"/>
        </w:rPr>
        <w:t xml:space="preserve">from the Partnership </w:t>
      </w:r>
      <w:r w:rsidR="00CF4233">
        <w:rPr>
          <w:rFonts w:ascii="Arial" w:hAnsi="Arial" w:cs="Arial"/>
          <w:sz w:val="20"/>
          <w:szCs w:val="20"/>
        </w:rPr>
        <w:t>to cover t</w:t>
      </w:r>
      <w:r w:rsidRPr="00E10245">
        <w:rPr>
          <w:rFonts w:ascii="Arial" w:hAnsi="Arial" w:cs="Arial"/>
          <w:sz w:val="20"/>
          <w:szCs w:val="20"/>
        </w:rPr>
        <w:t>he Company</w:t>
      </w:r>
      <w:r w:rsidR="00CF4233">
        <w:rPr>
          <w:rFonts w:ascii="Arial" w:hAnsi="Arial" w:cs="Arial"/>
          <w:sz w:val="20"/>
          <w:szCs w:val="20"/>
        </w:rPr>
        <w:t>’s</w:t>
      </w:r>
      <w:r w:rsidRPr="00E10245">
        <w:rPr>
          <w:rFonts w:ascii="Arial" w:hAnsi="Arial" w:cs="Arial"/>
          <w:sz w:val="20"/>
          <w:szCs w:val="20"/>
        </w:rPr>
        <w:t xml:space="preserve"> forecasted annual expenses of approximately $4.0 million. </w:t>
      </w:r>
      <w:r w:rsidR="00665C27" w:rsidRPr="00665C27">
        <w:rPr>
          <w:rFonts w:ascii="Arial" w:hAnsi="Arial" w:cs="Arial"/>
          <w:sz w:val="20"/>
          <w:szCs w:val="20"/>
        </w:rPr>
        <w:t xml:space="preserve">Additionally, as £30.5 million ($37.7 million) of the previously announced £50.0 million share repurchase programme had been completed as of 30 June 2020, the Company will require an additional distribution of £19.5 million ($25.0 million) from the Partnership to complete the remaining portion, subject to Board approval. </w:t>
      </w:r>
      <w:r w:rsidRPr="00E10245">
        <w:rPr>
          <w:rFonts w:ascii="Arial" w:hAnsi="Arial" w:cs="Arial"/>
          <w:sz w:val="20"/>
          <w:szCs w:val="20"/>
        </w:rPr>
        <w:t>As in prior years, in accordance with the Partnership Agreement, if the Company requires additional funds for working capital, it is entitled to receive another distribution from the Partnership. In order to do so, the Company would submit a distribution request approved by the Board to the Partnership, which would then be required to arrange for the payment of the requested amount.</w:t>
      </w:r>
      <w:r w:rsidRPr="00586ECF">
        <w:rPr>
          <w:rFonts w:ascii="Arial" w:hAnsi="Arial" w:cs="Arial"/>
          <w:sz w:val="20"/>
          <w:szCs w:val="20"/>
        </w:rPr>
        <w:t xml:space="preserve"> </w:t>
      </w:r>
      <w:r w:rsidR="003A2C6C">
        <w:rPr>
          <w:rFonts w:ascii="Arial" w:hAnsi="Arial" w:cs="Arial"/>
          <w:sz w:val="20"/>
          <w:szCs w:val="20"/>
        </w:rPr>
        <w:t xml:space="preserve">Since REL’s inception, the Company has requested and received six distributions from the Partnership for working capital needs. As detailed further in section 2 below, as of the date of this report, the Partnership has available liquid resources in excess of potential unfunded commitments of $100 million at 30 June 2020 and currently $103.3 million, which enables the Partnership to satisfy the </w:t>
      </w:r>
      <w:r w:rsidR="00665C27">
        <w:rPr>
          <w:rFonts w:ascii="Arial" w:hAnsi="Arial" w:cs="Arial"/>
          <w:sz w:val="20"/>
          <w:szCs w:val="20"/>
        </w:rPr>
        <w:t xml:space="preserve">Company’s </w:t>
      </w:r>
      <w:r w:rsidR="003A2C6C">
        <w:rPr>
          <w:rFonts w:ascii="Arial" w:hAnsi="Arial" w:cs="Arial"/>
          <w:sz w:val="20"/>
          <w:szCs w:val="20"/>
        </w:rPr>
        <w:t>aforementioned distribution requirement</w:t>
      </w:r>
      <w:r w:rsidR="00665C27">
        <w:rPr>
          <w:rFonts w:ascii="Arial" w:hAnsi="Arial" w:cs="Arial"/>
          <w:sz w:val="20"/>
          <w:szCs w:val="20"/>
        </w:rPr>
        <w:t xml:space="preserve">s of </w:t>
      </w:r>
      <w:r w:rsidR="00665C27" w:rsidRPr="00665C27">
        <w:rPr>
          <w:rFonts w:ascii="Arial" w:hAnsi="Arial" w:cs="Arial"/>
          <w:sz w:val="20"/>
          <w:szCs w:val="20"/>
        </w:rPr>
        <w:t>$2.3 million for working capital and £19.5 million ($25.0 million) for completion of the previously announced share buyback programme</w:t>
      </w:r>
      <w:r w:rsidR="003A2C6C">
        <w:rPr>
          <w:rFonts w:ascii="Arial" w:hAnsi="Arial" w:cs="Arial"/>
          <w:sz w:val="20"/>
          <w:szCs w:val="20"/>
        </w:rPr>
        <w:t>.</w:t>
      </w:r>
    </w:p>
    <w:p w14:paraId="6AC116C2" w14:textId="77777777" w:rsidR="00BA7527" w:rsidRPr="00586ECF" w:rsidRDefault="00BA7527" w:rsidP="00BA7527">
      <w:pPr>
        <w:ind w:left="540"/>
        <w:rPr>
          <w:rFonts w:ascii="Arial" w:hAnsi="Arial" w:cs="Arial"/>
          <w:sz w:val="20"/>
          <w:szCs w:val="20"/>
        </w:rPr>
      </w:pPr>
    </w:p>
    <w:p w14:paraId="0C92F063" w14:textId="09AE90D8" w:rsidR="00BA7527" w:rsidRPr="00586ECF" w:rsidRDefault="00BA7527" w:rsidP="00BA7527">
      <w:pPr>
        <w:ind w:left="540"/>
        <w:rPr>
          <w:rFonts w:ascii="Arial" w:hAnsi="Arial" w:cs="Arial"/>
          <w:i/>
          <w:sz w:val="20"/>
          <w:szCs w:val="20"/>
          <w:u w:val="single"/>
        </w:rPr>
      </w:pPr>
      <w:r w:rsidRPr="00586ECF">
        <w:rPr>
          <w:rFonts w:ascii="Arial" w:hAnsi="Arial" w:cs="Arial"/>
          <w:i/>
          <w:sz w:val="20"/>
          <w:szCs w:val="20"/>
          <w:u w:val="single"/>
        </w:rPr>
        <w:t xml:space="preserve">2. Available liquid resources </w:t>
      </w:r>
      <w:r w:rsidR="00665C27">
        <w:rPr>
          <w:rFonts w:ascii="Arial" w:hAnsi="Arial" w:cs="Arial"/>
          <w:i/>
          <w:sz w:val="20"/>
          <w:szCs w:val="20"/>
          <w:u w:val="single"/>
        </w:rPr>
        <w:t xml:space="preserve">and potential proceeds from investment realisations </w:t>
      </w:r>
      <w:r w:rsidRPr="00586ECF">
        <w:rPr>
          <w:rFonts w:ascii="Arial" w:hAnsi="Arial" w:cs="Arial"/>
          <w:i/>
          <w:sz w:val="20"/>
          <w:szCs w:val="20"/>
          <w:u w:val="single"/>
        </w:rPr>
        <w:t>versus potential unfunded commitments of the Partnership</w:t>
      </w:r>
    </w:p>
    <w:p w14:paraId="2CA7A778" w14:textId="77777777" w:rsidR="0048637A" w:rsidRDefault="0048637A" w:rsidP="00BA7527">
      <w:pPr>
        <w:ind w:left="540"/>
        <w:rPr>
          <w:rFonts w:ascii="Arial" w:hAnsi="Arial" w:cs="Arial"/>
          <w:sz w:val="20"/>
          <w:szCs w:val="20"/>
        </w:rPr>
      </w:pPr>
    </w:p>
    <w:p w14:paraId="77E2D49D" w14:textId="14A8D95E" w:rsidR="00BA7527" w:rsidRPr="00586ECF" w:rsidRDefault="00BA7527" w:rsidP="00BA7527">
      <w:pPr>
        <w:ind w:left="540"/>
        <w:rPr>
          <w:rFonts w:ascii="Arial" w:hAnsi="Arial" w:cs="Arial"/>
          <w:sz w:val="20"/>
          <w:szCs w:val="20"/>
        </w:rPr>
      </w:pPr>
      <w:r w:rsidRPr="00586ECF">
        <w:rPr>
          <w:rFonts w:ascii="Arial" w:hAnsi="Arial" w:cs="Arial"/>
          <w:sz w:val="20"/>
          <w:szCs w:val="20"/>
        </w:rPr>
        <w:t xml:space="preserve">As at </w:t>
      </w:r>
      <w:r>
        <w:rPr>
          <w:rFonts w:ascii="Arial" w:hAnsi="Arial" w:cs="Arial"/>
          <w:sz w:val="20"/>
          <w:szCs w:val="20"/>
        </w:rPr>
        <w:t>30 June 2020</w:t>
      </w:r>
      <w:r w:rsidRPr="00586ECF">
        <w:rPr>
          <w:rFonts w:ascii="Arial" w:hAnsi="Arial" w:cs="Arial"/>
          <w:sz w:val="20"/>
          <w:szCs w:val="20"/>
        </w:rPr>
        <w:t xml:space="preserve">, the Partnership, </w:t>
      </w:r>
      <w:r w:rsidRPr="00E10245">
        <w:rPr>
          <w:rFonts w:ascii="Arial" w:hAnsi="Arial" w:cs="Arial"/>
          <w:sz w:val="20"/>
          <w:szCs w:val="20"/>
        </w:rPr>
        <w:t>including its wholly-owned subsidiaries, REL Cayman Holdings, LP, REL US Corp and REL US Centennial Holdings, LLC, had $</w:t>
      </w:r>
      <w:r w:rsidRPr="00E10245">
        <w:rPr>
          <w:rFonts w:ascii="Arial" w:eastAsiaTheme="minorHAnsi" w:hAnsi="Arial" w:cs="Arial"/>
          <w:sz w:val="20"/>
          <w:szCs w:val="20"/>
        </w:rPr>
        <w:t>15</w:t>
      </w:r>
      <w:r>
        <w:rPr>
          <w:rFonts w:ascii="Arial" w:eastAsiaTheme="minorHAnsi" w:hAnsi="Arial" w:cs="Arial"/>
          <w:sz w:val="20"/>
          <w:szCs w:val="20"/>
        </w:rPr>
        <w:t>7.2</w:t>
      </w:r>
      <w:r w:rsidRPr="00E10245">
        <w:rPr>
          <w:rFonts w:ascii="Arial" w:hAnsi="Arial" w:cs="Arial"/>
          <w:sz w:val="20"/>
          <w:szCs w:val="20"/>
        </w:rPr>
        <w:t xml:space="preserve"> million of uninvested funds held as cash and money market fixed deposits (31 December 2019: $182</w:t>
      </w:r>
      <w:r>
        <w:rPr>
          <w:rFonts w:ascii="Arial" w:hAnsi="Arial" w:cs="Arial"/>
          <w:sz w:val="20"/>
          <w:szCs w:val="20"/>
        </w:rPr>
        <w:t>.4</w:t>
      </w:r>
      <w:r w:rsidRPr="00E10245">
        <w:rPr>
          <w:rFonts w:ascii="Arial" w:hAnsi="Arial" w:cs="Arial"/>
          <w:sz w:val="20"/>
          <w:szCs w:val="20"/>
        </w:rPr>
        <w:t xml:space="preserve"> million). This amount is comprised of $</w:t>
      </w:r>
      <w:r w:rsidRPr="00E10245">
        <w:rPr>
          <w:rFonts w:ascii="Arial" w:eastAsiaTheme="minorHAnsi" w:hAnsi="Arial" w:cs="Arial"/>
          <w:sz w:val="20"/>
          <w:szCs w:val="20"/>
        </w:rPr>
        <w:t>13</w:t>
      </w:r>
      <w:r>
        <w:rPr>
          <w:rFonts w:ascii="Arial" w:eastAsiaTheme="minorHAnsi" w:hAnsi="Arial" w:cs="Arial"/>
          <w:sz w:val="20"/>
          <w:szCs w:val="20"/>
        </w:rPr>
        <w:t>5.5</w:t>
      </w:r>
      <w:r w:rsidRPr="00E10245">
        <w:rPr>
          <w:rFonts w:ascii="Arial" w:hAnsi="Arial" w:cs="Arial"/>
          <w:sz w:val="20"/>
          <w:szCs w:val="20"/>
        </w:rPr>
        <w:t xml:space="preserve"> million held at the Partnership and $</w:t>
      </w:r>
      <w:r w:rsidRPr="00E10245">
        <w:rPr>
          <w:rFonts w:ascii="Arial" w:eastAsiaTheme="minorHAnsi" w:hAnsi="Arial" w:cs="Arial"/>
          <w:sz w:val="20"/>
          <w:szCs w:val="20"/>
        </w:rPr>
        <w:t>2</w:t>
      </w:r>
      <w:r>
        <w:rPr>
          <w:rFonts w:ascii="Arial" w:eastAsiaTheme="minorHAnsi" w:hAnsi="Arial" w:cs="Arial"/>
          <w:sz w:val="20"/>
          <w:szCs w:val="20"/>
        </w:rPr>
        <w:t>1.7</w:t>
      </w:r>
      <w:r w:rsidRPr="00E10245">
        <w:rPr>
          <w:rFonts w:ascii="Arial" w:hAnsi="Arial" w:cs="Arial"/>
          <w:sz w:val="20"/>
          <w:szCs w:val="20"/>
        </w:rPr>
        <w:t xml:space="preserve"> million held at REL US Corp. </w:t>
      </w:r>
      <w:r w:rsidR="00341A1E">
        <w:rPr>
          <w:rFonts w:ascii="Arial" w:hAnsi="Arial" w:cs="Arial"/>
          <w:sz w:val="20"/>
          <w:szCs w:val="20"/>
        </w:rPr>
        <w:t>I</w:t>
      </w:r>
      <w:r w:rsidRPr="00537FB2">
        <w:rPr>
          <w:rFonts w:ascii="Arial" w:hAnsi="Arial" w:cs="Arial"/>
          <w:sz w:val="20"/>
          <w:szCs w:val="20"/>
        </w:rPr>
        <w:t>n July 2020, the Company, through the Partnership, invested the $21.7 million held at REL US Corp in Enviva of $18.0 million and ILX III of $3.7 million, brin</w:t>
      </w:r>
      <w:r>
        <w:rPr>
          <w:rFonts w:ascii="Arial" w:hAnsi="Arial" w:cs="Arial"/>
          <w:sz w:val="20"/>
          <w:szCs w:val="20"/>
        </w:rPr>
        <w:t>g</w:t>
      </w:r>
      <w:r w:rsidRPr="00537FB2">
        <w:rPr>
          <w:rFonts w:ascii="Arial" w:hAnsi="Arial" w:cs="Arial"/>
          <w:sz w:val="20"/>
          <w:szCs w:val="20"/>
        </w:rPr>
        <w:t xml:space="preserve">ing the Partnership’s uninvested funds down to $135.5 million. </w:t>
      </w:r>
      <w:r w:rsidRPr="00E10245">
        <w:rPr>
          <w:rFonts w:ascii="Arial" w:hAnsi="Arial" w:cs="Arial"/>
          <w:sz w:val="20"/>
          <w:szCs w:val="20"/>
        </w:rPr>
        <w:t>In January 2020, the Company announced that its Management Engagement Committee and the Investment Manager had agreed amendments to the terms on which the Company is required to pay a performance allocation. In accordance with the revised terms, REL did not meet the portfolio level cost benchmark at 30 June 2020; therefore, any unrealised performance allocation has been deferred. If these changes had not been accepted, then the accrued GP Performance Allocation would have been $</w:t>
      </w:r>
      <w:r w:rsidRPr="00E10245">
        <w:rPr>
          <w:rFonts w:ascii="Arial" w:eastAsiaTheme="minorHAnsi" w:hAnsi="Arial" w:cs="Arial"/>
          <w:sz w:val="20"/>
          <w:szCs w:val="20"/>
        </w:rPr>
        <w:t xml:space="preserve">1.6 </w:t>
      </w:r>
      <w:r w:rsidRPr="00E10245">
        <w:rPr>
          <w:rFonts w:ascii="Arial" w:hAnsi="Arial" w:cs="Arial"/>
          <w:sz w:val="20"/>
          <w:szCs w:val="20"/>
        </w:rPr>
        <w:t>million as</w:t>
      </w:r>
      <w:r w:rsidRPr="00586ECF">
        <w:rPr>
          <w:rFonts w:ascii="Arial" w:hAnsi="Arial" w:cs="Arial"/>
          <w:sz w:val="20"/>
          <w:szCs w:val="20"/>
        </w:rPr>
        <w:t xml:space="preserve"> of </w:t>
      </w:r>
      <w:r>
        <w:rPr>
          <w:rFonts w:ascii="Arial" w:hAnsi="Arial" w:cs="Arial"/>
          <w:sz w:val="20"/>
          <w:szCs w:val="20"/>
        </w:rPr>
        <w:t>30 June 2020</w:t>
      </w:r>
      <w:r w:rsidRPr="00586ECF">
        <w:rPr>
          <w:rFonts w:ascii="Arial" w:hAnsi="Arial" w:cs="Arial"/>
          <w:sz w:val="20"/>
          <w:szCs w:val="20"/>
        </w:rPr>
        <w:t>.</w:t>
      </w:r>
    </w:p>
    <w:p w14:paraId="540377C1" w14:textId="77777777" w:rsidR="00BA7527" w:rsidRPr="00586ECF" w:rsidRDefault="00BA7527" w:rsidP="00BA7527">
      <w:pPr>
        <w:ind w:left="540"/>
        <w:rPr>
          <w:rFonts w:ascii="Arial" w:hAnsi="Arial" w:cs="Arial"/>
          <w:sz w:val="20"/>
          <w:szCs w:val="20"/>
        </w:rPr>
      </w:pPr>
    </w:p>
    <w:p w14:paraId="24161689" w14:textId="77777777" w:rsidR="00BA7527" w:rsidRPr="00B77D59" w:rsidRDefault="00BA7527" w:rsidP="00BA7527">
      <w:pPr>
        <w:ind w:left="540"/>
        <w:rPr>
          <w:rFonts w:ascii="Arial" w:hAnsi="Arial" w:cs="Arial"/>
          <w:sz w:val="20"/>
          <w:szCs w:val="20"/>
        </w:rPr>
      </w:pPr>
      <w:r>
        <w:rPr>
          <w:rFonts w:ascii="Arial" w:hAnsi="Arial" w:cs="Arial"/>
          <w:sz w:val="20"/>
          <w:szCs w:val="20"/>
        </w:rPr>
        <w:t>T</w:t>
      </w:r>
      <w:r w:rsidRPr="00586ECF">
        <w:rPr>
          <w:rFonts w:ascii="Arial" w:hAnsi="Arial" w:cs="Arial"/>
          <w:sz w:val="20"/>
          <w:szCs w:val="20"/>
        </w:rPr>
        <w:t>he Company’s potential unfunded commitments of $</w:t>
      </w:r>
      <w:r>
        <w:rPr>
          <w:rFonts w:ascii="Arial" w:eastAsiaTheme="minorHAnsi" w:hAnsi="Arial" w:cs="Arial"/>
          <w:sz w:val="20"/>
          <w:szCs w:val="20"/>
        </w:rPr>
        <w:t>100</w:t>
      </w:r>
      <w:r w:rsidRPr="00586ECF">
        <w:rPr>
          <w:rFonts w:ascii="Arial" w:hAnsi="Arial" w:cs="Arial"/>
          <w:sz w:val="20"/>
          <w:szCs w:val="20"/>
        </w:rPr>
        <w:t xml:space="preserve"> million as at </w:t>
      </w:r>
      <w:r>
        <w:rPr>
          <w:rFonts w:ascii="Arial" w:hAnsi="Arial" w:cs="Arial"/>
          <w:sz w:val="20"/>
          <w:szCs w:val="20"/>
        </w:rPr>
        <w:t>30 June 2020</w:t>
      </w:r>
      <w:r w:rsidRPr="00586ECF">
        <w:rPr>
          <w:rFonts w:ascii="Arial" w:hAnsi="Arial" w:cs="Arial"/>
          <w:sz w:val="20"/>
          <w:szCs w:val="20"/>
        </w:rPr>
        <w:t xml:space="preserve"> (31 December 201</w:t>
      </w:r>
      <w:r>
        <w:rPr>
          <w:rFonts w:ascii="Arial" w:hAnsi="Arial" w:cs="Arial"/>
          <w:sz w:val="20"/>
          <w:szCs w:val="20"/>
        </w:rPr>
        <w:t>9</w:t>
      </w:r>
      <w:r w:rsidRPr="00586ECF">
        <w:rPr>
          <w:rFonts w:ascii="Arial" w:hAnsi="Arial" w:cs="Arial"/>
          <w:sz w:val="20"/>
          <w:szCs w:val="20"/>
        </w:rPr>
        <w:t>: $</w:t>
      </w:r>
      <w:r>
        <w:rPr>
          <w:rFonts w:ascii="Arial" w:hAnsi="Arial" w:cs="Arial"/>
          <w:sz w:val="20"/>
          <w:szCs w:val="20"/>
        </w:rPr>
        <w:t>212</w:t>
      </w:r>
      <w:r w:rsidRPr="00586ECF">
        <w:rPr>
          <w:rFonts w:ascii="Arial" w:hAnsi="Arial" w:cs="Arial"/>
          <w:sz w:val="20"/>
          <w:szCs w:val="20"/>
        </w:rPr>
        <w:t xml:space="preserve"> million), through the Partnership, </w:t>
      </w:r>
      <w:r>
        <w:rPr>
          <w:rFonts w:ascii="Arial" w:hAnsi="Arial" w:cs="Arial"/>
          <w:sz w:val="20"/>
          <w:szCs w:val="20"/>
        </w:rPr>
        <w:t xml:space="preserve">did not </w:t>
      </w:r>
      <w:r w:rsidRPr="00586ECF">
        <w:rPr>
          <w:rFonts w:ascii="Arial" w:hAnsi="Arial" w:cs="Arial"/>
          <w:sz w:val="20"/>
          <w:szCs w:val="20"/>
        </w:rPr>
        <w:t xml:space="preserve">exceed its available liquid resources as at </w:t>
      </w:r>
      <w:r>
        <w:rPr>
          <w:rFonts w:ascii="Arial" w:hAnsi="Arial" w:cs="Arial"/>
          <w:sz w:val="20"/>
          <w:szCs w:val="20"/>
        </w:rPr>
        <w:t>30 June 2020. In July 2020, REL, through the Partnership, invested $18.0 million of its $25.0 million commitment to Enviva and $3.7 million to ILX III, bringing potential unfunded commitments up to $103.3 million.</w:t>
      </w:r>
      <w:r w:rsidRPr="00586ECF">
        <w:rPr>
          <w:rFonts w:ascii="Arial" w:hAnsi="Arial" w:cs="Arial"/>
          <w:sz w:val="20"/>
          <w:szCs w:val="20"/>
        </w:rPr>
        <w:t xml:space="preserve"> </w:t>
      </w:r>
      <w:r>
        <w:rPr>
          <w:rFonts w:ascii="Arial" w:hAnsi="Arial" w:cs="Arial"/>
          <w:sz w:val="20"/>
          <w:szCs w:val="20"/>
        </w:rPr>
        <w:t>I</w:t>
      </w:r>
      <w:r w:rsidRPr="00586ECF">
        <w:rPr>
          <w:rFonts w:ascii="Arial" w:hAnsi="Arial" w:cs="Arial"/>
          <w:sz w:val="20"/>
          <w:szCs w:val="20"/>
        </w:rPr>
        <w:t xml:space="preserve">t is not expected that all </w:t>
      </w:r>
      <w:r>
        <w:rPr>
          <w:rFonts w:ascii="Arial" w:hAnsi="Arial" w:cs="Arial"/>
          <w:sz w:val="20"/>
          <w:szCs w:val="20"/>
        </w:rPr>
        <w:t xml:space="preserve">potential unfunded </w:t>
      </w:r>
      <w:r w:rsidRPr="00586ECF">
        <w:rPr>
          <w:rFonts w:ascii="Arial" w:hAnsi="Arial" w:cs="Arial"/>
          <w:sz w:val="20"/>
          <w:szCs w:val="20"/>
        </w:rPr>
        <w:t xml:space="preserve">commitments will be drawn due to a variety of factors, such as the ability for the commitment to be reduced and/or cancelled by the Investment Manager with consideration from the Board, the present market conditions do not warrant presently further capital </w:t>
      </w:r>
      <w:r w:rsidRPr="00586ECF">
        <w:rPr>
          <w:rFonts w:ascii="Arial" w:hAnsi="Arial" w:cs="Arial"/>
          <w:sz w:val="20"/>
          <w:szCs w:val="20"/>
        </w:rPr>
        <w:lastRenderedPageBreak/>
        <w:t xml:space="preserve">expenditure as the returns would not be </w:t>
      </w:r>
      <w:r w:rsidRPr="00B77D59">
        <w:rPr>
          <w:rFonts w:ascii="Arial" w:hAnsi="Arial" w:cs="Arial"/>
          <w:sz w:val="20"/>
          <w:szCs w:val="20"/>
        </w:rPr>
        <w:t>incrementally positive, a portfolio company being sold earlier than anticipated or a targeted investment opportunity changing or disappearing.</w:t>
      </w:r>
    </w:p>
    <w:p w14:paraId="7E6B3D10" w14:textId="77777777" w:rsidR="00BA7527" w:rsidRPr="00B77D59" w:rsidRDefault="00BA7527" w:rsidP="00BA7527">
      <w:pPr>
        <w:ind w:left="540"/>
        <w:rPr>
          <w:rFonts w:ascii="Arial" w:hAnsi="Arial" w:cs="Arial"/>
          <w:sz w:val="20"/>
          <w:szCs w:val="20"/>
        </w:rPr>
      </w:pPr>
    </w:p>
    <w:p w14:paraId="731290F6" w14:textId="77777777" w:rsidR="00BA7527" w:rsidRPr="00586ECF" w:rsidRDefault="00BA7527" w:rsidP="00BA7527">
      <w:pPr>
        <w:ind w:left="540"/>
        <w:rPr>
          <w:rFonts w:ascii="Arial" w:hAnsi="Arial" w:cs="Arial"/>
          <w:sz w:val="20"/>
          <w:szCs w:val="20"/>
        </w:rPr>
      </w:pPr>
      <w:r w:rsidRPr="00B77D59">
        <w:rPr>
          <w:rFonts w:ascii="Arial" w:hAnsi="Arial" w:cs="Arial"/>
          <w:sz w:val="20"/>
          <w:szCs w:val="20"/>
        </w:rPr>
        <w:t xml:space="preserve">As at 30 June 2020, the Company, through the Partnership, has realised </w:t>
      </w:r>
      <w:r>
        <w:rPr>
          <w:rFonts w:ascii="Arial" w:eastAsiaTheme="minorHAnsi" w:hAnsi="Arial" w:cs="Arial"/>
          <w:sz w:val="20"/>
          <w:szCs w:val="20"/>
        </w:rPr>
        <w:t>seven</w:t>
      </w:r>
      <w:r w:rsidRPr="00B77D59">
        <w:rPr>
          <w:rFonts w:ascii="Arial" w:hAnsi="Arial" w:cs="Arial"/>
          <w:sz w:val="20"/>
          <w:szCs w:val="20"/>
        </w:rPr>
        <w:t xml:space="preserve"> investments for $</w:t>
      </w:r>
      <w:r>
        <w:rPr>
          <w:rFonts w:ascii="Arial" w:eastAsiaTheme="minorHAnsi" w:hAnsi="Arial" w:cs="Arial"/>
          <w:sz w:val="20"/>
          <w:szCs w:val="20"/>
        </w:rPr>
        <w:t>669</w:t>
      </w:r>
      <w:r w:rsidRPr="00B77D59">
        <w:rPr>
          <w:rFonts w:ascii="Arial" w:hAnsi="Arial" w:cs="Arial"/>
          <w:sz w:val="20"/>
          <w:szCs w:val="20"/>
        </w:rPr>
        <w:t xml:space="preserve"> million of gross proceeds on invested capital of $</w:t>
      </w:r>
      <w:r>
        <w:rPr>
          <w:rFonts w:ascii="Arial" w:eastAsiaTheme="minorHAnsi" w:hAnsi="Arial" w:cs="Arial"/>
          <w:sz w:val="20"/>
          <w:szCs w:val="20"/>
        </w:rPr>
        <w:t>422</w:t>
      </w:r>
      <w:r w:rsidRPr="00B77D59">
        <w:rPr>
          <w:rFonts w:ascii="Arial" w:hAnsi="Arial" w:cs="Arial"/>
          <w:sz w:val="20"/>
          <w:szCs w:val="20"/>
        </w:rPr>
        <w:t xml:space="preserve"> million, respectively in aggregate, resulting in an average Gross MOIC of approximately </w:t>
      </w:r>
      <w:r>
        <w:rPr>
          <w:rFonts w:ascii="Arial" w:eastAsiaTheme="minorHAnsi" w:hAnsi="Arial" w:cs="Arial"/>
          <w:sz w:val="20"/>
          <w:szCs w:val="20"/>
        </w:rPr>
        <w:t>1.6</w:t>
      </w:r>
      <w:r w:rsidRPr="00B77D59">
        <w:rPr>
          <w:rFonts w:ascii="Arial" w:hAnsi="Arial" w:cs="Arial"/>
          <w:sz w:val="20"/>
          <w:szCs w:val="20"/>
        </w:rPr>
        <w:t xml:space="preserve">x. The initial commitments to these </w:t>
      </w:r>
      <w:r>
        <w:rPr>
          <w:rFonts w:ascii="Arial" w:eastAsiaTheme="minorHAnsi" w:hAnsi="Arial" w:cs="Arial"/>
          <w:sz w:val="20"/>
          <w:szCs w:val="20"/>
        </w:rPr>
        <w:t>seven</w:t>
      </w:r>
      <w:r w:rsidRPr="00B77D59">
        <w:rPr>
          <w:rFonts w:ascii="Arial" w:hAnsi="Arial" w:cs="Arial"/>
          <w:sz w:val="20"/>
          <w:szCs w:val="20"/>
        </w:rPr>
        <w:t xml:space="preserve"> investments were in excess of $</w:t>
      </w:r>
      <w:r>
        <w:rPr>
          <w:rFonts w:ascii="Arial" w:eastAsiaTheme="minorHAnsi" w:hAnsi="Arial" w:cs="Arial"/>
          <w:sz w:val="20"/>
          <w:szCs w:val="20"/>
        </w:rPr>
        <w:t>712</w:t>
      </w:r>
      <w:r w:rsidRPr="00B77D59">
        <w:rPr>
          <w:rFonts w:ascii="Arial" w:hAnsi="Arial" w:cs="Arial"/>
          <w:sz w:val="20"/>
          <w:szCs w:val="20"/>
        </w:rPr>
        <w:t xml:space="preserve"> million, so approximately </w:t>
      </w:r>
      <w:r>
        <w:rPr>
          <w:rFonts w:ascii="Arial" w:eastAsiaTheme="minorHAnsi" w:hAnsi="Arial" w:cs="Arial"/>
          <w:sz w:val="20"/>
          <w:szCs w:val="20"/>
        </w:rPr>
        <w:t>59</w:t>
      </w:r>
      <w:r w:rsidRPr="00B77D59">
        <w:rPr>
          <w:rFonts w:ascii="Arial" w:hAnsi="Arial" w:cs="Arial"/>
          <w:sz w:val="20"/>
          <w:szCs w:val="20"/>
        </w:rPr>
        <w:t xml:space="preserve"> per cent. had been funded before realisation. In addition, the board of each underlying portfolio company, more often than not are controlled by Riverstone, which has discretion over whether or not that capital is ultimately invested. Moreover, REL’s arrangements with Riverstone allow the Company’s potential unfunded commitments to be reduced and/or cancelled by the Investment Manager with consideration from the Board, although this has yet to happen.</w:t>
      </w:r>
    </w:p>
    <w:p w14:paraId="2A501AD7" w14:textId="77777777" w:rsidR="00BA7527" w:rsidRPr="00586ECF" w:rsidRDefault="00BA7527" w:rsidP="00BA7527">
      <w:pPr>
        <w:ind w:left="540"/>
        <w:rPr>
          <w:rFonts w:ascii="Arial" w:hAnsi="Arial" w:cs="Arial"/>
          <w:sz w:val="20"/>
          <w:szCs w:val="20"/>
        </w:rPr>
      </w:pPr>
    </w:p>
    <w:p w14:paraId="5E226C1E" w14:textId="77777777" w:rsidR="00BA7527" w:rsidRPr="00B77D59" w:rsidRDefault="00BA7527" w:rsidP="00BA7527">
      <w:pPr>
        <w:ind w:left="540"/>
        <w:rPr>
          <w:rFonts w:ascii="Arial" w:hAnsi="Arial" w:cs="Arial"/>
          <w:i/>
          <w:sz w:val="20"/>
          <w:szCs w:val="20"/>
          <w:u w:val="single"/>
        </w:rPr>
      </w:pPr>
      <w:r w:rsidRPr="00B77D59">
        <w:rPr>
          <w:rFonts w:ascii="Arial" w:hAnsi="Arial" w:cs="Arial"/>
          <w:i/>
          <w:sz w:val="20"/>
          <w:szCs w:val="20"/>
          <w:u w:val="single"/>
        </w:rPr>
        <w:t>3. Discontinuation Resolution</w:t>
      </w:r>
    </w:p>
    <w:p w14:paraId="73610798" w14:textId="77777777" w:rsidR="0048637A" w:rsidRDefault="0048637A" w:rsidP="00BA7527">
      <w:pPr>
        <w:ind w:left="540"/>
        <w:rPr>
          <w:rFonts w:ascii="Arial" w:hAnsi="Arial" w:cs="Arial"/>
          <w:sz w:val="20"/>
          <w:szCs w:val="20"/>
        </w:rPr>
      </w:pPr>
    </w:p>
    <w:p w14:paraId="6A6E46A6" w14:textId="36D0628A" w:rsidR="00BA7527" w:rsidRPr="00586ECF" w:rsidRDefault="00BA7527" w:rsidP="00BA7527">
      <w:pPr>
        <w:ind w:left="540"/>
        <w:rPr>
          <w:rFonts w:ascii="Arial" w:hAnsi="Arial" w:cs="Arial"/>
          <w:sz w:val="20"/>
          <w:szCs w:val="20"/>
        </w:rPr>
      </w:pPr>
      <w:r w:rsidRPr="00586ECF">
        <w:rPr>
          <w:rFonts w:ascii="Arial" w:hAnsi="Arial" w:cs="Arial"/>
          <w:sz w:val="20"/>
          <w:szCs w:val="20"/>
        </w:rPr>
        <w:t>The Company's Articles of Incorporation provide that if, on 29 October 2020 (the seventh anniversary of the Company's London listing), both of the following are true:</w:t>
      </w:r>
    </w:p>
    <w:p w14:paraId="23993ED9" w14:textId="77777777" w:rsidR="00BA7527" w:rsidRDefault="00BA7527" w:rsidP="00BA7527">
      <w:pPr>
        <w:ind w:left="540"/>
        <w:rPr>
          <w:rFonts w:ascii="Arial" w:hAnsi="Arial" w:cs="Arial"/>
          <w:sz w:val="20"/>
          <w:szCs w:val="20"/>
        </w:rPr>
      </w:pPr>
    </w:p>
    <w:p w14:paraId="490CDDED" w14:textId="77777777" w:rsidR="00BA7527" w:rsidRDefault="00BA7527" w:rsidP="00BA7527">
      <w:pPr>
        <w:pStyle w:val="ListParagraph"/>
        <w:numPr>
          <w:ilvl w:val="0"/>
          <w:numId w:val="49"/>
        </w:numPr>
        <w:ind w:left="1170" w:firstLine="0"/>
        <w:rPr>
          <w:rFonts w:ascii="Arial" w:hAnsi="Arial" w:cs="Arial"/>
          <w:sz w:val="20"/>
          <w:szCs w:val="20"/>
        </w:rPr>
      </w:pPr>
      <w:r w:rsidRPr="00B77D59">
        <w:rPr>
          <w:rFonts w:ascii="Arial" w:hAnsi="Arial" w:cs="Arial"/>
          <w:sz w:val="20"/>
          <w:szCs w:val="20"/>
        </w:rPr>
        <w:t xml:space="preserve">the trading price for the Company's </w:t>
      </w:r>
      <w:r>
        <w:rPr>
          <w:rFonts w:ascii="Arial" w:hAnsi="Arial" w:cs="Arial"/>
          <w:sz w:val="20"/>
          <w:szCs w:val="20"/>
        </w:rPr>
        <w:t>O</w:t>
      </w:r>
      <w:r w:rsidRPr="00B77D59">
        <w:rPr>
          <w:rFonts w:ascii="Arial" w:hAnsi="Arial" w:cs="Arial"/>
          <w:sz w:val="20"/>
          <w:szCs w:val="20"/>
        </w:rPr>
        <w:t xml:space="preserve">rdinary </w:t>
      </w:r>
      <w:r>
        <w:rPr>
          <w:rFonts w:ascii="Arial" w:hAnsi="Arial" w:cs="Arial"/>
          <w:sz w:val="20"/>
          <w:szCs w:val="20"/>
        </w:rPr>
        <w:t>S</w:t>
      </w:r>
      <w:r w:rsidRPr="00B77D59">
        <w:rPr>
          <w:rFonts w:ascii="Arial" w:hAnsi="Arial" w:cs="Arial"/>
          <w:sz w:val="20"/>
          <w:szCs w:val="20"/>
        </w:rPr>
        <w:t>hares has not at any time exceeded £14.70 (initially £15.00, subject to adjustments for dividends, stock splits or consolidations and below NAV equity issuances); and</w:t>
      </w:r>
    </w:p>
    <w:p w14:paraId="0DAAB7CD" w14:textId="77777777" w:rsidR="00BA7527" w:rsidRDefault="00BA7527" w:rsidP="00BA7527">
      <w:pPr>
        <w:pStyle w:val="ListParagraph"/>
        <w:numPr>
          <w:ilvl w:val="0"/>
          <w:numId w:val="49"/>
        </w:numPr>
        <w:ind w:left="1170" w:firstLine="0"/>
        <w:rPr>
          <w:rFonts w:ascii="Arial" w:hAnsi="Arial" w:cs="Arial"/>
          <w:sz w:val="20"/>
          <w:szCs w:val="20"/>
        </w:rPr>
      </w:pPr>
      <w:r w:rsidRPr="00580600">
        <w:rPr>
          <w:rFonts w:ascii="Arial" w:hAnsi="Arial" w:cs="Arial"/>
          <w:sz w:val="20"/>
          <w:szCs w:val="20"/>
        </w:rPr>
        <w:t xml:space="preserve">a gross IRR of 8 per cent. has not been achieved on the Company's capital, calculated by reference to the prevailing valuation or sale proceeds achieved on each of the Company's investments from the date of the initial investment or commitment of capital to that investment and prior to the deduction of fees or taxes, </w:t>
      </w:r>
    </w:p>
    <w:p w14:paraId="6959D9C2" w14:textId="77777777" w:rsidR="00BA7527" w:rsidRPr="00580600" w:rsidRDefault="00BA7527" w:rsidP="00BA7527">
      <w:pPr>
        <w:pStyle w:val="ListParagraph"/>
        <w:ind w:left="540"/>
        <w:rPr>
          <w:rFonts w:ascii="Arial" w:hAnsi="Arial" w:cs="Arial"/>
          <w:sz w:val="20"/>
          <w:szCs w:val="20"/>
        </w:rPr>
      </w:pPr>
    </w:p>
    <w:p w14:paraId="3703E0B6" w14:textId="77777777" w:rsidR="00BA7527" w:rsidRPr="00586ECF" w:rsidRDefault="00BA7527" w:rsidP="00BA7527">
      <w:pPr>
        <w:ind w:left="540"/>
        <w:rPr>
          <w:rFonts w:ascii="Arial" w:hAnsi="Arial" w:cs="Arial"/>
          <w:sz w:val="20"/>
          <w:szCs w:val="20"/>
        </w:rPr>
      </w:pPr>
      <w:r w:rsidRPr="00586ECF">
        <w:rPr>
          <w:rFonts w:ascii="Arial" w:hAnsi="Arial" w:cs="Arial"/>
          <w:sz w:val="20"/>
          <w:szCs w:val="20"/>
        </w:rPr>
        <w:t xml:space="preserve">then a special resolution must be proposed to the Company's Shareholders to discontinue the Company ("Discontinuation Resolution"). Both tests must be triggered for the requirement to propose a Discontinuation Resolution to apply.  If a Discontinuation Resolution is proposed to Shareholders and passed (which requires 75 per cent. approval of those </w:t>
      </w:r>
      <w:r>
        <w:rPr>
          <w:rFonts w:ascii="Arial" w:hAnsi="Arial" w:cs="Arial"/>
          <w:sz w:val="20"/>
          <w:szCs w:val="20"/>
        </w:rPr>
        <w:t>S</w:t>
      </w:r>
      <w:r w:rsidRPr="00586ECF">
        <w:rPr>
          <w:rFonts w:ascii="Arial" w:hAnsi="Arial" w:cs="Arial"/>
          <w:sz w:val="20"/>
          <w:szCs w:val="20"/>
        </w:rPr>
        <w:t>hareholders that vote their shares), the Company will be liquidated. With an all time high trading price of £</w:t>
      </w:r>
      <w:r>
        <w:rPr>
          <w:rFonts w:ascii="Arial" w:eastAsiaTheme="minorHAnsi" w:hAnsi="Arial" w:cs="Arial"/>
          <w:sz w:val="20"/>
          <w:szCs w:val="20"/>
        </w:rPr>
        <w:t xml:space="preserve">13.70 </w:t>
      </w:r>
      <w:r w:rsidRPr="00586ECF">
        <w:rPr>
          <w:rFonts w:ascii="Arial" w:hAnsi="Arial" w:cs="Arial"/>
          <w:sz w:val="20"/>
          <w:szCs w:val="20"/>
        </w:rPr>
        <w:t xml:space="preserve">and Gross IRR of approximately </w:t>
      </w:r>
      <w:r>
        <w:rPr>
          <w:rFonts w:ascii="Arial" w:eastAsiaTheme="minorHAnsi" w:hAnsi="Arial" w:cs="Arial"/>
          <w:sz w:val="20"/>
          <w:szCs w:val="20"/>
        </w:rPr>
        <w:t xml:space="preserve">-18 </w:t>
      </w:r>
      <w:r w:rsidRPr="00586ECF">
        <w:rPr>
          <w:rFonts w:ascii="Arial" w:hAnsi="Arial" w:cs="Arial"/>
          <w:sz w:val="20"/>
          <w:szCs w:val="20"/>
        </w:rPr>
        <w:t xml:space="preserve">per cent. as at </w:t>
      </w:r>
      <w:r>
        <w:rPr>
          <w:rFonts w:ascii="Arial" w:hAnsi="Arial" w:cs="Arial"/>
          <w:sz w:val="20"/>
          <w:szCs w:val="20"/>
        </w:rPr>
        <w:t>30 June 2020</w:t>
      </w:r>
      <w:r w:rsidRPr="00586ECF">
        <w:rPr>
          <w:rFonts w:ascii="Arial" w:hAnsi="Arial" w:cs="Arial"/>
          <w:sz w:val="20"/>
          <w:szCs w:val="20"/>
        </w:rPr>
        <w:t xml:space="preserve">, both tests have not yet been met, so the Board has assumed for the purposes of this going concern statement that the Discontinuation Resolution is likely to be required to be proposed to Shareholders. </w:t>
      </w:r>
    </w:p>
    <w:p w14:paraId="2AD07BE9" w14:textId="77777777" w:rsidR="00BA7527" w:rsidRPr="00586ECF" w:rsidRDefault="00BA7527" w:rsidP="00BA7527">
      <w:pPr>
        <w:ind w:left="540"/>
        <w:rPr>
          <w:rFonts w:ascii="Arial" w:hAnsi="Arial" w:cs="Arial"/>
          <w:sz w:val="20"/>
          <w:szCs w:val="20"/>
        </w:rPr>
      </w:pPr>
    </w:p>
    <w:p w14:paraId="1B2E72A9" w14:textId="77777777" w:rsidR="00BA7527" w:rsidRPr="00586ECF" w:rsidRDefault="00BA7527" w:rsidP="00BA7527">
      <w:pPr>
        <w:ind w:left="540"/>
        <w:rPr>
          <w:rFonts w:ascii="Arial" w:hAnsi="Arial" w:cs="Arial"/>
          <w:sz w:val="20"/>
          <w:szCs w:val="20"/>
        </w:rPr>
      </w:pPr>
      <w:r w:rsidRPr="00586ECF">
        <w:rPr>
          <w:rFonts w:ascii="Arial" w:hAnsi="Arial" w:cs="Arial"/>
          <w:sz w:val="20"/>
          <w:szCs w:val="20"/>
        </w:rPr>
        <w:t xml:space="preserve">The Investment Manager and Cornerstone Investors have </w:t>
      </w:r>
      <w:r>
        <w:rPr>
          <w:rFonts w:ascii="Arial" w:hAnsi="Arial" w:cs="Arial"/>
          <w:sz w:val="20"/>
          <w:szCs w:val="20"/>
        </w:rPr>
        <w:t>6</w:t>
      </w:r>
      <w:r w:rsidRPr="00586ECF">
        <w:rPr>
          <w:rFonts w:ascii="Arial" w:hAnsi="Arial" w:cs="Arial"/>
          <w:sz w:val="20"/>
          <w:szCs w:val="20"/>
        </w:rPr>
        <w:t>.</w:t>
      </w:r>
      <w:r>
        <w:rPr>
          <w:rFonts w:ascii="Arial" w:hAnsi="Arial" w:cs="Arial"/>
          <w:sz w:val="20"/>
          <w:szCs w:val="20"/>
        </w:rPr>
        <w:t>7</w:t>
      </w:r>
      <w:r w:rsidRPr="00586ECF">
        <w:rPr>
          <w:rFonts w:ascii="Arial" w:hAnsi="Arial" w:cs="Arial"/>
          <w:sz w:val="20"/>
          <w:szCs w:val="20"/>
        </w:rPr>
        <w:t xml:space="preserve"> per cent. and 4</w:t>
      </w:r>
      <w:r>
        <w:rPr>
          <w:rFonts w:ascii="Arial" w:hAnsi="Arial" w:cs="Arial"/>
          <w:sz w:val="20"/>
          <w:szCs w:val="20"/>
        </w:rPr>
        <w:t>5</w:t>
      </w:r>
      <w:r w:rsidRPr="00586ECF">
        <w:rPr>
          <w:rFonts w:ascii="Arial" w:hAnsi="Arial" w:cs="Arial"/>
          <w:sz w:val="20"/>
          <w:szCs w:val="20"/>
        </w:rPr>
        <w:t>.</w:t>
      </w:r>
      <w:r>
        <w:rPr>
          <w:rFonts w:ascii="Arial" w:hAnsi="Arial" w:cs="Arial"/>
          <w:sz w:val="20"/>
          <w:szCs w:val="20"/>
        </w:rPr>
        <w:t>6</w:t>
      </w:r>
      <w:r w:rsidRPr="00586ECF">
        <w:rPr>
          <w:rFonts w:ascii="Arial" w:hAnsi="Arial" w:cs="Arial"/>
          <w:sz w:val="20"/>
          <w:szCs w:val="20"/>
        </w:rPr>
        <w:t xml:space="preserve"> per cent., respectively, of the votes and can block approval. Given the Investment Manager has indicated that it will not vote for the resolution, in March 2020, the Investment Manager contacted one of the Cornerstone Investors regarding its voting intentions in respect of the Discontinuation Resolution, but did not receive a firm indication. No Cornerstone Investor has yet expressed how it would intend to vote on the Discontinuation Resolution Vote.</w:t>
      </w:r>
    </w:p>
    <w:p w14:paraId="5FF18F24" w14:textId="77777777" w:rsidR="00BA7527" w:rsidRPr="00586ECF" w:rsidRDefault="00BA7527" w:rsidP="00BA7527">
      <w:pPr>
        <w:ind w:left="540"/>
        <w:rPr>
          <w:rFonts w:ascii="Arial" w:hAnsi="Arial" w:cs="Arial"/>
          <w:sz w:val="20"/>
          <w:szCs w:val="20"/>
        </w:rPr>
      </w:pPr>
    </w:p>
    <w:p w14:paraId="510D386F" w14:textId="3D099232" w:rsidR="00BA7527" w:rsidRPr="00586ECF" w:rsidRDefault="00BA7527" w:rsidP="00BA7527">
      <w:pPr>
        <w:ind w:left="540"/>
        <w:rPr>
          <w:rFonts w:ascii="Arial" w:hAnsi="Arial" w:cs="Arial"/>
          <w:sz w:val="20"/>
          <w:szCs w:val="20"/>
        </w:rPr>
      </w:pPr>
      <w:r>
        <w:rPr>
          <w:rFonts w:ascii="Arial" w:hAnsi="Arial" w:cs="Arial"/>
          <w:sz w:val="20"/>
          <w:szCs w:val="20"/>
        </w:rPr>
        <w:t>T</w:t>
      </w:r>
      <w:r w:rsidRPr="00586ECF">
        <w:rPr>
          <w:rFonts w:ascii="Arial" w:hAnsi="Arial" w:cs="Arial"/>
          <w:sz w:val="20"/>
          <w:szCs w:val="20"/>
        </w:rPr>
        <w:t xml:space="preserve">he </w:t>
      </w:r>
      <w:r w:rsidR="001813DF">
        <w:rPr>
          <w:rFonts w:ascii="Arial" w:hAnsi="Arial" w:cs="Arial"/>
          <w:sz w:val="20"/>
          <w:szCs w:val="20"/>
        </w:rPr>
        <w:t>expectation</w:t>
      </w:r>
      <w:r w:rsidR="001813DF" w:rsidRPr="00586ECF">
        <w:rPr>
          <w:rFonts w:ascii="Arial" w:hAnsi="Arial" w:cs="Arial"/>
          <w:sz w:val="20"/>
          <w:szCs w:val="20"/>
        </w:rPr>
        <w:t xml:space="preserve"> </w:t>
      </w:r>
      <w:r w:rsidRPr="00586ECF">
        <w:rPr>
          <w:rFonts w:ascii="Arial" w:hAnsi="Arial" w:cs="Arial"/>
          <w:sz w:val="20"/>
          <w:szCs w:val="20"/>
        </w:rPr>
        <w:t xml:space="preserve">of the Investment Manager is for a non-Cornerstone Investor </w:t>
      </w:r>
      <w:r>
        <w:rPr>
          <w:rFonts w:ascii="Arial" w:hAnsi="Arial" w:cs="Arial"/>
          <w:sz w:val="20"/>
          <w:szCs w:val="20"/>
        </w:rPr>
        <w:t>S</w:t>
      </w:r>
      <w:r w:rsidRPr="00586ECF">
        <w:rPr>
          <w:rFonts w:ascii="Arial" w:hAnsi="Arial" w:cs="Arial"/>
          <w:sz w:val="20"/>
          <w:szCs w:val="20"/>
        </w:rPr>
        <w:t xml:space="preserve">hareholder of REL to vote against the Discontinuation Resolution because of the opportunity to continue to develop the modified investment programme started in 2019, which could avail opportunistic transactions during the current </w:t>
      </w:r>
      <w:r w:rsidR="00665C27">
        <w:rPr>
          <w:rFonts w:ascii="Arial" w:hAnsi="Arial" w:cs="Arial"/>
          <w:sz w:val="20"/>
          <w:szCs w:val="20"/>
        </w:rPr>
        <w:t xml:space="preserve">depressed </w:t>
      </w:r>
      <w:r w:rsidRPr="00586ECF">
        <w:rPr>
          <w:rFonts w:ascii="Arial" w:hAnsi="Arial" w:cs="Arial"/>
          <w:sz w:val="20"/>
          <w:szCs w:val="20"/>
        </w:rPr>
        <w:t xml:space="preserve">market </w:t>
      </w:r>
      <w:r w:rsidR="00665C27">
        <w:rPr>
          <w:rFonts w:ascii="Arial" w:hAnsi="Arial" w:cs="Arial"/>
          <w:sz w:val="20"/>
          <w:szCs w:val="20"/>
        </w:rPr>
        <w:t>valuations for energy related assets</w:t>
      </w:r>
      <w:r w:rsidRPr="00586ECF">
        <w:rPr>
          <w:rFonts w:ascii="Arial" w:hAnsi="Arial" w:cs="Arial"/>
          <w:sz w:val="20"/>
          <w:szCs w:val="20"/>
        </w:rPr>
        <w:t>. Additionally, if the Discontinuation Resolution were to pass, then the following adverse consequences for REL would occur:</w:t>
      </w:r>
    </w:p>
    <w:p w14:paraId="033AEACC" w14:textId="77777777" w:rsidR="00BA7527" w:rsidRPr="00586ECF" w:rsidRDefault="00BA7527" w:rsidP="00BA7527">
      <w:pPr>
        <w:ind w:left="540"/>
        <w:rPr>
          <w:rFonts w:ascii="Arial" w:hAnsi="Arial" w:cs="Arial"/>
          <w:sz w:val="20"/>
          <w:szCs w:val="20"/>
        </w:rPr>
      </w:pPr>
    </w:p>
    <w:p w14:paraId="064E39E1" w14:textId="77777777" w:rsidR="00BA7527" w:rsidRPr="00586ECF" w:rsidRDefault="00BA7527" w:rsidP="00BA7527">
      <w:pPr>
        <w:ind w:left="540"/>
        <w:rPr>
          <w:rFonts w:ascii="Arial" w:hAnsi="Arial" w:cs="Arial"/>
          <w:sz w:val="20"/>
          <w:szCs w:val="20"/>
        </w:rPr>
      </w:pPr>
      <w:r w:rsidRPr="00586ECF">
        <w:rPr>
          <w:rFonts w:ascii="Arial" w:hAnsi="Arial" w:cs="Arial"/>
          <w:sz w:val="20"/>
          <w:szCs w:val="20"/>
        </w:rPr>
        <w:t>3.1) The Investment Manager and Cornerstone Investors would share (8</w:t>
      </w:r>
      <w:r>
        <w:rPr>
          <w:rFonts w:ascii="Arial" w:hAnsi="Arial" w:cs="Arial"/>
          <w:sz w:val="20"/>
          <w:szCs w:val="20"/>
        </w:rPr>
        <w:t>3</w:t>
      </w:r>
      <w:r w:rsidRPr="00586ECF">
        <w:rPr>
          <w:rFonts w:ascii="Arial" w:hAnsi="Arial" w:cs="Arial"/>
          <w:sz w:val="20"/>
          <w:szCs w:val="20"/>
        </w:rPr>
        <w:t xml:space="preserve"> per cent. / 1</w:t>
      </w:r>
      <w:r>
        <w:rPr>
          <w:rFonts w:ascii="Arial" w:hAnsi="Arial" w:cs="Arial"/>
          <w:sz w:val="20"/>
          <w:szCs w:val="20"/>
        </w:rPr>
        <w:t>7</w:t>
      </w:r>
      <w:r w:rsidRPr="00586ECF">
        <w:rPr>
          <w:rFonts w:ascii="Arial" w:hAnsi="Arial" w:cs="Arial"/>
          <w:sz w:val="20"/>
          <w:szCs w:val="20"/>
        </w:rPr>
        <w:t xml:space="preserve"> per cent.)  a lump sum payment of 20x the previous quarter’s Management Fee. Based on the NAV at </w:t>
      </w:r>
      <w:r>
        <w:rPr>
          <w:rFonts w:ascii="Arial" w:hAnsi="Arial" w:cs="Arial"/>
          <w:sz w:val="20"/>
          <w:szCs w:val="20"/>
        </w:rPr>
        <w:t>30 June 2020</w:t>
      </w:r>
      <w:r w:rsidRPr="00586ECF">
        <w:rPr>
          <w:rFonts w:ascii="Arial" w:hAnsi="Arial" w:cs="Arial"/>
          <w:sz w:val="20"/>
          <w:szCs w:val="20"/>
        </w:rPr>
        <w:t>, this would total approximately $</w:t>
      </w:r>
      <w:r>
        <w:rPr>
          <w:rFonts w:ascii="Arial" w:eastAsiaTheme="minorHAnsi" w:hAnsi="Arial" w:cs="Arial"/>
          <w:sz w:val="20"/>
          <w:szCs w:val="20"/>
        </w:rPr>
        <w:t xml:space="preserve">28.4 </w:t>
      </w:r>
      <w:r w:rsidRPr="00586ECF">
        <w:rPr>
          <w:rFonts w:ascii="Arial" w:hAnsi="Arial" w:cs="Arial"/>
          <w:sz w:val="20"/>
          <w:szCs w:val="20"/>
        </w:rPr>
        <w:t xml:space="preserve">million. Although the NAV at 30 September 2020 </w:t>
      </w:r>
      <w:r>
        <w:rPr>
          <w:rFonts w:ascii="Arial" w:hAnsi="Arial" w:cs="Arial"/>
          <w:sz w:val="20"/>
          <w:szCs w:val="20"/>
        </w:rPr>
        <w:t>could</w:t>
      </w:r>
      <w:r w:rsidRPr="00586ECF">
        <w:rPr>
          <w:rFonts w:ascii="Arial" w:hAnsi="Arial" w:cs="Arial"/>
          <w:sz w:val="20"/>
          <w:szCs w:val="20"/>
        </w:rPr>
        <w:t xml:space="preserve"> be lower given current global conditions, the amount due will still be a significant percentage of the NAV;</w:t>
      </w:r>
    </w:p>
    <w:p w14:paraId="020F0ED6" w14:textId="77777777" w:rsidR="00BA7527" w:rsidRPr="00586ECF" w:rsidRDefault="00BA7527" w:rsidP="00BA7527">
      <w:pPr>
        <w:ind w:left="540"/>
        <w:rPr>
          <w:rFonts w:ascii="Arial" w:hAnsi="Arial" w:cs="Arial"/>
          <w:sz w:val="20"/>
          <w:szCs w:val="20"/>
        </w:rPr>
      </w:pPr>
    </w:p>
    <w:p w14:paraId="16B8E4A7" w14:textId="77777777" w:rsidR="00BA7527" w:rsidRPr="00586ECF" w:rsidRDefault="00BA7527" w:rsidP="00BA7527">
      <w:pPr>
        <w:ind w:left="540"/>
        <w:rPr>
          <w:rFonts w:ascii="Arial" w:hAnsi="Arial" w:cs="Arial"/>
          <w:sz w:val="20"/>
          <w:szCs w:val="20"/>
        </w:rPr>
      </w:pPr>
      <w:r w:rsidRPr="00586ECF">
        <w:rPr>
          <w:rFonts w:ascii="Arial" w:hAnsi="Arial" w:cs="Arial"/>
          <w:sz w:val="20"/>
          <w:szCs w:val="20"/>
        </w:rPr>
        <w:t>3.2) The Company’s investments held through the Partnership could be made available for secondary sale, likely at a large discount to current fair market value, which is representative of REL’s minority ownership. Alternatively, the investments could be held and participate in the future sales by the Private Riverstone Funds, which could lessen any cash discount; and</w:t>
      </w:r>
    </w:p>
    <w:p w14:paraId="4E2898BD" w14:textId="77777777" w:rsidR="00BA7527" w:rsidRPr="00586ECF" w:rsidRDefault="00BA7527" w:rsidP="00BA7527">
      <w:pPr>
        <w:ind w:left="540"/>
        <w:rPr>
          <w:rFonts w:ascii="Arial" w:hAnsi="Arial" w:cs="Arial"/>
          <w:sz w:val="20"/>
          <w:szCs w:val="20"/>
        </w:rPr>
      </w:pPr>
    </w:p>
    <w:p w14:paraId="06786BD4" w14:textId="2BD0F7B0" w:rsidR="00BA7527" w:rsidRDefault="00BA7527" w:rsidP="00BA7527">
      <w:pPr>
        <w:ind w:left="540"/>
        <w:rPr>
          <w:rFonts w:ascii="Arial" w:hAnsi="Arial" w:cs="Arial"/>
          <w:sz w:val="20"/>
          <w:szCs w:val="20"/>
        </w:rPr>
      </w:pPr>
      <w:r w:rsidRPr="00586ECF">
        <w:rPr>
          <w:rFonts w:ascii="Arial" w:hAnsi="Arial" w:cs="Arial"/>
          <w:sz w:val="20"/>
          <w:szCs w:val="20"/>
        </w:rPr>
        <w:t>3.3) The lock-up of listed shares impeding Shareholders’ liquidity.</w:t>
      </w:r>
    </w:p>
    <w:p w14:paraId="4F421EBC" w14:textId="36A1FBA6" w:rsidR="00F65838" w:rsidRDefault="00F65838" w:rsidP="00BA7527">
      <w:pPr>
        <w:ind w:left="540"/>
        <w:rPr>
          <w:rFonts w:ascii="Arial" w:hAnsi="Arial" w:cs="Arial"/>
          <w:sz w:val="20"/>
          <w:szCs w:val="20"/>
        </w:rPr>
      </w:pPr>
    </w:p>
    <w:p w14:paraId="2375F85C" w14:textId="6D0A1D7D" w:rsidR="0042568F" w:rsidRDefault="00B72938" w:rsidP="00D04370">
      <w:pPr>
        <w:ind w:left="540"/>
        <w:rPr>
          <w:rFonts w:ascii="Arial" w:hAnsi="Arial" w:cs="Arial"/>
          <w:sz w:val="20"/>
          <w:szCs w:val="20"/>
        </w:rPr>
      </w:pPr>
      <w:r w:rsidRPr="00872130">
        <w:rPr>
          <w:rFonts w:ascii="Arial" w:hAnsi="Arial" w:cs="Arial"/>
          <w:sz w:val="20"/>
          <w:szCs w:val="20"/>
        </w:rPr>
        <w:t>If the vote were passed, the Company would be immediately placed into liquidation, a third party liquidator appointed, the Investment Management Agreement immediately terminated and the Company's shares delisted and no longer capable of being traded.  No further Management or Performance Fees would be payable to the Investment Manager.  The liquidator would make cash distributions to Shareholders as and when the Company's portfolio is realised, until the liquidation is complete.</w:t>
      </w:r>
      <w:r w:rsidR="0070468C" w:rsidRPr="00665C27">
        <w:rPr>
          <w:rFonts w:ascii="Calibri" w:eastAsiaTheme="minorHAnsi" w:hAnsi="Calibri" w:cs="Calibri"/>
          <w:szCs w:val="22"/>
        </w:rPr>
        <w:t xml:space="preserve"> </w:t>
      </w:r>
      <w:r w:rsidR="0070468C" w:rsidRPr="00665C27">
        <w:rPr>
          <w:rFonts w:ascii="Arial" w:hAnsi="Arial" w:cs="Arial"/>
          <w:sz w:val="20"/>
          <w:szCs w:val="20"/>
        </w:rPr>
        <w:t xml:space="preserve">The liquidator would be empowered to cancel </w:t>
      </w:r>
      <w:r w:rsidR="006A7BAC">
        <w:rPr>
          <w:rFonts w:ascii="Arial" w:hAnsi="Arial" w:cs="Arial"/>
          <w:sz w:val="20"/>
          <w:szCs w:val="20"/>
        </w:rPr>
        <w:t xml:space="preserve">potential unfunded </w:t>
      </w:r>
      <w:r w:rsidR="0070468C" w:rsidRPr="00665C27">
        <w:rPr>
          <w:rFonts w:ascii="Arial" w:hAnsi="Arial" w:cs="Arial"/>
          <w:sz w:val="20"/>
          <w:szCs w:val="20"/>
        </w:rPr>
        <w:t>commitments to</w:t>
      </w:r>
      <w:r w:rsidR="00C23946">
        <w:rPr>
          <w:rFonts w:ascii="Arial" w:hAnsi="Arial" w:cs="Arial"/>
          <w:sz w:val="20"/>
          <w:szCs w:val="20"/>
        </w:rPr>
        <w:t xml:space="preserve"> portfolio </w:t>
      </w:r>
      <w:r w:rsidR="00C23946">
        <w:rPr>
          <w:rFonts w:ascii="Arial" w:hAnsi="Arial" w:cs="Arial"/>
          <w:sz w:val="20"/>
          <w:szCs w:val="20"/>
        </w:rPr>
        <w:lastRenderedPageBreak/>
        <w:t>companies alongside the</w:t>
      </w:r>
      <w:r w:rsidR="0070468C" w:rsidRPr="00665C27">
        <w:rPr>
          <w:rFonts w:ascii="Arial" w:hAnsi="Arial" w:cs="Arial"/>
          <w:sz w:val="20"/>
          <w:szCs w:val="20"/>
        </w:rPr>
        <w:t xml:space="preserve"> Private Riverstone Funds</w:t>
      </w:r>
      <w:r w:rsidR="00C23946">
        <w:rPr>
          <w:rFonts w:ascii="Arial" w:hAnsi="Arial" w:cs="Arial"/>
          <w:sz w:val="20"/>
          <w:szCs w:val="20"/>
        </w:rPr>
        <w:t>, which aggregated $96 million at 30 June 2020,</w:t>
      </w:r>
      <w:r w:rsidR="0070468C" w:rsidRPr="00665C27">
        <w:rPr>
          <w:rFonts w:ascii="Arial" w:hAnsi="Arial" w:cs="Arial"/>
          <w:sz w:val="20"/>
          <w:szCs w:val="20"/>
        </w:rPr>
        <w:t xml:space="preserve"> and distribute excess funds to Shareholders.</w:t>
      </w:r>
    </w:p>
    <w:p w14:paraId="5C1BB423" w14:textId="77777777" w:rsidR="0042568F" w:rsidRPr="00586ECF" w:rsidRDefault="0042568F" w:rsidP="00D04370">
      <w:pPr>
        <w:ind w:left="540"/>
        <w:rPr>
          <w:rFonts w:ascii="Arial" w:hAnsi="Arial" w:cs="Arial"/>
          <w:sz w:val="20"/>
          <w:szCs w:val="20"/>
        </w:rPr>
      </w:pPr>
    </w:p>
    <w:p w14:paraId="63719C27" w14:textId="77777777" w:rsidR="00BA7527" w:rsidRPr="00580600" w:rsidRDefault="00BA7527" w:rsidP="00BA7527">
      <w:pPr>
        <w:ind w:left="540"/>
        <w:rPr>
          <w:rFonts w:ascii="Arial" w:hAnsi="Arial" w:cs="Arial"/>
          <w:i/>
          <w:sz w:val="20"/>
          <w:szCs w:val="20"/>
          <w:u w:val="single"/>
        </w:rPr>
      </w:pPr>
      <w:r w:rsidRPr="00580600">
        <w:rPr>
          <w:rFonts w:ascii="Arial" w:hAnsi="Arial" w:cs="Arial"/>
          <w:i/>
          <w:sz w:val="20"/>
          <w:szCs w:val="20"/>
          <w:u w:val="single"/>
        </w:rPr>
        <w:t>4. Discount to NAV of the Company</w:t>
      </w:r>
    </w:p>
    <w:p w14:paraId="38227504" w14:textId="77777777" w:rsidR="0048637A" w:rsidRDefault="0048637A" w:rsidP="00BA7527">
      <w:pPr>
        <w:ind w:left="540"/>
        <w:rPr>
          <w:rFonts w:ascii="Arial" w:hAnsi="Arial" w:cs="Arial"/>
          <w:sz w:val="20"/>
          <w:szCs w:val="20"/>
        </w:rPr>
      </w:pPr>
    </w:p>
    <w:p w14:paraId="11CB2B92" w14:textId="6C6D4CA6" w:rsidR="00BA7527" w:rsidRPr="00586ECF" w:rsidRDefault="00BA7527" w:rsidP="00BA7527">
      <w:pPr>
        <w:ind w:left="540"/>
        <w:rPr>
          <w:rFonts w:ascii="Arial" w:hAnsi="Arial" w:cs="Arial"/>
          <w:sz w:val="20"/>
          <w:szCs w:val="20"/>
        </w:rPr>
      </w:pPr>
      <w:r w:rsidRPr="00586ECF">
        <w:rPr>
          <w:rFonts w:ascii="Arial" w:hAnsi="Arial" w:cs="Arial"/>
          <w:sz w:val="20"/>
          <w:szCs w:val="20"/>
        </w:rPr>
        <w:t>Since its inception, the Company’s trading discount to NAV percentage has remained consistent with a population of comparable publicly</w:t>
      </w:r>
      <w:r w:rsidRPr="00586ECF">
        <w:rPr>
          <w:rFonts w:ascii="Cambria Math" w:hAnsi="Cambria Math" w:cs="Cambria Math"/>
          <w:sz w:val="20"/>
          <w:szCs w:val="20"/>
        </w:rPr>
        <w:t>‐</w:t>
      </w:r>
      <w:r w:rsidRPr="00586ECF">
        <w:rPr>
          <w:rFonts w:ascii="Arial" w:hAnsi="Arial" w:cs="Arial"/>
          <w:sz w:val="20"/>
          <w:szCs w:val="20"/>
        </w:rPr>
        <w:t xml:space="preserve">traded PE funds as their life to date average trading discount percentages </w:t>
      </w:r>
      <w:r w:rsidRPr="00291CB7">
        <w:rPr>
          <w:rFonts w:ascii="Arial" w:hAnsi="Arial" w:cs="Arial"/>
          <w:sz w:val="20"/>
          <w:szCs w:val="20"/>
        </w:rPr>
        <w:t xml:space="preserve">are </w:t>
      </w:r>
      <w:r w:rsidRPr="00291CB7">
        <w:rPr>
          <w:rFonts w:ascii="Arial" w:eastAsiaTheme="minorHAnsi" w:hAnsi="Arial" w:cs="Arial"/>
          <w:sz w:val="20"/>
          <w:szCs w:val="20"/>
        </w:rPr>
        <w:t xml:space="preserve">19.4 </w:t>
      </w:r>
      <w:r w:rsidRPr="00291CB7">
        <w:rPr>
          <w:rFonts w:ascii="Arial" w:hAnsi="Arial" w:cs="Arial"/>
          <w:sz w:val="20"/>
          <w:szCs w:val="20"/>
        </w:rPr>
        <w:t xml:space="preserve">per cent. and </w:t>
      </w:r>
      <w:r>
        <w:rPr>
          <w:rFonts w:ascii="Arial" w:eastAsiaTheme="minorHAnsi" w:hAnsi="Arial" w:cs="Arial"/>
          <w:sz w:val="20"/>
          <w:szCs w:val="20"/>
        </w:rPr>
        <w:t>21.5</w:t>
      </w:r>
      <w:r w:rsidRPr="00291CB7">
        <w:rPr>
          <w:rFonts w:ascii="Arial" w:eastAsiaTheme="minorHAnsi" w:hAnsi="Arial" w:cs="Arial"/>
          <w:sz w:val="20"/>
          <w:szCs w:val="20"/>
        </w:rPr>
        <w:t xml:space="preserve"> </w:t>
      </w:r>
      <w:r w:rsidRPr="00291CB7">
        <w:rPr>
          <w:rFonts w:ascii="Arial" w:hAnsi="Arial" w:cs="Arial"/>
          <w:sz w:val="20"/>
          <w:szCs w:val="20"/>
        </w:rPr>
        <w:t>per cent</w:t>
      </w:r>
      <w:r w:rsidRPr="00586ECF">
        <w:rPr>
          <w:rFonts w:ascii="Arial" w:hAnsi="Arial" w:cs="Arial"/>
          <w:sz w:val="20"/>
          <w:szCs w:val="20"/>
        </w:rPr>
        <w:t xml:space="preserve">., respectively. However, from December 2015 to January 2016 and November 2018 to December 2018, as well as from December 2019 to the present, declines in the price of oil adversely impacted the market sentiment for </w:t>
      </w:r>
      <w:r w:rsidR="00665C27">
        <w:rPr>
          <w:rFonts w:ascii="Arial" w:hAnsi="Arial" w:cs="Arial"/>
          <w:sz w:val="20"/>
          <w:szCs w:val="20"/>
        </w:rPr>
        <w:t>energy</w:t>
      </w:r>
      <w:r w:rsidR="00665C27" w:rsidRPr="00586ECF">
        <w:rPr>
          <w:rFonts w:ascii="Arial" w:hAnsi="Arial" w:cs="Arial"/>
          <w:sz w:val="20"/>
          <w:szCs w:val="20"/>
        </w:rPr>
        <w:t xml:space="preserve"> </w:t>
      </w:r>
      <w:r w:rsidRPr="00586ECF">
        <w:rPr>
          <w:rFonts w:ascii="Arial" w:hAnsi="Arial" w:cs="Arial"/>
          <w:sz w:val="20"/>
          <w:szCs w:val="20"/>
        </w:rPr>
        <w:t xml:space="preserve">companies, which resulted in the Company’s trading discount percentage increasing at a faster rate than the population of comparable publicly-traded PE funds, as it is solely invested in the global energy industry across all sectors. </w:t>
      </w:r>
      <w:r w:rsidRPr="0065368C">
        <w:rPr>
          <w:rFonts w:ascii="Arial" w:hAnsi="Arial" w:cs="Arial"/>
          <w:sz w:val="20"/>
          <w:szCs w:val="20"/>
        </w:rPr>
        <w:t>In order to return uninvested capital to Shareholders and attempt to reduce REL’s trading discount percentage, on 1 May 2020, the Company announced a buyback programme with the intention of returning £50 million to shareholders via on market buybacks. Since the announcement, the Company has purchased 10,811,141 shares, in aggregate, for £30</w:t>
      </w:r>
      <w:r>
        <w:rPr>
          <w:rFonts w:ascii="Arial" w:hAnsi="Arial" w:cs="Arial"/>
          <w:sz w:val="20"/>
          <w:szCs w:val="20"/>
        </w:rPr>
        <w:t>.5</w:t>
      </w:r>
      <w:r w:rsidRPr="0065368C">
        <w:rPr>
          <w:rFonts w:ascii="Arial" w:hAnsi="Arial" w:cs="Arial"/>
          <w:sz w:val="20"/>
          <w:szCs w:val="20"/>
        </w:rPr>
        <w:t xml:space="preserve"> million</w:t>
      </w:r>
      <w:r>
        <w:rPr>
          <w:rFonts w:ascii="Arial" w:hAnsi="Arial" w:cs="Arial"/>
          <w:sz w:val="20"/>
          <w:szCs w:val="20"/>
        </w:rPr>
        <w:t xml:space="preserve"> ($37.7 million)</w:t>
      </w:r>
      <w:r w:rsidRPr="0065368C">
        <w:rPr>
          <w:rFonts w:ascii="Arial" w:hAnsi="Arial" w:cs="Arial"/>
          <w:sz w:val="20"/>
          <w:szCs w:val="20"/>
        </w:rPr>
        <w:t xml:space="preserve"> at an average share price of £2.82</w:t>
      </w:r>
      <w:r>
        <w:rPr>
          <w:rFonts w:ascii="Arial" w:hAnsi="Arial" w:cs="Arial"/>
          <w:sz w:val="20"/>
          <w:szCs w:val="20"/>
        </w:rPr>
        <w:t xml:space="preserve"> ($3.49)</w:t>
      </w:r>
      <w:r w:rsidRPr="0065368C">
        <w:rPr>
          <w:rFonts w:ascii="Arial" w:hAnsi="Arial" w:cs="Arial"/>
          <w:sz w:val="20"/>
          <w:szCs w:val="20"/>
        </w:rPr>
        <w:t xml:space="preserve">, which has attributed to the narrowing of the Company’s trading discount from 66.1 per cent. at 31 March 2020 to 15.7 per cent. at 30 June 2020 (or from 131.7 per cent. to 27.7 per cent., respectively, on a cash-adjusted basis). </w:t>
      </w:r>
      <w:r w:rsidRPr="00586ECF">
        <w:rPr>
          <w:rFonts w:ascii="Arial" w:hAnsi="Arial" w:cs="Arial"/>
          <w:sz w:val="20"/>
          <w:szCs w:val="20"/>
        </w:rPr>
        <w:t xml:space="preserve">From </w:t>
      </w:r>
      <w:r>
        <w:rPr>
          <w:rFonts w:ascii="Arial" w:hAnsi="Arial" w:cs="Arial"/>
          <w:sz w:val="20"/>
          <w:szCs w:val="20"/>
        </w:rPr>
        <w:t>period</w:t>
      </w:r>
      <w:r w:rsidRPr="00586ECF">
        <w:rPr>
          <w:rFonts w:ascii="Arial" w:hAnsi="Arial" w:cs="Arial"/>
          <w:sz w:val="20"/>
          <w:szCs w:val="20"/>
        </w:rPr>
        <w:t xml:space="preserve">-end through </w:t>
      </w:r>
      <w:r w:rsidR="00840A78">
        <w:rPr>
          <w:rFonts w:ascii="Arial" w:hAnsi="Arial" w:cs="Arial"/>
          <w:sz w:val="20"/>
          <w:szCs w:val="20"/>
        </w:rPr>
        <w:t xml:space="preserve">to </w:t>
      </w:r>
      <w:r w:rsidRPr="00586ECF">
        <w:rPr>
          <w:rFonts w:ascii="Arial" w:hAnsi="Arial" w:cs="Arial"/>
          <w:sz w:val="20"/>
          <w:szCs w:val="20"/>
        </w:rPr>
        <w:t>the date of this report, the Company’s trading discount has increase</w:t>
      </w:r>
      <w:r>
        <w:rPr>
          <w:rFonts w:ascii="Arial" w:hAnsi="Arial" w:cs="Arial"/>
          <w:sz w:val="20"/>
          <w:szCs w:val="20"/>
        </w:rPr>
        <w:t>d</w:t>
      </w:r>
      <w:r w:rsidRPr="00586ECF">
        <w:rPr>
          <w:rFonts w:ascii="Arial" w:hAnsi="Arial" w:cs="Arial"/>
          <w:sz w:val="20"/>
          <w:szCs w:val="20"/>
        </w:rPr>
        <w:t xml:space="preserve"> due to the decline in the Company’s share </w:t>
      </w:r>
      <w:r w:rsidRPr="00291CB7">
        <w:rPr>
          <w:rFonts w:ascii="Arial" w:hAnsi="Arial" w:cs="Arial"/>
          <w:sz w:val="20"/>
          <w:szCs w:val="20"/>
        </w:rPr>
        <w:t xml:space="preserve">price and was </w:t>
      </w:r>
      <w:r w:rsidR="00C82D77">
        <w:rPr>
          <w:rFonts w:ascii="Arial" w:eastAsiaTheme="minorHAnsi" w:hAnsi="Arial" w:cs="Arial"/>
          <w:sz w:val="20"/>
          <w:szCs w:val="20"/>
        </w:rPr>
        <w:t>42.7</w:t>
      </w:r>
      <w:r w:rsidRPr="00291CB7">
        <w:rPr>
          <w:rFonts w:ascii="Arial" w:eastAsiaTheme="minorHAnsi" w:hAnsi="Arial" w:cs="Arial"/>
          <w:sz w:val="20"/>
          <w:szCs w:val="20"/>
        </w:rPr>
        <w:t xml:space="preserve"> </w:t>
      </w:r>
      <w:r w:rsidRPr="00291CB7">
        <w:rPr>
          <w:rFonts w:ascii="Arial" w:hAnsi="Arial" w:cs="Arial"/>
          <w:sz w:val="20"/>
          <w:szCs w:val="20"/>
        </w:rPr>
        <w:t xml:space="preserve">per cent. as of </w:t>
      </w:r>
      <w:r w:rsidR="00C82D77">
        <w:rPr>
          <w:rFonts w:ascii="Arial" w:eastAsiaTheme="minorHAnsi" w:hAnsi="Arial" w:cs="Arial"/>
          <w:sz w:val="20"/>
          <w:szCs w:val="20"/>
        </w:rPr>
        <w:t>31</w:t>
      </w:r>
      <w:r w:rsidRPr="00291CB7">
        <w:rPr>
          <w:rFonts w:ascii="Arial" w:hAnsi="Arial" w:cs="Arial"/>
          <w:sz w:val="20"/>
          <w:szCs w:val="20"/>
        </w:rPr>
        <w:t xml:space="preserve"> </w:t>
      </w:r>
      <w:r>
        <w:rPr>
          <w:rFonts w:ascii="Arial" w:hAnsi="Arial" w:cs="Arial"/>
          <w:sz w:val="20"/>
          <w:szCs w:val="20"/>
        </w:rPr>
        <w:t>July</w:t>
      </w:r>
      <w:r w:rsidRPr="00291CB7">
        <w:rPr>
          <w:rFonts w:ascii="Arial" w:hAnsi="Arial" w:cs="Arial"/>
          <w:sz w:val="20"/>
          <w:szCs w:val="20"/>
        </w:rPr>
        <w:t xml:space="preserve"> 2020 (or </w:t>
      </w:r>
      <w:r w:rsidR="00C82D77">
        <w:rPr>
          <w:rFonts w:ascii="Arial" w:eastAsiaTheme="minorHAnsi" w:hAnsi="Arial" w:cs="Arial"/>
          <w:sz w:val="20"/>
          <w:szCs w:val="20"/>
        </w:rPr>
        <w:t>67.0</w:t>
      </w:r>
      <w:r w:rsidRPr="00291CB7">
        <w:rPr>
          <w:rFonts w:ascii="Arial" w:eastAsiaTheme="minorHAnsi" w:hAnsi="Arial" w:cs="Arial"/>
          <w:sz w:val="20"/>
          <w:szCs w:val="20"/>
        </w:rPr>
        <w:t xml:space="preserve"> </w:t>
      </w:r>
      <w:r w:rsidRPr="00291CB7">
        <w:rPr>
          <w:rFonts w:ascii="Arial" w:hAnsi="Arial" w:cs="Arial"/>
          <w:sz w:val="20"/>
          <w:szCs w:val="20"/>
        </w:rPr>
        <w:t>per cent. on a cash-adjusted basis).</w:t>
      </w:r>
      <w:r w:rsidRPr="00586ECF">
        <w:rPr>
          <w:rFonts w:ascii="Arial" w:hAnsi="Arial" w:cs="Arial"/>
          <w:sz w:val="20"/>
          <w:szCs w:val="20"/>
        </w:rPr>
        <w:t xml:space="preserve"> </w:t>
      </w:r>
    </w:p>
    <w:p w14:paraId="3A534174" w14:textId="77777777" w:rsidR="00BA7527" w:rsidRPr="00586ECF" w:rsidRDefault="00BA7527" w:rsidP="00BA7527">
      <w:pPr>
        <w:ind w:left="540"/>
        <w:rPr>
          <w:rFonts w:ascii="Arial" w:hAnsi="Arial" w:cs="Arial"/>
          <w:sz w:val="20"/>
          <w:szCs w:val="20"/>
        </w:rPr>
      </w:pPr>
    </w:p>
    <w:p w14:paraId="2702C892" w14:textId="01F17D2D" w:rsidR="00BA7527" w:rsidRPr="00586ECF" w:rsidRDefault="00BA7527" w:rsidP="00BA7527">
      <w:pPr>
        <w:ind w:left="540"/>
        <w:rPr>
          <w:rFonts w:ascii="Arial" w:hAnsi="Arial" w:cs="Arial"/>
          <w:sz w:val="20"/>
          <w:szCs w:val="20"/>
        </w:rPr>
      </w:pPr>
      <w:r w:rsidRPr="00586ECF">
        <w:rPr>
          <w:rFonts w:ascii="Arial" w:hAnsi="Arial" w:cs="Arial"/>
          <w:sz w:val="20"/>
          <w:szCs w:val="20"/>
        </w:rPr>
        <w:t>The Board, with consultation of the Investment Manager, regularly monitors the Company’s trading discount percentage and, when possible, executes corporate actions aimed at managing it, such as the</w:t>
      </w:r>
      <w:r w:rsidRPr="00BA7527">
        <w:rPr>
          <w:rFonts w:ascii="Calibri" w:hAnsi="Calibri" w:cs="Calibri"/>
        </w:rPr>
        <w:t xml:space="preserve"> </w:t>
      </w:r>
      <w:r w:rsidRPr="00BA7527">
        <w:rPr>
          <w:rFonts w:ascii="Arial" w:hAnsi="Arial" w:cs="Arial"/>
          <w:sz w:val="20"/>
          <w:szCs w:val="20"/>
        </w:rPr>
        <w:t>aforementioned share buyback programme and</w:t>
      </w:r>
      <w:r w:rsidRPr="00586ECF">
        <w:rPr>
          <w:rFonts w:ascii="Arial" w:hAnsi="Arial" w:cs="Arial"/>
          <w:sz w:val="20"/>
          <w:szCs w:val="20"/>
        </w:rPr>
        <w:t xml:space="preserve"> Tender Offer share repurchase in November 2018, which attributed to a 1.5 per cent. increase in the Company’s NAV, and partially offset the increase of the trading discount percentage. </w:t>
      </w:r>
      <w:r w:rsidR="00872130">
        <w:rPr>
          <w:rFonts w:ascii="Arial" w:hAnsi="Arial" w:cs="Arial"/>
          <w:sz w:val="20"/>
          <w:szCs w:val="20"/>
        </w:rPr>
        <w:t xml:space="preserve">As announced on 1 July 2020, the Board intends to recommence the aforementioned share buyback programme after publication of the Interim Report. </w:t>
      </w:r>
      <w:r w:rsidRPr="00586ECF">
        <w:rPr>
          <w:rFonts w:ascii="Arial" w:hAnsi="Arial" w:cs="Arial"/>
          <w:sz w:val="20"/>
          <w:szCs w:val="20"/>
        </w:rPr>
        <w:t xml:space="preserve">If the aforementioned Discontinuation Resolution receives the required 75 per cent. of votes cast in favour, any potential decrease in the trading discount percentage will be significantly </w:t>
      </w:r>
      <w:r>
        <w:rPr>
          <w:rFonts w:ascii="Arial" w:hAnsi="Arial" w:cs="Arial"/>
          <w:sz w:val="20"/>
          <w:szCs w:val="20"/>
        </w:rPr>
        <w:t>impacted</w:t>
      </w:r>
      <w:r w:rsidRPr="00586ECF">
        <w:rPr>
          <w:rFonts w:ascii="Arial" w:hAnsi="Arial" w:cs="Arial"/>
          <w:sz w:val="20"/>
          <w:szCs w:val="20"/>
        </w:rPr>
        <w:t xml:space="preserve"> by the lump sum Management Fee payment owed to the Investment Manager, as well as the inherent discount to the current fair value of the Company’s investments.</w:t>
      </w:r>
    </w:p>
    <w:p w14:paraId="30D5632E" w14:textId="77777777" w:rsidR="00BA7527" w:rsidRPr="00586ECF" w:rsidRDefault="00BA7527" w:rsidP="00BA7527">
      <w:pPr>
        <w:ind w:left="540"/>
        <w:rPr>
          <w:rFonts w:ascii="Arial" w:hAnsi="Arial" w:cs="Arial"/>
          <w:sz w:val="20"/>
          <w:szCs w:val="20"/>
        </w:rPr>
      </w:pPr>
    </w:p>
    <w:p w14:paraId="054AA2E6" w14:textId="77777777" w:rsidR="00BA7527" w:rsidRPr="00C92996" w:rsidRDefault="00BA7527" w:rsidP="00BA7527">
      <w:pPr>
        <w:ind w:left="540"/>
        <w:rPr>
          <w:rFonts w:ascii="Arial" w:hAnsi="Arial" w:cs="Arial"/>
          <w:i/>
          <w:sz w:val="20"/>
          <w:szCs w:val="20"/>
          <w:u w:val="single"/>
        </w:rPr>
      </w:pPr>
      <w:r w:rsidRPr="00C92996">
        <w:rPr>
          <w:rFonts w:ascii="Arial" w:hAnsi="Arial" w:cs="Arial"/>
          <w:i/>
          <w:sz w:val="20"/>
          <w:szCs w:val="20"/>
          <w:u w:val="single"/>
        </w:rPr>
        <w:t>5. COVID-19</w:t>
      </w:r>
    </w:p>
    <w:p w14:paraId="3A53CBC0" w14:textId="77777777" w:rsidR="0048637A" w:rsidRDefault="0048637A" w:rsidP="00BA7527">
      <w:pPr>
        <w:ind w:left="540"/>
        <w:rPr>
          <w:rFonts w:ascii="Arial" w:hAnsi="Arial" w:cs="Arial"/>
          <w:sz w:val="20"/>
          <w:szCs w:val="20"/>
        </w:rPr>
      </w:pPr>
    </w:p>
    <w:p w14:paraId="183C32CF" w14:textId="1CEFE5E9" w:rsidR="00BA7527" w:rsidRPr="00586ECF" w:rsidRDefault="00BA7527" w:rsidP="00BA7527">
      <w:pPr>
        <w:ind w:left="540"/>
        <w:rPr>
          <w:rFonts w:ascii="Arial" w:hAnsi="Arial" w:cs="Arial"/>
          <w:sz w:val="20"/>
          <w:szCs w:val="20"/>
        </w:rPr>
      </w:pPr>
      <w:r w:rsidRPr="00586ECF">
        <w:rPr>
          <w:rFonts w:ascii="Arial" w:hAnsi="Arial" w:cs="Arial"/>
          <w:sz w:val="20"/>
          <w:szCs w:val="20"/>
        </w:rPr>
        <w:t xml:space="preserve">The Board and Investment Manager have been in continuous dialogue regarding the impact of COVID-19 and appropriate disclosures within the Company’s </w:t>
      </w:r>
      <w:r>
        <w:rPr>
          <w:rFonts w:ascii="Arial" w:hAnsi="Arial" w:cs="Arial"/>
          <w:sz w:val="20"/>
          <w:szCs w:val="20"/>
        </w:rPr>
        <w:t>interim condensed f</w:t>
      </w:r>
      <w:r w:rsidRPr="00586ECF">
        <w:rPr>
          <w:rFonts w:ascii="Arial" w:hAnsi="Arial" w:cs="Arial"/>
          <w:sz w:val="20"/>
          <w:szCs w:val="20"/>
        </w:rPr>
        <w:t xml:space="preserve">inancial </w:t>
      </w:r>
      <w:r>
        <w:rPr>
          <w:rFonts w:ascii="Arial" w:hAnsi="Arial" w:cs="Arial"/>
          <w:sz w:val="20"/>
          <w:szCs w:val="20"/>
        </w:rPr>
        <w:t>s</w:t>
      </w:r>
      <w:r w:rsidRPr="00586ECF">
        <w:rPr>
          <w:rFonts w:ascii="Arial" w:hAnsi="Arial" w:cs="Arial"/>
          <w:sz w:val="20"/>
          <w:szCs w:val="20"/>
        </w:rPr>
        <w:t>tatements, given that it's an evolving situation. The Company’s Management Engagement Committee requested and received updates from REL’s key service providers, including the Investment Manager, regarding their response to COVID-19, including an update on their respective business continuity plans.</w:t>
      </w:r>
    </w:p>
    <w:p w14:paraId="5875ECDD" w14:textId="77777777" w:rsidR="00BA7527" w:rsidRPr="00586ECF" w:rsidRDefault="00BA7527" w:rsidP="00BA7527">
      <w:pPr>
        <w:ind w:left="540"/>
        <w:rPr>
          <w:rFonts w:ascii="Arial" w:hAnsi="Arial" w:cs="Arial"/>
          <w:sz w:val="20"/>
          <w:szCs w:val="20"/>
        </w:rPr>
      </w:pPr>
    </w:p>
    <w:p w14:paraId="3F0CC6EE" w14:textId="6078816C" w:rsidR="00BA7527" w:rsidRPr="00586ECF" w:rsidRDefault="00BA7527" w:rsidP="00BA7527">
      <w:pPr>
        <w:ind w:left="540"/>
        <w:rPr>
          <w:rFonts w:ascii="Arial" w:hAnsi="Arial" w:cs="Arial"/>
          <w:sz w:val="20"/>
          <w:szCs w:val="20"/>
        </w:rPr>
      </w:pPr>
      <w:r w:rsidRPr="00586ECF">
        <w:rPr>
          <w:rFonts w:ascii="Arial" w:hAnsi="Arial" w:cs="Arial"/>
          <w:sz w:val="20"/>
          <w:szCs w:val="20"/>
        </w:rPr>
        <w:t>The Investment Manager activated its business continuity plan and its regular working pattern has changed to remote working, though all staff are continuing to assume their day-to-day responsibilities remotely. There has been regular communication with its employees, as well as its investors. In addition, the Investment Manager’s partners are hosting weekly calls on potential investment opportunities in this new environment (caused by COVID</w:t>
      </w:r>
      <w:r w:rsidR="00E60076">
        <w:rPr>
          <w:rFonts w:ascii="Arial" w:hAnsi="Arial" w:cs="Arial"/>
          <w:sz w:val="20"/>
          <w:szCs w:val="20"/>
        </w:rPr>
        <w:t>-19</w:t>
      </w:r>
      <w:r w:rsidRPr="00586ECF">
        <w:rPr>
          <w:rFonts w:ascii="Arial" w:hAnsi="Arial" w:cs="Arial"/>
          <w:sz w:val="20"/>
          <w:szCs w:val="20"/>
        </w:rPr>
        <w:t xml:space="preserve"> and OPEC+ news), so that Riverstone can best position the portfolio for the future. The Investment Manager has contacted its portfolio companies to make sure that they have the appropriate plans and resources in place to prioriti</w:t>
      </w:r>
      <w:r w:rsidR="001A20FF">
        <w:rPr>
          <w:rFonts w:ascii="Arial" w:hAnsi="Arial" w:cs="Arial"/>
          <w:sz w:val="20"/>
          <w:szCs w:val="20"/>
        </w:rPr>
        <w:t>s</w:t>
      </w:r>
      <w:r w:rsidRPr="00586ECF">
        <w:rPr>
          <w:rFonts w:ascii="Arial" w:hAnsi="Arial" w:cs="Arial"/>
          <w:sz w:val="20"/>
          <w:szCs w:val="20"/>
        </w:rPr>
        <w:t>e the health and safety of their employees, as well as to assess supply chain disruptions and ensure the normal operations of our businesses.</w:t>
      </w:r>
    </w:p>
    <w:p w14:paraId="683880D5" w14:textId="77777777" w:rsidR="00BA7527" w:rsidRPr="00586ECF" w:rsidRDefault="00BA7527" w:rsidP="00BA7527">
      <w:pPr>
        <w:ind w:left="540"/>
        <w:rPr>
          <w:rFonts w:ascii="Arial" w:hAnsi="Arial" w:cs="Arial"/>
          <w:sz w:val="20"/>
          <w:szCs w:val="20"/>
        </w:rPr>
      </w:pPr>
    </w:p>
    <w:p w14:paraId="5AB36C8E" w14:textId="77777777" w:rsidR="00BA7527" w:rsidRPr="0080127D" w:rsidRDefault="00BA7527" w:rsidP="00BA7527">
      <w:pPr>
        <w:ind w:left="540"/>
        <w:rPr>
          <w:rFonts w:ascii="Arial" w:hAnsi="Arial" w:cs="Arial"/>
          <w:i/>
          <w:iCs/>
          <w:sz w:val="20"/>
          <w:szCs w:val="20"/>
          <w:u w:val="single"/>
        </w:rPr>
      </w:pPr>
      <w:r w:rsidRPr="0080127D">
        <w:rPr>
          <w:rFonts w:ascii="Arial" w:hAnsi="Arial" w:cs="Arial"/>
          <w:i/>
          <w:iCs/>
          <w:sz w:val="20"/>
          <w:szCs w:val="20"/>
          <w:u w:val="single"/>
        </w:rPr>
        <w:t>Directors’ Assessment of Going Concern</w:t>
      </w:r>
    </w:p>
    <w:p w14:paraId="3058631F" w14:textId="77777777" w:rsidR="00BA7527" w:rsidRDefault="00BA7527" w:rsidP="00BA7527">
      <w:pPr>
        <w:ind w:left="540"/>
        <w:rPr>
          <w:rFonts w:ascii="Arial" w:eastAsiaTheme="minorHAnsi" w:hAnsi="Arial" w:cs="Arial"/>
          <w:sz w:val="20"/>
          <w:szCs w:val="20"/>
        </w:rPr>
      </w:pPr>
      <w:r w:rsidRPr="00586ECF">
        <w:rPr>
          <w:rFonts w:ascii="Arial" w:hAnsi="Arial" w:cs="Arial"/>
          <w:sz w:val="20"/>
          <w:szCs w:val="20"/>
        </w:rPr>
        <w:t xml:space="preserve">Based on the reasons outlined above, on balance, the Directors are satisfied, as of today’s date, that it is appropriate to adopt the going concern basis in preparing the </w:t>
      </w:r>
      <w:r>
        <w:rPr>
          <w:rFonts w:ascii="Arial" w:hAnsi="Arial" w:cs="Arial"/>
          <w:sz w:val="20"/>
          <w:szCs w:val="20"/>
        </w:rPr>
        <w:t>unaudited interim condensed f</w:t>
      </w:r>
      <w:r w:rsidRPr="00586ECF">
        <w:rPr>
          <w:rFonts w:ascii="Arial" w:hAnsi="Arial" w:cs="Arial"/>
          <w:sz w:val="20"/>
          <w:szCs w:val="20"/>
        </w:rPr>
        <w:t xml:space="preserve">inancial </w:t>
      </w:r>
      <w:r>
        <w:rPr>
          <w:rFonts w:ascii="Arial" w:hAnsi="Arial" w:cs="Arial"/>
          <w:sz w:val="20"/>
          <w:szCs w:val="20"/>
        </w:rPr>
        <w:t>s</w:t>
      </w:r>
      <w:r w:rsidRPr="00586ECF">
        <w:rPr>
          <w:rFonts w:ascii="Arial" w:hAnsi="Arial" w:cs="Arial"/>
          <w:sz w:val="20"/>
          <w:szCs w:val="20"/>
        </w:rPr>
        <w:t>tatements. As of the date of this report, the Partnership has available liquid resources of $</w:t>
      </w:r>
      <w:r>
        <w:rPr>
          <w:rFonts w:ascii="Arial" w:eastAsiaTheme="minorHAnsi" w:hAnsi="Arial" w:cs="Arial"/>
          <w:sz w:val="20"/>
          <w:szCs w:val="20"/>
        </w:rPr>
        <w:t>135.5</w:t>
      </w:r>
      <w:r w:rsidRPr="00586ECF">
        <w:rPr>
          <w:rFonts w:ascii="Arial" w:hAnsi="Arial" w:cs="Arial"/>
          <w:sz w:val="20"/>
          <w:szCs w:val="20"/>
        </w:rPr>
        <w:t xml:space="preserve"> million, which are in excess of potential unfunded commitments of $</w:t>
      </w:r>
      <w:r>
        <w:rPr>
          <w:rFonts w:ascii="Arial" w:eastAsiaTheme="minorHAnsi" w:hAnsi="Arial" w:cs="Arial"/>
          <w:sz w:val="20"/>
          <w:szCs w:val="20"/>
        </w:rPr>
        <w:t>103.3</w:t>
      </w:r>
      <w:r w:rsidRPr="00586ECF">
        <w:rPr>
          <w:rFonts w:ascii="Arial" w:hAnsi="Arial" w:cs="Arial"/>
          <w:sz w:val="20"/>
          <w:szCs w:val="20"/>
        </w:rPr>
        <w:t xml:space="preserve"> million, as well as the liabilities at 3</w:t>
      </w:r>
      <w:r>
        <w:rPr>
          <w:rFonts w:ascii="Arial" w:hAnsi="Arial" w:cs="Arial"/>
          <w:sz w:val="20"/>
          <w:szCs w:val="20"/>
        </w:rPr>
        <w:t xml:space="preserve">0 June 2020 </w:t>
      </w:r>
      <w:r w:rsidRPr="00586ECF">
        <w:rPr>
          <w:rFonts w:ascii="Arial" w:hAnsi="Arial" w:cs="Arial"/>
          <w:sz w:val="20"/>
          <w:szCs w:val="20"/>
        </w:rPr>
        <w:t xml:space="preserve">and forecasted annual expenses for the foreseeable future. However, as the direction of the EGM vote is not known at this time, and </w:t>
      </w:r>
      <w:r>
        <w:rPr>
          <w:rFonts w:ascii="Arial" w:hAnsi="Arial" w:cs="Arial"/>
          <w:sz w:val="20"/>
          <w:szCs w:val="20"/>
        </w:rPr>
        <w:t>the continuing weakness in the oil and gas market and ongoing impact of</w:t>
      </w:r>
      <w:r w:rsidRPr="00586ECF">
        <w:rPr>
          <w:rFonts w:ascii="Arial" w:hAnsi="Arial" w:cs="Arial"/>
          <w:sz w:val="20"/>
          <w:szCs w:val="20"/>
        </w:rPr>
        <w:t xml:space="preserve"> COVID-19, there is a material uncertainty which casts significant doubt over the ability of the Company to continue as a Going Concern.</w:t>
      </w:r>
    </w:p>
    <w:p w14:paraId="609E43CF" w14:textId="3010D7AA" w:rsidR="00213F9C" w:rsidRDefault="00213F9C" w:rsidP="00213F9C">
      <w:pPr>
        <w:tabs>
          <w:tab w:val="left" w:pos="6903"/>
        </w:tabs>
        <w:rPr>
          <w:rFonts w:ascii="Arial" w:hAnsi="Arial" w:cs="Arial"/>
        </w:rPr>
      </w:pPr>
    </w:p>
    <w:p w14:paraId="112E5E6A" w14:textId="77777777" w:rsidR="00947447" w:rsidRPr="002D1A2F" w:rsidRDefault="00947447" w:rsidP="00213F9C">
      <w:pPr>
        <w:tabs>
          <w:tab w:val="left" w:pos="6903"/>
        </w:tabs>
        <w:rPr>
          <w:rFonts w:ascii="Arial" w:hAnsi="Arial" w:cs="Arial"/>
        </w:rPr>
      </w:pPr>
    </w:p>
    <w:p w14:paraId="0A28B166" w14:textId="77777777" w:rsidR="00E41A2E" w:rsidRPr="002D1A2F" w:rsidRDefault="00E41A2E">
      <w:pPr>
        <w:ind w:left="567" w:hanging="567"/>
        <w:outlineLvl w:val="1"/>
        <w:rPr>
          <w:rFonts w:ascii="Arial" w:hAnsi="Arial" w:cs="Arial"/>
          <w:b/>
          <w:sz w:val="28"/>
          <w:szCs w:val="28"/>
        </w:rPr>
      </w:pPr>
      <w:r w:rsidRPr="002D1A2F">
        <w:rPr>
          <w:rFonts w:ascii="Arial" w:hAnsi="Arial" w:cs="Arial"/>
          <w:b/>
          <w:sz w:val="28"/>
          <w:szCs w:val="28"/>
        </w:rPr>
        <w:t>4.</w:t>
      </w:r>
      <w:r w:rsidRPr="002D1A2F">
        <w:rPr>
          <w:rFonts w:ascii="Arial" w:hAnsi="Arial" w:cs="Arial"/>
          <w:b/>
          <w:sz w:val="28"/>
          <w:szCs w:val="28"/>
        </w:rPr>
        <w:tab/>
        <w:t>Taxation</w:t>
      </w:r>
    </w:p>
    <w:p w14:paraId="562A5239" w14:textId="119A550F" w:rsidR="00E41A2E" w:rsidRPr="008D600C" w:rsidRDefault="00E41A2E">
      <w:pPr>
        <w:tabs>
          <w:tab w:val="left" w:pos="6903"/>
        </w:tabs>
        <w:ind w:left="567"/>
        <w:rPr>
          <w:rFonts w:ascii="Arial" w:hAnsi="Arial" w:cs="Arial"/>
          <w:sz w:val="20"/>
          <w:szCs w:val="20"/>
        </w:rPr>
      </w:pPr>
      <w:r w:rsidRPr="008D600C">
        <w:rPr>
          <w:rFonts w:ascii="Arial" w:hAnsi="Arial" w:cs="Arial"/>
          <w:sz w:val="20"/>
          <w:szCs w:val="20"/>
        </w:rPr>
        <w:t>The taxation basis of the Company remains consistent with that disclosed in the Financial Statements for the year ended 31 December 201</w:t>
      </w:r>
      <w:r w:rsidR="00C75564">
        <w:rPr>
          <w:rFonts w:ascii="Arial" w:hAnsi="Arial" w:cs="Arial"/>
          <w:sz w:val="20"/>
          <w:szCs w:val="20"/>
        </w:rPr>
        <w:t>9</w:t>
      </w:r>
      <w:r w:rsidRPr="008D600C">
        <w:rPr>
          <w:rFonts w:ascii="Arial" w:hAnsi="Arial" w:cs="Arial"/>
          <w:sz w:val="20"/>
          <w:szCs w:val="20"/>
        </w:rPr>
        <w:t>.</w:t>
      </w:r>
    </w:p>
    <w:p w14:paraId="30A12914" w14:textId="77777777" w:rsidR="00E41A2E" w:rsidRPr="009A526B" w:rsidRDefault="00E41A2E">
      <w:pPr>
        <w:tabs>
          <w:tab w:val="left" w:pos="6903"/>
        </w:tabs>
        <w:ind w:left="567"/>
        <w:rPr>
          <w:rFonts w:ascii="Arial" w:hAnsi="Arial" w:cs="Arial"/>
          <w:sz w:val="20"/>
          <w:szCs w:val="20"/>
          <w:highlight w:val="yellow"/>
        </w:rPr>
      </w:pPr>
    </w:p>
    <w:p w14:paraId="31B1ABF9" w14:textId="51A7D4C8" w:rsidR="008D600C" w:rsidRDefault="008D600C" w:rsidP="008D600C">
      <w:pPr>
        <w:pStyle w:val="Bodytext"/>
        <w:ind w:left="567"/>
      </w:pPr>
      <w:r>
        <w:t xml:space="preserve">The Company has made an election to, and currently expects to conduct its activities so as to be treated as a partnership for U.S. federal income tax purposes. Therefore, the Company expects that it generally will not be liable for U.S. federal income taxes. In the normal course of business, REL may form wholly owned subsidiaries, to be treated as C Corporations for U.S. tax purposes. The C Corporations serve to protect REL’s public investors from incurring U.S. ECI. The C Corporations file U.S. corporate tax returns with the U.S. IRS and pay U.S. corporate taxes on its income. Each of the Company’s Shareholders who are liable for U.S. taxes will take into account </w:t>
      </w:r>
      <w:r w:rsidR="0066768A">
        <w:t>their</w:t>
      </w:r>
      <w:r>
        <w:t xml:space="preserve"> respective share of the Company’s items of income, gain, loss and deduction in computing its U.S. federal income tax liability as if such Shareholder had earned such income directly, even if no cash distributions are made to the Shareholder.</w:t>
      </w:r>
    </w:p>
    <w:p w14:paraId="081F42C8" w14:textId="77777777" w:rsidR="008D600C" w:rsidRDefault="008D600C" w:rsidP="008D600C">
      <w:pPr>
        <w:pStyle w:val="Bodytext"/>
        <w:ind w:left="567"/>
      </w:pPr>
    </w:p>
    <w:p w14:paraId="3251A589" w14:textId="77777777" w:rsidR="008D600C" w:rsidRDefault="008D600C" w:rsidP="008D600C">
      <w:pPr>
        <w:pStyle w:val="Bodytext"/>
        <w:ind w:left="567"/>
      </w:pPr>
      <w:r>
        <w:t xml:space="preserve">The Company is exempt from taxation in Guernsey under the provisions of the Income Tax (Exempt Bodies) (Guernsey) Ordinance, 2008 and is charged an annual exemption fee of £1,200. </w:t>
      </w:r>
    </w:p>
    <w:p w14:paraId="01483910" w14:textId="77777777" w:rsidR="008D600C" w:rsidRDefault="008D600C" w:rsidP="008D600C">
      <w:pPr>
        <w:pStyle w:val="Bodytext"/>
        <w:ind w:left="567"/>
      </w:pPr>
    </w:p>
    <w:p w14:paraId="4AC1C872" w14:textId="77777777" w:rsidR="008D600C" w:rsidRDefault="008D600C" w:rsidP="008D600C">
      <w:pPr>
        <w:pStyle w:val="Bodytext"/>
        <w:ind w:left="567"/>
      </w:pPr>
      <w:r>
        <w:t>The Cayman Islands at present impose no taxes on profit, income, capital gains or appreciations in value of the Partnership. There are also currently no taxes imposed in the Cayman Islands by withholding or otherwise on the Company as a limited partner of the Partnership on profit, income, capital gains or appreciations in respect of its partnership interest nor any taxes on the Company as a limited partner of the Partnership in the nature of estate duty, inheritance or capital transfer tax.</w:t>
      </w:r>
    </w:p>
    <w:p w14:paraId="073388A6" w14:textId="77777777" w:rsidR="008D600C" w:rsidRDefault="008D600C" w:rsidP="008D600C">
      <w:pPr>
        <w:pStyle w:val="Bodytext"/>
        <w:ind w:left="567"/>
      </w:pPr>
    </w:p>
    <w:p w14:paraId="5F0DEEF7" w14:textId="4FE7F69C" w:rsidR="008D600C" w:rsidRDefault="008D600C" w:rsidP="008D600C">
      <w:pPr>
        <w:pStyle w:val="Bodytext"/>
        <w:ind w:left="567"/>
      </w:pPr>
      <w:r>
        <w:t xml:space="preserve">Local taxes may apply at the jurisdictional level on profits arising in operating entity investments. Further taxes may apply on distributions from such operating entity investments. The company is structured, and has structured its investments, to eliminate the incurrence of ECI by REL’s investors. Based upon the current commitments and investments </w:t>
      </w:r>
      <w:r w:rsidRPr="00727C1F">
        <w:t>in Liberty II, Rock Oil, Fieldwood, Carrier II, ILX III, and Centennial, the future U</w:t>
      </w:r>
      <w:r>
        <w:t xml:space="preserve">.S. tax liability on profits is expected to be in the range of </w:t>
      </w:r>
      <w:r w:rsidR="003064F6">
        <w:t>21</w:t>
      </w:r>
      <w:r>
        <w:t xml:space="preserve"> to </w:t>
      </w:r>
      <w:r w:rsidR="003064F6">
        <w:t>27.5</w:t>
      </w:r>
      <w:r>
        <w:t xml:space="preserve"> per cent. (31 December 201</w:t>
      </w:r>
      <w:r w:rsidR="00836680">
        <w:t>9</w:t>
      </w:r>
      <w:r>
        <w:t xml:space="preserve">: </w:t>
      </w:r>
      <w:r w:rsidR="002D07DB">
        <w:t>21</w:t>
      </w:r>
      <w:r>
        <w:t xml:space="preserve"> to </w:t>
      </w:r>
      <w:r w:rsidR="002D07DB">
        <w:t>27</w:t>
      </w:r>
      <w:r>
        <w:t xml:space="preserve">.5 per cent.). </w:t>
      </w:r>
    </w:p>
    <w:p w14:paraId="63E1299A" w14:textId="0A3CDC4E" w:rsidR="00E41A2E" w:rsidRDefault="00E41A2E">
      <w:pPr>
        <w:tabs>
          <w:tab w:val="left" w:pos="6903"/>
        </w:tabs>
        <w:ind w:left="567"/>
        <w:rPr>
          <w:rFonts w:ascii="Arial" w:hAnsi="Arial" w:cs="Arial"/>
        </w:rPr>
      </w:pPr>
    </w:p>
    <w:p w14:paraId="5BDC5E0C" w14:textId="77777777" w:rsidR="00947447" w:rsidRPr="002D1A2F" w:rsidRDefault="00947447">
      <w:pPr>
        <w:tabs>
          <w:tab w:val="left" w:pos="6903"/>
        </w:tabs>
        <w:ind w:left="567"/>
        <w:rPr>
          <w:rFonts w:ascii="Arial" w:hAnsi="Arial" w:cs="Arial"/>
        </w:rPr>
      </w:pPr>
    </w:p>
    <w:p w14:paraId="5005D3D5" w14:textId="77777777" w:rsidR="00E41A2E" w:rsidRPr="002D1A2F" w:rsidRDefault="00E41A2E">
      <w:pPr>
        <w:ind w:left="567" w:hanging="567"/>
        <w:outlineLvl w:val="1"/>
        <w:rPr>
          <w:rFonts w:ascii="Arial" w:hAnsi="Arial" w:cs="Arial"/>
          <w:b/>
          <w:sz w:val="28"/>
          <w:szCs w:val="28"/>
        </w:rPr>
      </w:pPr>
      <w:r w:rsidRPr="002D1A2F">
        <w:rPr>
          <w:rFonts w:ascii="Arial" w:hAnsi="Arial" w:cs="Arial"/>
          <w:b/>
          <w:sz w:val="28"/>
          <w:szCs w:val="28"/>
        </w:rPr>
        <w:t>5.</w:t>
      </w:r>
      <w:r w:rsidRPr="002D1A2F">
        <w:rPr>
          <w:rFonts w:ascii="Arial" w:hAnsi="Arial" w:cs="Arial"/>
          <w:b/>
          <w:sz w:val="28"/>
          <w:szCs w:val="28"/>
        </w:rPr>
        <w:tab/>
        <w:t>Fair value</w:t>
      </w:r>
    </w:p>
    <w:p w14:paraId="0A9C78E2" w14:textId="77777777" w:rsidR="00E41A2E" w:rsidRPr="002D1A2F" w:rsidRDefault="00E41A2E">
      <w:pPr>
        <w:tabs>
          <w:tab w:val="left" w:pos="6903"/>
        </w:tabs>
        <w:ind w:left="567"/>
        <w:rPr>
          <w:rFonts w:ascii="Arial" w:hAnsi="Arial" w:cs="Arial"/>
          <w:sz w:val="20"/>
          <w:szCs w:val="20"/>
        </w:rPr>
      </w:pPr>
      <w:r w:rsidRPr="002D1A2F">
        <w:rPr>
          <w:rFonts w:ascii="Arial" w:hAnsi="Arial" w:cs="Arial"/>
          <w:sz w:val="20"/>
          <w:szCs w:val="20"/>
        </w:rPr>
        <w:t>IFRS 13 ‘Fair Value Measurement’ requires disclosure of fair value measurement by level. The level in the fair value hierarchy within which the financial assets or financial liabilities are categorised is determined on the basis of the lowest level input that is significant to the fair value measurement, adjusted if necessary.</w:t>
      </w:r>
    </w:p>
    <w:p w14:paraId="2FD63C29" w14:textId="77777777" w:rsidR="00E41A2E" w:rsidRPr="002D1A2F" w:rsidRDefault="00E41A2E">
      <w:pPr>
        <w:tabs>
          <w:tab w:val="left" w:pos="6903"/>
        </w:tabs>
        <w:ind w:left="567"/>
        <w:rPr>
          <w:rFonts w:ascii="Arial" w:hAnsi="Arial" w:cs="Arial"/>
          <w:sz w:val="20"/>
          <w:szCs w:val="20"/>
        </w:rPr>
      </w:pPr>
    </w:p>
    <w:p w14:paraId="48CEC45D" w14:textId="77777777" w:rsidR="00E41A2E" w:rsidRPr="002D1A2F" w:rsidRDefault="00E41A2E">
      <w:pPr>
        <w:tabs>
          <w:tab w:val="left" w:pos="6903"/>
        </w:tabs>
        <w:ind w:left="567"/>
        <w:rPr>
          <w:rFonts w:ascii="Arial" w:hAnsi="Arial" w:cs="Arial"/>
          <w:sz w:val="20"/>
          <w:szCs w:val="20"/>
        </w:rPr>
      </w:pPr>
      <w:r w:rsidRPr="002D1A2F">
        <w:rPr>
          <w:rFonts w:ascii="Arial" w:hAnsi="Arial" w:cs="Arial"/>
          <w:sz w:val="20"/>
          <w:szCs w:val="20"/>
        </w:rPr>
        <w:t>Financial assets and financial liabilities are classified in their entirety into only one of the three levels:</w:t>
      </w:r>
    </w:p>
    <w:p w14:paraId="3F500AF6" w14:textId="77777777" w:rsidR="00E41A2E" w:rsidRPr="002D1A2F" w:rsidRDefault="00E41A2E">
      <w:pPr>
        <w:tabs>
          <w:tab w:val="left" w:pos="6903"/>
        </w:tabs>
        <w:ind w:left="567"/>
        <w:rPr>
          <w:rFonts w:ascii="Arial" w:hAnsi="Arial" w:cs="Arial"/>
          <w:sz w:val="20"/>
          <w:szCs w:val="20"/>
        </w:rPr>
      </w:pPr>
    </w:p>
    <w:p w14:paraId="7CC15DC6" w14:textId="77777777" w:rsidR="00E41A2E" w:rsidRPr="002D1A2F" w:rsidRDefault="00E41A2E">
      <w:pPr>
        <w:tabs>
          <w:tab w:val="left" w:pos="6903"/>
        </w:tabs>
        <w:spacing w:after="100"/>
        <w:ind w:left="851" w:hanging="284"/>
        <w:rPr>
          <w:rFonts w:ascii="Arial" w:hAnsi="Arial" w:cs="Arial"/>
          <w:sz w:val="20"/>
          <w:szCs w:val="20"/>
        </w:rPr>
      </w:pPr>
      <w:r w:rsidRPr="002D1A2F">
        <w:rPr>
          <w:rFonts w:ascii="Arial" w:hAnsi="Arial" w:cs="Arial"/>
          <w:sz w:val="20"/>
          <w:szCs w:val="20"/>
        </w:rPr>
        <w:t>•</w:t>
      </w:r>
      <w:r w:rsidRPr="002D1A2F">
        <w:rPr>
          <w:rFonts w:ascii="Arial" w:hAnsi="Arial" w:cs="Arial"/>
          <w:sz w:val="20"/>
          <w:szCs w:val="20"/>
        </w:rPr>
        <w:tab/>
        <w:t>Level 1 – quoted prices (unadjusted) in active markets for identical assets or liabilities;</w:t>
      </w:r>
    </w:p>
    <w:p w14:paraId="2137700A" w14:textId="77777777" w:rsidR="00E41A2E" w:rsidRPr="002D1A2F" w:rsidRDefault="00E41A2E">
      <w:pPr>
        <w:tabs>
          <w:tab w:val="left" w:pos="6903"/>
        </w:tabs>
        <w:spacing w:after="100"/>
        <w:ind w:left="851" w:hanging="284"/>
        <w:rPr>
          <w:rFonts w:ascii="Arial" w:hAnsi="Arial" w:cs="Arial"/>
          <w:sz w:val="20"/>
          <w:szCs w:val="20"/>
        </w:rPr>
      </w:pPr>
      <w:r w:rsidRPr="002D1A2F">
        <w:rPr>
          <w:rFonts w:ascii="Arial" w:hAnsi="Arial" w:cs="Arial"/>
          <w:sz w:val="20"/>
          <w:szCs w:val="20"/>
        </w:rPr>
        <w:t>•</w:t>
      </w:r>
      <w:r w:rsidRPr="002D1A2F">
        <w:rPr>
          <w:rFonts w:ascii="Arial" w:hAnsi="Arial" w:cs="Arial"/>
          <w:sz w:val="20"/>
          <w:szCs w:val="20"/>
        </w:rPr>
        <w:tab/>
        <w:t>Level 2 – inputs other than quoted prices included within Level 1 that are observable for the assets or liabilities, either directly (i.e. as prices) or indirectly (i.e. derived from prices);</w:t>
      </w:r>
    </w:p>
    <w:p w14:paraId="66D1F3E4" w14:textId="77777777" w:rsidR="00E41A2E" w:rsidRPr="002D1A2F" w:rsidRDefault="00E41A2E">
      <w:pPr>
        <w:tabs>
          <w:tab w:val="left" w:pos="6903"/>
        </w:tabs>
        <w:ind w:left="851" w:hanging="284"/>
        <w:rPr>
          <w:rFonts w:ascii="Arial" w:hAnsi="Arial" w:cs="Arial"/>
          <w:sz w:val="20"/>
          <w:szCs w:val="20"/>
        </w:rPr>
      </w:pPr>
      <w:r w:rsidRPr="002D1A2F">
        <w:rPr>
          <w:rFonts w:ascii="Arial" w:hAnsi="Arial" w:cs="Arial"/>
          <w:sz w:val="20"/>
          <w:szCs w:val="20"/>
        </w:rPr>
        <w:t>•</w:t>
      </w:r>
      <w:r w:rsidRPr="002D1A2F">
        <w:rPr>
          <w:rFonts w:ascii="Arial" w:hAnsi="Arial" w:cs="Arial"/>
          <w:sz w:val="20"/>
          <w:szCs w:val="20"/>
        </w:rPr>
        <w:tab/>
        <w:t>Level 3 – inputs for the assets or liabilities that are not based on observable market data (unobservable inputs).</w:t>
      </w:r>
    </w:p>
    <w:p w14:paraId="1F865DE1" w14:textId="77777777" w:rsidR="00E41A2E" w:rsidRPr="002D1A2F" w:rsidRDefault="00E41A2E">
      <w:pPr>
        <w:tabs>
          <w:tab w:val="left" w:pos="6903"/>
        </w:tabs>
        <w:ind w:left="567"/>
        <w:rPr>
          <w:rFonts w:ascii="Arial" w:hAnsi="Arial" w:cs="Arial"/>
          <w:sz w:val="20"/>
          <w:szCs w:val="20"/>
        </w:rPr>
      </w:pPr>
    </w:p>
    <w:p w14:paraId="00CC315F" w14:textId="45D0B7B2" w:rsidR="00E41A2E" w:rsidRPr="002D1A2F" w:rsidRDefault="00E41A2E">
      <w:pPr>
        <w:tabs>
          <w:tab w:val="left" w:pos="6903"/>
        </w:tabs>
        <w:ind w:left="567"/>
        <w:rPr>
          <w:rFonts w:ascii="Arial" w:hAnsi="Arial" w:cs="Arial"/>
          <w:sz w:val="20"/>
          <w:szCs w:val="20"/>
        </w:rPr>
      </w:pPr>
      <w:r w:rsidRPr="002D1A2F">
        <w:rPr>
          <w:rFonts w:ascii="Arial" w:hAnsi="Arial" w:cs="Arial"/>
          <w:sz w:val="20"/>
          <w:szCs w:val="20"/>
        </w:rPr>
        <w:t xml:space="preserve">The Company’s only financial instrument carried at fair value is its investment in the Partnership which has been classified within Level 3 as it is derived using unobservable inputs. Amounts classified under Level 3 </w:t>
      </w:r>
      <w:r w:rsidR="00C75564">
        <w:rPr>
          <w:rFonts w:ascii="Arial" w:hAnsi="Arial" w:cs="Arial"/>
          <w:sz w:val="20"/>
          <w:szCs w:val="20"/>
        </w:rPr>
        <w:t>for the period ended 30 June 2020</w:t>
      </w:r>
      <w:r w:rsidRPr="002D1A2F">
        <w:rPr>
          <w:rFonts w:ascii="Arial" w:hAnsi="Arial" w:cs="Arial"/>
          <w:sz w:val="20"/>
          <w:szCs w:val="20"/>
        </w:rPr>
        <w:t xml:space="preserve"> were </w:t>
      </w:r>
      <w:r w:rsidR="005522B0" w:rsidRPr="002D1A2F">
        <w:rPr>
          <w:rFonts w:ascii="Arial" w:hAnsi="Arial" w:cs="Arial"/>
          <w:sz w:val="20"/>
          <w:szCs w:val="20"/>
        </w:rPr>
        <w:t>$</w:t>
      </w:r>
      <w:r w:rsidR="005522B0">
        <w:rPr>
          <w:rFonts w:ascii="Arial" w:hAnsi="Arial" w:cs="Arial"/>
          <w:sz w:val="20"/>
          <w:szCs w:val="20"/>
        </w:rPr>
        <w:t xml:space="preserve">377 </w:t>
      </w:r>
      <w:r w:rsidRPr="00DC2064">
        <w:rPr>
          <w:rFonts w:ascii="Arial" w:hAnsi="Arial" w:cs="Arial"/>
          <w:sz w:val="20"/>
          <w:szCs w:val="20"/>
        </w:rPr>
        <w:t>million (31 December 201</w:t>
      </w:r>
      <w:r w:rsidR="00C75564">
        <w:rPr>
          <w:rFonts w:ascii="Arial" w:hAnsi="Arial" w:cs="Arial"/>
          <w:sz w:val="20"/>
          <w:szCs w:val="20"/>
        </w:rPr>
        <w:t>9</w:t>
      </w:r>
      <w:r w:rsidRPr="002D1A2F">
        <w:rPr>
          <w:rFonts w:ascii="Arial" w:hAnsi="Arial" w:cs="Arial"/>
          <w:sz w:val="20"/>
          <w:szCs w:val="20"/>
        </w:rPr>
        <w:t>: $</w:t>
      </w:r>
      <w:r w:rsidR="00C75564">
        <w:rPr>
          <w:rFonts w:ascii="Arial" w:hAnsi="Arial" w:cs="Arial"/>
          <w:sz w:val="20"/>
          <w:szCs w:val="20"/>
        </w:rPr>
        <w:t>773</w:t>
      </w:r>
      <w:r w:rsidR="008C2925" w:rsidRPr="002D1A2F">
        <w:rPr>
          <w:rFonts w:ascii="Arial" w:hAnsi="Arial" w:cs="Arial"/>
          <w:sz w:val="20"/>
          <w:szCs w:val="20"/>
        </w:rPr>
        <w:t xml:space="preserve"> </w:t>
      </w:r>
      <w:r w:rsidRPr="002D1A2F">
        <w:rPr>
          <w:rFonts w:ascii="Arial" w:hAnsi="Arial" w:cs="Arial"/>
          <w:sz w:val="20"/>
          <w:szCs w:val="20"/>
        </w:rPr>
        <w:t>million).</w:t>
      </w:r>
    </w:p>
    <w:p w14:paraId="348EB891" w14:textId="77777777" w:rsidR="00E41A2E" w:rsidRPr="002D1A2F" w:rsidRDefault="00E41A2E">
      <w:pPr>
        <w:tabs>
          <w:tab w:val="left" w:pos="6903"/>
        </w:tabs>
        <w:ind w:left="567"/>
        <w:rPr>
          <w:rFonts w:ascii="Arial" w:hAnsi="Arial" w:cs="Arial"/>
          <w:sz w:val="20"/>
          <w:szCs w:val="20"/>
        </w:rPr>
      </w:pPr>
    </w:p>
    <w:p w14:paraId="624B6F36" w14:textId="77777777" w:rsidR="00E41A2E" w:rsidRPr="002D1A2F" w:rsidRDefault="00E41A2E">
      <w:pPr>
        <w:tabs>
          <w:tab w:val="left" w:pos="6903"/>
        </w:tabs>
        <w:ind w:left="567"/>
        <w:rPr>
          <w:rFonts w:ascii="Arial" w:hAnsi="Arial" w:cs="Arial"/>
          <w:sz w:val="20"/>
          <w:szCs w:val="20"/>
        </w:rPr>
      </w:pPr>
      <w:r w:rsidRPr="002D1A2F">
        <w:rPr>
          <w:rFonts w:ascii="Arial" w:hAnsi="Arial" w:cs="Arial"/>
          <w:sz w:val="20"/>
          <w:szCs w:val="20"/>
        </w:rPr>
        <w:t>The fair value of all other financial instruments approximates their carrying value.</w:t>
      </w:r>
    </w:p>
    <w:p w14:paraId="02F65C7A" w14:textId="77777777" w:rsidR="00E41A2E" w:rsidRPr="002D1A2F" w:rsidRDefault="00E41A2E">
      <w:pPr>
        <w:tabs>
          <w:tab w:val="left" w:pos="6903"/>
        </w:tabs>
        <w:ind w:left="567"/>
        <w:rPr>
          <w:rFonts w:ascii="Arial" w:hAnsi="Arial" w:cs="Arial"/>
          <w:sz w:val="26"/>
          <w:szCs w:val="26"/>
        </w:rPr>
      </w:pPr>
    </w:p>
    <w:p w14:paraId="404654C4" w14:textId="77777777" w:rsidR="00E41A2E" w:rsidRPr="002D1A2F" w:rsidRDefault="00E41A2E">
      <w:pPr>
        <w:ind w:left="1134" w:hanging="567"/>
        <w:outlineLvl w:val="2"/>
        <w:rPr>
          <w:rFonts w:ascii="Arial" w:hAnsi="Arial" w:cs="Arial"/>
          <w:sz w:val="26"/>
          <w:szCs w:val="26"/>
        </w:rPr>
      </w:pPr>
      <w:r w:rsidRPr="002D1A2F">
        <w:rPr>
          <w:rFonts w:ascii="Arial" w:hAnsi="Arial" w:cs="Arial"/>
          <w:sz w:val="26"/>
          <w:szCs w:val="26"/>
        </w:rPr>
        <w:t>Transfers during the period</w:t>
      </w:r>
    </w:p>
    <w:p w14:paraId="652EAFA1" w14:textId="101FB3B7" w:rsidR="00E41A2E" w:rsidRPr="002D1A2F" w:rsidRDefault="00E41A2E">
      <w:pPr>
        <w:tabs>
          <w:tab w:val="left" w:pos="6903"/>
        </w:tabs>
        <w:ind w:left="567"/>
        <w:rPr>
          <w:rFonts w:ascii="Arial" w:hAnsi="Arial" w:cs="Arial"/>
          <w:sz w:val="20"/>
          <w:szCs w:val="20"/>
        </w:rPr>
      </w:pPr>
      <w:r w:rsidRPr="002D1A2F">
        <w:rPr>
          <w:rFonts w:ascii="Arial" w:hAnsi="Arial" w:cs="Arial"/>
          <w:sz w:val="20"/>
          <w:szCs w:val="20"/>
        </w:rPr>
        <w:t>There have been no transfers between levels dur</w:t>
      </w:r>
      <w:r w:rsidR="005637CA">
        <w:rPr>
          <w:rFonts w:ascii="Arial" w:hAnsi="Arial" w:cs="Arial"/>
          <w:sz w:val="20"/>
          <w:szCs w:val="20"/>
        </w:rPr>
        <w:t>ing the period ended 30 June 2020</w:t>
      </w:r>
      <w:r w:rsidRPr="002D1A2F">
        <w:rPr>
          <w:rFonts w:ascii="Arial" w:hAnsi="Arial" w:cs="Arial"/>
          <w:sz w:val="20"/>
          <w:szCs w:val="20"/>
        </w:rPr>
        <w:t xml:space="preserve"> and the year ended 31 December 201</w:t>
      </w:r>
      <w:r w:rsidR="005637CA">
        <w:rPr>
          <w:rFonts w:ascii="Arial" w:hAnsi="Arial" w:cs="Arial"/>
          <w:sz w:val="20"/>
          <w:szCs w:val="20"/>
        </w:rPr>
        <w:t>9</w:t>
      </w:r>
      <w:r w:rsidRPr="002D1A2F">
        <w:rPr>
          <w:rFonts w:ascii="Arial" w:hAnsi="Arial" w:cs="Arial"/>
          <w:sz w:val="20"/>
          <w:szCs w:val="20"/>
        </w:rPr>
        <w:t xml:space="preserve">. Any transfers between the levels will be accounted for on the last day of each financial period. Due to the nature of the investment, </w:t>
      </w:r>
      <w:r w:rsidR="001424ED" w:rsidRPr="002D1A2F">
        <w:rPr>
          <w:rFonts w:ascii="Arial" w:hAnsi="Arial" w:cs="Arial"/>
          <w:sz w:val="20"/>
          <w:szCs w:val="20"/>
        </w:rPr>
        <w:t>it is</w:t>
      </w:r>
      <w:r w:rsidRPr="002D1A2F">
        <w:rPr>
          <w:rFonts w:ascii="Arial" w:hAnsi="Arial" w:cs="Arial"/>
          <w:sz w:val="20"/>
          <w:szCs w:val="20"/>
        </w:rPr>
        <w:t xml:space="preserve"> always expected to be classified under Level 3.</w:t>
      </w:r>
    </w:p>
    <w:p w14:paraId="4B14AED2" w14:textId="77777777" w:rsidR="00E41A2E" w:rsidRPr="002D1A2F" w:rsidRDefault="00E41A2E">
      <w:pPr>
        <w:tabs>
          <w:tab w:val="left" w:pos="6903"/>
        </w:tabs>
        <w:ind w:left="567"/>
        <w:rPr>
          <w:rFonts w:ascii="Arial" w:hAnsi="Arial" w:cs="Arial"/>
        </w:rPr>
      </w:pPr>
    </w:p>
    <w:p w14:paraId="73838760" w14:textId="77777777" w:rsidR="00E41A2E" w:rsidRPr="002D1A2F" w:rsidRDefault="00E41A2E">
      <w:pPr>
        <w:ind w:left="1134" w:hanging="567"/>
        <w:outlineLvl w:val="2"/>
        <w:rPr>
          <w:rFonts w:ascii="Arial" w:hAnsi="Arial" w:cs="Arial"/>
          <w:sz w:val="26"/>
          <w:szCs w:val="26"/>
        </w:rPr>
      </w:pPr>
      <w:r w:rsidRPr="002D1A2F">
        <w:rPr>
          <w:rFonts w:ascii="Arial" w:hAnsi="Arial" w:cs="Arial"/>
          <w:sz w:val="26"/>
          <w:szCs w:val="26"/>
        </w:rPr>
        <w:t>Valuation methodology and process</w:t>
      </w:r>
    </w:p>
    <w:p w14:paraId="17ED6CF5" w14:textId="54EBFFB6" w:rsidR="00E41A2E" w:rsidRPr="002D1A2F" w:rsidRDefault="00E41A2E">
      <w:pPr>
        <w:tabs>
          <w:tab w:val="left" w:pos="6903"/>
        </w:tabs>
        <w:ind w:left="567"/>
        <w:rPr>
          <w:rFonts w:ascii="Arial" w:hAnsi="Arial" w:cs="Arial"/>
          <w:sz w:val="20"/>
          <w:szCs w:val="20"/>
        </w:rPr>
      </w:pPr>
      <w:r w:rsidRPr="002D1A2F">
        <w:rPr>
          <w:rFonts w:ascii="Arial" w:hAnsi="Arial" w:cs="Arial"/>
          <w:sz w:val="20"/>
          <w:szCs w:val="20"/>
        </w:rPr>
        <w:t>The same valuation methodology and process was deployed in June 20</w:t>
      </w:r>
      <w:r w:rsidR="00836680">
        <w:rPr>
          <w:rFonts w:ascii="Arial" w:hAnsi="Arial" w:cs="Arial"/>
          <w:sz w:val="20"/>
          <w:szCs w:val="20"/>
        </w:rPr>
        <w:t>20</w:t>
      </w:r>
      <w:r w:rsidRPr="002D1A2F">
        <w:rPr>
          <w:rFonts w:ascii="Arial" w:hAnsi="Arial" w:cs="Arial"/>
          <w:sz w:val="20"/>
          <w:szCs w:val="20"/>
        </w:rPr>
        <w:t xml:space="preserve"> and December 201</w:t>
      </w:r>
      <w:r w:rsidR="00836680">
        <w:rPr>
          <w:rFonts w:ascii="Arial" w:hAnsi="Arial" w:cs="Arial"/>
          <w:sz w:val="20"/>
          <w:szCs w:val="20"/>
        </w:rPr>
        <w:t>9</w:t>
      </w:r>
      <w:r w:rsidRPr="002D1A2F">
        <w:rPr>
          <w:rFonts w:ascii="Arial" w:hAnsi="Arial" w:cs="Arial"/>
          <w:sz w:val="20"/>
          <w:szCs w:val="20"/>
        </w:rPr>
        <w:t>.</w:t>
      </w:r>
    </w:p>
    <w:p w14:paraId="0A79A8E2" w14:textId="77777777" w:rsidR="00E41A2E" w:rsidRPr="002D1A2F" w:rsidRDefault="00E41A2E">
      <w:pPr>
        <w:tabs>
          <w:tab w:val="left" w:pos="6903"/>
        </w:tabs>
        <w:ind w:left="567"/>
        <w:rPr>
          <w:rFonts w:ascii="Arial" w:hAnsi="Arial" w:cs="Arial"/>
          <w:sz w:val="20"/>
          <w:szCs w:val="20"/>
        </w:rPr>
      </w:pPr>
    </w:p>
    <w:p w14:paraId="040239FD" w14:textId="666A0517" w:rsidR="00790C52" w:rsidRDefault="005637CA" w:rsidP="00790C52">
      <w:pPr>
        <w:tabs>
          <w:tab w:val="left" w:pos="6903"/>
        </w:tabs>
        <w:ind w:left="567"/>
        <w:rPr>
          <w:rFonts w:ascii="Arial" w:hAnsi="Arial" w:cs="Arial"/>
          <w:sz w:val="20"/>
          <w:szCs w:val="20"/>
        </w:rPr>
      </w:pPr>
      <w:r>
        <w:rPr>
          <w:rFonts w:ascii="Arial" w:hAnsi="Arial" w:cs="Arial"/>
          <w:sz w:val="20"/>
          <w:szCs w:val="20"/>
        </w:rPr>
        <w:t>For the period ended 30 June 2020</w:t>
      </w:r>
      <w:r w:rsidR="00E41A2E" w:rsidRPr="002D1A2F">
        <w:rPr>
          <w:rFonts w:ascii="Arial" w:hAnsi="Arial" w:cs="Arial"/>
          <w:sz w:val="20"/>
          <w:szCs w:val="20"/>
        </w:rPr>
        <w:t>, the valuations of the Company’s investments, through the Partnership, are detailed in the Investment Manager’s Report.</w:t>
      </w:r>
    </w:p>
    <w:p w14:paraId="59720A7E" w14:textId="07096BED" w:rsidR="00213F9C" w:rsidRDefault="00213F9C" w:rsidP="00790C52">
      <w:pPr>
        <w:tabs>
          <w:tab w:val="left" w:pos="6903"/>
        </w:tabs>
        <w:ind w:left="567"/>
        <w:rPr>
          <w:rFonts w:ascii="Arial" w:hAnsi="Arial" w:cs="Arial"/>
          <w:sz w:val="20"/>
          <w:szCs w:val="20"/>
        </w:rPr>
      </w:pPr>
    </w:p>
    <w:p w14:paraId="79889A90" w14:textId="3BBC4FC1" w:rsidR="00E41A2E" w:rsidRDefault="00E41A2E">
      <w:pPr>
        <w:tabs>
          <w:tab w:val="left" w:pos="6903"/>
        </w:tabs>
        <w:ind w:left="567"/>
        <w:rPr>
          <w:rFonts w:ascii="Arial" w:hAnsi="Arial" w:cs="Arial"/>
          <w:sz w:val="26"/>
          <w:szCs w:val="26"/>
        </w:rPr>
      </w:pPr>
      <w:r w:rsidRPr="002D1A2F">
        <w:rPr>
          <w:rFonts w:ascii="Arial" w:hAnsi="Arial" w:cs="Arial"/>
          <w:sz w:val="26"/>
          <w:szCs w:val="26"/>
        </w:rPr>
        <w:lastRenderedPageBreak/>
        <w:t>Quantitative information about Level 3 fair valu</w:t>
      </w:r>
      <w:r w:rsidR="005637CA">
        <w:rPr>
          <w:rFonts w:ascii="Arial" w:hAnsi="Arial" w:cs="Arial"/>
          <w:sz w:val="26"/>
          <w:szCs w:val="26"/>
        </w:rPr>
        <w:t>e measurements as at 30 June 2020</w:t>
      </w:r>
    </w:p>
    <w:p w14:paraId="424C7222" w14:textId="77777777" w:rsidR="0048637A" w:rsidRPr="002D1A2F" w:rsidRDefault="0048637A">
      <w:pPr>
        <w:tabs>
          <w:tab w:val="left" w:pos="6903"/>
        </w:tabs>
        <w:ind w:left="567"/>
        <w:rPr>
          <w:rFonts w:ascii="Arial" w:hAnsi="Arial" w:cs="Arial"/>
          <w:sz w:val="26"/>
          <w:szCs w:val="26"/>
        </w:rPr>
      </w:pPr>
    </w:p>
    <w:tbl>
      <w:tblPr>
        <w:tblW w:w="5513" w:type="pct"/>
        <w:tblInd w:w="-450" w:type="dxa"/>
        <w:tblLayout w:type="fixed"/>
        <w:tblLook w:val="04A0" w:firstRow="1" w:lastRow="0" w:firstColumn="1" w:lastColumn="0" w:noHBand="0" w:noVBand="1"/>
      </w:tblPr>
      <w:tblGrid>
        <w:gridCol w:w="1279"/>
        <w:gridCol w:w="1277"/>
        <w:gridCol w:w="1460"/>
        <w:gridCol w:w="915"/>
        <w:gridCol w:w="820"/>
        <w:gridCol w:w="108"/>
        <w:gridCol w:w="134"/>
        <w:gridCol w:w="869"/>
        <w:gridCol w:w="2284"/>
        <w:gridCol w:w="1639"/>
      </w:tblGrid>
      <w:tr w:rsidR="00836680" w:rsidRPr="005522B0" w14:paraId="551E85B5" w14:textId="77777777" w:rsidTr="00836680">
        <w:trPr>
          <w:trHeight w:val="315"/>
        </w:trPr>
        <w:tc>
          <w:tcPr>
            <w:tcW w:w="1185" w:type="pct"/>
            <w:gridSpan w:val="2"/>
            <w:tcBorders>
              <w:top w:val="nil"/>
              <w:left w:val="nil"/>
              <w:bottom w:val="nil"/>
              <w:right w:val="nil"/>
            </w:tcBorders>
            <w:shd w:val="clear" w:color="auto" w:fill="auto"/>
            <w:noWrap/>
            <w:hideMark/>
          </w:tcPr>
          <w:p w14:paraId="3C764759" w14:textId="77777777" w:rsidR="00836680" w:rsidRPr="005522B0" w:rsidRDefault="00836680" w:rsidP="00836680">
            <w:pPr>
              <w:rPr>
                <w:rFonts w:ascii="Arial" w:hAnsi="Arial" w:cs="Arial"/>
                <w:color w:val="000000"/>
                <w:sz w:val="16"/>
                <w:szCs w:val="16"/>
                <w:lang w:eastAsia="en-GB"/>
              </w:rPr>
            </w:pPr>
            <w:r w:rsidRPr="005522B0">
              <w:rPr>
                <w:rFonts w:ascii="Arial" w:hAnsi="Arial" w:cs="Arial"/>
                <w:b/>
                <w:bCs/>
                <w:color w:val="000000"/>
                <w:sz w:val="16"/>
                <w:szCs w:val="16"/>
                <w:lang w:eastAsia="en-GB"/>
              </w:rPr>
              <w:t>Industry: Energy</w:t>
            </w:r>
          </w:p>
        </w:tc>
        <w:tc>
          <w:tcPr>
            <w:tcW w:w="677" w:type="pct"/>
            <w:tcBorders>
              <w:top w:val="nil"/>
              <w:left w:val="nil"/>
              <w:bottom w:val="nil"/>
              <w:right w:val="nil"/>
            </w:tcBorders>
            <w:shd w:val="clear" w:color="auto" w:fill="auto"/>
            <w:noWrap/>
            <w:vAlign w:val="bottom"/>
            <w:hideMark/>
          </w:tcPr>
          <w:p w14:paraId="209BE6F1" w14:textId="77777777" w:rsidR="00836680" w:rsidRPr="005522B0" w:rsidRDefault="00836680" w:rsidP="00836680">
            <w:pPr>
              <w:rPr>
                <w:rFonts w:ascii="Arial" w:hAnsi="Arial" w:cs="Arial"/>
                <w:color w:val="000000"/>
                <w:sz w:val="16"/>
                <w:szCs w:val="16"/>
                <w:lang w:eastAsia="en-GB"/>
              </w:rPr>
            </w:pPr>
          </w:p>
        </w:tc>
        <w:tc>
          <w:tcPr>
            <w:tcW w:w="804" w:type="pct"/>
            <w:gridSpan w:val="2"/>
            <w:tcBorders>
              <w:top w:val="nil"/>
              <w:left w:val="nil"/>
              <w:bottom w:val="nil"/>
              <w:right w:val="nil"/>
            </w:tcBorders>
            <w:shd w:val="clear" w:color="auto" w:fill="auto"/>
            <w:noWrap/>
            <w:vAlign w:val="bottom"/>
            <w:hideMark/>
          </w:tcPr>
          <w:p w14:paraId="17F77B94" w14:textId="77777777" w:rsidR="00836680" w:rsidRPr="005522B0" w:rsidRDefault="00836680" w:rsidP="00836680">
            <w:pPr>
              <w:jc w:val="center"/>
              <w:rPr>
                <w:rFonts w:ascii="Arial" w:hAnsi="Arial" w:cs="Arial"/>
                <w:color w:val="000000"/>
                <w:sz w:val="16"/>
                <w:szCs w:val="16"/>
                <w:lang w:eastAsia="en-GB"/>
              </w:rPr>
            </w:pPr>
          </w:p>
        </w:tc>
        <w:tc>
          <w:tcPr>
            <w:tcW w:w="112" w:type="pct"/>
            <w:gridSpan w:val="2"/>
            <w:tcBorders>
              <w:top w:val="nil"/>
              <w:left w:val="nil"/>
              <w:bottom w:val="nil"/>
              <w:right w:val="nil"/>
            </w:tcBorders>
            <w:shd w:val="clear" w:color="auto" w:fill="auto"/>
            <w:noWrap/>
            <w:vAlign w:val="bottom"/>
            <w:hideMark/>
          </w:tcPr>
          <w:p w14:paraId="0C4C8FF2" w14:textId="77777777" w:rsidR="00836680" w:rsidRPr="005522B0" w:rsidRDefault="00836680" w:rsidP="00836680">
            <w:pPr>
              <w:jc w:val="center"/>
              <w:rPr>
                <w:rFonts w:ascii="Arial" w:hAnsi="Arial" w:cs="Arial"/>
                <w:color w:val="000000"/>
                <w:sz w:val="16"/>
                <w:szCs w:val="16"/>
                <w:lang w:eastAsia="en-GB"/>
              </w:rPr>
            </w:pPr>
          </w:p>
        </w:tc>
        <w:tc>
          <w:tcPr>
            <w:tcW w:w="403" w:type="pct"/>
            <w:tcBorders>
              <w:top w:val="nil"/>
              <w:left w:val="nil"/>
              <w:bottom w:val="nil"/>
              <w:right w:val="nil"/>
            </w:tcBorders>
            <w:shd w:val="clear" w:color="auto" w:fill="auto"/>
            <w:noWrap/>
            <w:vAlign w:val="bottom"/>
            <w:hideMark/>
          </w:tcPr>
          <w:p w14:paraId="703AECB6" w14:textId="77777777" w:rsidR="00836680" w:rsidRPr="005522B0" w:rsidRDefault="00836680" w:rsidP="00836680">
            <w:pPr>
              <w:ind w:firstLineChars="100" w:firstLine="160"/>
              <w:jc w:val="right"/>
              <w:rPr>
                <w:rFonts w:ascii="Arial" w:hAnsi="Arial" w:cs="Arial"/>
                <w:color w:val="000000"/>
                <w:sz w:val="16"/>
                <w:szCs w:val="16"/>
                <w:lang w:eastAsia="en-GB"/>
              </w:rPr>
            </w:pPr>
          </w:p>
        </w:tc>
        <w:tc>
          <w:tcPr>
            <w:tcW w:w="1059" w:type="pct"/>
            <w:tcBorders>
              <w:top w:val="nil"/>
              <w:left w:val="nil"/>
              <w:bottom w:val="nil"/>
              <w:right w:val="nil"/>
            </w:tcBorders>
            <w:shd w:val="clear" w:color="auto" w:fill="auto"/>
            <w:noWrap/>
            <w:vAlign w:val="bottom"/>
            <w:hideMark/>
          </w:tcPr>
          <w:p w14:paraId="1F97EBFE" w14:textId="77777777" w:rsidR="00836680" w:rsidRPr="005522B0" w:rsidRDefault="00836680" w:rsidP="00836680">
            <w:pPr>
              <w:rPr>
                <w:rFonts w:ascii="Arial" w:hAnsi="Arial" w:cs="Arial"/>
                <w:color w:val="000000"/>
                <w:sz w:val="16"/>
                <w:szCs w:val="16"/>
                <w:lang w:eastAsia="en-GB"/>
              </w:rPr>
            </w:pPr>
          </w:p>
        </w:tc>
        <w:tc>
          <w:tcPr>
            <w:tcW w:w="760" w:type="pct"/>
            <w:tcBorders>
              <w:top w:val="nil"/>
              <w:left w:val="nil"/>
              <w:bottom w:val="nil"/>
              <w:right w:val="nil"/>
            </w:tcBorders>
            <w:shd w:val="clear" w:color="auto" w:fill="auto"/>
            <w:noWrap/>
            <w:vAlign w:val="bottom"/>
            <w:hideMark/>
          </w:tcPr>
          <w:p w14:paraId="22453C14" w14:textId="77777777" w:rsidR="00836680" w:rsidRPr="005522B0" w:rsidRDefault="00836680" w:rsidP="00836680">
            <w:pPr>
              <w:rPr>
                <w:rFonts w:ascii="Arial" w:hAnsi="Arial" w:cs="Arial"/>
                <w:color w:val="000000"/>
                <w:sz w:val="16"/>
                <w:szCs w:val="16"/>
                <w:lang w:eastAsia="en-GB"/>
              </w:rPr>
            </w:pPr>
          </w:p>
        </w:tc>
      </w:tr>
      <w:tr w:rsidR="00836680" w:rsidRPr="005522B0" w14:paraId="2EC64FAA" w14:textId="77777777" w:rsidTr="00836680">
        <w:trPr>
          <w:trHeight w:val="215"/>
        </w:trPr>
        <w:tc>
          <w:tcPr>
            <w:tcW w:w="593" w:type="pct"/>
            <w:tcBorders>
              <w:top w:val="nil"/>
              <w:left w:val="nil"/>
              <w:bottom w:val="nil"/>
              <w:right w:val="nil"/>
            </w:tcBorders>
            <w:shd w:val="clear" w:color="auto" w:fill="auto"/>
            <w:noWrap/>
            <w:hideMark/>
          </w:tcPr>
          <w:p w14:paraId="0EFC64AC" w14:textId="77777777" w:rsidR="00836680" w:rsidRPr="005522B0" w:rsidRDefault="00836680" w:rsidP="00836680">
            <w:pPr>
              <w:rPr>
                <w:rFonts w:ascii="Arial" w:hAnsi="Arial" w:cs="Arial"/>
                <w:b/>
                <w:bCs/>
                <w:sz w:val="16"/>
                <w:szCs w:val="16"/>
                <w:lang w:eastAsia="en-GB"/>
              </w:rPr>
            </w:pPr>
            <w:r w:rsidRPr="005522B0">
              <w:rPr>
                <w:rFonts w:ascii="Arial" w:hAnsi="Arial" w:cs="Arial"/>
                <w:b/>
                <w:bCs/>
                <w:sz w:val="16"/>
                <w:szCs w:val="16"/>
                <w:lang w:eastAsia="en-GB"/>
              </w:rPr>
              <w:t xml:space="preserve">Fair value </w:t>
            </w:r>
            <w:r w:rsidRPr="005522B0">
              <w:rPr>
                <w:rFonts w:ascii="Arial" w:eastAsiaTheme="minorHAnsi" w:hAnsi="Arial" w:cs="Arial"/>
                <w:b/>
                <w:bCs/>
                <w:sz w:val="16"/>
                <w:szCs w:val="16"/>
              </w:rPr>
              <w:t xml:space="preserve">of Level 3 </w:t>
            </w:r>
          </w:p>
        </w:tc>
        <w:tc>
          <w:tcPr>
            <w:tcW w:w="592" w:type="pct"/>
            <w:tcBorders>
              <w:top w:val="nil"/>
              <w:left w:val="nil"/>
              <w:bottom w:val="nil"/>
              <w:right w:val="nil"/>
            </w:tcBorders>
            <w:shd w:val="clear" w:color="auto" w:fill="auto"/>
            <w:noWrap/>
            <w:vAlign w:val="bottom"/>
            <w:hideMark/>
          </w:tcPr>
          <w:p w14:paraId="03AECDE4" w14:textId="77777777" w:rsidR="00836680" w:rsidRPr="005522B0" w:rsidRDefault="00836680" w:rsidP="00836680">
            <w:pPr>
              <w:rPr>
                <w:rFonts w:ascii="Arial" w:hAnsi="Arial" w:cs="Arial"/>
                <w:b/>
                <w:bCs/>
                <w:sz w:val="16"/>
                <w:szCs w:val="16"/>
                <w:lang w:eastAsia="en-GB"/>
              </w:rPr>
            </w:pPr>
          </w:p>
        </w:tc>
        <w:tc>
          <w:tcPr>
            <w:tcW w:w="677" w:type="pct"/>
            <w:tcBorders>
              <w:top w:val="nil"/>
              <w:left w:val="nil"/>
              <w:bottom w:val="nil"/>
              <w:right w:val="nil"/>
            </w:tcBorders>
            <w:shd w:val="clear" w:color="auto" w:fill="auto"/>
            <w:noWrap/>
            <w:vAlign w:val="bottom"/>
            <w:hideMark/>
          </w:tcPr>
          <w:p w14:paraId="641D482B" w14:textId="77777777" w:rsidR="00836680" w:rsidRPr="005522B0" w:rsidRDefault="00836680" w:rsidP="00836680">
            <w:pPr>
              <w:rPr>
                <w:rFonts w:ascii="Arial" w:hAnsi="Arial" w:cs="Arial"/>
                <w:b/>
                <w:bCs/>
                <w:sz w:val="16"/>
                <w:szCs w:val="16"/>
                <w:lang w:eastAsia="en-GB"/>
              </w:rPr>
            </w:pPr>
          </w:p>
        </w:tc>
        <w:tc>
          <w:tcPr>
            <w:tcW w:w="804" w:type="pct"/>
            <w:gridSpan w:val="2"/>
            <w:tcBorders>
              <w:top w:val="nil"/>
              <w:left w:val="nil"/>
              <w:bottom w:val="nil"/>
              <w:right w:val="nil"/>
            </w:tcBorders>
            <w:shd w:val="clear" w:color="auto" w:fill="auto"/>
            <w:noWrap/>
            <w:vAlign w:val="bottom"/>
            <w:hideMark/>
          </w:tcPr>
          <w:p w14:paraId="52667721" w14:textId="77777777" w:rsidR="00836680" w:rsidRPr="005522B0" w:rsidRDefault="00836680" w:rsidP="00836680">
            <w:pPr>
              <w:rPr>
                <w:rFonts w:ascii="Arial" w:hAnsi="Arial" w:cs="Arial"/>
                <w:color w:val="000000"/>
                <w:sz w:val="16"/>
                <w:szCs w:val="16"/>
                <w:lang w:eastAsia="en-GB"/>
              </w:rPr>
            </w:pPr>
          </w:p>
        </w:tc>
        <w:tc>
          <w:tcPr>
            <w:tcW w:w="112" w:type="pct"/>
            <w:gridSpan w:val="2"/>
            <w:tcBorders>
              <w:top w:val="nil"/>
              <w:left w:val="nil"/>
              <w:bottom w:val="nil"/>
              <w:right w:val="nil"/>
            </w:tcBorders>
            <w:shd w:val="clear" w:color="auto" w:fill="auto"/>
            <w:noWrap/>
            <w:vAlign w:val="bottom"/>
            <w:hideMark/>
          </w:tcPr>
          <w:p w14:paraId="3FF52134" w14:textId="77777777" w:rsidR="00836680" w:rsidRPr="005522B0" w:rsidRDefault="00836680" w:rsidP="00836680">
            <w:pPr>
              <w:rPr>
                <w:rFonts w:ascii="Arial" w:hAnsi="Arial" w:cs="Arial"/>
                <w:color w:val="000000"/>
                <w:sz w:val="16"/>
                <w:szCs w:val="16"/>
                <w:lang w:eastAsia="en-GB"/>
              </w:rPr>
            </w:pPr>
          </w:p>
        </w:tc>
        <w:tc>
          <w:tcPr>
            <w:tcW w:w="403" w:type="pct"/>
            <w:tcBorders>
              <w:top w:val="nil"/>
              <w:left w:val="nil"/>
              <w:bottom w:val="nil"/>
              <w:right w:val="nil"/>
            </w:tcBorders>
            <w:shd w:val="clear" w:color="auto" w:fill="auto"/>
            <w:noWrap/>
            <w:vAlign w:val="bottom"/>
            <w:hideMark/>
          </w:tcPr>
          <w:p w14:paraId="3A07972A" w14:textId="77777777" w:rsidR="00836680" w:rsidRPr="005522B0" w:rsidRDefault="00836680" w:rsidP="00836680">
            <w:pPr>
              <w:rPr>
                <w:rFonts w:ascii="Arial" w:hAnsi="Arial" w:cs="Arial"/>
                <w:color w:val="000000"/>
                <w:sz w:val="16"/>
                <w:szCs w:val="16"/>
                <w:lang w:eastAsia="en-GB"/>
              </w:rPr>
            </w:pPr>
          </w:p>
        </w:tc>
        <w:tc>
          <w:tcPr>
            <w:tcW w:w="1059" w:type="pct"/>
            <w:tcBorders>
              <w:top w:val="nil"/>
              <w:left w:val="nil"/>
              <w:bottom w:val="nil"/>
              <w:right w:val="nil"/>
            </w:tcBorders>
            <w:shd w:val="clear" w:color="auto" w:fill="auto"/>
            <w:noWrap/>
            <w:vAlign w:val="bottom"/>
            <w:hideMark/>
          </w:tcPr>
          <w:p w14:paraId="503F06D7" w14:textId="77777777" w:rsidR="00836680" w:rsidRPr="005522B0" w:rsidRDefault="00836680" w:rsidP="00836680">
            <w:pPr>
              <w:jc w:val="right"/>
              <w:rPr>
                <w:rFonts w:ascii="Arial" w:hAnsi="Arial" w:cs="Arial"/>
                <w:b/>
                <w:bCs/>
                <w:sz w:val="16"/>
                <w:szCs w:val="16"/>
                <w:lang w:eastAsia="en-GB"/>
              </w:rPr>
            </w:pPr>
            <w:r w:rsidRPr="005522B0">
              <w:rPr>
                <w:rFonts w:ascii="Arial" w:eastAsiaTheme="minorHAnsi" w:hAnsi="Arial" w:cs="Arial"/>
                <w:b/>
                <w:bCs/>
                <w:sz w:val="16"/>
                <w:szCs w:val="16"/>
              </w:rPr>
              <w:t>Sensitivity of the</w:t>
            </w:r>
          </w:p>
        </w:tc>
        <w:tc>
          <w:tcPr>
            <w:tcW w:w="760" w:type="pct"/>
            <w:tcBorders>
              <w:top w:val="nil"/>
              <w:left w:val="nil"/>
              <w:bottom w:val="nil"/>
              <w:right w:val="nil"/>
            </w:tcBorders>
            <w:shd w:val="clear" w:color="auto" w:fill="auto"/>
            <w:noWrap/>
            <w:vAlign w:val="bottom"/>
            <w:hideMark/>
          </w:tcPr>
          <w:p w14:paraId="1CF6451E" w14:textId="77777777" w:rsidR="00836680" w:rsidRPr="005522B0" w:rsidRDefault="00836680" w:rsidP="00836680">
            <w:pPr>
              <w:jc w:val="right"/>
              <w:rPr>
                <w:rFonts w:ascii="Arial" w:hAnsi="Arial" w:cs="Arial"/>
                <w:color w:val="000000"/>
                <w:sz w:val="16"/>
                <w:szCs w:val="16"/>
                <w:lang w:eastAsia="en-GB"/>
              </w:rPr>
            </w:pPr>
            <w:r w:rsidRPr="005522B0">
              <w:rPr>
                <w:rFonts w:ascii="Arial" w:eastAsiaTheme="minorHAnsi" w:hAnsi="Arial" w:cs="Arial"/>
                <w:b/>
                <w:bCs/>
                <w:sz w:val="16"/>
                <w:szCs w:val="16"/>
              </w:rPr>
              <w:t>Fair value of Level 3</w:t>
            </w:r>
          </w:p>
        </w:tc>
      </w:tr>
      <w:tr w:rsidR="00836680" w:rsidRPr="005522B0" w14:paraId="26042E6D" w14:textId="77777777" w:rsidTr="00836680">
        <w:trPr>
          <w:trHeight w:val="133"/>
        </w:trPr>
        <w:tc>
          <w:tcPr>
            <w:tcW w:w="593" w:type="pct"/>
            <w:tcBorders>
              <w:top w:val="nil"/>
              <w:left w:val="nil"/>
              <w:right w:val="nil"/>
            </w:tcBorders>
            <w:shd w:val="clear" w:color="auto" w:fill="auto"/>
            <w:noWrap/>
            <w:hideMark/>
          </w:tcPr>
          <w:p w14:paraId="08EAF657" w14:textId="77777777" w:rsidR="00836680" w:rsidRPr="005522B0" w:rsidRDefault="00836680" w:rsidP="00836680">
            <w:pPr>
              <w:rPr>
                <w:rFonts w:ascii="Arial" w:hAnsi="Arial" w:cs="Arial"/>
                <w:b/>
                <w:bCs/>
                <w:color w:val="000000"/>
                <w:sz w:val="16"/>
                <w:szCs w:val="16"/>
                <w:lang w:eastAsia="en-GB"/>
              </w:rPr>
            </w:pPr>
            <w:r w:rsidRPr="005522B0">
              <w:rPr>
                <w:rFonts w:ascii="Arial" w:eastAsiaTheme="minorHAnsi" w:hAnsi="Arial" w:cs="Arial"/>
                <w:b/>
                <w:bCs/>
                <w:sz w:val="16"/>
                <w:szCs w:val="16"/>
              </w:rPr>
              <w:t>investments</w:t>
            </w:r>
          </w:p>
        </w:tc>
        <w:tc>
          <w:tcPr>
            <w:tcW w:w="592" w:type="pct"/>
            <w:tcBorders>
              <w:top w:val="nil"/>
              <w:left w:val="nil"/>
              <w:right w:val="nil"/>
            </w:tcBorders>
            <w:shd w:val="clear" w:color="auto" w:fill="auto"/>
            <w:noWrap/>
            <w:vAlign w:val="bottom"/>
            <w:hideMark/>
          </w:tcPr>
          <w:p w14:paraId="38F92951" w14:textId="77777777" w:rsidR="00836680" w:rsidRPr="005522B0" w:rsidRDefault="00836680" w:rsidP="00836680">
            <w:pPr>
              <w:jc w:val="right"/>
              <w:rPr>
                <w:rFonts w:ascii="Arial" w:hAnsi="Arial" w:cs="Arial"/>
                <w:b/>
                <w:bCs/>
                <w:sz w:val="16"/>
                <w:szCs w:val="16"/>
                <w:lang w:eastAsia="en-GB"/>
              </w:rPr>
            </w:pPr>
            <w:r w:rsidRPr="005522B0">
              <w:rPr>
                <w:rFonts w:ascii="Arial" w:hAnsi="Arial" w:cs="Arial"/>
                <w:b/>
                <w:bCs/>
                <w:sz w:val="16"/>
                <w:szCs w:val="16"/>
                <w:lang w:eastAsia="en-GB"/>
              </w:rPr>
              <w:t>Valuation</w:t>
            </w:r>
          </w:p>
        </w:tc>
        <w:tc>
          <w:tcPr>
            <w:tcW w:w="677" w:type="pct"/>
            <w:tcBorders>
              <w:top w:val="nil"/>
              <w:left w:val="nil"/>
              <w:right w:val="nil"/>
            </w:tcBorders>
            <w:shd w:val="clear" w:color="auto" w:fill="auto"/>
            <w:noWrap/>
            <w:vAlign w:val="bottom"/>
            <w:hideMark/>
          </w:tcPr>
          <w:p w14:paraId="49B2EDBB" w14:textId="77777777" w:rsidR="00836680" w:rsidRPr="005522B0" w:rsidRDefault="00836680" w:rsidP="00836680">
            <w:pPr>
              <w:jc w:val="right"/>
              <w:rPr>
                <w:rFonts w:ascii="Arial" w:hAnsi="Arial" w:cs="Arial"/>
                <w:b/>
                <w:bCs/>
                <w:sz w:val="16"/>
                <w:szCs w:val="16"/>
                <w:lang w:eastAsia="en-GB"/>
              </w:rPr>
            </w:pPr>
            <w:r w:rsidRPr="005522B0">
              <w:rPr>
                <w:rFonts w:ascii="Arial" w:hAnsi="Arial" w:cs="Arial"/>
                <w:b/>
                <w:bCs/>
                <w:sz w:val="16"/>
                <w:szCs w:val="16"/>
                <w:lang w:eastAsia="en-GB"/>
              </w:rPr>
              <w:t>Unobservable</w:t>
            </w:r>
          </w:p>
        </w:tc>
        <w:tc>
          <w:tcPr>
            <w:tcW w:w="854" w:type="pct"/>
            <w:gridSpan w:val="3"/>
            <w:tcBorders>
              <w:top w:val="nil"/>
              <w:left w:val="nil"/>
              <w:right w:val="nil"/>
            </w:tcBorders>
            <w:shd w:val="clear" w:color="auto" w:fill="auto"/>
            <w:noWrap/>
            <w:vAlign w:val="bottom"/>
            <w:hideMark/>
          </w:tcPr>
          <w:p w14:paraId="7056E896" w14:textId="77777777" w:rsidR="00836680" w:rsidRPr="005522B0" w:rsidRDefault="00836680" w:rsidP="00836680">
            <w:pPr>
              <w:jc w:val="center"/>
              <w:rPr>
                <w:rFonts w:ascii="Arial" w:hAnsi="Arial" w:cs="Arial"/>
                <w:b/>
                <w:bCs/>
                <w:sz w:val="16"/>
                <w:szCs w:val="16"/>
                <w:lang w:eastAsia="en-GB"/>
              </w:rPr>
            </w:pPr>
            <w:r w:rsidRPr="005522B0">
              <w:rPr>
                <w:rFonts w:ascii="Arial" w:hAnsi="Arial" w:cs="Arial"/>
                <w:b/>
                <w:bCs/>
                <w:sz w:val="16"/>
                <w:szCs w:val="16"/>
                <w:lang w:eastAsia="en-GB"/>
              </w:rPr>
              <w:t>Range</w:t>
            </w:r>
          </w:p>
        </w:tc>
        <w:tc>
          <w:tcPr>
            <w:tcW w:w="465" w:type="pct"/>
            <w:gridSpan w:val="2"/>
            <w:vMerge w:val="restart"/>
            <w:tcBorders>
              <w:top w:val="nil"/>
              <w:left w:val="nil"/>
              <w:right w:val="nil"/>
            </w:tcBorders>
            <w:shd w:val="clear" w:color="auto" w:fill="auto"/>
            <w:vAlign w:val="bottom"/>
            <w:hideMark/>
          </w:tcPr>
          <w:p w14:paraId="5125B189" w14:textId="77777777" w:rsidR="00836680" w:rsidRPr="005522B0" w:rsidRDefault="00836680" w:rsidP="00836680">
            <w:pPr>
              <w:jc w:val="right"/>
              <w:rPr>
                <w:rFonts w:ascii="Arial" w:hAnsi="Arial" w:cs="Arial"/>
                <w:b/>
                <w:bCs/>
                <w:sz w:val="16"/>
                <w:szCs w:val="16"/>
                <w:lang w:eastAsia="en-GB"/>
              </w:rPr>
            </w:pPr>
            <w:r w:rsidRPr="005522B0">
              <w:rPr>
                <w:rFonts w:ascii="Arial" w:hAnsi="Arial" w:cs="Arial"/>
                <w:b/>
                <w:bCs/>
                <w:sz w:val="16"/>
                <w:szCs w:val="16"/>
                <w:lang w:eastAsia="en-GB"/>
              </w:rPr>
              <w:t xml:space="preserve">Weighted Average </w:t>
            </w:r>
            <w:r w:rsidRPr="005522B0">
              <w:rPr>
                <w:rFonts w:ascii="Arial" w:hAnsi="Arial" w:cs="Arial"/>
                <w:b/>
                <w:bCs/>
                <w:sz w:val="16"/>
                <w:szCs w:val="16"/>
                <w:vertAlign w:val="superscript"/>
                <w:lang w:eastAsia="en-GB"/>
              </w:rPr>
              <w:t>(1)</w:t>
            </w:r>
          </w:p>
        </w:tc>
        <w:tc>
          <w:tcPr>
            <w:tcW w:w="1059" w:type="pct"/>
            <w:tcBorders>
              <w:top w:val="nil"/>
              <w:left w:val="nil"/>
              <w:right w:val="nil"/>
            </w:tcBorders>
            <w:shd w:val="clear" w:color="auto" w:fill="auto"/>
            <w:noWrap/>
            <w:vAlign w:val="bottom"/>
            <w:hideMark/>
          </w:tcPr>
          <w:p w14:paraId="2E18B61A" w14:textId="77777777" w:rsidR="00836680" w:rsidRPr="005522B0" w:rsidRDefault="00836680" w:rsidP="00836680">
            <w:pPr>
              <w:jc w:val="right"/>
              <w:rPr>
                <w:rFonts w:ascii="Arial" w:hAnsi="Arial" w:cs="Arial"/>
                <w:b/>
                <w:bCs/>
                <w:sz w:val="16"/>
                <w:szCs w:val="16"/>
                <w:lang w:eastAsia="en-GB"/>
              </w:rPr>
            </w:pPr>
            <w:r w:rsidRPr="005522B0">
              <w:rPr>
                <w:rFonts w:ascii="Arial" w:eastAsiaTheme="minorHAnsi" w:hAnsi="Arial" w:cs="Arial"/>
                <w:b/>
                <w:bCs/>
                <w:sz w:val="16"/>
                <w:szCs w:val="16"/>
              </w:rPr>
              <w:t>input to fair value of</w:t>
            </w:r>
          </w:p>
        </w:tc>
        <w:tc>
          <w:tcPr>
            <w:tcW w:w="760" w:type="pct"/>
            <w:tcBorders>
              <w:top w:val="nil"/>
              <w:left w:val="nil"/>
              <w:right w:val="nil"/>
            </w:tcBorders>
            <w:shd w:val="clear" w:color="auto" w:fill="auto"/>
            <w:noWrap/>
            <w:vAlign w:val="bottom"/>
            <w:hideMark/>
          </w:tcPr>
          <w:p w14:paraId="050EDB6A" w14:textId="77777777" w:rsidR="00836680" w:rsidRPr="005522B0" w:rsidRDefault="00836680" w:rsidP="00836680">
            <w:pPr>
              <w:jc w:val="right"/>
              <w:rPr>
                <w:rFonts w:ascii="Arial" w:hAnsi="Arial" w:cs="Arial"/>
                <w:b/>
                <w:bCs/>
                <w:sz w:val="16"/>
                <w:szCs w:val="16"/>
                <w:lang w:eastAsia="en-GB"/>
              </w:rPr>
            </w:pPr>
            <w:r w:rsidRPr="005522B0">
              <w:rPr>
                <w:rFonts w:ascii="Arial" w:eastAsiaTheme="minorHAnsi" w:hAnsi="Arial" w:cs="Arial"/>
                <w:b/>
                <w:bCs/>
                <w:sz w:val="16"/>
                <w:szCs w:val="16"/>
              </w:rPr>
              <w:t xml:space="preserve">Investments affected by unobservable input </w:t>
            </w:r>
            <w:r w:rsidRPr="005522B0">
              <w:rPr>
                <w:rFonts w:ascii="Arial" w:eastAsiaTheme="minorHAnsi" w:hAnsi="Arial" w:cs="Arial"/>
                <w:b/>
                <w:bCs/>
                <w:sz w:val="16"/>
                <w:szCs w:val="16"/>
                <w:vertAlign w:val="superscript"/>
              </w:rPr>
              <w:t>(3)</w:t>
            </w:r>
          </w:p>
        </w:tc>
      </w:tr>
      <w:tr w:rsidR="00836680" w:rsidRPr="005522B0" w14:paraId="4A1CA7A0" w14:textId="77777777" w:rsidTr="00836680">
        <w:trPr>
          <w:trHeight w:val="239"/>
        </w:trPr>
        <w:tc>
          <w:tcPr>
            <w:tcW w:w="593" w:type="pct"/>
            <w:tcBorders>
              <w:top w:val="nil"/>
              <w:left w:val="nil"/>
              <w:bottom w:val="single" w:sz="4" w:space="0" w:color="auto"/>
              <w:right w:val="nil"/>
            </w:tcBorders>
            <w:shd w:val="clear" w:color="auto" w:fill="auto"/>
            <w:noWrap/>
            <w:hideMark/>
          </w:tcPr>
          <w:p w14:paraId="0975D8ED" w14:textId="77777777" w:rsidR="00836680" w:rsidRPr="005522B0" w:rsidRDefault="00836680" w:rsidP="00836680">
            <w:pPr>
              <w:rPr>
                <w:rFonts w:ascii="Arial" w:hAnsi="Arial" w:cs="Arial"/>
                <w:b/>
                <w:bCs/>
                <w:sz w:val="16"/>
                <w:szCs w:val="16"/>
                <w:lang w:eastAsia="en-GB"/>
              </w:rPr>
            </w:pPr>
            <w:r w:rsidRPr="005522B0">
              <w:rPr>
                <w:rFonts w:ascii="Arial" w:hAnsi="Arial" w:cs="Arial"/>
                <w:b/>
                <w:bCs/>
                <w:color w:val="000000"/>
                <w:sz w:val="16"/>
                <w:szCs w:val="16"/>
                <w:lang w:eastAsia="en-GB"/>
              </w:rPr>
              <w:t>(in thousands)</w:t>
            </w:r>
          </w:p>
        </w:tc>
        <w:tc>
          <w:tcPr>
            <w:tcW w:w="592" w:type="pct"/>
            <w:tcBorders>
              <w:top w:val="nil"/>
              <w:left w:val="nil"/>
              <w:bottom w:val="single" w:sz="4" w:space="0" w:color="auto"/>
              <w:right w:val="nil"/>
            </w:tcBorders>
            <w:shd w:val="clear" w:color="auto" w:fill="auto"/>
            <w:noWrap/>
            <w:vAlign w:val="bottom"/>
            <w:hideMark/>
          </w:tcPr>
          <w:p w14:paraId="090FC0F6" w14:textId="77777777" w:rsidR="00836680" w:rsidRPr="005522B0" w:rsidRDefault="00836680" w:rsidP="00836680">
            <w:pPr>
              <w:jc w:val="right"/>
              <w:rPr>
                <w:rFonts w:ascii="Arial" w:hAnsi="Arial" w:cs="Arial"/>
                <w:b/>
                <w:bCs/>
                <w:sz w:val="16"/>
                <w:szCs w:val="16"/>
                <w:lang w:eastAsia="en-GB"/>
              </w:rPr>
            </w:pPr>
            <w:r w:rsidRPr="005522B0">
              <w:rPr>
                <w:rFonts w:ascii="Arial" w:hAnsi="Arial" w:cs="Arial"/>
                <w:b/>
                <w:bCs/>
                <w:sz w:val="16"/>
                <w:szCs w:val="16"/>
                <w:lang w:eastAsia="en-GB"/>
              </w:rPr>
              <w:t>technique(s)</w:t>
            </w:r>
          </w:p>
        </w:tc>
        <w:tc>
          <w:tcPr>
            <w:tcW w:w="677" w:type="pct"/>
            <w:tcBorders>
              <w:top w:val="nil"/>
              <w:left w:val="nil"/>
              <w:bottom w:val="single" w:sz="4" w:space="0" w:color="auto"/>
              <w:right w:val="nil"/>
            </w:tcBorders>
            <w:shd w:val="clear" w:color="auto" w:fill="auto"/>
            <w:noWrap/>
            <w:vAlign w:val="bottom"/>
            <w:hideMark/>
          </w:tcPr>
          <w:p w14:paraId="3C6A4E12" w14:textId="77777777" w:rsidR="00836680" w:rsidRPr="005522B0" w:rsidRDefault="00836680" w:rsidP="00836680">
            <w:pPr>
              <w:jc w:val="right"/>
              <w:rPr>
                <w:rFonts w:ascii="Arial" w:hAnsi="Arial" w:cs="Arial"/>
                <w:b/>
                <w:bCs/>
                <w:sz w:val="16"/>
                <w:szCs w:val="16"/>
                <w:lang w:eastAsia="en-GB"/>
              </w:rPr>
            </w:pPr>
            <w:r w:rsidRPr="005522B0">
              <w:rPr>
                <w:rFonts w:ascii="Arial" w:hAnsi="Arial" w:cs="Arial"/>
                <w:b/>
                <w:bCs/>
                <w:sz w:val="16"/>
                <w:szCs w:val="16"/>
                <w:lang w:eastAsia="en-GB"/>
              </w:rPr>
              <w:t>input(s)</w:t>
            </w:r>
          </w:p>
        </w:tc>
        <w:tc>
          <w:tcPr>
            <w:tcW w:w="424" w:type="pct"/>
            <w:tcBorders>
              <w:top w:val="nil"/>
              <w:left w:val="nil"/>
              <w:bottom w:val="single" w:sz="4" w:space="0" w:color="auto"/>
              <w:right w:val="nil"/>
            </w:tcBorders>
            <w:shd w:val="clear" w:color="auto" w:fill="auto"/>
            <w:noWrap/>
            <w:vAlign w:val="bottom"/>
            <w:hideMark/>
          </w:tcPr>
          <w:p w14:paraId="5541E4ED" w14:textId="77777777" w:rsidR="00836680" w:rsidRPr="005522B0" w:rsidRDefault="00836680" w:rsidP="00836680">
            <w:pPr>
              <w:jc w:val="right"/>
              <w:rPr>
                <w:rFonts w:ascii="Arial" w:hAnsi="Arial" w:cs="Arial"/>
                <w:b/>
                <w:bCs/>
                <w:sz w:val="16"/>
                <w:szCs w:val="16"/>
                <w:lang w:eastAsia="en-GB"/>
              </w:rPr>
            </w:pPr>
            <w:r w:rsidRPr="005522B0">
              <w:rPr>
                <w:rFonts w:ascii="Arial" w:hAnsi="Arial" w:cs="Arial"/>
                <w:b/>
                <w:bCs/>
                <w:sz w:val="16"/>
                <w:szCs w:val="16"/>
                <w:lang w:eastAsia="en-GB"/>
              </w:rPr>
              <w:t xml:space="preserve">Low </w:t>
            </w:r>
            <w:r w:rsidRPr="005522B0">
              <w:rPr>
                <w:rFonts w:ascii="Arial" w:hAnsi="Arial" w:cs="Arial"/>
                <w:b/>
                <w:bCs/>
                <w:sz w:val="16"/>
                <w:szCs w:val="16"/>
                <w:vertAlign w:val="superscript"/>
                <w:lang w:eastAsia="en-GB"/>
              </w:rPr>
              <w:t>(1)</w:t>
            </w:r>
          </w:p>
        </w:tc>
        <w:tc>
          <w:tcPr>
            <w:tcW w:w="430" w:type="pct"/>
            <w:gridSpan w:val="2"/>
            <w:tcBorders>
              <w:top w:val="nil"/>
              <w:left w:val="nil"/>
              <w:bottom w:val="single" w:sz="4" w:space="0" w:color="auto"/>
              <w:right w:val="nil"/>
            </w:tcBorders>
            <w:shd w:val="clear" w:color="auto" w:fill="auto"/>
            <w:noWrap/>
            <w:vAlign w:val="bottom"/>
            <w:hideMark/>
          </w:tcPr>
          <w:p w14:paraId="5BF83083" w14:textId="77777777" w:rsidR="00836680" w:rsidRPr="005522B0" w:rsidRDefault="00836680" w:rsidP="00836680">
            <w:pPr>
              <w:jc w:val="right"/>
              <w:rPr>
                <w:rFonts w:ascii="Arial" w:hAnsi="Arial" w:cs="Arial"/>
                <w:b/>
                <w:bCs/>
                <w:sz w:val="16"/>
                <w:szCs w:val="16"/>
                <w:lang w:eastAsia="en-GB"/>
              </w:rPr>
            </w:pPr>
            <w:r w:rsidRPr="005522B0">
              <w:rPr>
                <w:rFonts w:ascii="Arial" w:hAnsi="Arial" w:cs="Arial"/>
                <w:b/>
                <w:bCs/>
                <w:sz w:val="16"/>
                <w:szCs w:val="16"/>
                <w:lang w:eastAsia="en-GB"/>
              </w:rPr>
              <w:t xml:space="preserve">High </w:t>
            </w:r>
            <w:r w:rsidRPr="005522B0">
              <w:rPr>
                <w:rFonts w:ascii="Arial" w:hAnsi="Arial" w:cs="Arial"/>
                <w:b/>
                <w:bCs/>
                <w:sz w:val="16"/>
                <w:szCs w:val="16"/>
                <w:vertAlign w:val="superscript"/>
                <w:lang w:eastAsia="en-GB"/>
              </w:rPr>
              <w:t>(1)</w:t>
            </w:r>
          </w:p>
        </w:tc>
        <w:tc>
          <w:tcPr>
            <w:tcW w:w="465" w:type="pct"/>
            <w:gridSpan w:val="2"/>
            <w:vMerge/>
            <w:tcBorders>
              <w:top w:val="nil"/>
              <w:left w:val="nil"/>
              <w:bottom w:val="single" w:sz="4" w:space="0" w:color="auto"/>
              <w:right w:val="nil"/>
            </w:tcBorders>
            <w:vAlign w:val="bottom"/>
            <w:hideMark/>
          </w:tcPr>
          <w:p w14:paraId="5B69F851" w14:textId="77777777" w:rsidR="00836680" w:rsidRPr="005522B0" w:rsidRDefault="00836680" w:rsidP="00836680">
            <w:pPr>
              <w:jc w:val="right"/>
              <w:rPr>
                <w:rFonts w:ascii="Arial" w:hAnsi="Arial" w:cs="Arial"/>
                <w:b/>
                <w:bCs/>
                <w:sz w:val="16"/>
                <w:szCs w:val="16"/>
                <w:lang w:eastAsia="en-GB"/>
              </w:rPr>
            </w:pPr>
          </w:p>
        </w:tc>
        <w:tc>
          <w:tcPr>
            <w:tcW w:w="1059" w:type="pct"/>
            <w:tcBorders>
              <w:top w:val="nil"/>
              <w:left w:val="nil"/>
              <w:bottom w:val="single" w:sz="4" w:space="0" w:color="auto"/>
              <w:right w:val="nil"/>
            </w:tcBorders>
            <w:shd w:val="clear" w:color="auto" w:fill="auto"/>
            <w:noWrap/>
            <w:vAlign w:val="bottom"/>
            <w:hideMark/>
          </w:tcPr>
          <w:p w14:paraId="0B681664" w14:textId="77777777" w:rsidR="00836680" w:rsidRPr="005522B0" w:rsidRDefault="00836680" w:rsidP="00836680">
            <w:pPr>
              <w:jc w:val="right"/>
              <w:rPr>
                <w:rFonts w:ascii="Arial" w:hAnsi="Arial" w:cs="Arial"/>
                <w:b/>
                <w:bCs/>
                <w:sz w:val="16"/>
                <w:szCs w:val="16"/>
                <w:lang w:eastAsia="en-GB"/>
              </w:rPr>
            </w:pPr>
            <w:r w:rsidRPr="005522B0">
              <w:rPr>
                <w:rFonts w:ascii="Arial" w:eastAsiaTheme="minorHAnsi" w:hAnsi="Arial" w:cs="Arial"/>
                <w:b/>
                <w:bCs/>
                <w:sz w:val="16"/>
                <w:szCs w:val="16"/>
              </w:rPr>
              <w:t>Level 3 investments</w:t>
            </w:r>
            <w:r w:rsidRPr="005522B0">
              <w:rPr>
                <w:rFonts w:ascii="Arial" w:eastAsiaTheme="minorHAnsi" w:hAnsi="Arial" w:cs="Arial"/>
                <w:b/>
                <w:bCs/>
                <w:sz w:val="16"/>
                <w:szCs w:val="16"/>
                <w:vertAlign w:val="superscript"/>
              </w:rPr>
              <w:t>(2)</w:t>
            </w:r>
          </w:p>
        </w:tc>
        <w:tc>
          <w:tcPr>
            <w:tcW w:w="760" w:type="pct"/>
            <w:tcBorders>
              <w:top w:val="nil"/>
              <w:left w:val="nil"/>
              <w:bottom w:val="single" w:sz="4" w:space="0" w:color="auto"/>
              <w:right w:val="nil"/>
            </w:tcBorders>
            <w:shd w:val="clear" w:color="auto" w:fill="auto"/>
            <w:noWrap/>
            <w:vAlign w:val="bottom"/>
            <w:hideMark/>
          </w:tcPr>
          <w:p w14:paraId="332FC170" w14:textId="77777777" w:rsidR="00836680" w:rsidRPr="005522B0" w:rsidRDefault="00836680" w:rsidP="00836680">
            <w:pPr>
              <w:jc w:val="right"/>
              <w:rPr>
                <w:rFonts w:ascii="Arial" w:hAnsi="Arial" w:cs="Arial"/>
                <w:b/>
                <w:bCs/>
                <w:sz w:val="16"/>
                <w:szCs w:val="16"/>
                <w:lang w:eastAsia="en-GB"/>
              </w:rPr>
            </w:pPr>
            <w:r w:rsidRPr="005522B0">
              <w:rPr>
                <w:rFonts w:ascii="Arial" w:eastAsiaTheme="minorHAnsi" w:hAnsi="Arial" w:cs="Arial"/>
                <w:b/>
                <w:bCs/>
                <w:sz w:val="16"/>
                <w:szCs w:val="16"/>
              </w:rPr>
              <w:t>(in thousands)</w:t>
            </w:r>
          </w:p>
        </w:tc>
      </w:tr>
      <w:tr w:rsidR="00836680" w:rsidRPr="005522B0" w14:paraId="300C15CF" w14:textId="77777777" w:rsidTr="00836680">
        <w:trPr>
          <w:trHeight w:val="75"/>
        </w:trPr>
        <w:tc>
          <w:tcPr>
            <w:tcW w:w="593" w:type="pct"/>
            <w:tcBorders>
              <w:top w:val="single" w:sz="4" w:space="0" w:color="auto"/>
              <w:left w:val="nil"/>
              <w:right w:val="nil"/>
            </w:tcBorders>
            <w:shd w:val="clear" w:color="auto" w:fill="auto"/>
            <w:noWrap/>
            <w:vAlign w:val="bottom"/>
            <w:hideMark/>
          </w:tcPr>
          <w:p w14:paraId="485778F8" w14:textId="77777777" w:rsidR="00836680" w:rsidRPr="005522B0" w:rsidRDefault="00836680" w:rsidP="00836680">
            <w:pPr>
              <w:rPr>
                <w:rFonts w:ascii="Arial" w:hAnsi="Arial" w:cs="Arial"/>
                <w:color w:val="000000"/>
                <w:sz w:val="16"/>
                <w:szCs w:val="16"/>
                <w:lang w:eastAsia="en-GB"/>
              </w:rPr>
            </w:pPr>
            <w:r w:rsidRPr="005522B0">
              <w:rPr>
                <w:rFonts w:ascii="Arial" w:hAnsi="Arial" w:cs="Arial"/>
                <w:color w:val="000000"/>
                <w:sz w:val="16"/>
                <w:szCs w:val="16"/>
                <w:lang w:eastAsia="en-GB"/>
              </w:rPr>
              <w:t> </w:t>
            </w:r>
          </w:p>
        </w:tc>
        <w:tc>
          <w:tcPr>
            <w:tcW w:w="592" w:type="pct"/>
            <w:tcBorders>
              <w:top w:val="single" w:sz="4" w:space="0" w:color="auto"/>
              <w:left w:val="nil"/>
              <w:right w:val="nil"/>
            </w:tcBorders>
            <w:shd w:val="clear" w:color="auto" w:fill="auto"/>
            <w:noWrap/>
            <w:vAlign w:val="bottom"/>
            <w:hideMark/>
          </w:tcPr>
          <w:p w14:paraId="5EC8A5BF" w14:textId="77777777" w:rsidR="00836680" w:rsidRPr="005522B0" w:rsidRDefault="00836680" w:rsidP="00836680">
            <w:pPr>
              <w:rPr>
                <w:rFonts w:ascii="Arial" w:hAnsi="Arial" w:cs="Arial"/>
                <w:color w:val="000000"/>
                <w:sz w:val="16"/>
                <w:szCs w:val="16"/>
                <w:lang w:eastAsia="en-GB"/>
              </w:rPr>
            </w:pPr>
            <w:r w:rsidRPr="005522B0">
              <w:rPr>
                <w:rFonts w:ascii="Arial" w:hAnsi="Arial" w:cs="Arial"/>
                <w:color w:val="000000"/>
                <w:sz w:val="16"/>
                <w:szCs w:val="16"/>
                <w:lang w:eastAsia="en-GB"/>
              </w:rPr>
              <w:t> </w:t>
            </w:r>
          </w:p>
        </w:tc>
        <w:tc>
          <w:tcPr>
            <w:tcW w:w="677" w:type="pct"/>
            <w:tcBorders>
              <w:top w:val="single" w:sz="4" w:space="0" w:color="auto"/>
              <w:left w:val="nil"/>
              <w:right w:val="nil"/>
            </w:tcBorders>
            <w:shd w:val="clear" w:color="auto" w:fill="auto"/>
            <w:noWrap/>
            <w:vAlign w:val="bottom"/>
            <w:hideMark/>
          </w:tcPr>
          <w:p w14:paraId="528B808E" w14:textId="77777777" w:rsidR="00836680" w:rsidRPr="005522B0" w:rsidRDefault="00836680" w:rsidP="00836680">
            <w:pPr>
              <w:rPr>
                <w:rFonts w:ascii="Arial" w:hAnsi="Arial" w:cs="Arial"/>
                <w:color w:val="000000"/>
                <w:sz w:val="16"/>
                <w:szCs w:val="16"/>
                <w:lang w:eastAsia="en-GB"/>
              </w:rPr>
            </w:pPr>
            <w:r w:rsidRPr="005522B0">
              <w:rPr>
                <w:rFonts w:ascii="Arial" w:hAnsi="Arial" w:cs="Arial"/>
                <w:color w:val="000000"/>
                <w:sz w:val="16"/>
                <w:szCs w:val="16"/>
                <w:lang w:eastAsia="en-GB"/>
              </w:rPr>
              <w:t> </w:t>
            </w:r>
          </w:p>
        </w:tc>
        <w:tc>
          <w:tcPr>
            <w:tcW w:w="424" w:type="pct"/>
            <w:tcBorders>
              <w:top w:val="single" w:sz="4" w:space="0" w:color="auto"/>
              <w:left w:val="nil"/>
              <w:right w:val="nil"/>
            </w:tcBorders>
            <w:shd w:val="clear" w:color="auto" w:fill="auto"/>
            <w:noWrap/>
            <w:vAlign w:val="bottom"/>
            <w:hideMark/>
          </w:tcPr>
          <w:p w14:paraId="4CCF9E34" w14:textId="77777777" w:rsidR="00836680" w:rsidRPr="005522B0" w:rsidRDefault="00836680" w:rsidP="00836680">
            <w:pPr>
              <w:ind w:firstLineChars="100" w:firstLine="160"/>
              <w:jc w:val="right"/>
              <w:rPr>
                <w:rFonts w:ascii="Arial" w:hAnsi="Arial" w:cs="Arial"/>
                <w:color w:val="000000"/>
                <w:sz w:val="16"/>
                <w:szCs w:val="16"/>
                <w:lang w:eastAsia="en-GB"/>
              </w:rPr>
            </w:pPr>
            <w:r w:rsidRPr="005522B0">
              <w:rPr>
                <w:rFonts w:ascii="Arial" w:hAnsi="Arial" w:cs="Arial"/>
                <w:color w:val="000000"/>
                <w:sz w:val="16"/>
                <w:szCs w:val="16"/>
                <w:lang w:eastAsia="en-GB"/>
              </w:rPr>
              <w:t> </w:t>
            </w:r>
          </w:p>
        </w:tc>
        <w:tc>
          <w:tcPr>
            <w:tcW w:w="430" w:type="pct"/>
            <w:gridSpan w:val="2"/>
            <w:tcBorders>
              <w:top w:val="single" w:sz="4" w:space="0" w:color="auto"/>
              <w:left w:val="nil"/>
              <w:right w:val="nil"/>
            </w:tcBorders>
            <w:shd w:val="clear" w:color="auto" w:fill="auto"/>
            <w:noWrap/>
            <w:vAlign w:val="bottom"/>
            <w:hideMark/>
          </w:tcPr>
          <w:p w14:paraId="53F509D4" w14:textId="77777777" w:rsidR="00836680" w:rsidRPr="005522B0" w:rsidRDefault="00836680" w:rsidP="00836680">
            <w:pPr>
              <w:ind w:firstLineChars="100" w:firstLine="160"/>
              <w:jc w:val="right"/>
              <w:rPr>
                <w:rFonts w:ascii="Arial" w:hAnsi="Arial" w:cs="Arial"/>
                <w:color w:val="000000"/>
                <w:sz w:val="16"/>
                <w:szCs w:val="16"/>
                <w:lang w:eastAsia="en-GB"/>
              </w:rPr>
            </w:pPr>
            <w:r w:rsidRPr="005522B0">
              <w:rPr>
                <w:rFonts w:ascii="Arial" w:hAnsi="Arial" w:cs="Arial"/>
                <w:color w:val="000000"/>
                <w:sz w:val="16"/>
                <w:szCs w:val="16"/>
                <w:lang w:eastAsia="en-GB"/>
              </w:rPr>
              <w:t> </w:t>
            </w:r>
          </w:p>
        </w:tc>
        <w:tc>
          <w:tcPr>
            <w:tcW w:w="465" w:type="pct"/>
            <w:gridSpan w:val="2"/>
            <w:tcBorders>
              <w:top w:val="single" w:sz="4" w:space="0" w:color="auto"/>
              <w:left w:val="nil"/>
              <w:right w:val="nil"/>
            </w:tcBorders>
            <w:shd w:val="clear" w:color="auto" w:fill="auto"/>
            <w:noWrap/>
            <w:vAlign w:val="bottom"/>
            <w:hideMark/>
          </w:tcPr>
          <w:p w14:paraId="7A86FB27" w14:textId="77777777" w:rsidR="00836680" w:rsidRPr="005522B0" w:rsidRDefault="00836680" w:rsidP="00836680">
            <w:pPr>
              <w:ind w:firstLineChars="200" w:firstLine="320"/>
              <w:jc w:val="right"/>
              <w:rPr>
                <w:rFonts w:ascii="Arial" w:hAnsi="Arial" w:cs="Arial"/>
                <w:color w:val="000000"/>
                <w:sz w:val="16"/>
                <w:szCs w:val="16"/>
                <w:lang w:eastAsia="en-GB"/>
              </w:rPr>
            </w:pPr>
            <w:r w:rsidRPr="005522B0">
              <w:rPr>
                <w:rFonts w:ascii="Arial" w:hAnsi="Arial" w:cs="Arial"/>
                <w:color w:val="000000"/>
                <w:sz w:val="16"/>
                <w:szCs w:val="16"/>
                <w:lang w:eastAsia="en-GB"/>
              </w:rPr>
              <w:t> </w:t>
            </w:r>
          </w:p>
        </w:tc>
        <w:tc>
          <w:tcPr>
            <w:tcW w:w="1059" w:type="pct"/>
            <w:tcBorders>
              <w:top w:val="single" w:sz="4" w:space="0" w:color="auto"/>
              <w:left w:val="nil"/>
              <w:right w:val="nil"/>
            </w:tcBorders>
            <w:shd w:val="clear" w:color="auto" w:fill="auto"/>
            <w:noWrap/>
            <w:vAlign w:val="bottom"/>
            <w:hideMark/>
          </w:tcPr>
          <w:p w14:paraId="275E1203" w14:textId="77777777" w:rsidR="00836680" w:rsidRPr="005522B0" w:rsidRDefault="00836680" w:rsidP="00836680">
            <w:pPr>
              <w:rPr>
                <w:rFonts w:ascii="Arial" w:hAnsi="Arial" w:cs="Arial"/>
                <w:color w:val="000000"/>
                <w:sz w:val="16"/>
                <w:szCs w:val="16"/>
                <w:lang w:eastAsia="en-GB"/>
              </w:rPr>
            </w:pPr>
          </w:p>
        </w:tc>
        <w:tc>
          <w:tcPr>
            <w:tcW w:w="760" w:type="pct"/>
            <w:tcBorders>
              <w:top w:val="single" w:sz="4" w:space="0" w:color="auto"/>
              <w:left w:val="nil"/>
              <w:right w:val="nil"/>
            </w:tcBorders>
            <w:shd w:val="clear" w:color="auto" w:fill="auto"/>
            <w:noWrap/>
            <w:vAlign w:val="bottom"/>
            <w:hideMark/>
          </w:tcPr>
          <w:p w14:paraId="5EE5C6E5" w14:textId="77777777" w:rsidR="00836680" w:rsidRPr="005522B0" w:rsidRDefault="00836680" w:rsidP="00836680">
            <w:pPr>
              <w:rPr>
                <w:rFonts w:ascii="Arial" w:hAnsi="Arial" w:cs="Arial"/>
                <w:color w:val="000000"/>
                <w:sz w:val="16"/>
                <w:szCs w:val="16"/>
                <w:lang w:eastAsia="en-GB"/>
              </w:rPr>
            </w:pPr>
            <w:r w:rsidRPr="005522B0">
              <w:rPr>
                <w:rFonts w:ascii="Arial" w:hAnsi="Arial" w:cs="Arial"/>
                <w:color w:val="000000"/>
                <w:sz w:val="16"/>
                <w:szCs w:val="16"/>
                <w:lang w:eastAsia="en-GB"/>
              </w:rPr>
              <w:t> </w:t>
            </w:r>
          </w:p>
        </w:tc>
      </w:tr>
      <w:tr w:rsidR="00836680" w:rsidRPr="005522B0" w14:paraId="231F6026" w14:textId="77777777" w:rsidTr="00836680">
        <w:trPr>
          <w:trHeight w:val="799"/>
        </w:trPr>
        <w:tc>
          <w:tcPr>
            <w:tcW w:w="593" w:type="pct"/>
            <w:tcBorders>
              <w:top w:val="nil"/>
              <w:left w:val="nil"/>
              <w:bottom w:val="nil"/>
              <w:right w:val="nil"/>
            </w:tcBorders>
            <w:shd w:val="clear" w:color="auto" w:fill="auto"/>
            <w:noWrap/>
            <w:vAlign w:val="bottom"/>
          </w:tcPr>
          <w:p w14:paraId="5AAD7F23" w14:textId="24CC8970" w:rsidR="00836680" w:rsidRPr="005522B0" w:rsidRDefault="00836680" w:rsidP="00836680">
            <w:pPr>
              <w:rPr>
                <w:rFonts w:ascii="Arial" w:hAnsi="Arial" w:cs="Arial"/>
                <w:color w:val="000000"/>
                <w:sz w:val="16"/>
                <w:szCs w:val="16"/>
                <w:lang w:eastAsia="en-GB"/>
              </w:rPr>
            </w:pPr>
            <w:r w:rsidRPr="005522B0">
              <w:rPr>
                <w:rFonts w:ascii="Arial" w:hAnsi="Arial" w:cs="Arial"/>
                <w:color w:val="000000"/>
                <w:sz w:val="16"/>
                <w:szCs w:val="16"/>
                <w:lang w:eastAsia="en-GB"/>
              </w:rPr>
              <w:t>$</w:t>
            </w:r>
            <w:r w:rsidR="004A09CB">
              <w:rPr>
                <w:rFonts w:ascii="Arial" w:hAnsi="Arial" w:cs="Arial"/>
                <w:color w:val="000000"/>
                <w:sz w:val="16"/>
                <w:szCs w:val="16"/>
                <w:lang w:eastAsia="en-GB"/>
              </w:rPr>
              <w:t>186,759</w:t>
            </w:r>
          </w:p>
        </w:tc>
        <w:tc>
          <w:tcPr>
            <w:tcW w:w="592" w:type="pct"/>
            <w:tcBorders>
              <w:top w:val="nil"/>
              <w:left w:val="nil"/>
              <w:bottom w:val="nil"/>
              <w:right w:val="nil"/>
            </w:tcBorders>
            <w:shd w:val="clear" w:color="auto" w:fill="auto"/>
            <w:noWrap/>
            <w:vAlign w:val="bottom"/>
          </w:tcPr>
          <w:p w14:paraId="4CF352DB" w14:textId="77777777"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Public comparables</w:t>
            </w:r>
          </w:p>
        </w:tc>
        <w:tc>
          <w:tcPr>
            <w:tcW w:w="677" w:type="pct"/>
            <w:tcBorders>
              <w:top w:val="nil"/>
              <w:left w:val="nil"/>
              <w:bottom w:val="nil"/>
              <w:right w:val="nil"/>
            </w:tcBorders>
            <w:shd w:val="clear" w:color="auto" w:fill="auto"/>
            <w:noWrap/>
            <w:vAlign w:val="bottom"/>
          </w:tcPr>
          <w:p w14:paraId="2DBE800A" w14:textId="747FFC50"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20</w:t>
            </w:r>
            <w:r w:rsidR="000D2882">
              <w:rPr>
                <w:rFonts w:ascii="Arial" w:hAnsi="Arial" w:cs="Arial"/>
                <w:color w:val="000000"/>
                <w:sz w:val="16"/>
                <w:szCs w:val="16"/>
                <w:lang w:eastAsia="en-GB"/>
              </w:rPr>
              <w:t>20</w:t>
            </w:r>
            <w:r w:rsidRPr="005522B0">
              <w:rPr>
                <w:rFonts w:ascii="Arial" w:hAnsi="Arial" w:cs="Arial"/>
                <w:color w:val="000000"/>
                <w:sz w:val="16"/>
                <w:szCs w:val="16"/>
                <w:lang w:eastAsia="en-GB"/>
              </w:rPr>
              <w:t xml:space="preserve"> EV / EBITDA Multiple</w:t>
            </w:r>
            <w:r w:rsidRPr="005522B0">
              <w:rPr>
                <w:rFonts w:ascii="Arial" w:hAnsi="Arial" w:cs="Arial"/>
                <w:color w:val="000000"/>
                <w:sz w:val="16"/>
                <w:szCs w:val="16"/>
                <w:vertAlign w:val="superscript"/>
                <w:lang w:eastAsia="en-GB"/>
              </w:rPr>
              <w:t>(</w:t>
            </w:r>
            <w:r w:rsidR="00B06A1A">
              <w:rPr>
                <w:rFonts w:ascii="Arial" w:hAnsi="Arial" w:cs="Arial"/>
                <w:color w:val="000000"/>
                <w:sz w:val="16"/>
                <w:szCs w:val="16"/>
                <w:vertAlign w:val="superscript"/>
                <w:lang w:eastAsia="en-GB"/>
              </w:rPr>
              <w:t>5</w:t>
            </w:r>
            <w:r w:rsidRPr="005522B0">
              <w:rPr>
                <w:rFonts w:ascii="Arial" w:hAnsi="Arial" w:cs="Arial"/>
                <w:color w:val="000000"/>
                <w:sz w:val="16"/>
                <w:szCs w:val="16"/>
                <w:vertAlign w:val="superscript"/>
                <w:lang w:eastAsia="en-GB"/>
              </w:rPr>
              <w:t>)</w:t>
            </w:r>
          </w:p>
        </w:tc>
        <w:tc>
          <w:tcPr>
            <w:tcW w:w="424" w:type="pct"/>
            <w:tcBorders>
              <w:top w:val="nil"/>
              <w:left w:val="nil"/>
              <w:bottom w:val="nil"/>
              <w:right w:val="nil"/>
            </w:tcBorders>
            <w:shd w:val="clear" w:color="auto" w:fill="auto"/>
            <w:noWrap/>
            <w:vAlign w:val="bottom"/>
          </w:tcPr>
          <w:p w14:paraId="0042C95E" w14:textId="7C78CF4D" w:rsidR="00836680" w:rsidRPr="005522B0" w:rsidRDefault="000D2882" w:rsidP="00836680">
            <w:pPr>
              <w:jc w:val="right"/>
              <w:rPr>
                <w:rFonts w:ascii="Arial" w:hAnsi="Arial" w:cs="Arial"/>
                <w:color w:val="000000"/>
                <w:sz w:val="16"/>
                <w:szCs w:val="16"/>
                <w:lang w:eastAsia="en-GB"/>
              </w:rPr>
            </w:pPr>
            <w:r>
              <w:rPr>
                <w:rFonts w:ascii="Arial" w:hAnsi="Arial" w:cs="Arial"/>
                <w:color w:val="000000"/>
                <w:sz w:val="16"/>
                <w:szCs w:val="16"/>
                <w:lang w:eastAsia="en-GB"/>
              </w:rPr>
              <w:t>3.1</w:t>
            </w:r>
            <w:r w:rsidR="00836680" w:rsidRPr="005522B0">
              <w:rPr>
                <w:rFonts w:ascii="Arial" w:hAnsi="Arial" w:cs="Arial"/>
                <w:color w:val="000000"/>
                <w:sz w:val="16"/>
                <w:szCs w:val="16"/>
                <w:lang w:eastAsia="en-GB"/>
              </w:rPr>
              <w:t>x</w:t>
            </w:r>
          </w:p>
        </w:tc>
        <w:tc>
          <w:tcPr>
            <w:tcW w:w="430" w:type="pct"/>
            <w:gridSpan w:val="2"/>
            <w:tcBorders>
              <w:top w:val="nil"/>
              <w:left w:val="nil"/>
              <w:bottom w:val="nil"/>
              <w:right w:val="nil"/>
            </w:tcBorders>
            <w:shd w:val="clear" w:color="auto" w:fill="auto"/>
            <w:noWrap/>
            <w:vAlign w:val="bottom"/>
          </w:tcPr>
          <w:p w14:paraId="1D33C470" w14:textId="0A7FE9ED" w:rsidR="00836680" w:rsidRPr="005522B0" w:rsidRDefault="000D2882" w:rsidP="00836680">
            <w:pPr>
              <w:jc w:val="right"/>
              <w:rPr>
                <w:rFonts w:ascii="Arial" w:hAnsi="Arial" w:cs="Arial"/>
                <w:color w:val="000000"/>
                <w:sz w:val="16"/>
                <w:szCs w:val="16"/>
                <w:lang w:eastAsia="en-GB"/>
              </w:rPr>
            </w:pPr>
            <w:r>
              <w:rPr>
                <w:rFonts w:ascii="Arial" w:hAnsi="Arial" w:cs="Arial"/>
                <w:color w:val="000000"/>
                <w:sz w:val="16"/>
                <w:szCs w:val="16"/>
                <w:lang w:eastAsia="en-GB"/>
              </w:rPr>
              <w:t>4.2</w:t>
            </w:r>
            <w:r w:rsidR="00836680" w:rsidRPr="005522B0">
              <w:rPr>
                <w:rFonts w:ascii="Arial" w:hAnsi="Arial" w:cs="Arial"/>
                <w:color w:val="000000"/>
                <w:sz w:val="16"/>
                <w:szCs w:val="16"/>
                <w:lang w:eastAsia="en-GB"/>
              </w:rPr>
              <w:t>x</w:t>
            </w:r>
          </w:p>
        </w:tc>
        <w:tc>
          <w:tcPr>
            <w:tcW w:w="465" w:type="pct"/>
            <w:gridSpan w:val="2"/>
            <w:tcBorders>
              <w:top w:val="nil"/>
              <w:left w:val="nil"/>
              <w:bottom w:val="nil"/>
              <w:right w:val="nil"/>
            </w:tcBorders>
            <w:shd w:val="clear" w:color="auto" w:fill="auto"/>
            <w:noWrap/>
            <w:vAlign w:val="bottom"/>
          </w:tcPr>
          <w:p w14:paraId="6603B362" w14:textId="3CA31DFD" w:rsidR="00836680" w:rsidRPr="005522B0" w:rsidRDefault="000D2882" w:rsidP="00836680">
            <w:pPr>
              <w:jc w:val="right"/>
              <w:rPr>
                <w:rFonts w:ascii="Arial" w:hAnsi="Arial" w:cs="Arial"/>
                <w:color w:val="000000"/>
                <w:sz w:val="16"/>
                <w:szCs w:val="16"/>
                <w:lang w:eastAsia="en-GB"/>
              </w:rPr>
            </w:pPr>
            <w:r>
              <w:rPr>
                <w:rFonts w:ascii="Arial" w:hAnsi="Arial" w:cs="Arial"/>
                <w:color w:val="000000"/>
                <w:sz w:val="16"/>
                <w:szCs w:val="16"/>
                <w:lang w:eastAsia="en-GB"/>
              </w:rPr>
              <w:t>3.2</w:t>
            </w:r>
            <w:r w:rsidR="00836680" w:rsidRPr="005522B0">
              <w:rPr>
                <w:rFonts w:ascii="Arial" w:hAnsi="Arial" w:cs="Arial"/>
                <w:color w:val="000000"/>
                <w:sz w:val="16"/>
                <w:szCs w:val="16"/>
                <w:lang w:eastAsia="en-GB"/>
              </w:rPr>
              <w:t>x</w:t>
            </w:r>
          </w:p>
        </w:tc>
        <w:tc>
          <w:tcPr>
            <w:tcW w:w="1059" w:type="pct"/>
            <w:tcBorders>
              <w:top w:val="nil"/>
              <w:left w:val="nil"/>
              <w:bottom w:val="nil"/>
              <w:right w:val="nil"/>
            </w:tcBorders>
            <w:shd w:val="clear" w:color="000000" w:fill="FFFFFF"/>
          </w:tcPr>
          <w:p w14:paraId="3705B5C1" w14:textId="58C258D0" w:rsidR="00836680" w:rsidRPr="005522B0" w:rsidRDefault="007E4ACD" w:rsidP="00836680">
            <w:pPr>
              <w:jc w:val="right"/>
              <w:rPr>
                <w:rFonts w:ascii="Arial" w:hAnsi="Arial" w:cs="Arial"/>
                <w:color w:val="000000"/>
                <w:sz w:val="16"/>
                <w:szCs w:val="16"/>
                <w:lang w:eastAsia="en-GB"/>
              </w:rPr>
            </w:pPr>
            <w:r>
              <w:rPr>
                <w:rFonts w:ascii="Arial" w:hAnsi="Arial" w:cs="Arial"/>
                <w:color w:val="000000"/>
                <w:sz w:val="16"/>
                <w:szCs w:val="16"/>
                <w:lang w:eastAsia="en-GB"/>
              </w:rPr>
              <w:t>30</w:t>
            </w:r>
            <w:r w:rsidR="00836680" w:rsidRPr="005522B0">
              <w:rPr>
                <w:rFonts w:ascii="Arial" w:hAnsi="Arial" w:cs="Arial"/>
                <w:color w:val="000000"/>
                <w:sz w:val="16"/>
                <w:szCs w:val="16"/>
                <w:lang w:eastAsia="en-GB"/>
              </w:rPr>
              <w:t xml:space="preserve"> per cent. weighted average change in the input would result in 3 per cent. change in the total fair value of Level 3 investments</w:t>
            </w:r>
          </w:p>
        </w:tc>
        <w:tc>
          <w:tcPr>
            <w:tcW w:w="760" w:type="pct"/>
            <w:tcBorders>
              <w:top w:val="nil"/>
              <w:left w:val="nil"/>
              <w:bottom w:val="nil"/>
              <w:right w:val="nil"/>
            </w:tcBorders>
            <w:shd w:val="clear" w:color="auto" w:fill="auto"/>
            <w:noWrap/>
            <w:vAlign w:val="bottom"/>
          </w:tcPr>
          <w:p w14:paraId="711A9051" w14:textId="56952805"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0D2882">
              <w:rPr>
                <w:rFonts w:ascii="Arial" w:hAnsi="Arial" w:cs="Arial"/>
                <w:color w:val="000000"/>
                <w:sz w:val="16"/>
                <w:szCs w:val="16"/>
                <w:lang w:eastAsia="en-GB"/>
              </w:rPr>
              <w:t>32,408</w:t>
            </w:r>
          </w:p>
        </w:tc>
      </w:tr>
      <w:tr w:rsidR="00836680" w:rsidRPr="005522B0" w14:paraId="049A6E4E" w14:textId="77777777" w:rsidTr="00836680">
        <w:trPr>
          <w:trHeight w:val="799"/>
        </w:trPr>
        <w:tc>
          <w:tcPr>
            <w:tcW w:w="593" w:type="pct"/>
            <w:tcBorders>
              <w:top w:val="nil"/>
              <w:left w:val="nil"/>
              <w:bottom w:val="nil"/>
              <w:right w:val="nil"/>
            </w:tcBorders>
            <w:shd w:val="clear" w:color="auto" w:fill="auto"/>
            <w:noWrap/>
            <w:vAlign w:val="bottom"/>
          </w:tcPr>
          <w:p w14:paraId="38319228" w14:textId="77777777" w:rsidR="00836680" w:rsidRPr="005522B0" w:rsidRDefault="00836680" w:rsidP="00836680">
            <w:pPr>
              <w:rPr>
                <w:rFonts w:ascii="Arial" w:hAnsi="Arial" w:cs="Arial"/>
                <w:color w:val="000000"/>
                <w:sz w:val="16"/>
                <w:szCs w:val="16"/>
                <w:lang w:eastAsia="en-GB"/>
              </w:rPr>
            </w:pPr>
          </w:p>
        </w:tc>
        <w:tc>
          <w:tcPr>
            <w:tcW w:w="592" w:type="pct"/>
            <w:tcBorders>
              <w:top w:val="nil"/>
              <w:left w:val="nil"/>
              <w:bottom w:val="nil"/>
              <w:right w:val="nil"/>
            </w:tcBorders>
            <w:shd w:val="clear" w:color="auto" w:fill="auto"/>
            <w:noWrap/>
            <w:vAlign w:val="bottom"/>
          </w:tcPr>
          <w:p w14:paraId="60C0DDDF" w14:textId="77777777" w:rsidR="00836680" w:rsidRPr="005522B0" w:rsidRDefault="00836680" w:rsidP="00836680">
            <w:pPr>
              <w:jc w:val="right"/>
              <w:rPr>
                <w:rFonts w:ascii="Arial" w:hAnsi="Arial" w:cs="Arial"/>
                <w:color w:val="000000"/>
                <w:sz w:val="16"/>
                <w:szCs w:val="16"/>
                <w:lang w:eastAsia="en-GB"/>
              </w:rPr>
            </w:pPr>
          </w:p>
        </w:tc>
        <w:tc>
          <w:tcPr>
            <w:tcW w:w="677" w:type="pct"/>
            <w:tcBorders>
              <w:top w:val="nil"/>
              <w:left w:val="nil"/>
              <w:bottom w:val="nil"/>
              <w:right w:val="nil"/>
            </w:tcBorders>
            <w:shd w:val="clear" w:color="auto" w:fill="auto"/>
            <w:noWrap/>
            <w:vAlign w:val="bottom"/>
          </w:tcPr>
          <w:p w14:paraId="620CAFF1" w14:textId="77777777" w:rsidR="00836680" w:rsidRPr="005522B0" w:rsidRDefault="00836680" w:rsidP="00836680">
            <w:pPr>
              <w:jc w:val="right"/>
              <w:rPr>
                <w:rFonts w:ascii="Arial" w:hAnsi="Arial" w:cs="Arial"/>
                <w:color w:val="000000"/>
                <w:sz w:val="16"/>
                <w:szCs w:val="16"/>
                <w:lang w:eastAsia="en-GB"/>
              </w:rPr>
            </w:pPr>
          </w:p>
          <w:p w14:paraId="1BC69B07" w14:textId="66FDA9DB"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EV / 20</w:t>
            </w:r>
            <w:r w:rsidR="000D2882">
              <w:rPr>
                <w:rFonts w:ascii="Arial" w:hAnsi="Arial" w:cs="Arial"/>
                <w:color w:val="000000"/>
                <w:sz w:val="16"/>
                <w:szCs w:val="16"/>
                <w:lang w:eastAsia="en-GB"/>
              </w:rPr>
              <w:t>20</w:t>
            </w:r>
            <w:r w:rsidRPr="005522B0">
              <w:rPr>
                <w:rFonts w:ascii="Arial" w:hAnsi="Arial" w:cs="Arial"/>
                <w:color w:val="000000"/>
                <w:sz w:val="16"/>
                <w:szCs w:val="16"/>
                <w:lang w:eastAsia="en-GB"/>
              </w:rPr>
              <w:t>E Production Multiple ($/Boepd)</w:t>
            </w:r>
            <w:r w:rsidRPr="005522B0">
              <w:rPr>
                <w:rFonts w:ascii="Arial" w:hAnsi="Arial" w:cs="Arial"/>
                <w:color w:val="000000"/>
                <w:sz w:val="16"/>
                <w:szCs w:val="16"/>
                <w:vertAlign w:val="superscript"/>
                <w:lang w:eastAsia="en-GB"/>
              </w:rPr>
              <w:t>(</w:t>
            </w:r>
            <w:r w:rsidR="00B06A1A">
              <w:rPr>
                <w:rFonts w:ascii="Arial" w:hAnsi="Arial" w:cs="Arial"/>
                <w:color w:val="000000"/>
                <w:sz w:val="16"/>
                <w:szCs w:val="16"/>
                <w:vertAlign w:val="superscript"/>
                <w:lang w:eastAsia="en-GB"/>
              </w:rPr>
              <w:t>5</w:t>
            </w:r>
            <w:r w:rsidRPr="005522B0">
              <w:rPr>
                <w:rFonts w:ascii="Arial" w:hAnsi="Arial" w:cs="Arial"/>
                <w:color w:val="000000"/>
                <w:sz w:val="16"/>
                <w:szCs w:val="16"/>
                <w:vertAlign w:val="superscript"/>
                <w:lang w:eastAsia="en-GB"/>
              </w:rPr>
              <w:t>)</w:t>
            </w:r>
          </w:p>
        </w:tc>
        <w:tc>
          <w:tcPr>
            <w:tcW w:w="424" w:type="pct"/>
            <w:tcBorders>
              <w:top w:val="nil"/>
              <w:left w:val="nil"/>
              <w:bottom w:val="nil"/>
              <w:right w:val="nil"/>
            </w:tcBorders>
            <w:shd w:val="clear" w:color="auto" w:fill="auto"/>
            <w:noWrap/>
            <w:vAlign w:val="bottom"/>
          </w:tcPr>
          <w:p w14:paraId="2D36134B" w14:textId="6C6B79C6" w:rsidR="00836680" w:rsidRPr="005522B0" w:rsidRDefault="000D2882"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Pr>
                <w:rFonts w:ascii="Arial" w:hAnsi="Arial" w:cs="Arial"/>
                <w:color w:val="000000"/>
                <w:sz w:val="16"/>
                <w:szCs w:val="16"/>
                <w:lang w:eastAsia="en-GB"/>
              </w:rPr>
              <w:t>15,800</w:t>
            </w:r>
          </w:p>
        </w:tc>
        <w:tc>
          <w:tcPr>
            <w:tcW w:w="430" w:type="pct"/>
            <w:gridSpan w:val="2"/>
            <w:tcBorders>
              <w:top w:val="nil"/>
              <w:left w:val="nil"/>
              <w:bottom w:val="nil"/>
              <w:right w:val="nil"/>
            </w:tcBorders>
            <w:shd w:val="clear" w:color="auto" w:fill="auto"/>
            <w:noWrap/>
            <w:vAlign w:val="bottom"/>
          </w:tcPr>
          <w:p w14:paraId="0E8EDD1F" w14:textId="1AC3496A"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0D2882">
              <w:rPr>
                <w:rFonts w:ascii="Arial" w:hAnsi="Arial" w:cs="Arial"/>
                <w:color w:val="000000"/>
                <w:sz w:val="16"/>
                <w:szCs w:val="16"/>
                <w:lang w:eastAsia="en-GB"/>
              </w:rPr>
              <w:t>25,600</w:t>
            </w:r>
          </w:p>
        </w:tc>
        <w:tc>
          <w:tcPr>
            <w:tcW w:w="465" w:type="pct"/>
            <w:gridSpan w:val="2"/>
            <w:tcBorders>
              <w:top w:val="nil"/>
              <w:left w:val="nil"/>
              <w:bottom w:val="nil"/>
              <w:right w:val="nil"/>
            </w:tcBorders>
            <w:shd w:val="clear" w:color="auto" w:fill="auto"/>
            <w:noWrap/>
            <w:vAlign w:val="bottom"/>
          </w:tcPr>
          <w:p w14:paraId="19C59C92" w14:textId="38D9F612"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0D2882">
              <w:rPr>
                <w:rFonts w:ascii="Arial" w:hAnsi="Arial" w:cs="Arial"/>
                <w:color w:val="000000"/>
                <w:sz w:val="16"/>
                <w:szCs w:val="16"/>
                <w:lang w:eastAsia="en-GB"/>
              </w:rPr>
              <w:t>22,500</w:t>
            </w:r>
          </w:p>
        </w:tc>
        <w:tc>
          <w:tcPr>
            <w:tcW w:w="1059" w:type="pct"/>
            <w:tcBorders>
              <w:top w:val="nil"/>
              <w:left w:val="nil"/>
              <w:bottom w:val="nil"/>
              <w:right w:val="nil"/>
            </w:tcBorders>
            <w:shd w:val="clear" w:color="000000" w:fill="FFFFFF"/>
            <w:vAlign w:val="bottom"/>
          </w:tcPr>
          <w:p w14:paraId="03601E02" w14:textId="77777777" w:rsidR="000D2882" w:rsidRDefault="000D2882" w:rsidP="00836680">
            <w:pPr>
              <w:jc w:val="right"/>
              <w:rPr>
                <w:rFonts w:ascii="Arial" w:hAnsi="Arial" w:cs="Arial"/>
                <w:color w:val="000000"/>
                <w:sz w:val="16"/>
                <w:szCs w:val="16"/>
                <w:lang w:eastAsia="en-GB"/>
              </w:rPr>
            </w:pPr>
          </w:p>
          <w:p w14:paraId="4D144A41" w14:textId="40658FD1" w:rsidR="00836680" w:rsidRPr="005522B0" w:rsidRDefault="007E4ACD" w:rsidP="00836680">
            <w:pPr>
              <w:jc w:val="right"/>
              <w:rPr>
                <w:rFonts w:ascii="Arial" w:hAnsi="Arial" w:cs="Arial"/>
                <w:color w:val="000000"/>
                <w:sz w:val="16"/>
                <w:szCs w:val="16"/>
                <w:lang w:eastAsia="en-GB"/>
              </w:rPr>
            </w:pPr>
            <w:r>
              <w:rPr>
                <w:rFonts w:ascii="Arial" w:hAnsi="Arial" w:cs="Arial"/>
                <w:color w:val="000000"/>
                <w:sz w:val="16"/>
                <w:szCs w:val="16"/>
                <w:lang w:eastAsia="en-GB"/>
              </w:rPr>
              <w:t>30</w:t>
            </w:r>
            <w:r w:rsidR="00836680" w:rsidRPr="005522B0">
              <w:rPr>
                <w:rFonts w:ascii="Arial" w:hAnsi="Arial" w:cs="Arial"/>
                <w:color w:val="000000"/>
                <w:sz w:val="16"/>
                <w:szCs w:val="16"/>
                <w:lang w:eastAsia="en-GB"/>
              </w:rPr>
              <w:t xml:space="preserve"> per cent. weighted average change in the input would result in </w:t>
            </w:r>
            <w:r w:rsidR="0052199A">
              <w:rPr>
                <w:rFonts w:ascii="Arial" w:hAnsi="Arial" w:cs="Arial"/>
                <w:color w:val="000000"/>
                <w:sz w:val="16"/>
                <w:szCs w:val="16"/>
                <w:lang w:eastAsia="en-GB"/>
              </w:rPr>
              <w:t>3</w:t>
            </w:r>
            <w:r w:rsidR="00836680" w:rsidRPr="005522B0">
              <w:rPr>
                <w:rFonts w:ascii="Arial" w:hAnsi="Arial" w:cs="Arial"/>
                <w:color w:val="000000"/>
                <w:sz w:val="16"/>
                <w:szCs w:val="16"/>
                <w:lang w:eastAsia="en-GB"/>
              </w:rPr>
              <w:t xml:space="preserve"> per cent. change in the total fair value of Level 3 investments</w:t>
            </w:r>
          </w:p>
        </w:tc>
        <w:tc>
          <w:tcPr>
            <w:tcW w:w="760" w:type="pct"/>
            <w:tcBorders>
              <w:top w:val="nil"/>
              <w:left w:val="nil"/>
              <w:bottom w:val="nil"/>
              <w:right w:val="nil"/>
            </w:tcBorders>
            <w:shd w:val="clear" w:color="auto" w:fill="auto"/>
            <w:noWrap/>
            <w:vAlign w:val="bottom"/>
          </w:tcPr>
          <w:p w14:paraId="1E7188D1" w14:textId="1B44480D"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0D2882">
              <w:rPr>
                <w:rFonts w:ascii="Arial" w:hAnsi="Arial" w:cs="Arial"/>
                <w:color w:val="000000"/>
                <w:sz w:val="16"/>
                <w:szCs w:val="16"/>
                <w:lang w:eastAsia="en-GB"/>
              </w:rPr>
              <w:t>32,408</w:t>
            </w:r>
          </w:p>
        </w:tc>
      </w:tr>
      <w:tr w:rsidR="00836680" w:rsidRPr="005522B0" w14:paraId="397074F9" w14:textId="77777777" w:rsidTr="00836680">
        <w:trPr>
          <w:trHeight w:val="799"/>
        </w:trPr>
        <w:tc>
          <w:tcPr>
            <w:tcW w:w="593" w:type="pct"/>
            <w:tcBorders>
              <w:top w:val="nil"/>
              <w:left w:val="nil"/>
              <w:bottom w:val="nil"/>
              <w:right w:val="nil"/>
            </w:tcBorders>
            <w:shd w:val="clear" w:color="auto" w:fill="auto"/>
            <w:noWrap/>
            <w:vAlign w:val="bottom"/>
          </w:tcPr>
          <w:p w14:paraId="75B67F69" w14:textId="77777777" w:rsidR="00836680" w:rsidRPr="005522B0" w:rsidRDefault="00836680" w:rsidP="00836680">
            <w:pPr>
              <w:rPr>
                <w:rFonts w:ascii="Arial" w:hAnsi="Arial" w:cs="Arial"/>
                <w:color w:val="000000"/>
                <w:sz w:val="16"/>
                <w:szCs w:val="16"/>
                <w:lang w:eastAsia="en-GB"/>
              </w:rPr>
            </w:pPr>
          </w:p>
        </w:tc>
        <w:tc>
          <w:tcPr>
            <w:tcW w:w="592" w:type="pct"/>
            <w:tcBorders>
              <w:top w:val="nil"/>
              <w:left w:val="nil"/>
              <w:bottom w:val="nil"/>
              <w:right w:val="nil"/>
            </w:tcBorders>
            <w:shd w:val="clear" w:color="auto" w:fill="auto"/>
            <w:noWrap/>
            <w:vAlign w:val="bottom"/>
          </w:tcPr>
          <w:p w14:paraId="7542DAEC" w14:textId="77777777" w:rsidR="00836680" w:rsidRPr="005522B0" w:rsidRDefault="00836680" w:rsidP="00836680">
            <w:pPr>
              <w:jc w:val="right"/>
              <w:rPr>
                <w:rFonts w:ascii="Arial" w:hAnsi="Arial" w:cs="Arial"/>
                <w:color w:val="000000"/>
                <w:sz w:val="16"/>
                <w:szCs w:val="16"/>
                <w:lang w:eastAsia="en-GB"/>
              </w:rPr>
            </w:pPr>
          </w:p>
        </w:tc>
        <w:tc>
          <w:tcPr>
            <w:tcW w:w="677" w:type="pct"/>
            <w:tcBorders>
              <w:top w:val="nil"/>
              <w:left w:val="nil"/>
              <w:bottom w:val="nil"/>
              <w:right w:val="nil"/>
            </w:tcBorders>
            <w:shd w:val="clear" w:color="auto" w:fill="auto"/>
            <w:noWrap/>
            <w:vAlign w:val="bottom"/>
          </w:tcPr>
          <w:p w14:paraId="20D592A3" w14:textId="77777777" w:rsidR="00836680" w:rsidRPr="005522B0" w:rsidRDefault="00836680" w:rsidP="00836680">
            <w:pPr>
              <w:jc w:val="right"/>
              <w:rPr>
                <w:rFonts w:ascii="Arial" w:hAnsi="Arial" w:cs="Arial"/>
                <w:color w:val="000000"/>
                <w:sz w:val="16"/>
                <w:szCs w:val="16"/>
                <w:lang w:eastAsia="en-GB"/>
              </w:rPr>
            </w:pPr>
          </w:p>
          <w:p w14:paraId="3C673747" w14:textId="77777777" w:rsidR="00836680" w:rsidRPr="005522B0" w:rsidRDefault="00836680" w:rsidP="00836680">
            <w:pPr>
              <w:jc w:val="right"/>
              <w:rPr>
                <w:rFonts w:ascii="Arial" w:hAnsi="Arial" w:cs="Arial"/>
                <w:color w:val="000000"/>
                <w:sz w:val="16"/>
                <w:szCs w:val="16"/>
                <w:lang w:eastAsia="en-GB"/>
              </w:rPr>
            </w:pPr>
          </w:p>
          <w:p w14:paraId="5EC0843F" w14:textId="77777777" w:rsidR="00836680" w:rsidRPr="005522B0" w:rsidRDefault="00836680" w:rsidP="00836680">
            <w:pPr>
              <w:rPr>
                <w:rFonts w:ascii="Arial" w:hAnsi="Arial" w:cs="Arial"/>
                <w:color w:val="000000"/>
                <w:sz w:val="16"/>
                <w:szCs w:val="16"/>
                <w:lang w:eastAsia="en-GB"/>
              </w:rPr>
            </w:pPr>
          </w:p>
          <w:p w14:paraId="1A9E3C7B" w14:textId="77777777" w:rsidR="00836680" w:rsidRPr="005522B0" w:rsidRDefault="00836680" w:rsidP="00836680">
            <w:pPr>
              <w:rPr>
                <w:rFonts w:ascii="Arial" w:hAnsi="Arial" w:cs="Arial"/>
                <w:color w:val="000000"/>
                <w:sz w:val="16"/>
                <w:szCs w:val="16"/>
                <w:lang w:eastAsia="en-GB"/>
              </w:rPr>
            </w:pPr>
          </w:p>
          <w:p w14:paraId="4382FB1F" w14:textId="77777777"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1P Reserve multiple ($/Boe)</w:t>
            </w:r>
          </w:p>
        </w:tc>
        <w:tc>
          <w:tcPr>
            <w:tcW w:w="424" w:type="pct"/>
            <w:tcBorders>
              <w:top w:val="nil"/>
              <w:left w:val="nil"/>
              <w:bottom w:val="nil"/>
              <w:right w:val="nil"/>
            </w:tcBorders>
            <w:shd w:val="clear" w:color="auto" w:fill="auto"/>
            <w:noWrap/>
            <w:vAlign w:val="bottom"/>
          </w:tcPr>
          <w:p w14:paraId="12E8B632" w14:textId="189F1794"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0D2882">
              <w:rPr>
                <w:rFonts w:ascii="Arial" w:hAnsi="Arial" w:cs="Arial"/>
                <w:color w:val="000000"/>
                <w:sz w:val="16"/>
                <w:szCs w:val="16"/>
                <w:lang w:eastAsia="en-GB"/>
              </w:rPr>
              <w:t>4</w:t>
            </w:r>
          </w:p>
        </w:tc>
        <w:tc>
          <w:tcPr>
            <w:tcW w:w="430" w:type="pct"/>
            <w:gridSpan w:val="2"/>
            <w:tcBorders>
              <w:top w:val="nil"/>
              <w:left w:val="nil"/>
              <w:bottom w:val="nil"/>
              <w:right w:val="nil"/>
            </w:tcBorders>
            <w:shd w:val="clear" w:color="auto" w:fill="auto"/>
            <w:noWrap/>
            <w:vAlign w:val="bottom"/>
          </w:tcPr>
          <w:p w14:paraId="04A25F27" w14:textId="08F976CC"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0D2882">
              <w:rPr>
                <w:rFonts w:ascii="Arial" w:hAnsi="Arial" w:cs="Arial"/>
                <w:color w:val="000000"/>
                <w:sz w:val="16"/>
                <w:szCs w:val="16"/>
                <w:lang w:eastAsia="en-GB"/>
              </w:rPr>
              <w:t>6</w:t>
            </w:r>
          </w:p>
        </w:tc>
        <w:tc>
          <w:tcPr>
            <w:tcW w:w="465" w:type="pct"/>
            <w:gridSpan w:val="2"/>
            <w:tcBorders>
              <w:top w:val="nil"/>
              <w:left w:val="nil"/>
              <w:bottom w:val="nil"/>
              <w:right w:val="nil"/>
            </w:tcBorders>
            <w:shd w:val="clear" w:color="auto" w:fill="auto"/>
            <w:noWrap/>
            <w:vAlign w:val="bottom"/>
          </w:tcPr>
          <w:p w14:paraId="64291D7A" w14:textId="3B5A8AC6"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0D2882">
              <w:rPr>
                <w:rFonts w:ascii="Arial" w:hAnsi="Arial" w:cs="Arial"/>
                <w:color w:val="000000"/>
                <w:sz w:val="16"/>
                <w:szCs w:val="16"/>
                <w:lang w:eastAsia="en-GB"/>
              </w:rPr>
              <w:t>5</w:t>
            </w:r>
          </w:p>
        </w:tc>
        <w:tc>
          <w:tcPr>
            <w:tcW w:w="1059" w:type="pct"/>
            <w:tcBorders>
              <w:top w:val="nil"/>
              <w:left w:val="nil"/>
              <w:bottom w:val="nil"/>
              <w:right w:val="nil"/>
            </w:tcBorders>
            <w:shd w:val="clear" w:color="000000" w:fill="FFFFFF"/>
            <w:vAlign w:val="bottom"/>
          </w:tcPr>
          <w:p w14:paraId="185CC802" w14:textId="3008711D" w:rsidR="00836680" w:rsidRPr="005522B0" w:rsidRDefault="007E4ACD" w:rsidP="00836680">
            <w:pPr>
              <w:jc w:val="right"/>
              <w:rPr>
                <w:rFonts w:ascii="Arial" w:hAnsi="Arial" w:cs="Arial"/>
                <w:color w:val="000000"/>
                <w:sz w:val="16"/>
                <w:szCs w:val="16"/>
                <w:lang w:eastAsia="en-GB"/>
              </w:rPr>
            </w:pPr>
            <w:r>
              <w:rPr>
                <w:rFonts w:ascii="Arial" w:hAnsi="Arial" w:cs="Arial"/>
                <w:color w:val="000000"/>
                <w:sz w:val="16"/>
                <w:szCs w:val="16"/>
                <w:lang w:eastAsia="en-GB"/>
              </w:rPr>
              <w:t>3</w:t>
            </w:r>
            <w:r w:rsidR="00836680" w:rsidRPr="005522B0">
              <w:rPr>
                <w:rFonts w:ascii="Arial" w:hAnsi="Arial" w:cs="Arial"/>
                <w:color w:val="000000"/>
                <w:sz w:val="16"/>
                <w:szCs w:val="16"/>
                <w:lang w:eastAsia="en-GB"/>
              </w:rPr>
              <w:t xml:space="preserve">0 per cent. weighted average change in the input would result in </w:t>
            </w:r>
            <w:r>
              <w:rPr>
                <w:rFonts w:ascii="Arial" w:hAnsi="Arial" w:cs="Arial"/>
                <w:color w:val="000000"/>
                <w:sz w:val="16"/>
                <w:szCs w:val="16"/>
                <w:lang w:eastAsia="en-GB"/>
              </w:rPr>
              <w:t>3</w:t>
            </w:r>
            <w:r w:rsidR="00836680" w:rsidRPr="005522B0">
              <w:rPr>
                <w:rFonts w:ascii="Arial" w:hAnsi="Arial" w:cs="Arial"/>
                <w:color w:val="000000"/>
                <w:sz w:val="16"/>
                <w:szCs w:val="16"/>
                <w:lang w:eastAsia="en-GB"/>
              </w:rPr>
              <w:t xml:space="preserve"> per cent. change in the total fair value of Level 3 investments</w:t>
            </w:r>
          </w:p>
        </w:tc>
        <w:tc>
          <w:tcPr>
            <w:tcW w:w="760" w:type="pct"/>
            <w:tcBorders>
              <w:top w:val="nil"/>
              <w:left w:val="nil"/>
              <w:bottom w:val="nil"/>
              <w:right w:val="nil"/>
            </w:tcBorders>
            <w:shd w:val="clear" w:color="auto" w:fill="auto"/>
            <w:noWrap/>
            <w:vAlign w:val="bottom"/>
          </w:tcPr>
          <w:p w14:paraId="3A71C3C7" w14:textId="3B0B6321"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0D2882">
              <w:rPr>
                <w:rFonts w:ascii="Arial" w:hAnsi="Arial" w:cs="Arial"/>
                <w:color w:val="000000"/>
                <w:sz w:val="16"/>
                <w:szCs w:val="16"/>
                <w:lang w:eastAsia="en-GB"/>
              </w:rPr>
              <w:t>29,465</w:t>
            </w:r>
          </w:p>
        </w:tc>
      </w:tr>
      <w:tr w:rsidR="00836680" w:rsidRPr="005522B0" w14:paraId="20A2F419" w14:textId="77777777" w:rsidTr="00836680">
        <w:trPr>
          <w:trHeight w:val="799"/>
        </w:trPr>
        <w:tc>
          <w:tcPr>
            <w:tcW w:w="593" w:type="pct"/>
            <w:tcBorders>
              <w:top w:val="nil"/>
              <w:left w:val="nil"/>
              <w:bottom w:val="nil"/>
              <w:right w:val="nil"/>
            </w:tcBorders>
            <w:shd w:val="clear" w:color="auto" w:fill="auto"/>
            <w:noWrap/>
            <w:vAlign w:val="bottom"/>
          </w:tcPr>
          <w:p w14:paraId="2A443978" w14:textId="77777777" w:rsidR="00836680" w:rsidRPr="005522B0" w:rsidRDefault="00836680" w:rsidP="00836680">
            <w:pPr>
              <w:rPr>
                <w:rFonts w:ascii="Arial" w:hAnsi="Arial" w:cs="Arial"/>
                <w:color w:val="000000"/>
                <w:sz w:val="16"/>
                <w:szCs w:val="16"/>
                <w:lang w:eastAsia="en-GB"/>
              </w:rPr>
            </w:pPr>
          </w:p>
        </w:tc>
        <w:tc>
          <w:tcPr>
            <w:tcW w:w="592" w:type="pct"/>
            <w:tcBorders>
              <w:top w:val="nil"/>
              <w:left w:val="nil"/>
              <w:bottom w:val="nil"/>
              <w:right w:val="nil"/>
            </w:tcBorders>
            <w:shd w:val="clear" w:color="auto" w:fill="auto"/>
            <w:noWrap/>
            <w:vAlign w:val="bottom"/>
          </w:tcPr>
          <w:p w14:paraId="165D6F3D" w14:textId="77777777" w:rsidR="00836680" w:rsidRPr="005522B0" w:rsidRDefault="00836680" w:rsidP="00836680">
            <w:pPr>
              <w:jc w:val="right"/>
              <w:rPr>
                <w:rFonts w:ascii="Arial" w:hAnsi="Arial" w:cs="Arial"/>
                <w:color w:val="000000"/>
                <w:sz w:val="16"/>
                <w:szCs w:val="16"/>
                <w:lang w:eastAsia="en-GB"/>
              </w:rPr>
            </w:pPr>
          </w:p>
        </w:tc>
        <w:tc>
          <w:tcPr>
            <w:tcW w:w="677" w:type="pct"/>
            <w:tcBorders>
              <w:top w:val="nil"/>
              <w:left w:val="nil"/>
              <w:bottom w:val="nil"/>
              <w:right w:val="nil"/>
            </w:tcBorders>
            <w:shd w:val="clear" w:color="auto" w:fill="auto"/>
            <w:noWrap/>
            <w:vAlign w:val="bottom"/>
            <w:hideMark/>
          </w:tcPr>
          <w:p w14:paraId="0A730AB8" w14:textId="77777777" w:rsidR="00836680" w:rsidRPr="005522B0" w:rsidRDefault="00836680" w:rsidP="00836680">
            <w:pPr>
              <w:jc w:val="right"/>
              <w:rPr>
                <w:rFonts w:ascii="Arial" w:hAnsi="Arial" w:cs="Arial"/>
                <w:color w:val="000000"/>
                <w:sz w:val="16"/>
                <w:szCs w:val="16"/>
                <w:lang w:eastAsia="en-GB"/>
              </w:rPr>
            </w:pPr>
          </w:p>
          <w:p w14:paraId="7A6EEE29" w14:textId="77777777" w:rsidR="00836680" w:rsidRPr="005522B0" w:rsidRDefault="00836680" w:rsidP="00836680">
            <w:pPr>
              <w:rPr>
                <w:rFonts w:ascii="Arial" w:hAnsi="Arial" w:cs="Arial"/>
                <w:color w:val="000000"/>
                <w:sz w:val="16"/>
                <w:szCs w:val="16"/>
                <w:lang w:eastAsia="en-GB"/>
              </w:rPr>
            </w:pPr>
          </w:p>
          <w:p w14:paraId="0CB39960" w14:textId="77777777" w:rsidR="00836680" w:rsidRPr="005522B0" w:rsidRDefault="00836680" w:rsidP="00836680">
            <w:pPr>
              <w:jc w:val="right"/>
              <w:rPr>
                <w:rFonts w:ascii="Arial" w:hAnsi="Arial" w:cs="Arial"/>
                <w:color w:val="000000"/>
                <w:sz w:val="16"/>
                <w:szCs w:val="16"/>
                <w:lang w:eastAsia="en-GB"/>
              </w:rPr>
            </w:pPr>
          </w:p>
          <w:p w14:paraId="610FC2BA" w14:textId="77777777"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2P Reserve multiple ($/Boe</w:t>
            </w:r>
            <w:r w:rsidRPr="005522B0">
              <w:rPr>
                <w:rFonts w:ascii="Arial" w:eastAsiaTheme="minorHAnsi" w:hAnsi="Arial" w:cs="Arial"/>
                <w:color w:val="000000"/>
                <w:sz w:val="16"/>
                <w:szCs w:val="20"/>
              </w:rPr>
              <w:t>)</w:t>
            </w:r>
          </w:p>
        </w:tc>
        <w:tc>
          <w:tcPr>
            <w:tcW w:w="424" w:type="pct"/>
            <w:tcBorders>
              <w:top w:val="nil"/>
              <w:left w:val="nil"/>
              <w:bottom w:val="nil"/>
              <w:right w:val="nil"/>
            </w:tcBorders>
            <w:shd w:val="clear" w:color="auto" w:fill="auto"/>
            <w:noWrap/>
            <w:vAlign w:val="bottom"/>
          </w:tcPr>
          <w:p w14:paraId="34AE4505" w14:textId="5FB428B8"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7E4ACD">
              <w:rPr>
                <w:rFonts w:ascii="Arial" w:hAnsi="Arial" w:cs="Arial"/>
                <w:color w:val="000000"/>
                <w:sz w:val="16"/>
                <w:szCs w:val="16"/>
                <w:lang w:eastAsia="en-GB"/>
              </w:rPr>
              <w:t>1</w:t>
            </w:r>
          </w:p>
        </w:tc>
        <w:tc>
          <w:tcPr>
            <w:tcW w:w="430" w:type="pct"/>
            <w:gridSpan w:val="2"/>
            <w:tcBorders>
              <w:top w:val="nil"/>
              <w:left w:val="nil"/>
              <w:bottom w:val="nil"/>
              <w:right w:val="nil"/>
            </w:tcBorders>
            <w:shd w:val="clear" w:color="auto" w:fill="auto"/>
            <w:noWrap/>
            <w:vAlign w:val="bottom"/>
          </w:tcPr>
          <w:p w14:paraId="1C9A966D" w14:textId="3EE95D32"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7E4ACD">
              <w:rPr>
                <w:rFonts w:ascii="Arial" w:hAnsi="Arial" w:cs="Arial"/>
                <w:color w:val="000000"/>
                <w:sz w:val="16"/>
                <w:szCs w:val="16"/>
                <w:lang w:eastAsia="en-GB"/>
              </w:rPr>
              <w:t>3</w:t>
            </w:r>
          </w:p>
        </w:tc>
        <w:tc>
          <w:tcPr>
            <w:tcW w:w="465" w:type="pct"/>
            <w:gridSpan w:val="2"/>
            <w:tcBorders>
              <w:top w:val="nil"/>
              <w:left w:val="nil"/>
              <w:bottom w:val="nil"/>
              <w:right w:val="nil"/>
            </w:tcBorders>
            <w:shd w:val="clear" w:color="auto" w:fill="auto"/>
            <w:noWrap/>
            <w:vAlign w:val="bottom"/>
          </w:tcPr>
          <w:p w14:paraId="7189A39E" w14:textId="42BBA808"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7E4ACD">
              <w:rPr>
                <w:rFonts w:ascii="Arial" w:hAnsi="Arial" w:cs="Arial"/>
                <w:color w:val="000000"/>
                <w:sz w:val="16"/>
                <w:szCs w:val="16"/>
                <w:lang w:eastAsia="en-GB"/>
              </w:rPr>
              <w:t>1</w:t>
            </w:r>
          </w:p>
        </w:tc>
        <w:tc>
          <w:tcPr>
            <w:tcW w:w="1059" w:type="pct"/>
            <w:tcBorders>
              <w:top w:val="nil"/>
              <w:left w:val="nil"/>
              <w:bottom w:val="nil"/>
              <w:right w:val="nil"/>
            </w:tcBorders>
            <w:shd w:val="clear" w:color="000000" w:fill="FFFFFF"/>
            <w:vAlign w:val="bottom"/>
          </w:tcPr>
          <w:p w14:paraId="4856E44D" w14:textId="4F2E00C1" w:rsidR="00836680" w:rsidRPr="005522B0" w:rsidRDefault="007E4ACD" w:rsidP="00836680">
            <w:pPr>
              <w:jc w:val="right"/>
              <w:rPr>
                <w:rFonts w:ascii="Arial" w:hAnsi="Arial" w:cs="Arial"/>
                <w:color w:val="000000"/>
                <w:sz w:val="16"/>
                <w:szCs w:val="16"/>
                <w:lang w:eastAsia="en-GB"/>
              </w:rPr>
            </w:pPr>
            <w:r>
              <w:rPr>
                <w:rFonts w:ascii="Arial" w:hAnsi="Arial" w:cs="Arial"/>
                <w:color w:val="000000"/>
                <w:sz w:val="16"/>
                <w:szCs w:val="16"/>
                <w:lang w:eastAsia="en-GB"/>
              </w:rPr>
              <w:t>10</w:t>
            </w:r>
            <w:r w:rsidR="00836680" w:rsidRPr="005522B0">
              <w:rPr>
                <w:rFonts w:ascii="Arial" w:hAnsi="Arial" w:cs="Arial"/>
                <w:color w:val="000000"/>
                <w:sz w:val="16"/>
                <w:szCs w:val="16"/>
                <w:lang w:eastAsia="en-GB"/>
              </w:rPr>
              <w:t xml:space="preserve"> per cent. weighted average change in the input would result in </w:t>
            </w:r>
            <w:r>
              <w:rPr>
                <w:rFonts w:ascii="Arial" w:hAnsi="Arial" w:cs="Arial"/>
                <w:color w:val="000000"/>
                <w:sz w:val="16"/>
                <w:szCs w:val="16"/>
                <w:lang w:eastAsia="en-GB"/>
              </w:rPr>
              <w:t>2</w:t>
            </w:r>
            <w:r w:rsidR="00836680" w:rsidRPr="005522B0">
              <w:rPr>
                <w:rFonts w:ascii="Arial" w:hAnsi="Arial" w:cs="Arial"/>
                <w:color w:val="000000"/>
                <w:sz w:val="16"/>
                <w:szCs w:val="16"/>
                <w:lang w:eastAsia="en-GB"/>
              </w:rPr>
              <w:t xml:space="preserve"> per cent. change in the total fair value of Level 3 investments</w:t>
            </w:r>
          </w:p>
        </w:tc>
        <w:tc>
          <w:tcPr>
            <w:tcW w:w="760" w:type="pct"/>
            <w:tcBorders>
              <w:top w:val="nil"/>
              <w:left w:val="nil"/>
              <w:bottom w:val="nil"/>
              <w:right w:val="nil"/>
            </w:tcBorders>
            <w:shd w:val="clear" w:color="auto" w:fill="auto"/>
            <w:noWrap/>
            <w:vAlign w:val="bottom"/>
          </w:tcPr>
          <w:p w14:paraId="48813A36" w14:textId="4E6F0B2A"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0D2882">
              <w:rPr>
                <w:rFonts w:ascii="Arial" w:hAnsi="Arial" w:cs="Arial"/>
                <w:color w:val="000000"/>
                <w:sz w:val="16"/>
                <w:szCs w:val="16"/>
                <w:lang w:eastAsia="en-GB"/>
              </w:rPr>
              <w:t>2,943</w:t>
            </w:r>
          </w:p>
        </w:tc>
      </w:tr>
      <w:tr w:rsidR="00836680" w:rsidRPr="005522B0" w14:paraId="7608D67C" w14:textId="77777777" w:rsidTr="00836680">
        <w:trPr>
          <w:trHeight w:val="799"/>
        </w:trPr>
        <w:tc>
          <w:tcPr>
            <w:tcW w:w="593" w:type="pct"/>
            <w:tcBorders>
              <w:top w:val="nil"/>
              <w:left w:val="nil"/>
              <w:right w:val="nil"/>
            </w:tcBorders>
            <w:shd w:val="clear" w:color="auto" w:fill="auto"/>
            <w:noWrap/>
            <w:hideMark/>
          </w:tcPr>
          <w:p w14:paraId="267B2BB0" w14:textId="77777777" w:rsidR="00836680" w:rsidRPr="005522B0" w:rsidRDefault="00836680" w:rsidP="00836680">
            <w:pPr>
              <w:rPr>
                <w:rFonts w:ascii="Arial" w:hAnsi="Arial" w:cs="Arial"/>
                <w:color w:val="000000"/>
                <w:sz w:val="16"/>
                <w:szCs w:val="16"/>
                <w:lang w:eastAsia="en-GB"/>
              </w:rPr>
            </w:pPr>
          </w:p>
        </w:tc>
        <w:tc>
          <w:tcPr>
            <w:tcW w:w="592" w:type="pct"/>
            <w:tcBorders>
              <w:top w:val="single" w:sz="4" w:space="0" w:color="auto"/>
              <w:left w:val="nil"/>
              <w:right w:val="nil"/>
            </w:tcBorders>
            <w:shd w:val="clear" w:color="auto" w:fill="auto"/>
            <w:noWrap/>
            <w:vAlign w:val="bottom"/>
            <w:hideMark/>
          </w:tcPr>
          <w:p w14:paraId="5E47D926" w14:textId="77777777"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 xml:space="preserve">Transaction comparables </w:t>
            </w:r>
          </w:p>
        </w:tc>
        <w:tc>
          <w:tcPr>
            <w:tcW w:w="677" w:type="pct"/>
            <w:tcBorders>
              <w:top w:val="single" w:sz="4" w:space="0" w:color="auto"/>
              <w:left w:val="nil"/>
              <w:right w:val="nil"/>
            </w:tcBorders>
            <w:shd w:val="clear" w:color="auto" w:fill="auto"/>
            <w:vAlign w:val="bottom"/>
            <w:hideMark/>
          </w:tcPr>
          <w:p w14:paraId="05627B52" w14:textId="77777777" w:rsidR="00836680" w:rsidRPr="005522B0" w:rsidRDefault="00836680" w:rsidP="00836680">
            <w:pPr>
              <w:jc w:val="right"/>
              <w:rPr>
                <w:rFonts w:ascii="Arial" w:hAnsi="Arial" w:cs="Arial"/>
                <w:color w:val="000000"/>
                <w:sz w:val="16"/>
                <w:szCs w:val="16"/>
                <w:lang w:eastAsia="en-GB"/>
              </w:rPr>
            </w:pPr>
          </w:p>
          <w:p w14:paraId="2E21BD93" w14:textId="77777777" w:rsidR="00836680" w:rsidRPr="005522B0" w:rsidRDefault="00836680" w:rsidP="00836680">
            <w:pPr>
              <w:jc w:val="right"/>
              <w:rPr>
                <w:rFonts w:ascii="Arial" w:hAnsi="Arial" w:cs="Arial"/>
                <w:color w:val="000000"/>
                <w:sz w:val="16"/>
                <w:szCs w:val="16"/>
                <w:lang w:eastAsia="en-GB"/>
              </w:rPr>
            </w:pPr>
          </w:p>
          <w:p w14:paraId="5F728080" w14:textId="77777777" w:rsidR="00836680" w:rsidRPr="005522B0" w:rsidRDefault="00836680" w:rsidP="00836680">
            <w:pPr>
              <w:jc w:val="right"/>
              <w:rPr>
                <w:rFonts w:ascii="Arial" w:hAnsi="Arial" w:cs="Arial"/>
                <w:color w:val="000000"/>
                <w:sz w:val="16"/>
                <w:szCs w:val="16"/>
                <w:lang w:eastAsia="en-GB"/>
              </w:rPr>
            </w:pPr>
          </w:p>
          <w:p w14:paraId="46B88F02" w14:textId="77777777"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Acreage Multiple ($/Boepd per Acre</w:t>
            </w:r>
            <w:r w:rsidRPr="005522B0">
              <w:rPr>
                <w:rFonts w:ascii="Arial" w:eastAsiaTheme="minorHAnsi" w:hAnsi="Arial" w:cs="Arial"/>
                <w:color w:val="000000"/>
                <w:sz w:val="16"/>
                <w:szCs w:val="20"/>
              </w:rPr>
              <w:t>)</w:t>
            </w:r>
          </w:p>
        </w:tc>
        <w:tc>
          <w:tcPr>
            <w:tcW w:w="424" w:type="pct"/>
            <w:tcBorders>
              <w:top w:val="single" w:sz="4" w:space="0" w:color="auto"/>
              <w:left w:val="nil"/>
              <w:right w:val="nil"/>
            </w:tcBorders>
            <w:shd w:val="clear" w:color="auto" w:fill="auto"/>
            <w:noWrap/>
            <w:vAlign w:val="bottom"/>
          </w:tcPr>
          <w:p w14:paraId="315317C5" w14:textId="6BBF1725"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7E4ACD">
              <w:rPr>
                <w:rFonts w:ascii="Arial" w:hAnsi="Arial" w:cs="Arial"/>
                <w:color w:val="000000"/>
                <w:sz w:val="16"/>
                <w:szCs w:val="16"/>
                <w:lang w:eastAsia="en-GB"/>
              </w:rPr>
              <w:t>3,000</w:t>
            </w:r>
          </w:p>
        </w:tc>
        <w:tc>
          <w:tcPr>
            <w:tcW w:w="430" w:type="pct"/>
            <w:gridSpan w:val="2"/>
            <w:tcBorders>
              <w:top w:val="single" w:sz="4" w:space="0" w:color="auto"/>
              <w:left w:val="nil"/>
              <w:right w:val="nil"/>
            </w:tcBorders>
            <w:shd w:val="clear" w:color="auto" w:fill="auto"/>
            <w:noWrap/>
            <w:vAlign w:val="bottom"/>
          </w:tcPr>
          <w:p w14:paraId="5BC3A473" w14:textId="1B402473"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7E4ACD">
              <w:rPr>
                <w:rFonts w:ascii="Arial" w:hAnsi="Arial" w:cs="Arial"/>
                <w:color w:val="000000"/>
                <w:sz w:val="16"/>
                <w:szCs w:val="16"/>
                <w:lang w:eastAsia="en-GB"/>
              </w:rPr>
              <w:t>3,200</w:t>
            </w:r>
          </w:p>
        </w:tc>
        <w:tc>
          <w:tcPr>
            <w:tcW w:w="465" w:type="pct"/>
            <w:gridSpan w:val="2"/>
            <w:tcBorders>
              <w:top w:val="single" w:sz="4" w:space="0" w:color="auto"/>
              <w:left w:val="nil"/>
              <w:right w:val="nil"/>
            </w:tcBorders>
            <w:shd w:val="clear" w:color="auto" w:fill="auto"/>
            <w:noWrap/>
            <w:vAlign w:val="bottom"/>
          </w:tcPr>
          <w:p w14:paraId="7B88BF58" w14:textId="4475D6AC"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7E4ACD">
              <w:rPr>
                <w:rFonts w:ascii="Arial" w:hAnsi="Arial" w:cs="Arial"/>
                <w:color w:val="000000"/>
                <w:sz w:val="16"/>
                <w:szCs w:val="16"/>
                <w:lang w:eastAsia="en-GB"/>
              </w:rPr>
              <w:t>3,100</w:t>
            </w:r>
          </w:p>
        </w:tc>
        <w:tc>
          <w:tcPr>
            <w:tcW w:w="1059" w:type="pct"/>
            <w:tcBorders>
              <w:top w:val="single" w:sz="4" w:space="0" w:color="auto"/>
              <w:left w:val="nil"/>
              <w:right w:val="nil"/>
            </w:tcBorders>
            <w:shd w:val="clear" w:color="000000" w:fill="FFFFFF"/>
            <w:vAlign w:val="bottom"/>
          </w:tcPr>
          <w:p w14:paraId="48217E91" w14:textId="1B78DDF1" w:rsidR="00836680" w:rsidRPr="005522B0" w:rsidRDefault="004A09CB" w:rsidP="00836680">
            <w:pPr>
              <w:jc w:val="right"/>
              <w:rPr>
                <w:rFonts w:ascii="Arial" w:hAnsi="Arial" w:cs="Arial"/>
                <w:color w:val="000000"/>
                <w:sz w:val="16"/>
                <w:szCs w:val="16"/>
                <w:lang w:eastAsia="en-GB"/>
              </w:rPr>
            </w:pPr>
            <w:r>
              <w:rPr>
                <w:rFonts w:ascii="Arial" w:hAnsi="Arial" w:cs="Arial"/>
                <w:color w:val="000000"/>
                <w:sz w:val="16"/>
                <w:szCs w:val="16"/>
                <w:lang w:eastAsia="en-GB"/>
              </w:rPr>
              <w:t>40</w:t>
            </w:r>
            <w:r w:rsidR="00836680" w:rsidRPr="005522B0">
              <w:rPr>
                <w:rFonts w:ascii="Arial" w:hAnsi="Arial" w:cs="Arial"/>
                <w:color w:val="000000"/>
                <w:sz w:val="16"/>
                <w:szCs w:val="16"/>
                <w:lang w:eastAsia="en-GB"/>
              </w:rPr>
              <w:t xml:space="preserve"> per cent. weighted average change in the input would result in </w:t>
            </w:r>
            <w:r>
              <w:rPr>
                <w:rFonts w:ascii="Arial" w:hAnsi="Arial" w:cs="Arial"/>
                <w:color w:val="000000"/>
                <w:sz w:val="16"/>
                <w:szCs w:val="16"/>
                <w:lang w:eastAsia="en-GB"/>
              </w:rPr>
              <w:t>6</w:t>
            </w:r>
            <w:r w:rsidR="00836680" w:rsidRPr="005522B0">
              <w:rPr>
                <w:rFonts w:ascii="Arial" w:hAnsi="Arial" w:cs="Arial"/>
                <w:color w:val="000000"/>
                <w:sz w:val="16"/>
                <w:szCs w:val="16"/>
                <w:lang w:eastAsia="en-GB"/>
              </w:rPr>
              <w:t xml:space="preserve"> per cent. change in the total fair value of Level 3 investments</w:t>
            </w:r>
          </w:p>
        </w:tc>
        <w:tc>
          <w:tcPr>
            <w:tcW w:w="760" w:type="pct"/>
            <w:tcBorders>
              <w:top w:val="single" w:sz="4" w:space="0" w:color="auto"/>
              <w:left w:val="nil"/>
              <w:right w:val="nil"/>
            </w:tcBorders>
            <w:shd w:val="clear" w:color="auto" w:fill="auto"/>
            <w:noWrap/>
            <w:vAlign w:val="bottom"/>
          </w:tcPr>
          <w:p w14:paraId="48015438" w14:textId="6CEF386B"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4A09CB">
              <w:rPr>
                <w:rFonts w:ascii="Arial" w:hAnsi="Arial" w:cs="Arial"/>
                <w:color w:val="000000"/>
                <w:sz w:val="16"/>
                <w:szCs w:val="16"/>
                <w:lang w:eastAsia="en-GB"/>
              </w:rPr>
              <w:t>17,110</w:t>
            </w:r>
          </w:p>
        </w:tc>
      </w:tr>
      <w:tr w:rsidR="00836680" w:rsidRPr="005522B0" w14:paraId="2998558A" w14:textId="77777777" w:rsidTr="00836680">
        <w:trPr>
          <w:trHeight w:val="799"/>
        </w:trPr>
        <w:tc>
          <w:tcPr>
            <w:tcW w:w="593" w:type="pct"/>
            <w:tcBorders>
              <w:left w:val="nil"/>
              <w:bottom w:val="nil"/>
              <w:right w:val="nil"/>
            </w:tcBorders>
            <w:shd w:val="clear" w:color="auto" w:fill="auto"/>
            <w:noWrap/>
            <w:hideMark/>
          </w:tcPr>
          <w:p w14:paraId="4C1953B3" w14:textId="77777777" w:rsidR="00836680" w:rsidRPr="005522B0" w:rsidRDefault="00836680" w:rsidP="00836680">
            <w:pPr>
              <w:rPr>
                <w:rFonts w:ascii="Arial" w:hAnsi="Arial" w:cs="Arial"/>
                <w:color w:val="000000"/>
                <w:sz w:val="16"/>
                <w:szCs w:val="16"/>
                <w:lang w:eastAsia="en-GB"/>
              </w:rPr>
            </w:pPr>
          </w:p>
        </w:tc>
        <w:tc>
          <w:tcPr>
            <w:tcW w:w="592" w:type="pct"/>
            <w:tcBorders>
              <w:left w:val="nil"/>
              <w:right w:val="nil"/>
            </w:tcBorders>
            <w:shd w:val="clear" w:color="auto" w:fill="auto"/>
            <w:noWrap/>
            <w:vAlign w:val="bottom"/>
            <w:hideMark/>
          </w:tcPr>
          <w:p w14:paraId="02ACCF3A" w14:textId="77777777" w:rsidR="00836680" w:rsidRPr="005522B0" w:rsidRDefault="00836680" w:rsidP="00836680">
            <w:pPr>
              <w:jc w:val="right"/>
              <w:rPr>
                <w:rFonts w:ascii="Arial" w:hAnsi="Arial" w:cs="Arial"/>
                <w:color w:val="000000"/>
                <w:sz w:val="16"/>
                <w:szCs w:val="16"/>
                <w:lang w:eastAsia="en-GB"/>
              </w:rPr>
            </w:pPr>
          </w:p>
        </w:tc>
        <w:tc>
          <w:tcPr>
            <w:tcW w:w="677" w:type="pct"/>
            <w:tcBorders>
              <w:left w:val="nil"/>
              <w:right w:val="nil"/>
            </w:tcBorders>
            <w:shd w:val="clear" w:color="auto" w:fill="auto"/>
            <w:vAlign w:val="bottom"/>
            <w:hideMark/>
          </w:tcPr>
          <w:p w14:paraId="3A968557" w14:textId="07558C9A"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1P Reserve multiple ($/Boe)</w:t>
            </w:r>
          </w:p>
        </w:tc>
        <w:tc>
          <w:tcPr>
            <w:tcW w:w="424" w:type="pct"/>
            <w:tcBorders>
              <w:left w:val="nil"/>
              <w:right w:val="nil"/>
            </w:tcBorders>
            <w:shd w:val="clear" w:color="auto" w:fill="auto"/>
            <w:noWrap/>
            <w:vAlign w:val="bottom"/>
          </w:tcPr>
          <w:p w14:paraId="3B8626F6" w14:textId="6E770B2D"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7E4ACD">
              <w:rPr>
                <w:rFonts w:ascii="Arial" w:hAnsi="Arial" w:cs="Arial"/>
                <w:color w:val="000000"/>
                <w:sz w:val="16"/>
                <w:szCs w:val="16"/>
                <w:lang w:eastAsia="en-GB"/>
              </w:rPr>
              <w:t>5</w:t>
            </w:r>
          </w:p>
        </w:tc>
        <w:tc>
          <w:tcPr>
            <w:tcW w:w="430" w:type="pct"/>
            <w:gridSpan w:val="2"/>
            <w:tcBorders>
              <w:left w:val="nil"/>
              <w:right w:val="nil"/>
            </w:tcBorders>
            <w:shd w:val="clear" w:color="auto" w:fill="auto"/>
            <w:noWrap/>
            <w:vAlign w:val="bottom"/>
          </w:tcPr>
          <w:p w14:paraId="2491795F" w14:textId="58557A12"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7E4ACD">
              <w:rPr>
                <w:rFonts w:ascii="Arial" w:hAnsi="Arial" w:cs="Arial"/>
                <w:color w:val="000000"/>
                <w:sz w:val="16"/>
                <w:szCs w:val="16"/>
                <w:lang w:eastAsia="en-GB"/>
              </w:rPr>
              <w:t>9</w:t>
            </w:r>
          </w:p>
        </w:tc>
        <w:tc>
          <w:tcPr>
            <w:tcW w:w="465" w:type="pct"/>
            <w:gridSpan w:val="2"/>
            <w:tcBorders>
              <w:left w:val="nil"/>
              <w:right w:val="nil"/>
            </w:tcBorders>
            <w:shd w:val="clear" w:color="auto" w:fill="auto"/>
            <w:noWrap/>
            <w:vAlign w:val="bottom"/>
          </w:tcPr>
          <w:p w14:paraId="7BE9E85B" w14:textId="02E21A22"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7E4ACD">
              <w:rPr>
                <w:rFonts w:ascii="Arial" w:hAnsi="Arial" w:cs="Arial"/>
                <w:color w:val="000000"/>
                <w:sz w:val="16"/>
                <w:szCs w:val="16"/>
                <w:lang w:eastAsia="en-GB"/>
              </w:rPr>
              <w:t>5</w:t>
            </w:r>
          </w:p>
        </w:tc>
        <w:tc>
          <w:tcPr>
            <w:tcW w:w="1059" w:type="pct"/>
            <w:tcBorders>
              <w:left w:val="nil"/>
              <w:right w:val="nil"/>
            </w:tcBorders>
            <w:shd w:val="clear" w:color="000000" w:fill="FFFFFF"/>
            <w:vAlign w:val="bottom"/>
          </w:tcPr>
          <w:p w14:paraId="2BF0A5A0" w14:textId="77777777" w:rsidR="000E0926" w:rsidRDefault="000E0926" w:rsidP="00836680">
            <w:pPr>
              <w:jc w:val="right"/>
              <w:rPr>
                <w:rFonts w:ascii="Arial" w:hAnsi="Arial" w:cs="Arial"/>
                <w:color w:val="000000"/>
                <w:sz w:val="16"/>
                <w:szCs w:val="16"/>
                <w:lang w:eastAsia="en-GB"/>
              </w:rPr>
            </w:pPr>
          </w:p>
          <w:p w14:paraId="5783E9C3" w14:textId="2CC850D2" w:rsidR="00836680" w:rsidRPr="005522B0" w:rsidRDefault="000E0926" w:rsidP="00836680">
            <w:pPr>
              <w:jc w:val="right"/>
              <w:rPr>
                <w:rFonts w:ascii="Arial" w:hAnsi="Arial" w:cs="Arial"/>
                <w:color w:val="000000"/>
                <w:sz w:val="16"/>
                <w:szCs w:val="16"/>
                <w:lang w:eastAsia="en-GB"/>
              </w:rPr>
            </w:pPr>
            <w:r>
              <w:rPr>
                <w:rFonts w:ascii="Arial" w:hAnsi="Arial" w:cs="Arial"/>
                <w:color w:val="000000"/>
                <w:sz w:val="16"/>
                <w:szCs w:val="16"/>
                <w:lang w:eastAsia="en-GB"/>
              </w:rPr>
              <w:t>3</w:t>
            </w:r>
            <w:r w:rsidR="00836680" w:rsidRPr="005522B0">
              <w:rPr>
                <w:rFonts w:ascii="Arial" w:hAnsi="Arial" w:cs="Arial"/>
                <w:color w:val="000000"/>
                <w:sz w:val="16"/>
                <w:szCs w:val="16"/>
                <w:lang w:eastAsia="en-GB"/>
              </w:rPr>
              <w:t xml:space="preserve">0 per cent. weighted average change in the input would result in </w:t>
            </w:r>
            <w:r>
              <w:rPr>
                <w:rFonts w:ascii="Arial" w:hAnsi="Arial" w:cs="Arial"/>
                <w:color w:val="000000"/>
                <w:sz w:val="16"/>
                <w:szCs w:val="16"/>
                <w:lang w:eastAsia="en-GB"/>
              </w:rPr>
              <w:t>2</w:t>
            </w:r>
            <w:r w:rsidR="00836680" w:rsidRPr="005522B0">
              <w:rPr>
                <w:rFonts w:ascii="Arial" w:hAnsi="Arial" w:cs="Arial"/>
                <w:color w:val="000000"/>
                <w:sz w:val="16"/>
                <w:szCs w:val="16"/>
                <w:lang w:eastAsia="en-GB"/>
              </w:rPr>
              <w:t xml:space="preserve"> per cent. change in the total fair value of Level 3 investments</w:t>
            </w:r>
          </w:p>
        </w:tc>
        <w:tc>
          <w:tcPr>
            <w:tcW w:w="760" w:type="pct"/>
            <w:tcBorders>
              <w:left w:val="nil"/>
              <w:right w:val="nil"/>
            </w:tcBorders>
            <w:shd w:val="clear" w:color="auto" w:fill="auto"/>
            <w:noWrap/>
            <w:vAlign w:val="bottom"/>
          </w:tcPr>
          <w:p w14:paraId="7AABBDAB" w14:textId="4647905B"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4A09CB">
              <w:rPr>
                <w:rFonts w:ascii="Arial" w:hAnsi="Arial" w:cs="Arial"/>
                <w:color w:val="000000"/>
                <w:sz w:val="16"/>
                <w:szCs w:val="16"/>
                <w:lang w:eastAsia="en-GB"/>
              </w:rPr>
              <w:t>14,167</w:t>
            </w:r>
          </w:p>
        </w:tc>
      </w:tr>
      <w:tr w:rsidR="007E4ACD" w:rsidRPr="005522B0" w14:paraId="61CD0A0C" w14:textId="77777777" w:rsidTr="007E4ACD">
        <w:trPr>
          <w:trHeight w:val="799"/>
        </w:trPr>
        <w:tc>
          <w:tcPr>
            <w:tcW w:w="593" w:type="pct"/>
            <w:tcBorders>
              <w:left w:val="nil"/>
              <w:bottom w:val="nil"/>
              <w:right w:val="nil"/>
            </w:tcBorders>
            <w:shd w:val="clear" w:color="auto" w:fill="auto"/>
            <w:noWrap/>
            <w:hideMark/>
          </w:tcPr>
          <w:p w14:paraId="64B0DB72" w14:textId="77777777" w:rsidR="007E4ACD" w:rsidRPr="005522B0" w:rsidRDefault="007E4ACD" w:rsidP="00C00894">
            <w:pPr>
              <w:rPr>
                <w:rFonts w:ascii="Arial" w:hAnsi="Arial" w:cs="Arial"/>
                <w:color w:val="000000"/>
                <w:sz w:val="16"/>
                <w:szCs w:val="16"/>
                <w:lang w:eastAsia="en-GB"/>
              </w:rPr>
            </w:pPr>
          </w:p>
        </w:tc>
        <w:tc>
          <w:tcPr>
            <w:tcW w:w="592" w:type="pct"/>
            <w:tcBorders>
              <w:left w:val="nil"/>
              <w:right w:val="nil"/>
            </w:tcBorders>
            <w:shd w:val="clear" w:color="auto" w:fill="auto"/>
            <w:noWrap/>
            <w:vAlign w:val="bottom"/>
            <w:hideMark/>
          </w:tcPr>
          <w:p w14:paraId="6FDF9418" w14:textId="77777777" w:rsidR="007E4ACD" w:rsidRPr="005522B0" w:rsidRDefault="007E4ACD" w:rsidP="00C00894">
            <w:pPr>
              <w:jc w:val="right"/>
              <w:rPr>
                <w:rFonts w:ascii="Arial" w:hAnsi="Arial" w:cs="Arial"/>
                <w:color w:val="000000"/>
                <w:sz w:val="16"/>
                <w:szCs w:val="16"/>
                <w:lang w:eastAsia="en-GB"/>
              </w:rPr>
            </w:pPr>
          </w:p>
        </w:tc>
        <w:tc>
          <w:tcPr>
            <w:tcW w:w="677" w:type="pct"/>
            <w:tcBorders>
              <w:left w:val="nil"/>
              <w:right w:val="nil"/>
            </w:tcBorders>
            <w:shd w:val="clear" w:color="auto" w:fill="auto"/>
            <w:vAlign w:val="bottom"/>
            <w:hideMark/>
          </w:tcPr>
          <w:p w14:paraId="6F413F9F" w14:textId="77777777" w:rsidR="007E4ACD" w:rsidRPr="005522B0" w:rsidRDefault="007E4ACD" w:rsidP="00C00894">
            <w:pPr>
              <w:jc w:val="right"/>
              <w:rPr>
                <w:rFonts w:ascii="Arial" w:hAnsi="Arial" w:cs="Arial"/>
                <w:color w:val="000000"/>
                <w:sz w:val="16"/>
                <w:szCs w:val="16"/>
                <w:lang w:eastAsia="en-GB"/>
              </w:rPr>
            </w:pPr>
            <w:r w:rsidRPr="005522B0">
              <w:rPr>
                <w:rFonts w:ascii="Arial" w:hAnsi="Arial" w:cs="Arial"/>
                <w:color w:val="000000"/>
                <w:sz w:val="16"/>
                <w:szCs w:val="16"/>
                <w:lang w:eastAsia="en-GB"/>
              </w:rPr>
              <w:t>2P / 2C Reserve multiple ($/Boe)</w:t>
            </w:r>
          </w:p>
        </w:tc>
        <w:tc>
          <w:tcPr>
            <w:tcW w:w="424" w:type="pct"/>
            <w:tcBorders>
              <w:left w:val="nil"/>
              <w:right w:val="nil"/>
            </w:tcBorders>
            <w:shd w:val="clear" w:color="auto" w:fill="auto"/>
            <w:noWrap/>
            <w:vAlign w:val="bottom"/>
          </w:tcPr>
          <w:p w14:paraId="3532ADF9" w14:textId="7F2BFCE5" w:rsidR="007E4ACD" w:rsidRPr="005522B0" w:rsidRDefault="007E4ACD" w:rsidP="00C00894">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Pr>
                <w:rFonts w:ascii="Arial" w:hAnsi="Arial" w:cs="Arial"/>
                <w:color w:val="000000"/>
                <w:sz w:val="16"/>
                <w:szCs w:val="16"/>
                <w:lang w:eastAsia="en-GB"/>
              </w:rPr>
              <w:t>5</w:t>
            </w:r>
          </w:p>
        </w:tc>
        <w:tc>
          <w:tcPr>
            <w:tcW w:w="430" w:type="pct"/>
            <w:gridSpan w:val="2"/>
            <w:tcBorders>
              <w:left w:val="nil"/>
              <w:right w:val="nil"/>
            </w:tcBorders>
            <w:shd w:val="clear" w:color="auto" w:fill="auto"/>
            <w:noWrap/>
            <w:vAlign w:val="bottom"/>
          </w:tcPr>
          <w:p w14:paraId="744902FE" w14:textId="34606F1C" w:rsidR="007E4ACD" w:rsidRPr="005522B0" w:rsidRDefault="007E4ACD" w:rsidP="00C00894">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Pr>
                <w:rFonts w:ascii="Arial" w:hAnsi="Arial" w:cs="Arial"/>
                <w:color w:val="000000"/>
                <w:sz w:val="16"/>
                <w:szCs w:val="16"/>
                <w:lang w:eastAsia="en-GB"/>
              </w:rPr>
              <w:t>10</w:t>
            </w:r>
          </w:p>
        </w:tc>
        <w:tc>
          <w:tcPr>
            <w:tcW w:w="465" w:type="pct"/>
            <w:gridSpan w:val="2"/>
            <w:tcBorders>
              <w:left w:val="nil"/>
              <w:right w:val="nil"/>
            </w:tcBorders>
            <w:shd w:val="clear" w:color="auto" w:fill="auto"/>
            <w:noWrap/>
            <w:vAlign w:val="bottom"/>
          </w:tcPr>
          <w:p w14:paraId="3004CCCD" w14:textId="7D46E3DA" w:rsidR="007E4ACD" w:rsidRPr="005522B0" w:rsidRDefault="007E4ACD" w:rsidP="00C00894">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Pr>
                <w:rFonts w:ascii="Arial" w:hAnsi="Arial" w:cs="Arial"/>
                <w:color w:val="000000"/>
                <w:sz w:val="16"/>
                <w:szCs w:val="16"/>
                <w:lang w:eastAsia="en-GB"/>
              </w:rPr>
              <w:t>7</w:t>
            </w:r>
          </w:p>
        </w:tc>
        <w:tc>
          <w:tcPr>
            <w:tcW w:w="1059" w:type="pct"/>
            <w:tcBorders>
              <w:left w:val="nil"/>
              <w:right w:val="nil"/>
            </w:tcBorders>
            <w:shd w:val="clear" w:color="000000" w:fill="FFFFFF"/>
            <w:vAlign w:val="bottom"/>
          </w:tcPr>
          <w:p w14:paraId="332B6EF7" w14:textId="77777777" w:rsidR="000E0926" w:rsidRDefault="000E0926" w:rsidP="00C00894">
            <w:pPr>
              <w:jc w:val="right"/>
              <w:rPr>
                <w:rFonts w:ascii="Arial" w:hAnsi="Arial" w:cs="Arial"/>
                <w:color w:val="000000"/>
                <w:sz w:val="16"/>
                <w:szCs w:val="16"/>
                <w:lang w:eastAsia="en-GB"/>
              </w:rPr>
            </w:pPr>
          </w:p>
          <w:p w14:paraId="43319822" w14:textId="36FB861C" w:rsidR="007E4ACD" w:rsidRPr="005522B0" w:rsidRDefault="000E0926" w:rsidP="00C00894">
            <w:pPr>
              <w:jc w:val="right"/>
              <w:rPr>
                <w:rFonts w:ascii="Arial" w:hAnsi="Arial" w:cs="Arial"/>
                <w:color w:val="000000"/>
                <w:sz w:val="16"/>
                <w:szCs w:val="16"/>
                <w:lang w:eastAsia="en-GB"/>
              </w:rPr>
            </w:pPr>
            <w:r>
              <w:rPr>
                <w:rFonts w:ascii="Arial" w:hAnsi="Arial" w:cs="Arial"/>
                <w:color w:val="000000"/>
                <w:sz w:val="16"/>
                <w:szCs w:val="16"/>
                <w:lang w:eastAsia="en-GB"/>
              </w:rPr>
              <w:t>30</w:t>
            </w:r>
            <w:r w:rsidR="007E4ACD" w:rsidRPr="005522B0">
              <w:rPr>
                <w:rFonts w:ascii="Arial" w:hAnsi="Arial" w:cs="Arial"/>
                <w:color w:val="000000"/>
                <w:sz w:val="16"/>
                <w:szCs w:val="16"/>
                <w:lang w:eastAsia="en-GB"/>
              </w:rPr>
              <w:t xml:space="preserve"> per cent. weighted average change in the input would result in </w:t>
            </w:r>
            <w:r>
              <w:rPr>
                <w:rFonts w:ascii="Arial" w:hAnsi="Arial" w:cs="Arial"/>
                <w:color w:val="000000"/>
                <w:sz w:val="16"/>
                <w:szCs w:val="16"/>
                <w:lang w:eastAsia="en-GB"/>
              </w:rPr>
              <w:t>9</w:t>
            </w:r>
            <w:r w:rsidR="007E4ACD" w:rsidRPr="005522B0">
              <w:rPr>
                <w:rFonts w:ascii="Arial" w:hAnsi="Arial" w:cs="Arial"/>
                <w:color w:val="000000"/>
                <w:sz w:val="16"/>
                <w:szCs w:val="16"/>
                <w:lang w:eastAsia="en-GB"/>
              </w:rPr>
              <w:t xml:space="preserve"> per cent. change in the total fair value of Level 3 investments</w:t>
            </w:r>
          </w:p>
        </w:tc>
        <w:tc>
          <w:tcPr>
            <w:tcW w:w="760" w:type="pct"/>
            <w:tcBorders>
              <w:left w:val="nil"/>
              <w:right w:val="nil"/>
            </w:tcBorders>
            <w:shd w:val="clear" w:color="auto" w:fill="auto"/>
            <w:noWrap/>
            <w:vAlign w:val="bottom"/>
          </w:tcPr>
          <w:p w14:paraId="60A62B03" w14:textId="6973143C" w:rsidR="007E4ACD" w:rsidRPr="005522B0" w:rsidRDefault="007E4ACD" w:rsidP="00C00894">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4A09CB">
              <w:rPr>
                <w:rFonts w:ascii="Arial" w:hAnsi="Arial" w:cs="Arial"/>
                <w:color w:val="000000"/>
                <w:sz w:val="16"/>
                <w:szCs w:val="16"/>
                <w:lang w:eastAsia="en-GB"/>
              </w:rPr>
              <w:t>107,555</w:t>
            </w:r>
          </w:p>
        </w:tc>
      </w:tr>
      <w:tr w:rsidR="00836680" w:rsidRPr="005522B0" w14:paraId="56E7AA45" w14:textId="77777777" w:rsidTr="00836680">
        <w:trPr>
          <w:trHeight w:val="799"/>
        </w:trPr>
        <w:tc>
          <w:tcPr>
            <w:tcW w:w="593" w:type="pct"/>
            <w:tcBorders>
              <w:top w:val="nil"/>
              <w:left w:val="nil"/>
              <w:bottom w:val="nil"/>
              <w:right w:val="nil"/>
            </w:tcBorders>
            <w:shd w:val="clear" w:color="auto" w:fill="auto"/>
            <w:noWrap/>
          </w:tcPr>
          <w:p w14:paraId="541651E5" w14:textId="77777777" w:rsidR="00836680" w:rsidRPr="005522B0" w:rsidRDefault="00836680" w:rsidP="00836680">
            <w:pPr>
              <w:rPr>
                <w:rFonts w:ascii="Arial" w:hAnsi="Arial" w:cs="Arial"/>
                <w:color w:val="000000"/>
                <w:sz w:val="16"/>
                <w:szCs w:val="16"/>
                <w:lang w:eastAsia="en-GB"/>
              </w:rPr>
            </w:pPr>
            <w:bookmarkStart w:id="9" w:name="_Hlk47362704"/>
          </w:p>
        </w:tc>
        <w:tc>
          <w:tcPr>
            <w:tcW w:w="592" w:type="pct"/>
            <w:tcBorders>
              <w:left w:val="nil"/>
              <w:bottom w:val="single" w:sz="4" w:space="0" w:color="auto"/>
              <w:right w:val="nil"/>
            </w:tcBorders>
            <w:shd w:val="clear" w:color="auto" w:fill="auto"/>
            <w:noWrap/>
            <w:vAlign w:val="bottom"/>
          </w:tcPr>
          <w:p w14:paraId="775091F5" w14:textId="77777777" w:rsidR="00836680" w:rsidRPr="005522B0" w:rsidRDefault="00836680" w:rsidP="00836680">
            <w:pPr>
              <w:jc w:val="right"/>
              <w:rPr>
                <w:rFonts w:ascii="Arial" w:hAnsi="Arial" w:cs="Arial"/>
                <w:color w:val="000000"/>
                <w:sz w:val="16"/>
                <w:szCs w:val="16"/>
                <w:lang w:eastAsia="en-GB"/>
              </w:rPr>
            </w:pPr>
          </w:p>
        </w:tc>
        <w:tc>
          <w:tcPr>
            <w:tcW w:w="677" w:type="pct"/>
            <w:tcBorders>
              <w:left w:val="nil"/>
              <w:bottom w:val="single" w:sz="4" w:space="0" w:color="auto"/>
              <w:right w:val="nil"/>
            </w:tcBorders>
            <w:shd w:val="clear" w:color="auto" w:fill="auto"/>
            <w:vAlign w:val="bottom"/>
          </w:tcPr>
          <w:p w14:paraId="68FC670D" w14:textId="191B963C" w:rsidR="00836680" w:rsidRPr="005522B0" w:rsidRDefault="007E4ACD" w:rsidP="00836680">
            <w:pPr>
              <w:jc w:val="right"/>
              <w:rPr>
                <w:rFonts w:ascii="Arial" w:hAnsi="Arial" w:cs="Arial"/>
                <w:color w:val="000000"/>
                <w:sz w:val="16"/>
                <w:szCs w:val="16"/>
                <w:lang w:eastAsia="en-GB"/>
              </w:rPr>
            </w:pPr>
            <w:r>
              <w:rPr>
                <w:rFonts w:ascii="Arial" w:hAnsi="Arial" w:cs="Arial"/>
                <w:color w:val="000000"/>
                <w:sz w:val="16"/>
                <w:szCs w:val="16"/>
                <w:lang w:eastAsia="en-GB"/>
              </w:rPr>
              <w:t>Asset Value</w:t>
            </w:r>
            <w:r w:rsidR="00836680" w:rsidRPr="005522B0">
              <w:rPr>
                <w:rFonts w:ascii="Arial" w:hAnsi="Arial" w:cs="Arial"/>
                <w:color w:val="000000"/>
                <w:sz w:val="16"/>
                <w:szCs w:val="16"/>
                <w:lang w:eastAsia="en-GB"/>
              </w:rPr>
              <w:t xml:space="preserve"> ($</w:t>
            </w:r>
            <w:r>
              <w:rPr>
                <w:rFonts w:ascii="Arial" w:hAnsi="Arial" w:cs="Arial"/>
                <w:color w:val="000000"/>
                <w:sz w:val="16"/>
                <w:szCs w:val="16"/>
                <w:lang w:eastAsia="en-GB"/>
              </w:rPr>
              <w:t>m/kW</w:t>
            </w:r>
            <w:r w:rsidR="00836680" w:rsidRPr="005522B0">
              <w:rPr>
                <w:rFonts w:ascii="Arial" w:hAnsi="Arial" w:cs="Arial"/>
                <w:color w:val="000000"/>
                <w:sz w:val="16"/>
                <w:szCs w:val="16"/>
                <w:lang w:eastAsia="en-GB"/>
              </w:rPr>
              <w:t>)</w:t>
            </w:r>
            <w:r w:rsidR="000E0926" w:rsidRPr="000E0926">
              <w:rPr>
                <w:rFonts w:ascii="Arial" w:hAnsi="Arial" w:cs="Arial"/>
                <w:color w:val="000000"/>
                <w:sz w:val="16"/>
                <w:szCs w:val="16"/>
                <w:vertAlign w:val="superscript"/>
                <w:lang w:eastAsia="en-GB"/>
              </w:rPr>
              <w:t>(</w:t>
            </w:r>
            <w:r w:rsidR="00B06A1A">
              <w:rPr>
                <w:rFonts w:ascii="Arial" w:hAnsi="Arial" w:cs="Arial"/>
                <w:color w:val="000000"/>
                <w:sz w:val="16"/>
                <w:szCs w:val="16"/>
                <w:vertAlign w:val="superscript"/>
                <w:lang w:eastAsia="en-GB"/>
              </w:rPr>
              <w:t>4</w:t>
            </w:r>
            <w:r w:rsidR="000E0926" w:rsidRPr="000E0926">
              <w:rPr>
                <w:rFonts w:ascii="Arial" w:hAnsi="Arial" w:cs="Arial"/>
                <w:color w:val="000000"/>
                <w:sz w:val="16"/>
                <w:szCs w:val="16"/>
                <w:vertAlign w:val="superscript"/>
                <w:lang w:eastAsia="en-GB"/>
              </w:rPr>
              <w:t>)</w:t>
            </w:r>
          </w:p>
        </w:tc>
        <w:tc>
          <w:tcPr>
            <w:tcW w:w="424" w:type="pct"/>
            <w:tcBorders>
              <w:left w:val="nil"/>
              <w:bottom w:val="single" w:sz="4" w:space="0" w:color="auto"/>
              <w:right w:val="nil"/>
            </w:tcBorders>
            <w:shd w:val="clear" w:color="auto" w:fill="auto"/>
            <w:noWrap/>
            <w:vAlign w:val="bottom"/>
          </w:tcPr>
          <w:p w14:paraId="360A5216" w14:textId="65BE726D"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7E4ACD">
              <w:rPr>
                <w:rFonts w:ascii="Arial" w:hAnsi="Arial" w:cs="Arial"/>
                <w:color w:val="000000"/>
                <w:sz w:val="16"/>
                <w:szCs w:val="16"/>
                <w:lang w:eastAsia="en-GB"/>
              </w:rPr>
              <w:t>56</w:t>
            </w:r>
          </w:p>
        </w:tc>
        <w:tc>
          <w:tcPr>
            <w:tcW w:w="430" w:type="pct"/>
            <w:gridSpan w:val="2"/>
            <w:tcBorders>
              <w:left w:val="nil"/>
              <w:bottom w:val="single" w:sz="4" w:space="0" w:color="auto"/>
              <w:right w:val="nil"/>
            </w:tcBorders>
            <w:shd w:val="clear" w:color="auto" w:fill="auto"/>
            <w:noWrap/>
            <w:vAlign w:val="bottom"/>
          </w:tcPr>
          <w:p w14:paraId="44FBF334" w14:textId="268FE0C1"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7E4ACD">
              <w:rPr>
                <w:rFonts w:ascii="Arial" w:hAnsi="Arial" w:cs="Arial"/>
                <w:color w:val="000000"/>
                <w:sz w:val="16"/>
                <w:szCs w:val="16"/>
                <w:lang w:eastAsia="en-GB"/>
              </w:rPr>
              <w:t>182</w:t>
            </w:r>
          </w:p>
        </w:tc>
        <w:tc>
          <w:tcPr>
            <w:tcW w:w="465" w:type="pct"/>
            <w:gridSpan w:val="2"/>
            <w:tcBorders>
              <w:left w:val="nil"/>
              <w:bottom w:val="single" w:sz="4" w:space="0" w:color="auto"/>
              <w:right w:val="nil"/>
            </w:tcBorders>
            <w:shd w:val="clear" w:color="auto" w:fill="auto"/>
            <w:noWrap/>
            <w:vAlign w:val="bottom"/>
          </w:tcPr>
          <w:p w14:paraId="10ADEA3C" w14:textId="0D1C4F27"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7E4ACD">
              <w:rPr>
                <w:rFonts w:ascii="Arial" w:hAnsi="Arial" w:cs="Arial"/>
                <w:color w:val="000000"/>
                <w:sz w:val="16"/>
                <w:szCs w:val="16"/>
                <w:lang w:eastAsia="en-GB"/>
              </w:rPr>
              <w:t>144</w:t>
            </w:r>
          </w:p>
        </w:tc>
        <w:tc>
          <w:tcPr>
            <w:tcW w:w="1059" w:type="pct"/>
            <w:tcBorders>
              <w:left w:val="nil"/>
              <w:bottom w:val="single" w:sz="4" w:space="0" w:color="auto"/>
              <w:right w:val="nil"/>
            </w:tcBorders>
            <w:shd w:val="clear" w:color="000000" w:fill="FFFFFF"/>
            <w:vAlign w:val="bottom"/>
          </w:tcPr>
          <w:p w14:paraId="301B93B5" w14:textId="77777777" w:rsidR="000E0926" w:rsidRDefault="000E0926" w:rsidP="00836680">
            <w:pPr>
              <w:jc w:val="right"/>
              <w:rPr>
                <w:rFonts w:ascii="Arial" w:hAnsi="Arial" w:cs="Arial"/>
                <w:color w:val="000000"/>
                <w:sz w:val="16"/>
                <w:szCs w:val="16"/>
                <w:lang w:eastAsia="en-GB"/>
              </w:rPr>
            </w:pPr>
          </w:p>
          <w:p w14:paraId="7AFFB930" w14:textId="7B52F2F2" w:rsidR="00836680" w:rsidRPr="005522B0" w:rsidRDefault="000E0926" w:rsidP="00836680">
            <w:pPr>
              <w:jc w:val="right"/>
              <w:rPr>
                <w:rFonts w:ascii="Arial" w:hAnsi="Arial" w:cs="Arial"/>
                <w:color w:val="000000"/>
                <w:sz w:val="16"/>
                <w:szCs w:val="16"/>
                <w:lang w:eastAsia="en-GB"/>
              </w:rPr>
            </w:pPr>
            <w:r>
              <w:rPr>
                <w:rFonts w:ascii="Arial" w:hAnsi="Arial" w:cs="Arial"/>
                <w:color w:val="000000"/>
                <w:sz w:val="16"/>
                <w:szCs w:val="16"/>
                <w:lang w:eastAsia="en-GB"/>
              </w:rPr>
              <w:t>25</w:t>
            </w:r>
            <w:r w:rsidR="00836680" w:rsidRPr="005522B0">
              <w:rPr>
                <w:rFonts w:ascii="Arial" w:hAnsi="Arial" w:cs="Arial"/>
                <w:color w:val="000000"/>
                <w:sz w:val="16"/>
                <w:szCs w:val="16"/>
                <w:lang w:eastAsia="en-GB"/>
              </w:rPr>
              <w:t xml:space="preserve"> per cent. weighted average change in the input would result in </w:t>
            </w:r>
            <w:r w:rsidR="0052199A">
              <w:rPr>
                <w:rFonts w:ascii="Arial" w:hAnsi="Arial" w:cs="Arial"/>
                <w:color w:val="000000"/>
                <w:sz w:val="16"/>
                <w:szCs w:val="16"/>
                <w:lang w:eastAsia="en-GB"/>
              </w:rPr>
              <w:t>1</w:t>
            </w:r>
            <w:r w:rsidR="00836680" w:rsidRPr="005522B0">
              <w:rPr>
                <w:rFonts w:ascii="Arial" w:hAnsi="Arial" w:cs="Arial"/>
                <w:color w:val="000000"/>
                <w:sz w:val="16"/>
                <w:szCs w:val="16"/>
                <w:lang w:eastAsia="en-GB"/>
              </w:rPr>
              <w:t xml:space="preserve"> per cent. change in the total fair value of Level 3 investments</w:t>
            </w:r>
          </w:p>
        </w:tc>
        <w:tc>
          <w:tcPr>
            <w:tcW w:w="760" w:type="pct"/>
            <w:tcBorders>
              <w:left w:val="nil"/>
              <w:bottom w:val="single" w:sz="4" w:space="0" w:color="auto"/>
              <w:right w:val="nil"/>
            </w:tcBorders>
            <w:shd w:val="clear" w:color="auto" w:fill="auto"/>
            <w:noWrap/>
            <w:vAlign w:val="bottom"/>
          </w:tcPr>
          <w:p w14:paraId="3F706BE3" w14:textId="75E3711D"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4A09CB">
              <w:rPr>
                <w:rFonts w:ascii="Arial" w:hAnsi="Arial" w:cs="Arial"/>
                <w:color w:val="000000"/>
                <w:sz w:val="16"/>
                <w:szCs w:val="16"/>
                <w:lang w:eastAsia="en-GB"/>
              </w:rPr>
              <w:t>46,796</w:t>
            </w:r>
          </w:p>
        </w:tc>
      </w:tr>
      <w:bookmarkEnd w:id="9"/>
      <w:tr w:rsidR="00836680" w:rsidRPr="005522B0" w14:paraId="0F53794B" w14:textId="77777777" w:rsidTr="00836680">
        <w:trPr>
          <w:trHeight w:val="799"/>
        </w:trPr>
        <w:tc>
          <w:tcPr>
            <w:tcW w:w="593" w:type="pct"/>
            <w:tcBorders>
              <w:top w:val="nil"/>
              <w:left w:val="nil"/>
              <w:bottom w:val="nil"/>
              <w:right w:val="nil"/>
            </w:tcBorders>
            <w:shd w:val="clear" w:color="auto" w:fill="auto"/>
            <w:noWrap/>
            <w:hideMark/>
          </w:tcPr>
          <w:p w14:paraId="107C0BDC" w14:textId="77777777" w:rsidR="00836680" w:rsidRPr="005522B0" w:rsidRDefault="00836680" w:rsidP="00836680">
            <w:pPr>
              <w:rPr>
                <w:rFonts w:ascii="Arial" w:hAnsi="Arial" w:cs="Arial"/>
                <w:color w:val="000000"/>
                <w:sz w:val="16"/>
                <w:szCs w:val="16"/>
                <w:lang w:eastAsia="en-GB"/>
              </w:rPr>
            </w:pPr>
          </w:p>
        </w:tc>
        <w:tc>
          <w:tcPr>
            <w:tcW w:w="592" w:type="pct"/>
            <w:tcBorders>
              <w:top w:val="nil"/>
              <w:left w:val="nil"/>
              <w:bottom w:val="nil"/>
              <w:right w:val="nil"/>
            </w:tcBorders>
            <w:shd w:val="clear" w:color="auto" w:fill="auto"/>
            <w:noWrap/>
            <w:vAlign w:val="bottom"/>
            <w:hideMark/>
          </w:tcPr>
          <w:p w14:paraId="01DFB4E4" w14:textId="4A0D51BF" w:rsidR="00836680" w:rsidRPr="005522B0" w:rsidRDefault="00836680" w:rsidP="00836680">
            <w:pPr>
              <w:jc w:val="right"/>
              <w:rPr>
                <w:rFonts w:ascii="Arial" w:hAnsi="Arial" w:cs="Arial"/>
                <w:color w:val="000000"/>
                <w:sz w:val="16"/>
                <w:szCs w:val="16"/>
                <w:lang w:eastAsia="en-GB"/>
              </w:rPr>
            </w:pPr>
            <w:r w:rsidRPr="005522B0">
              <w:rPr>
                <w:rFonts w:ascii="Arial" w:eastAsiaTheme="minorHAnsi" w:hAnsi="Arial" w:cs="Arial"/>
                <w:sz w:val="16"/>
                <w:szCs w:val="16"/>
              </w:rPr>
              <w:t>Discounted cash flow</w:t>
            </w:r>
            <w:r w:rsidR="002F5EEA" w:rsidRPr="005522B0">
              <w:rPr>
                <w:rFonts w:ascii="Arial" w:eastAsiaTheme="minorHAnsi" w:hAnsi="Arial" w:cs="Arial"/>
                <w:sz w:val="16"/>
                <w:szCs w:val="16"/>
                <w:vertAlign w:val="superscript"/>
              </w:rPr>
              <w:t>(</w:t>
            </w:r>
            <w:r w:rsidR="00B06A1A">
              <w:rPr>
                <w:rFonts w:ascii="Arial" w:eastAsiaTheme="minorHAnsi" w:hAnsi="Arial" w:cs="Arial"/>
                <w:sz w:val="16"/>
                <w:szCs w:val="16"/>
                <w:vertAlign w:val="superscript"/>
              </w:rPr>
              <w:t>5</w:t>
            </w:r>
            <w:r w:rsidRPr="005522B0">
              <w:rPr>
                <w:rFonts w:ascii="Arial" w:eastAsiaTheme="minorHAnsi" w:hAnsi="Arial" w:cs="Arial"/>
                <w:sz w:val="16"/>
                <w:szCs w:val="16"/>
                <w:vertAlign w:val="superscript"/>
              </w:rPr>
              <w:t>)</w:t>
            </w:r>
          </w:p>
        </w:tc>
        <w:tc>
          <w:tcPr>
            <w:tcW w:w="677" w:type="pct"/>
            <w:tcBorders>
              <w:top w:val="nil"/>
              <w:left w:val="nil"/>
              <w:bottom w:val="nil"/>
              <w:right w:val="nil"/>
            </w:tcBorders>
            <w:shd w:val="clear" w:color="auto" w:fill="auto"/>
            <w:noWrap/>
            <w:vAlign w:val="bottom"/>
            <w:hideMark/>
          </w:tcPr>
          <w:p w14:paraId="7E2B4A9E" w14:textId="77777777"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Oil Price Curve ($/bbl)</w:t>
            </w:r>
          </w:p>
        </w:tc>
        <w:tc>
          <w:tcPr>
            <w:tcW w:w="424" w:type="pct"/>
            <w:tcBorders>
              <w:top w:val="nil"/>
              <w:left w:val="nil"/>
              <w:bottom w:val="nil"/>
              <w:right w:val="nil"/>
            </w:tcBorders>
            <w:shd w:val="clear" w:color="auto" w:fill="auto"/>
            <w:noWrap/>
            <w:vAlign w:val="bottom"/>
          </w:tcPr>
          <w:p w14:paraId="5DDA8DA7" w14:textId="29788B15"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4A09CB">
              <w:rPr>
                <w:rFonts w:ascii="Arial" w:hAnsi="Arial" w:cs="Arial"/>
                <w:color w:val="000000"/>
                <w:sz w:val="16"/>
                <w:szCs w:val="16"/>
                <w:lang w:eastAsia="en-GB"/>
              </w:rPr>
              <w:t>35</w:t>
            </w:r>
          </w:p>
        </w:tc>
        <w:tc>
          <w:tcPr>
            <w:tcW w:w="430" w:type="pct"/>
            <w:gridSpan w:val="2"/>
            <w:tcBorders>
              <w:top w:val="nil"/>
              <w:left w:val="nil"/>
              <w:bottom w:val="nil"/>
              <w:right w:val="nil"/>
            </w:tcBorders>
            <w:shd w:val="clear" w:color="auto" w:fill="auto"/>
            <w:noWrap/>
            <w:vAlign w:val="bottom"/>
          </w:tcPr>
          <w:p w14:paraId="247932FC" w14:textId="6D2E074F"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4A09CB">
              <w:rPr>
                <w:rFonts w:ascii="Arial" w:hAnsi="Arial" w:cs="Arial"/>
                <w:color w:val="000000"/>
                <w:sz w:val="16"/>
                <w:szCs w:val="16"/>
                <w:lang w:eastAsia="en-GB"/>
              </w:rPr>
              <w:t>42</w:t>
            </w:r>
          </w:p>
        </w:tc>
        <w:tc>
          <w:tcPr>
            <w:tcW w:w="465" w:type="pct"/>
            <w:gridSpan w:val="2"/>
            <w:tcBorders>
              <w:top w:val="nil"/>
              <w:left w:val="nil"/>
              <w:bottom w:val="nil"/>
              <w:right w:val="nil"/>
            </w:tcBorders>
            <w:shd w:val="clear" w:color="auto" w:fill="auto"/>
            <w:noWrap/>
            <w:vAlign w:val="bottom"/>
          </w:tcPr>
          <w:p w14:paraId="58A5B5ED" w14:textId="42E6C83B"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4A09CB">
              <w:rPr>
                <w:rFonts w:ascii="Arial" w:hAnsi="Arial" w:cs="Arial"/>
                <w:color w:val="000000"/>
                <w:sz w:val="16"/>
                <w:szCs w:val="16"/>
                <w:lang w:eastAsia="en-GB"/>
              </w:rPr>
              <w:t>40</w:t>
            </w:r>
          </w:p>
        </w:tc>
        <w:tc>
          <w:tcPr>
            <w:tcW w:w="1059" w:type="pct"/>
            <w:tcBorders>
              <w:top w:val="nil"/>
              <w:left w:val="nil"/>
              <w:bottom w:val="nil"/>
              <w:right w:val="nil"/>
            </w:tcBorders>
            <w:shd w:val="clear" w:color="000000" w:fill="FFFFFF"/>
            <w:vAlign w:val="bottom"/>
          </w:tcPr>
          <w:p w14:paraId="684130C4" w14:textId="1FA14DC5" w:rsidR="00836680" w:rsidRPr="005522B0" w:rsidRDefault="000E0926" w:rsidP="00836680">
            <w:pPr>
              <w:jc w:val="right"/>
              <w:rPr>
                <w:rFonts w:ascii="Arial" w:hAnsi="Arial" w:cs="Arial"/>
                <w:color w:val="000000"/>
                <w:sz w:val="16"/>
                <w:szCs w:val="16"/>
                <w:lang w:eastAsia="en-GB"/>
              </w:rPr>
            </w:pPr>
            <w:r>
              <w:rPr>
                <w:rFonts w:ascii="Arial" w:hAnsi="Arial" w:cs="Arial"/>
                <w:color w:val="000000"/>
                <w:sz w:val="16"/>
                <w:szCs w:val="16"/>
                <w:lang w:eastAsia="en-GB"/>
              </w:rPr>
              <w:t>15</w:t>
            </w:r>
            <w:r w:rsidR="00836680" w:rsidRPr="005522B0">
              <w:rPr>
                <w:rFonts w:ascii="Arial" w:hAnsi="Arial" w:cs="Arial"/>
                <w:color w:val="000000"/>
                <w:sz w:val="16"/>
                <w:szCs w:val="16"/>
                <w:lang w:eastAsia="en-GB"/>
              </w:rPr>
              <w:t xml:space="preserve"> per cent. weighted average change in the input would result in </w:t>
            </w:r>
            <w:r>
              <w:rPr>
                <w:rFonts w:ascii="Arial" w:hAnsi="Arial" w:cs="Arial"/>
                <w:color w:val="000000"/>
                <w:sz w:val="16"/>
                <w:szCs w:val="16"/>
                <w:lang w:eastAsia="en-GB"/>
              </w:rPr>
              <w:t>2</w:t>
            </w:r>
            <w:r w:rsidR="0052199A">
              <w:rPr>
                <w:rFonts w:ascii="Arial" w:hAnsi="Arial" w:cs="Arial"/>
                <w:color w:val="000000"/>
                <w:sz w:val="16"/>
                <w:szCs w:val="16"/>
                <w:lang w:eastAsia="en-GB"/>
              </w:rPr>
              <w:t>5</w:t>
            </w:r>
            <w:r w:rsidR="00836680" w:rsidRPr="005522B0">
              <w:rPr>
                <w:rFonts w:ascii="Arial" w:hAnsi="Arial" w:cs="Arial"/>
                <w:color w:val="000000"/>
                <w:sz w:val="16"/>
                <w:szCs w:val="16"/>
                <w:lang w:eastAsia="en-GB"/>
              </w:rPr>
              <w:t xml:space="preserve"> per cent. change in the total fair value of Level 3 investments</w:t>
            </w:r>
          </w:p>
        </w:tc>
        <w:tc>
          <w:tcPr>
            <w:tcW w:w="760" w:type="pct"/>
            <w:tcBorders>
              <w:top w:val="nil"/>
              <w:left w:val="nil"/>
              <w:bottom w:val="nil"/>
              <w:right w:val="nil"/>
            </w:tcBorders>
            <w:shd w:val="clear" w:color="auto" w:fill="auto"/>
            <w:noWrap/>
            <w:vAlign w:val="bottom"/>
          </w:tcPr>
          <w:p w14:paraId="27F8D015" w14:textId="29EA5A86"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4A09CB">
              <w:rPr>
                <w:rFonts w:ascii="Arial" w:hAnsi="Arial" w:cs="Arial"/>
                <w:color w:val="000000"/>
                <w:sz w:val="16"/>
                <w:szCs w:val="16"/>
                <w:lang w:eastAsia="en-GB"/>
              </w:rPr>
              <w:t>139,963</w:t>
            </w:r>
          </w:p>
        </w:tc>
      </w:tr>
      <w:tr w:rsidR="00836680" w:rsidRPr="005522B0" w14:paraId="1230096E" w14:textId="77777777" w:rsidTr="00836680">
        <w:trPr>
          <w:trHeight w:val="799"/>
        </w:trPr>
        <w:tc>
          <w:tcPr>
            <w:tcW w:w="593" w:type="pct"/>
            <w:tcBorders>
              <w:top w:val="nil"/>
              <w:left w:val="nil"/>
              <w:bottom w:val="nil"/>
              <w:right w:val="nil"/>
            </w:tcBorders>
            <w:shd w:val="clear" w:color="auto" w:fill="auto"/>
            <w:noWrap/>
            <w:hideMark/>
          </w:tcPr>
          <w:p w14:paraId="1060E68D" w14:textId="77777777" w:rsidR="00836680" w:rsidRPr="005522B0" w:rsidRDefault="00836680" w:rsidP="00836680">
            <w:pPr>
              <w:rPr>
                <w:rFonts w:ascii="Arial" w:hAnsi="Arial" w:cs="Arial"/>
                <w:color w:val="000000"/>
                <w:sz w:val="16"/>
                <w:szCs w:val="16"/>
                <w:lang w:eastAsia="en-GB"/>
              </w:rPr>
            </w:pPr>
          </w:p>
        </w:tc>
        <w:tc>
          <w:tcPr>
            <w:tcW w:w="592" w:type="pct"/>
            <w:tcBorders>
              <w:top w:val="nil"/>
              <w:left w:val="nil"/>
              <w:bottom w:val="nil"/>
              <w:right w:val="nil"/>
            </w:tcBorders>
            <w:shd w:val="clear" w:color="auto" w:fill="auto"/>
            <w:noWrap/>
            <w:vAlign w:val="bottom"/>
            <w:hideMark/>
          </w:tcPr>
          <w:p w14:paraId="70795A74" w14:textId="77777777" w:rsidR="00836680" w:rsidRPr="005522B0" w:rsidRDefault="00836680" w:rsidP="00836680">
            <w:pPr>
              <w:jc w:val="right"/>
              <w:rPr>
                <w:rFonts w:ascii="Arial" w:hAnsi="Arial" w:cs="Arial"/>
                <w:color w:val="000000"/>
                <w:sz w:val="16"/>
                <w:szCs w:val="16"/>
                <w:lang w:eastAsia="en-GB"/>
              </w:rPr>
            </w:pPr>
          </w:p>
        </w:tc>
        <w:tc>
          <w:tcPr>
            <w:tcW w:w="677" w:type="pct"/>
            <w:tcBorders>
              <w:top w:val="nil"/>
              <w:left w:val="nil"/>
              <w:bottom w:val="nil"/>
              <w:right w:val="nil"/>
            </w:tcBorders>
            <w:shd w:val="clear" w:color="auto" w:fill="auto"/>
            <w:noWrap/>
            <w:vAlign w:val="bottom"/>
            <w:hideMark/>
          </w:tcPr>
          <w:p w14:paraId="7A900CEC" w14:textId="77777777"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Gas Price Curve ($/mcfe)</w:t>
            </w:r>
          </w:p>
        </w:tc>
        <w:tc>
          <w:tcPr>
            <w:tcW w:w="424" w:type="pct"/>
            <w:tcBorders>
              <w:top w:val="nil"/>
              <w:left w:val="nil"/>
              <w:bottom w:val="nil"/>
              <w:right w:val="nil"/>
            </w:tcBorders>
            <w:shd w:val="clear" w:color="auto" w:fill="auto"/>
            <w:noWrap/>
            <w:vAlign w:val="bottom"/>
          </w:tcPr>
          <w:p w14:paraId="034CB273" w14:textId="0606FBF1"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4A09CB">
              <w:rPr>
                <w:rFonts w:ascii="Arial" w:hAnsi="Arial" w:cs="Arial"/>
                <w:color w:val="000000"/>
                <w:sz w:val="16"/>
                <w:szCs w:val="16"/>
                <w:lang w:eastAsia="en-GB"/>
              </w:rPr>
              <w:t>2</w:t>
            </w:r>
          </w:p>
        </w:tc>
        <w:tc>
          <w:tcPr>
            <w:tcW w:w="430" w:type="pct"/>
            <w:gridSpan w:val="2"/>
            <w:tcBorders>
              <w:top w:val="nil"/>
              <w:left w:val="nil"/>
              <w:bottom w:val="nil"/>
              <w:right w:val="nil"/>
            </w:tcBorders>
            <w:shd w:val="clear" w:color="auto" w:fill="auto"/>
            <w:noWrap/>
            <w:vAlign w:val="bottom"/>
          </w:tcPr>
          <w:p w14:paraId="30668ADE" w14:textId="6B10949B"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4A09CB">
              <w:rPr>
                <w:rFonts w:ascii="Arial" w:hAnsi="Arial" w:cs="Arial"/>
                <w:color w:val="000000"/>
                <w:sz w:val="16"/>
                <w:szCs w:val="16"/>
                <w:lang w:eastAsia="en-GB"/>
              </w:rPr>
              <w:t>2</w:t>
            </w:r>
          </w:p>
        </w:tc>
        <w:tc>
          <w:tcPr>
            <w:tcW w:w="465" w:type="pct"/>
            <w:gridSpan w:val="2"/>
            <w:tcBorders>
              <w:top w:val="nil"/>
              <w:left w:val="nil"/>
              <w:bottom w:val="nil"/>
              <w:right w:val="nil"/>
            </w:tcBorders>
            <w:shd w:val="clear" w:color="auto" w:fill="auto"/>
            <w:noWrap/>
            <w:vAlign w:val="bottom"/>
          </w:tcPr>
          <w:p w14:paraId="68EA3D1E" w14:textId="145F47CE"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4A09CB">
              <w:rPr>
                <w:rFonts w:ascii="Arial" w:hAnsi="Arial" w:cs="Arial"/>
                <w:color w:val="000000"/>
                <w:sz w:val="16"/>
                <w:szCs w:val="16"/>
                <w:lang w:eastAsia="en-GB"/>
              </w:rPr>
              <w:t>2</w:t>
            </w:r>
          </w:p>
        </w:tc>
        <w:tc>
          <w:tcPr>
            <w:tcW w:w="1059" w:type="pct"/>
            <w:tcBorders>
              <w:top w:val="nil"/>
              <w:left w:val="nil"/>
              <w:bottom w:val="nil"/>
              <w:right w:val="nil"/>
            </w:tcBorders>
            <w:shd w:val="clear" w:color="000000" w:fill="FFFFFF"/>
            <w:vAlign w:val="bottom"/>
          </w:tcPr>
          <w:p w14:paraId="336274B2" w14:textId="77777777" w:rsidR="000E0926" w:rsidRDefault="000E0926" w:rsidP="00836680">
            <w:pPr>
              <w:jc w:val="right"/>
              <w:rPr>
                <w:rFonts w:ascii="Arial" w:hAnsi="Arial" w:cs="Arial"/>
                <w:color w:val="000000"/>
                <w:sz w:val="16"/>
                <w:szCs w:val="16"/>
                <w:lang w:eastAsia="en-GB"/>
              </w:rPr>
            </w:pPr>
          </w:p>
          <w:p w14:paraId="7D3789E7" w14:textId="3FF541B1" w:rsidR="00836680" w:rsidRPr="005522B0" w:rsidRDefault="000E0926" w:rsidP="00836680">
            <w:pPr>
              <w:jc w:val="right"/>
              <w:rPr>
                <w:rFonts w:ascii="Arial" w:hAnsi="Arial" w:cs="Arial"/>
                <w:color w:val="000000"/>
                <w:sz w:val="16"/>
                <w:szCs w:val="16"/>
                <w:lang w:eastAsia="en-GB"/>
              </w:rPr>
            </w:pPr>
            <w:r>
              <w:rPr>
                <w:rFonts w:ascii="Arial" w:hAnsi="Arial" w:cs="Arial"/>
                <w:color w:val="000000"/>
                <w:sz w:val="16"/>
                <w:szCs w:val="16"/>
                <w:lang w:eastAsia="en-GB"/>
              </w:rPr>
              <w:t>10</w:t>
            </w:r>
            <w:r w:rsidR="00836680" w:rsidRPr="005522B0">
              <w:rPr>
                <w:rFonts w:ascii="Arial" w:hAnsi="Arial" w:cs="Arial"/>
                <w:color w:val="000000"/>
                <w:sz w:val="16"/>
                <w:szCs w:val="16"/>
                <w:lang w:eastAsia="en-GB"/>
              </w:rPr>
              <w:t xml:space="preserve"> per cent. weighted average change in the input would result in </w:t>
            </w:r>
            <w:r>
              <w:rPr>
                <w:rFonts w:ascii="Arial" w:hAnsi="Arial" w:cs="Arial"/>
                <w:color w:val="000000"/>
                <w:sz w:val="16"/>
                <w:szCs w:val="16"/>
                <w:lang w:eastAsia="en-GB"/>
              </w:rPr>
              <w:t>2</w:t>
            </w:r>
            <w:r w:rsidR="00836680" w:rsidRPr="005522B0">
              <w:rPr>
                <w:rFonts w:ascii="Arial" w:hAnsi="Arial" w:cs="Arial"/>
                <w:color w:val="000000"/>
                <w:sz w:val="16"/>
                <w:szCs w:val="16"/>
                <w:lang w:eastAsia="en-GB"/>
              </w:rPr>
              <w:t xml:space="preserve"> per cent. change in the total fair value of Level 3 investments</w:t>
            </w:r>
          </w:p>
        </w:tc>
        <w:tc>
          <w:tcPr>
            <w:tcW w:w="760" w:type="pct"/>
            <w:tcBorders>
              <w:top w:val="nil"/>
              <w:left w:val="nil"/>
              <w:bottom w:val="nil"/>
              <w:right w:val="nil"/>
            </w:tcBorders>
            <w:shd w:val="clear" w:color="auto" w:fill="auto"/>
            <w:noWrap/>
            <w:vAlign w:val="bottom"/>
          </w:tcPr>
          <w:p w14:paraId="56B2533C" w14:textId="19AB6E8D"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w:t>
            </w:r>
            <w:r w:rsidR="004A09CB">
              <w:rPr>
                <w:rFonts w:ascii="Arial" w:hAnsi="Arial" w:cs="Arial"/>
                <w:color w:val="000000"/>
                <w:sz w:val="16"/>
                <w:szCs w:val="16"/>
                <w:lang w:eastAsia="en-GB"/>
              </w:rPr>
              <w:t>125,796</w:t>
            </w:r>
          </w:p>
        </w:tc>
      </w:tr>
      <w:tr w:rsidR="00836680" w:rsidRPr="005522B0" w14:paraId="773B1721" w14:textId="77777777" w:rsidTr="00836680">
        <w:trPr>
          <w:trHeight w:val="241"/>
        </w:trPr>
        <w:tc>
          <w:tcPr>
            <w:tcW w:w="593" w:type="pct"/>
            <w:tcBorders>
              <w:top w:val="nil"/>
              <w:left w:val="nil"/>
              <w:bottom w:val="single" w:sz="4" w:space="0" w:color="auto"/>
              <w:right w:val="nil"/>
            </w:tcBorders>
            <w:shd w:val="clear" w:color="auto" w:fill="auto"/>
            <w:noWrap/>
          </w:tcPr>
          <w:p w14:paraId="57E67243" w14:textId="77777777" w:rsidR="00836680" w:rsidRPr="005522B0" w:rsidRDefault="00836680" w:rsidP="00836680">
            <w:pPr>
              <w:rPr>
                <w:rFonts w:ascii="Arial" w:hAnsi="Arial" w:cs="Arial"/>
                <w:color w:val="000000"/>
                <w:sz w:val="16"/>
                <w:szCs w:val="16"/>
                <w:lang w:eastAsia="en-GB"/>
              </w:rPr>
            </w:pPr>
          </w:p>
        </w:tc>
        <w:tc>
          <w:tcPr>
            <w:tcW w:w="592" w:type="pct"/>
            <w:tcBorders>
              <w:top w:val="nil"/>
              <w:left w:val="nil"/>
              <w:bottom w:val="single" w:sz="4" w:space="0" w:color="auto"/>
              <w:right w:val="nil"/>
            </w:tcBorders>
            <w:shd w:val="clear" w:color="auto" w:fill="auto"/>
            <w:noWrap/>
            <w:hideMark/>
          </w:tcPr>
          <w:p w14:paraId="3EBA621C" w14:textId="77777777" w:rsidR="00836680" w:rsidRPr="005522B0" w:rsidRDefault="00836680" w:rsidP="00836680">
            <w:pPr>
              <w:rPr>
                <w:rFonts w:ascii="Arial" w:hAnsi="Arial" w:cs="Arial"/>
                <w:color w:val="000000"/>
                <w:sz w:val="16"/>
                <w:szCs w:val="16"/>
                <w:lang w:eastAsia="en-GB"/>
              </w:rPr>
            </w:pPr>
            <w:r w:rsidRPr="005522B0">
              <w:rPr>
                <w:rFonts w:ascii="Arial" w:hAnsi="Arial" w:cs="Arial"/>
                <w:color w:val="000000"/>
                <w:sz w:val="16"/>
                <w:szCs w:val="16"/>
                <w:lang w:eastAsia="en-GB"/>
              </w:rPr>
              <w:t> </w:t>
            </w:r>
          </w:p>
        </w:tc>
        <w:tc>
          <w:tcPr>
            <w:tcW w:w="677" w:type="pct"/>
            <w:tcBorders>
              <w:top w:val="nil"/>
              <w:left w:val="nil"/>
              <w:bottom w:val="single" w:sz="4" w:space="0" w:color="auto"/>
              <w:right w:val="nil"/>
            </w:tcBorders>
            <w:shd w:val="clear" w:color="auto" w:fill="auto"/>
            <w:noWrap/>
            <w:hideMark/>
          </w:tcPr>
          <w:p w14:paraId="0F52A9FC" w14:textId="77777777" w:rsidR="00836680" w:rsidRPr="005522B0" w:rsidRDefault="00836680" w:rsidP="00836680">
            <w:pPr>
              <w:rPr>
                <w:rFonts w:ascii="Arial" w:hAnsi="Arial" w:cs="Arial"/>
                <w:color w:val="000000"/>
                <w:sz w:val="16"/>
                <w:szCs w:val="16"/>
                <w:lang w:eastAsia="en-GB"/>
              </w:rPr>
            </w:pPr>
            <w:r w:rsidRPr="005522B0">
              <w:rPr>
                <w:rFonts w:ascii="Arial" w:hAnsi="Arial" w:cs="Arial"/>
                <w:color w:val="000000"/>
                <w:sz w:val="16"/>
                <w:szCs w:val="16"/>
                <w:lang w:eastAsia="en-GB"/>
              </w:rPr>
              <w:t> </w:t>
            </w:r>
          </w:p>
        </w:tc>
        <w:tc>
          <w:tcPr>
            <w:tcW w:w="424" w:type="pct"/>
            <w:tcBorders>
              <w:top w:val="nil"/>
              <w:left w:val="nil"/>
              <w:bottom w:val="single" w:sz="4" w:space="0" w:color="auto"/>
              <w:right w:val="nil"/>
            </w:tcBorders>
            <w:shd w:val="clear" w:color="auto" w:fill="auto"/>
            <w:noWrap/>
            <w:hideMark/>
          </w:tcPr>
          <w:p w14:paraId="714FEBE8" w14:textId="77777777"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 </w:t>
            </w:r>
          </w:p>
        </w:tc>
        <w:tc>
          <w:tcPr>
            <w:tcW w:w="430" w:type="pct"/>
            <w:gridSpan w:val="2"/>
            <w:tcBorders>
              <w:top w:val="nil"/>
              <w:left w:val="nil"/>
              <w:bottom w:val="single" w:sz="4" w:space="0" w:color="auto"/>
              <w:right w:val="nil"/>
            </w:tcBorders>
            <w:shd w:val="clear" w:color="auto" w:fill="auto"/>
            <w:noWrap/>
            <w:hideMark/>
          </w:tcPr>
          <w:p w14:paraId="221A0870" w14:textId="77777777" w:rsidR="00836680" w:rsidRPr="005522B0" w:rsidRDefault="00836680" w:rsidP="00836680">
            <w:pPr>
              <w:jc w:val="right"/>
              <w:rPr>
                <w:rFonts w:ascii="Arial" w:hAnsi="Arial" w:cs="Arial"/>
                <w:color w:val="000000"/>
                <w:sz w:val="16"/>
                <w:szCs w:val="16"/>
                <w:lang w:eastAsia="en-GB"/>
              </w:rPr>
            </w:pPr>
            <w:r w:rsidRPr="005522B0">
              <w:rPr>
                <w:rFonts w:ascii="Arial" w:hAnsi="Arial" w:cs="Arial"/>
                <w:color w:val="000000"/>
                <w:sz w:val="16"/>
                <w:szCs w:val="16"/>
                <w:lang w:eastAsia="en-GB"/>
              </w:rPr>
              <w:t> </w:t>
            </w:r>
          </w:p>
        </w:tc>
        <w:tc>
          <w:tcPr>
            <w:tcW w:w="465" w:type="pct"/>
            <w:gridSpan w:val="2"/>
            <w:tcBorders>
              <w:top w:val="nil"/>
              <w:left w:val="nil"/>
              <w:bottom w:val="single" w:sz="4" w:space="0" w:color="auto"/>
              <w:right w:val="nil"/>
            </w:tcBorders>
            <w:shd w:val="clear" w:color="auto" w:fill="auto"/>
            <w:noWrap/>
            <w:hideMark/>
          </w:tcPr>
          <w:p w14:paraId="5BC26C8E" w14:textId="77777777" w:rsidR="00836680" w:rsidRPr="005522B0" w:rsidRDefault="00836680" w:rsidP="00836680">
            <w:pPr>
              <w:jc w:val="center"/>
              <w:rPr>
                <w:rFonts w:ascii="Arial" w:hAnsi="Arial" w:cs="Arial"/>
                <w:color w:val="000000"/>
                <w:sz w:val="16"/>
                <w:szCs w:val="16"/>
                <w:lang w:eastAsia="en-GB"/>
              </w:rPr>
            </w:pPr>
            <w:r w:rsidRPr="005522B0">
              <w:rPr>
                <w:rFonts w:ascii="Arial" w:hAnsi="Arial" w:cs="Arial"/>
                <w:color w:val="000000"/>
                <w:sz w:val="16"/>
                <w:szCs w:val="16"/>
                <w:lang w:eastAsia="en-GB"/>
              </w:rPr>
              <w:t> </w:t>
            </w:r>
          </w:p>
        </w:tc>
        <w:tc>
          <w:tcPr>
            <w:tcW w:w="1059" w:type="pct"/>
            <w:tcBorders>
              <w:top w:val="nil"/>
              <w:left w:val="nil"/>
              <w:bottom w:val="single" w:sz="4" w:space="0" w:color="auto"/>
              <w:right w:val="nil"/>
            </w:tcBorders>
            <w:shd w:val="clear" w:color="auto" w:fill="auto"/>
            <w:noWrap/>
            <w:hideMark/>
          </w:tcPr>
          <w:p w14:paraId="4CCB6272" w14:textId="77777777" w:rsidR="00836680" w:rsidRPr="005522B0" w:rsidRDefault="00836680" w:rsidP="00836680">
            <w:pPr>
              <w:rPr>
                <w:rFonts w:ascii="Arial" w:hAnsi="Arial" w:cs="Arial"/>
                <w:color w:val="000000"/>
                <w:sz w:val="16"/>
                <w:szCs w:val="16"/>
                <w:lang w:eastAsia="en-GB"/>
              </w:rPr>
            </w:pPr>
            <w:r w:rsidRPr="005522B0">
              <w:rPr>
                <w:rFonts w:ascii="Arial" w:hAnsi="Arial" w:cs="Arial"/>
                <w:color w:val="000000"/>
                <w:sz w:val="16"/>
                <w:szCs w:val="16"/>
                <w:lang w:eastAsia="en-GB"/>
              </w:rPr>
              <w:t> </w:t>
            </w:r>
          </w:p>
        </w:tc>
        <w:tc>
          <w:tcPr>
            <w:tcW w:w="760" w:type="pct"/>
            <w:tcBorders>
              <w:top w:val="nil"/>
              <w:left w:val="nil"/>
              <w:bottom w:val="single" w:sz="4" w:space="0" w:color="auto"/>
              <w:right w:val="nil"/>
            </w:tcBorders>
            <w:shd w:val="clear" w:color="auto" w:fill="auto"/>
            <w:noWrap/>
            <w:hideMark/>
          </w:tcPr>
          <w:p w14:paraId="318C879B" w14:textId="77777777" w:rsidR="00836680" w:rsidRPr="005522B0" w:rsidRDefault="00836680" w:rsidP="00836680">
            <w:pPr>
              <w:rPr>
                <w:rFonts w:ascii="Arial" w:hAnsi="Arial" w:cs="Arial"/>
                <w:color w:val="000000"/>
                <w:sz w:val="16"/>
                <w:szCs w:val="16"/>
                <w:lang w:eastAsia="en-GB"/>
              </w:rPr>
            </w:pPr>
            <w:r w:rsidRPr="005522B0">
              <w:rPr>
                <w:rFonts w:ascii="Arial" w:hAnsi="Arial" w:cs="Arial"/>
                <w:color w:val="000000"/>
                <w:sz w:val="16"/>
                <w:szCs w:val="16"/>
                <w:lang w:eastAsia="en-GB"/>
              </w:rPr>
              <w:t> </w:t>
            </w:r>
          </w:p>
        </w:tc>
      </w:tr>
      <w:tr w:rsidR="00836680" w:rsidRPr="005522B0" w14:paraId="1287FDAC" w14:textId="77777777" w:rsidTr="00836680">
        <w:trPr>
          <w:trHeight w:val="300"/>
        </w:trPr>
        <w:tc>
          <w:tcPr>
            <w:tcW w:w="593" w:type="pct"/>
            <w:tcBorders>
              <w:top w:val="nil"/>
              <w:left w:val="nil"/>
              <w:bottom w:val="nil"/>
              <w:right w:val="nil"/>
            </w:tcBorders>
            <w:shd w:val="clear" w:color="auto" w:fill="auto"/>
            <w:noWrap/>
          </w:tcPr>
          <w:p w14:paraId="30F33451" w14:textId="01ED4E66" w:rsidR="00836680" w:rsidRPr="005522B0" w:rsidRDefault="00836680" w:rsidP="00836680">
            <w:pPr>
              <w:rPr>
                <w:rFonts w:ascii="Arial" w:hAnsi="Arial" w:cs="Arial"/>
                <w:color w:val="000000"/>
                <w:sz w:val="16"/>
                <w:szCs w:val="16"/>
                <w:lang w:eastAsia="en-GB"/>
              </w:rPr>
            </w:pPr>
            <w:r w:rsidRPr="005522B0">
              <w:rPr>
                <w:rFonts w:ascii="Arial" w:hAnsi="Arial" w:cs="Arial"/>
                <w:color w:val="000000"/>
                <w:sz w:val="16"/>
                <w:szCs w:val="16"/>
                <w:lang w:eastAsia="en-GB"/>
              </w:rPr>
              <w:t>$</w:t>
            </w:r>
            <w:r w:rsidR="00336806">
              <w:rPr>
                <w:rFonts w:ascii="Arial" w:hAnsi="Arial" w:cs="Arial"/>
                <w:color w:val="000000"/>
                <w:sz w:val="16"/>
                <w:szCs w:val="16"/>
                <w:lang w:eastAsia="en-GB"/>
              </w:rPr>
              <w:t>18</w:t>
            </w:r>
            <w:r w:rsidR="004A09CB">
              <w:rPr>
                <w:rFonts w:ascii="Arial" w:hAnsi="Arial" w:cs="Arial"/>
                <w:color w:val="000000"/>
                <w:sz w:val="16"/>
                <w:szCs w:val="16"/>
                <w:lang w:eastAsia="en-GB"/>
              </w:rPr>
              <w:t>,</w:t>
            </w:r>
            <w:r w:rsidR="00336806">
              <w:rPr>
                <w:rFonts w:ascii="Arial" w:hAnsi="Arial" w:cs="Arial"/>
                <w:color w:val="000000"/>
                <w:sz w:val="16"/>
                <w:szCs w:val="16"/>
                <w:lang w:eastAsia="en-GB"/>
              </w:rPr>
              <w:t>711</w:t>
            </w:r>
          </w:p>
        </w:tc>
        <w:tc>
          <w:tcPr>
            <w:tcW w:w="592" w:type="pct"/>
            <w:tcBorders>
              <w:top w:val="nil"/>
              <w:left w:val="nil"/>
              <w:bottom w:val="nil"/>
              <w:right w:val="nil"/>
            </w:tcBorders>
            <w:shd w:val="clear" w:color="auto" w:fill="auto"/>
            <w:noWrap/>
            <w:hideMark/>
          </w:tcPr>
          <w:p w14:paraId="7D2ACD7B" w14:textId="77777777" w:rsidR="00836680" w:rsidRPr="005522B0" w:rsidRDefault="00836680" w:rsidP="00836680">
            <w:pPr>
              <w:rPr>
                <w:rFonts w:ascii="Arial" w:hAnsi="Arial" w:cs="Arial"/>
                <w:color w:val="000000"/>
                <w:sz w:val="16"/>
                <w:szCs w:val="16"/>
                <w:lang w:eastAsia="en-GB"/>
              </w:rPr>
            </w:pPr>
            <w:r w:rsidRPr="005522B0">
              <w:rPr>
                <w:rFonts w:ascii="Arial" w:hAnsi="Arial" w:cs="Arial"/>
                <w:color w:val="000000"/>
                <w:sz w:val="16"/>
                <w:szCs w:val="16"/>
                <w:lang w:eastAsia="en-GB"/>
              </w:rPr>
              <w:t>Other</w:t>
            </w:r>
          </w:p>
        </w:tc>
        <w:tc>
          <w:tcPr>
            <w:tcW w:w="677" w:type="pct"/>
            <w:tcBorders>
              <w:top w:val="nil"/>
              <w:left w:val="nil"/>
              <w:bottom w:val="nil"/>
              <w:right w:val="nil"/>
            </w:tcBorders>
            <w:shd w:val="clear" w:color="auto" w:fill="auto"/>
            <w:noWrap/>
            <w:hideMark/>
          </w:tcPr>
          <w:p w14:paraId="6E19E184" w14:textId="77777777" w:rsidR="00836680" w:rsidRPr="005522B0" w:rsidRDefault="00836680" w:rsidP="00836680">
            <w:pPr>
              <w:rPr>
                <w:rFonts w:ascii="Arial" w:hAnsi="Arial" w:cs="Arial"/>
                <w:color w:val="000000"/>
                <w:sz w:val="16"/>
                <w:szCs w:val="16"/>
                <w:lang w:eastAsia="en-GB"/>
              </w:rPr>
            </w:pPr>
          </w:p>
        </w:tc>
        <w:tc>
          <w:tcPr>
            <w:tcW w:w="424" w:type="pct"/>
            <w:tcBorders>
              <w:top w:val="nil"/>
              <w:left w:val="nil"/>
              <w:bottom w:val="nil"/>
              <w:right w:val="nil"/>
            </w:tcBorders>
            <w:shd w:val="clear" w:color="auto" w:fill="auto"/>
            <w:noWrap/>
            <w:hideMark/>
          </w:tcPr>
          <w:p w14:paraId="71ED6C47" w14:textId="77777777" w:rsidR="00836680" w:rsidRPr="005522B0" w:rsidRDefault="00836680" w:rsidP="00836680">
            <w:pPr>
              <w:jc w:val="right"/>
              <w:rPr>
                <w:rFonts w:ascii="Arial" w:hAnsi="Arial" w:cs="Arial"/>
                <w:color w:val="000000"/>
                <w:sz w:val="16"/>
                <w:szCs w:val="16"/>
                <w:lang w:eastAsia="en-GB"/>
              </w:rPr>
            </w:pPr>
          </w:p>
        </w:tc>
        <w:tc>
          <w:tcPr>
            <w:tcW w:w="430" w:type="pct"/>
            <w:gridSpan w:val="2"/>
            <w:tcBorders>
              <w:top w:val="nil"/>
              <w:left w:val="nil"/>
              <w:bottom w:val="nil"/>
              <w:right w:val="nil"/>
            </w:tcBorders>
            <w:shd w:val="clear" w:color="auto" w:fill="auto"/>
            <w:noWrap/>
            <w:hideMark/>
          </w:tcPr>
          <w:p w14:paraId="3C5FCC37" w14:textId="77777777" w:rsidR="00836680" w:rsidRPr="005522B0" w:rsidRDefault="00836680" w:rsidP="00836680">
            <w:pPr>
              <w:jc w:val="right"/>
              <w:rPr>
                <w:rFonts w:ascii="Arial" w:hAnsi="Arial" w:cs="Arial"/>
                <w:color w:val="000000"/>
                <w:sz w:val="16"/>
                <w:szCs w:val="16"/>
                <w:lang w:eastAsia="en-GB"/>
              </w:rPr>
            </w:pPr>
          </w:p>
        </w:tc>
        <w:tc>
          <w:tcPr>
            <w:tcW w:w="465" w:type="pct"/>
            <w:gridSpan w:val="2"/>
            <w:tcBorders>
              <w:top w:val="nil"/>
              <w:left w:val="nil"/>
              <w:bottom w:val="nil"/>
              <w:right w:val="nil"/>
            </w:tcBorders>
            <w:shd w:val="clear" w:color="auto" w:fill="auto"/>
            <w:noWrap/>
            <w:hideMark/>
          </w:tcPr>
          <w:p w14:paraId="422A2D87" w14:textId="77777777" w:rsidR="00836680" w:rsidRPr="005522B0" w:rsidRDefault="00836680" w:rsidP="00836680">
            <w:pPr>
              <w:jc w:val="right"/>
              <w:rPr>
                <w:rFonts w:ascii="Arial" w:hAnsi="Arial" w:cs="Arial"/>
                <w:color w:val="000000"/>
                <w:sz w:val="16"/>
                <w:szCs w:val="16"/>
                <w:lang w:eastAsia="en-GB"/>
              </w:rPr>
            </w:pPr>
          </w:p>
        </w:tc>
        <w:tc>
          <w:tcPr>
            <w:tcW w:w="1059" w:type="pct"/>
            <w:tcBorders>
              <w:top w:val="nil"/>
              <w:left w:val="nil"/>
              <w:bottom w:val="nil"/>
              <w:right w:val="nil"/>
            </w:tcBorders>
            <w:shd w:val="clear" w:color="auto" w:fill="auto"/>
            <w:noWrap/>
            <w:hideMark/>
          </w:tcPr>
          <w:p w14:paraId="67215BD2" w14:textId="77777777" w:rsidR="00836680" w:rsidRPr="005522B0" w:rsidRDefault="00836680" w:rsidP="00836680">
            <w:pPr>
              <w:rPr>
                <w:rFonts w:ascii="Arial" w:hAnsi="Arial" w:cs="Arial"/>
                <w:color w:val="000000"/>
                <w:sz w:val="16"/>
                <w:szCs w:val="16"/>
                <w:lang w:eastAsia="en-GB"/>
              </w:rPr>
            </w:pPr>
          </w:p>
        </w:tc>
        <w:tc>
          <w:tcPr>
            <w:tcW w:w="760" w:type="pct"/>
            <w:tcBorders>
              <w:top w:val="nil"/>
              <w:left w:val="nil"/>
              <w:bottom w:val="nil"/>
              <w:right w:val="nil"/>
            </w:tcBorders>
            <w:shd w:val="clear" w:color="auto" w:fill="auto"/>
            <w:noWrap/>
            <w:hideMark/>
          </w:tcPr>
          <w:p w14:paraId="05CC87F2" w14:textId="77777777" w:rsidR="00836680" w:rsidRPr="005522B0" w:rsidRDefault="00836680" w:rsidP="00836680">
            <w:pPr>
              <w:jc w:val="center"/>
              <w:rPr>
                <w:rFonts w:ascii="Arial" w:hAnsi="Arial" w:cs="Arial"/>
                <w:color w:val="000000"/>
                <w:sz w:val="16"/>
                <w:szCs w:val="16"/>
                <w:lang w:eastAsia="en-GB"/>
              </w:rPr>
            </w:pPr>
          </w:p>
        </w:tc>
      </w:tr>
      <w:tr w:rsidR="00836680" w:rsidRPr="005522B0" w14:paraId="52278D8D" w14:textId="77777777" w:rsidTr="00836680">
        <w:trPr>
          <w:trHeight w:val="45"/>
        </w:trPr>
        <w:tc>
          <w:tcPr>
            <w:tcW w:w="593" w:type="pct"/>
            <w:tcBorders>
              <w:top w:val="nil"/>
              <w:left w:val="nil"/>
              <w:bottom w:val="single" w:sz="4" w:space="0" w:color="auto"/>
              <w:right w:val="nil"/>
            </w:tcBorders>
            <w:shd w:val="clear" w:color="auto" w:fill="auto"/>
            <w:noWrap/>
          </w:tcPr>
          <w:p w14:paraId="061B7027" w14:textId="77777777" w:rsidR="00836680" w:rsidRPr="005522B0" w:rsidRDefault="00836680" w:rsidP="00836680">
            <w:pPr>
              <w:rPr>
                <w:rFonts w:ascii="Arial" w:hAnsi="Arial" w:cs="Arial"/>
                <w:color w:val="000000"/>
                <w:sz w:val="16"/>
                <w:szCs w:val="16"/>
                <w:lang w:eastAsia="en-GB"/>
              </w:rPr>
            </w:pPr>
          </w:p>
        </w:tc>
        <w:tc>
          <w:tcPr>
            <w:tcW w:w="592" w:type="pct"/>
            <w:tcBorders>
              <w:top w:val="nil"/>
              <w:left w:val="nil"/>
              <w:bottom w:val="single" w:sz="4" w:space="0" w:color="auto"/>
              <w:right w:val="nil"/>
            </w:tcBorders>
            <w:shd w:val="clear" w:color="auto" w:fill="auto"/>
            <w:noWrap/>
            <w:hideMark/>
          </w:tcPr>
          <w:p w14:paraId="65AA3247" w14:textId="77777777" w:rsidR="00836680" w:rsidRPr="005522B0" w:rsidRDefault="00836680" w:rsidP="00836680">
            <w:pPr>
              <w:rPr>
                <w:rFonts w:ascii="Arial" w:hAnsi="Arial" w:cs="Arial"/>
                <w:color w:val="000000"/>
                <w:sz w:val="16"/>
                <w:szCs w:val="16"/>
                <w:lang w:eastAsia="en-GB"/>
              </w:rPr>
            </w:pPr>
            <w:r w:rsidRPr="005522B0">
              <w:rPr>
                <w:rFonts w:ascii="Arial" w:hAnsi="Arial" w:cs="Arial"/>
                <w:color w:val="000000"/>
                <w:sz w:val="16"/>
                <w:szCs w:val="16"/>
                <w:lang w:eastAsia="en-GB"/>
              </w:rPr>
              <w:t> </w:t>
            </w:r>
          </w:p>
        </w:tc>
        <w:tc>
          <w:tcPr>
            <w:tcW w:w="677" w:type="pct"/>
            <w:tcBorders>
              <w:top w:val="nil"/>
              <w:left w:val="nil"/>
              <w:bottom w:val="single" w:sz="4" w:space="0" w:color="auto"/>
              <w:right w:val="nil"/>
            </w:tcBorders>
            <w:shd w:val="clear" w:color="auto" w:fill="auto"/>
            <w:noWrap/>
            <w:hideMark/>
          </w:tcPr>
          <w:p w14:paraId="4D57AAC7" w14:textId="77777777" w:rsidR="00836680" w:rsidRPr="005522B0" w:rsidRDefault="00836680" w:rsidP="00836680">
            <w:pPr>
              <w:rPr>
                <w:rFonts w:ascii="Arial" w:hAnsi="Arial" w:cs="Arial"/>
                <w:color w:val="000000"/>
                <w:sz w:val="16"/>
                <w:szCs w:val="16"/>
                <w:lang w:eastAsia="en-GB"/>
              </w:rPr>
            </w:pPr>
            <w:r w:rsidRPr="005522B0">
              <w:rPr>
                <w:rFonts w:ascii="Arial" w:hAnsi="Arial" w:cs="Arial"/>
                <w:color w:val="000000"/>
                <w:sz w:val="16"/>
                <w:szCs w:val="16"/>
                <w:lang w:eastAsia="en-GB"/>
              </w:rPr>
              <w:t> </w:t>
            </w:r>
          </w:p>
        </w:tc>
        <w:tc>
          <w:tcPr>
            <w:tcW w:w="424" w:type="pct"/>
            <w:tcBorders>
              <w:top w:val="nil"/>
              <w:left w:val="nil"/>
              <w:bottom w:val="single" w:sz="4" w:space="0" w:color="auto"/>
              <w:right w:val="nil"/>
            </w:tcBorders>
            <w:shd w:val="clear" w:color="auto" w:fill="auto"/>
            <w:noWrap/>
            <w:hideMark/>
          </w:tcPr>
          <w:p w14:paraId="373F7E18" w14:textId="77777777" w:rsidR="00836680" w:rsidRPr="005522B0" w:rsidRDefault="00836680" w:rsidP="00836680">
            <w:pPr>
              <w:rPr>
                <w:rFonts w:ascii="Arial" w:hAnsi="Arial" w:cs="Arial"/>
                <w:color w:val="000000"/>
                <w:sz w:val="16"/>
                <w:szCs w:val="16"/>
                <w:lang w:eastAsia="en-GB"/>
              </w:rPr>
            </w:pPr>
            <w:r w:rsidRPr="005522B0">
              <w:rPr>
                <w:rFonts w:ascii="Arial" w:hAnsi="Arial" w:cs="Arial"/>
                <w:color w:val="000000"/>
                <w:sz w:val="16"/>
                <w:szCs w:val="16"/>
                <w:lang w:eastAsia="en-GB"/>
              </w:rPr>
              <w:t> </w:t>
            </w:r>
          </w:p>
        </w:tc>
        <w:tc>
          <w:tcPr>
            <w:tcW w:w="430" w:type="pct"/>
            <w:gridSpan w:val="2"/>
            <w:tcBorders>
              <w:top w:val="nil"/>
              <w:left w:val="nil"/>
              <w:bottom w:val="single" w:sz="4" w:space="0" w:color="auto"/>
              <w:right w:val="nil"/>
            </w:tcBorders>
            <w:shd w:val="clear" w:color="auto" w:fill="auto"/>
            <w:noWrap/>
            <w:hideMark/>
          </w:tcPr>
          <w:p w14:paraId="19D5247B" w14:textId="77777777" w:rsidR="00836680" w:rsidRPr="005522B0" w:rsidRDefault="00836680" w:rsidP="00836680">
            <w:pPr>
              <w:rPr>
                <w:rFonts w:ascii="Arial" w:hAnsi="Arial" w:cs="Arial"/>
                <w:color w:val="000000"/>
                <w:sz w:val="16"/>
                <w:szCs w:val="16"/>
                <w:lang w:eastAsia="en-GB"/>
              </w:rPr>
            </w:pPr>
            <w:r w:rsidRPr="005522B0">
              <w:rPr>
                <w:rFonts w:ascii="Arial" w:hAnsi="Arial" w:cs="Arial"/>
                <w:color w:val="000000"/>
                <w:sz w:val="16"/>
                <w:szCs w:val="16"/>
                <w:lang w:eastAsia="en-GB"/>
              </w:rPr>
              <w:t> </w:t>
            </w:r>
          </w:p>
        </w:tc>
        <w:tc>
          <w:tcPr>
            <w:tcW w:w="465" w:type="pct"/>
            <w:gridSpan w:val="2"/>
            <w:tcBorders>
              <w:top w:val="nil"/>
              <w:left w:val="nil"/>
              <w:bottom w:val="single" w:sz="4" w:space="0" w:color="auto"/>
              <w:right w:val="nil"/>
            </w:tcBorders>
            <w:shd w:val="clear" w:color="auto" w:fill="auto"/>
            <w:noWrap/>
            <w:hideMark/>
          </w:tcPr>
          <w:p w14:paraId="20E53A48" w14:textId="77777777" w:rsidR="00836680" w:rsidRPr="005522B0" w:rsidRDefault="00836680" w:rsidP="00836680">
            <w:pPr>
              <w:rPr>
                <w:rFonts w:ascii="Arial" w:hAnsi="Arial" w:cs="Arial"/>
                <w:color w:val="000000"/>
                <w:sz w:val="16"/>
                <w:szCs w:val="16"/>
                <w:lang w:eastAsia="en-GB"/>
              </w:rPr>
            </w:pPr>
            <w:r w:rsidRPr="005522B0">
              <w:rPr>
                <w:rFonts w:ascii="Arial" w:hAnsi="Arial" w:cs="Arial"/>
                <w:color w:val="000000"/>
                <w:sz w:val="16"/>
                <w:szCs w:val="16"/>
                <w:lang w:eastAsia="en-GB"/>
              </w:rPr>
              <w:t> </w:t>
            </w:r>
          </w:p>
        </w:tc>
        <w:tc>
          <w:tcPr>
            <w:tcW w:w="1059" w:type="pct"/>
            <w:tcBorders>
              <w:top w:val="nil"/>
              <w:left w:val="nil"/>
              <w:bottom w:val="single" w:sz="4" w:space="0" w:color="auto"/>
              <w:right w:val="nil"/>
            </w:tcBorders>
            <w:shd w:val="clear" w:color="auto" w:fill="auto"/>
            <w:noWrap/>
            <w:hideMark/>
          </w:tcPr>
          <w:p w14:paraId="14F9AD75" w14:textId="77777777" w:rsidR="00836680" w:rsidRPr="005522B0" w:rsidRDefault="00836680" w:rsidP="00836680">
            <w:pPr>
              <w:rPr>
                <w:rFonts w:ascii="Arial" w:hAnsi="Arial" w:cs="Arial"/>
                <w:color w:val="000000"/>
                <w:sz w:val="16"/>
                <w:szCs w:val="16"/>
                <w:lang w:eastAsia="en-GB"/>
              </w:rPr>
            </w:pPr>
            <w:r w:rsidRPr="005522B0">
              <w:rPr>
                <w:rFonts w:ascii="Arial" w:hAnsi="Arial" w:cs="Arial"/>
                <w:color w:val="000000"/>
                <w:sz w:val="16"/>
                <w:szCs w:val="16"/>
                <w:lang w:eastAsia="en-GB"/>
              </w:rPr>
              <w:t> </w:t>
            </w:r>
          </w:p>
        </w:tc>
        <w:tc>
          <w:tcPr>
            <w:tcW w:w="760" w:type="pct"/>
            <w:tcBorders>
              <w:top w:val="nil"/>
              <w:left w:val="nil"/>
              <w:bottom w:val="single" w:sz="4" w:space="0" w:color="auto"/>
              <w:right w:val="nil"/>
            </w:tcBorders>
            <w:shd w:val="clear" w:color="auto" w:fill="auto"/>
            <w:noWrap/>
            <w:hideMark/>
          </w:tcPr>
          <w:p w14:paraId="4980180D" w14:textId="77777777" w:rsidR="00836680" w:rsidRPr="005522B0" w:rsidRDefault="00836680" w:rsidP="00836680">
            <w:pPr>
              <w:rPr>
                <w:rFonts w:ascii="Arial" w:hAnsi="Arial" w:cs="Arial"/>
                <w:color w:val="000000"/>
                <w:sz w:val="16"/>
                <w:szCs w:val="16"/>
                <w:lang w:eastAsia="en-GB"/>
              </w:rPr>
            </w:pPr>
            <w:r w:rsidRPr="005522B0">
              <w:rPr>
                <w:rFonts w:ascii="Arial" w:hAnsi="Arial" w:cs="Arial"/>
                <w:color w:val="000000"/>
                <w:sz w:val="16"/>
                <w:szCs w:val="16"/>
                <w:lang w:eastAsia="en-GB"/>
              </w:rPr>
              <w:t> </w:t>
            </w:r>
          </w:p>
        </w:tc>
      </w:tr>
      <w:tr w:rsidR="00836680" w:rsidRPr="00800AA3" w14:paraId="3F57680A" w14:textId="77777777" w:rsidTr="00836680">
        <w:trPr>
          <w:trHeight w:val="315"/>
        </w:trPr>
        <w:tc>
          <w:tcPr>
            <w:tcW w:w="593" w:type="pct"/>
            <w:tcBorders>
              <w:top w:val="nil"/>
              <w:left w:val="nil"/>
              <w:bottom w:val="nil"/>
              <w:right w:val="nil"/>
            </w:tcBorders>
            <w:shd w:val="clear" w:color="auto" w:fill="auto"/>
            <w:noWrap/>
            <w:vAlign w:val="bottom"/>
          </w:tcPr>
          <w:p w14:paraId="526E4A77" w14:textId="19A1FFC5" w:rsidR="00836680" w:rsidRPr="005522B0" w:rsidRDefault="00836680" w:rsidP="00836680">
            <w:pPr>
              <w:rPr>
                <w:rFonts w:ascii="Arial" w:hAnsi="Arial" w:cs="Arial"/>
                <w:b/>
                <w:color w:val="000000"/>
                <w:sz w:val="16"/>
                <w:szCs w:val="16"/>
                <w:lang w:eastAsia="en-GB"/>
              </w:rPr>
            </w:pPr>
            <w:r w:rsidRPr="005522B0">
              <w:rPr>
                <w:rFonts w:ascii="Arial" w:hAnsi="Arial" w:cs="Arial"/>
                <w:b/>
                <w:color w:val="000000"/>
                <w:sz w:val="16"/>
                <w:szCs w:val="16"/>
                <w:lang w:eastAsia="en-GB"/>
              </w:rPr>
              <w:t>$</w:t>
            </w:r>
            <w:r w:rsidR="004A09CB" w:rsidRPr="0052199A">
              <w:rPr>
                <w:rFonts w:ascii="Arial" w:hAnsi="Arial" w:cs="Arial"/>
                <w:b/>
                <w:bCs/>
                <w:color w:val="000000"/>
                <w:sz w:val="16"/>
                <w:szCs w:val="16"/>
                <w:lang w:eastAsia="en-GB"/>
              </w:rPr>
              <w:t>20</w:t>
            </w:r>
            <w:r w:rsidR="00336806">
              <w:rPr>
                <w:rFonts w:ascii="Arial" w:hAnsi="Arial" w:cs="Arial"/>
                <w:b/>
                <w:bCs/>
                <w:color w:val="000000"/>
                <w:sz w:val="16"/>
                <w:szCs w:val="16"/>
                <w:lang w:eastAsia="en-GB"/>
              </w:rPr>
              <w:t>5</w:t>
            </w:r>
            <w:r w:rsidR="004A09CB" w:rsidRPr="0052199A">
              <w:rPr>
                <w:rFonts w:ascii="Arial" w:hAnsi="Arial" w:cs="Arial"/>
                <w:b/>
                <w:bCs/>
                <w:color w:val="000000"/>
                <w:sz w:val="16"/>
                <w:szCs w:val="16"/>
                <w:lang w:eastAsia="en-GB"/>
              </w:rPr>
              <w:t>,</w:t>
            </w:r>
            <w:r w:rsidR="00336806">
              <w:rPr>
                <w:rFonts w:ascii="Arial" w:hAnsi="Arial" w:cs="Arial"/>
                <w:b/>
                <w:bCs/>
                <w:color w:val="000000"/>
                <w:sz w:val="16"/>
                <w:szCs w:val="16"/>
                <w:lang w:eastAsia="en-GB"/>
              </w:rPr>
              <w:t>470</w:t>
            </w:r>
          </w:p>
        </w:tc>
        <w:tc>
          <w:tcPr>
            <w:tcW w:w="592" w:type="pct"/>
            <w:tcBorders>
              <w:top w:val="nil"/>
              <w:left w:val="nil"/>
              <w:bottom w:val="nil"/>
              <w:right w:val="nil"/>
            </w:tcBorders>
            <w:shd w:val="clear" w:color="auto" w:fill="auto"/>
            <w:noWrap/>
            <w:vAlign w:val="bottom"/>
            <w:hideMark/>
          </w:tcPr>
          <w:p w14:paraId="6C2B94D0" w14:textId="77777777" w:rsidR="00836680" w:rsidRPr="005522B0" w:rsidRDefault="00836680" w:rsidP="00836680">
            <w:pPr>
              <w:rPr>
                <w:rFonts w:ascii="Arial" w:hAnsi="Arial" w:cs="Arial"/>
                <w:b/>
                <w:bCs/>
                <w:color w:val="000000"/>
                <w:sz w:val="16"/>
                <w:szCs w:val="16"/>
                <w:lang w:eastAsia="en-GB"/>
              </w:rPr>
            </w:pPr>
            <w:r w:rsidRPr="005522B0">
              <w:rPr>
                <w:rFonts w:ascii="Arial" w:hAnsi="Arial" w:cs="Arial"/>
                <w:b/>
                <w:bCs/>
                <w:color w:val="000000"/>
                <w:sz w:val="16"/>
                <w:szCs w:val="16"/>
                <w:lang w:eastAsia="en-GB"/>
              </w:rPr>
              <w:t>Total</w:t>
            </w:r>
          </w:p>
        </w:tc>
        <w:tc>
          <w:tcPr>
            <w:tcW w:w="677" w:type="pct"/>
            <w:tcBorders>
              <w:top w:val="nil"/>
              <w:left w:val="nil"/>
              <w:bottom w:val="nil"/>
              <w:right w:val="nil"/>
            </w:tcBorders>
            <w:shd w:val="clear" w:color="auto" w:fill="auto"/>
            <w:noWrap/>
            <w:vAlign w:val="bottom"/>
            <w:hideMark/>
          </w:tcPr>
          <w:p w14:paraId="5EF8EABE" w14:textId="77777777" w:rsidR="00836680" w:rsidRPr="005522B0" w:rsidRDefault="00836680" w:rsidP="00836680">
            <w:pPr>
              <w:rPr>
                <w:rFonts w:ascii="Arial" w:hAnsi="Arial" w:cs="Arial"/>
                <w:color w:val="000000"/>
                <w:sz w:val="16"/>
                <w:szCs w:val="16"/>
                <w:lang w:eastAsia="en-GB"/>
              </w:rPr>
            </w:pPr>
          </w:p>
        </w:tc>
        <w:tc>
          <w:tcPr>
            <w:tcW w:w="424" w:type="pct"/>
            <w:tcBorders>
              <w:top w:val="nil"/>
              <w:left w:val="nil"/>
              <w:bottom w:val="nil"/>
              <w:right w:val="nil"/>
            </w:tcBorders>
            <w:shd w:val="clear" w:color="auto" w:fill="auto"/>
            <w:noWrap/>
            <w:vAlign w:val="bottom"/>
            <w:hideMark/>
          </w:tcPr>
          <w:p w14:paraId="0E526C8B" w14:textId="77777777" w:rsidR="00836680" w:rsidRPr="005522B0" w:rsidRDefault="00836680" w:rsidP="00836680">
            <w:pPr>
              <w:ind w:firstLineChars="100" w:firstLine="160"/>
              <w:jc w:val="right"/>
              <w:rPr>
                <w:rFonts w:ascii="Arial" w:hAnsi="Arial" w:cs="Arial"/>
                <w:color w:val="000000"/>
                <w:sz w:val="16"/>
                <w:szCs w:val="16"/>
                <w:lang w:eastAsia="en-GB"/>
              </w:rPr>
            </w:pPr>
          </w:p>
        </w:tc>
        <w:tc>
          <w:tcPr>
            <w:tcW w:w="430" w:type="pct"/>
            <w:gridSpan w:val="2"/>
            <w:tcBorders>
              <w:top w:val="nil"/>
              <w:left w:val="nil"/>
              <w:bottom w:val="nil"/>
              <w:right w:val="nil"/>
            </w:tcBorders>
            <w:shd w:val="clear" w:color="auto" w:fill="auto"/>
            <w:noWrap/>
            <w:vAlign w:val="bottom"/>
            <w:hideMark/>
          </w:tcPr>
          <w:p w14:paraId="0B1ACB18" w14:textId="77777777" w:rsidR="00836680" w:rsidRPr="005522B0" w:rsidRDefault="00836680" w:rsidP="00836680">
            <w:pPr>
              <w:ind w:firstLineChars="100" w:firstLine="160"/>
              <w:jc w:val="right"/>
              <w:rPr>
                <w:rFonts w:ascii="Arial" w:hAnsi="Arial" w:cs="Arial"/>
                <w:color w:val="000000"/>
                <w:sz w:val="16"/>
                <w:szCs w:val="16"/>
                <w:lang w:eastAsia="en-GB"/>
              </w:rPr>
            </w:pPr>
          </w:p>
        </w:tc>
        <w:tc>
          <w:tcPr>
            <w:tcW w:w="465" w:type="pct"/>
            <w:gridSpan w:val="2"/>
            <w:tcBorders>
              <w:top w:val="nil"/>
              <w:left w:val="nil"/>
              <w:bottom w:val="nil"/>
              <w:right w:val="nil"/>
            </w:tcBorders>
            <w:shd w:val="clear" w:color="auto" w:fill="auto"/>
            <w:noWrap/>
            <w:vAlign w:val="bottom"/>
            <w:hideMark/>
          </w:tcPr>
          <w:p w14:paraId="1DEE0CD8" w14:textId="77777777" w:rsidR="00836680" w:rsidRPr="005522B0" w:rsidRDefault="00836680" w:rsidP="00836680">
            <w:pPr>
              <w:rPr>
                <w:rFonts w:ascii="Arial" w:hAnsi="Arial" w:cs="Arial"/>
                <w:color w:val="000000"/>
                <w:sz w:val="16"/>
                <w:szCs w:val="16"/>
                <w:lang w:eastAsia="en-GB"/>
              </w:rPr>
            </w:pPr>
          </w:p>
        </w:tc>
        <w:tc>
          <w:tcPr>
            <w:tcW w:w="1059" w:type="pct"/>
            <w:tcBorders>
              <w:top w:val="nil"/>
              <w:left w:val="nil"/>
              <w:bottom w:val="nil"/>
              <w:right w:val="nil"/>
            </w:tcBorders>
            <w:shd w:val="clear" w:color="auto" w:fill="auto"/>
            <w:noWrap/>
            <w:vAlign w:val="bottom"/>
            <w:hideMark/>
          </w:tcPr>
          <w:p w14:paraId="506F8BFD" w14:textId="77777777" w:rsidR="00836680" w:rsidRPr="005522B0" w:rsidRDefault="00836680" w:rsidP="00836680">
            <w:pPr>
              <w:ind w:firstLineChars="200" w:firstLine="320"/>
              <w:jc w:val="right"/>
              <w:rPr>
                <w:rFonts w:ascii="Arial" w:hAnsi="Arial" w:cs="Arial"/>
                <w:color w:val="000000"/>
                <w:sz w:val="16"/>
                <w:szCs w:val="16"/>
                <w:lang w:eastAsia="en-GB"/>
              </w:rPr>
            </w:pPr>
          </w:p>
        </w:tc>
        <w:tc>
          <w:tcPr>
            <w:tcW w:w="760" w:type="pct"/>
            <w:tcBorders>
              <w:top w:val="nil"/>
              <w:left w:val="nil"/>
              <w:bottom w:val="nil"/>
              <w:right w:val="nil"/>
            </w:tcBorders>
            <w:shd w:val="clear" w:color="auto" w:fill="auto"/>
            <w:noWrap/>
            <w:vAlign w:val="bottom"/>
            <w:hideMark/>
          </w:tcPr>
          <w:p w14:paraId="625A5AB9" w14:textId="77777777" w:rsidR="00836680" w:rsidRPr="005522B0" w:rsidRDefault="00836680" w:rsidP="00836680">
            <w:pPr>
              <w:rPr>
                <w:rFonts w:ascii="Arial" w:hAnsi="Arial" w:cs="Arial"/>
                <w:color w:val="000000"/>
                <w:sz w:val="16"/>
                <w:szCs w:val="16"/>
                <w:lang w:eastAsia="en-GB"/>
              </w:rPr>
            </w:pPr>
          </w:p>
        </w:tc>
      </w:tr>
    </w:tbl>
    <w:p w14:paraId="223BD836" w14:textId="77777777" w:rsidR="005637CA" w:rsidRDefault="005637CA" w:rsidP="005637CA">
      <w:pPr>
        <w:pStyle w:val="Bodytext"/>
        <w:ind w:left="567"/>
      </w:pPr>
    </w:p>
    <w:p w14:paraId="6CE24676" w14:textId="09C36616" w:rsidR="005637CA" w:rsidRDefault="005637CA" w:rsidP="005637CA">
      <w:pPr>
        <w:pStyle w:val="Heading3"/>
        <w:ind w:left="567"/>
      </w:pPr>
      <w:r w:rsidRPr="00811BA1">
        <w:lastRenderedPageBreak/>
        <w:t>Quantitative information about Level 3 fair value measurements</w:t>
      </w:r>
      <w:r>
        <w:t xml:space="preserve"> </w:t>
      </w:r>
      <w:r w:rsidRPr="00F25B8F">
        <w:t xml:space="preserve">as at </w:t>
      </w:r>
      <w:r>
        <w:t>31 December 2019</w:t>
      </w:r>
    </w:p>
    <w:p w14:paraId="28300467" w14:textId="77777777" w:rsidR="0048637A" w:rsidRPr="0048637A" w:rsidRDefault="0048637A" w:rsidP="0048637A"/>
    <w:tbl>
      <w:tblPr>
        <w:tblW w:w="5513" w:type="pct"/>
        <w:tblInd w:w="-450" w:type="dxa"/>
        <w:tblLayout w:type="fixed"/>
        <w:tblLook w:val="04A0" w:firstRow="1" w:lastRow="0" w:firstColumn="1" w:lastColumn="0" w:noHBand="0" w:noVBand="1"/>
      </w:tblPr>
      <w:tblGrid>
        <w:gridCol w:w="1279"/>
        <w:gridCol w:w="1277"/>
        <w:gridCol w:w="1460"/>
        <w:gridCol w:w="915"/>
        <w:gridCol w:w="820"/>
        <w:gridCol w:w="108"/>
        <w:gridCol w:w="134"/>
        <w:gridCol w:w="869"/>
        <w:gridCol w:w="2284"/>
        <w:gridCol w:w="1639"/>
      </w:tblGrid>
      <w:tr w:rsidR="00836680" w:rsidRPr="00836680" w14:paraId="2EBE5A88" w14:textId="77777777" w:rsidTr="00836680">
        <w:trPr>
          <w:trHeight w:val="315"/>
        </w:trPr>
        <w:tc>
          <w:tcPr>
            <w:tcW w:w="1185" w:type="pct"/>
            <w:gridSpan w:val="2"/>
            <w:tcBorders>
              <w:top w:val="nil"/>
              <w:left w:val="nil"/>
              <w:bottom w:val="nil"/>
              <w:right w:val="nil"/>
            </w:tcBorders>
            <w:shd w:val="clear" w:color="auto" w:fill="auto"/>
            <w:noWrap/>
            <w:hideMark/>
          </w:tcPr>
          <w:p w14:paraId="344C876E" w14:textId="77777777" w:rsidR="00836680" w:rsidRPr="00836680" w:rsidRDefault="00836680" w:rsidP="00836680">
            <w:pPr>
              <w:rPr>
                <w:rFonts w:ascii="Arial" w:hAnsi="Arial" w:cs="Arial"/>
                <w:color w:val="000000"/>
                <w:sz w:val="16"/>
                <w:szCs w:val="16"/>
                <w:lang w:eastAsia="en-GB"/>
              </w:rPr>
            </w:pPr>
            <w:r w:rsidRPr="00836680">
              <w:rPr>
                <w:rFonts w:ascii="Arial" w:hAnsi="Arial" w:cs="Arial"/>
                <w:b/>
                <w:bCs/>
                <w:color w:val="000000"/>
                <w:sz w:val="16"/>
                <w:szCs w:val="16"/>
                <w:lang w:eastAsia="en-GB"/>
              </w:rPr>
              <w:t>Industry: Energy</w:t>
            </w:r>
          </w:p>
        </w:tc>
        <w:tc>
          <w:tcPr>
            <w:tcW w:w="677" w:type="pct"/>
            <w:tcBorders>
              <w:top w:val="nil"/>
              <w:left w:val="nil"/>
              <w:bottom w:val="nil"/>
              <w:right w:val="nil"/>
            </w:tcBorders>
            <w:shd w:val="clear" w:color="auto" w:fill="auto"/>
            <w:noWrap/>
            <w:vAlign w:val="bottom"/>
            <w:hideMark/>
          </w:tcPr>
          <w:p w14:paraId="76F448AC" w14:textId="77777777" w:rsidR="00836680" w:rsidRPr="00836680" w:rsidRDefault="00836680" w:rsidP="00836680">
            <w:pPr>
              <w:rPr>
                <w:rFonts w:ascii="Arial" w:hAnsi="Arial" w:cs="Arial"/>
                <w:color w:val="000000"/>
                <w:sz w:val="16"/>
                <w:szCs w:val="16"/>
                <w:lang w:eastAsia="en-GB"/>
              </w:rPr>
            </w:pPr>
          </w:p>
        </w:tc>
        <w:tc>
          <w:tcPr>
            <w:tcW w:w="804" w:type="pct"/>
            <w:gridSpan w:val="2"/>
            <w:tcBorders>
              <w:top w:val="nil"/>
              <w:left w:val="nil"/>
              <w:bottom w:val="nil"/>
              <w:right w:val="nil"/>
            </w:tcBorders>
            <w:shd w:val="clear" w:color="auto" w:fill="auto"/>
            <w:noWrap/>
            <w:vAlign w:val="bottom"/>
            <w:hideMark/>
          </w:tcPr>
          <w:p w14:paraId="1494D3CA" w14:textId="77777777" w:rsidR="00836680" w:rsidRPr="00836680" w:rsidRDefault="00836680" w:rsidP="00836680">
            <w:pPr>
              <w:jc w:val="center"/>
              <w:rPr>
                <w:rFonts w:ascii="Arial" w:hAnsi="Arial" w:cs="Arial"/>
                <w:color w:val="000000"/>
                <w:sz w:val="16"/>
                <w:szCs w:val="16"/>
                <w:lang w:eastAsia="en-GB"/>
              </w:rPr>
            </w:pPr>
          </w:p>
        </w:tc>
        <w:tc>
          <w:tcPr>
            <w:tcW w:w="112" w:type="pct"/>
            <w:gridSpan w:val="2"/>
            <w:tcBorders>
              <w:top w:val="nil"/>
              <w:left w:val="nil"/>
              <w:bottom w:val="nil"/>
              <w:right w:val="nil"/>
            </w:tcBorders>
            <w:shd w:val="clear" w:color="auto" w:fill="auto"/>
            <w:noWrap/>
            <w:vAlign w:val="bottom"/>
            <w:hideMark/>
          </w:tcPr>
          <w:p w14:paraId="2C8DB60A" w14:textId="77777777" w:rsidR="00836680" w:rsidRPr="00836680" w:rsidRDefault="00836680" w:rsidP="00836680">
            <w:pPr>
              <w:jc w:val="center"/>
              <w:rPr>
                <w:rFonts w:ascii="Arial" w:hAnsi="Arial" w:cs="Arial"/>
                <w:color w:val="000000"/>
                <w:sz w:val="16"/>
                <w:szCs w:val="16"/>
                <w:lang w:eastAsia="en-GB"/>
              </w:rPr>
            </w:pPr>
          </w:p>
        </w:tc>
        <w:tc>
          <w:tcPr>
            <w:tcW w:w="403" w:type="pct"/>
            <w:tcBorders>
              <w:top w:val="nil"/>
              <w:left w:val="nil"/>
              <w:bottom w:val="nil"/>
              <w:right w:val="nil"/>
            </w:tcBorders>
            <w:shd w:val="clear" w:color="auto" w:fill="auto"/>
            <w:noWrap/>
            <w:vAlign w:val="bottom"/>
            <w:hideMark/>
          </w:tcPr>
          <w:p w14:paraId="538D6650" w14:textId="77777777" w:rsidR="00836680" w:rsidRPr="00836680" w:rsidRDefault="00836680" w:rsidP="00836680">
            <w:pPr>
              <w:ind w:firstLineChars="100" w:firstLine="160"/>
              <w:jc w:val="right"/>
              <w:rPr>
                <w:rFonts w:ascii="Arial" w:hAnsi="Arial" w:cs="Arial"/>
                <w:color w:val="000000"/>
                <w:sz w:val="16"/>
                <w:szCs w:val="16"/>
                <w:lang w:eastAsia="en-GB"/>
              </w:rPr>
            </w:pPr>
          </w:p>
        </w:tc>
        <w:tc>
          <w:tcPr>
            <w:tcW w:w="1059" w:type="pct"/>
            <w:tcBorders>
              <w:top w:val="nil"/>
              <w:left w:val="nil"/>
              <w:bottom w:val="nil"/>
              <w:right w:val="nil"/>
            </w:tcBorders>
            <w:shd w:val="clear" w:color="auto" w:fill="auto"/>
            <w:noWrap/>
            <w:vAlign w:val="bottom"/>
            <w:hideMark/>
          </w:tcPr>
          <w:p w14:paraId="729AEC3E" w14:textId="77777777" w:rsidR="00836680" w:rsidRPr="00836680" w:rsidRDefault="00836680" w:rsidP="00836680">
            <w:pPr>
              <w:rPr>
                <w:rFonts w:ascii="Arial" w:hAnsi="Arial" w:cs="Arial"/>
                <w:color w:val="000000"/>
                <w:sz w:val="16"/>
                <w:szCs w:val="16"/>
                <w:lang w:eastAsia="en-GB"/>
              </w:rPr>
            </w:pPr>
          </w:p>
        </w:tc>
        <w:tc>
          <w:tcPr>
            <w:tcW w:w="760" w:type="pct"/>
            <w:tcBorders>
              <w:top w:val="nil"/>
              <w:left w:val="nil"/>
              <w:bottom w:val="nil"/>
              <w:right w:val="nil"/>
            </w:tcBorders>
            <w:shd w:val="clear" w:color="auto" w:fill="auto"/>
            <w:noWrap/>
            <w:vAlign w:val="bottom"/>
            <w:hideMark/>
          </w:tcPr>
          <w:p w14:paraId="3C65F6EB" w14:textId="77777777" w:rsidR="00836680" w:rsidRPr="00836680" w:rsidRDefault="00836680" w:rsidP="00836680">
            <w:pPr>
              <w:rPr>
                <w:rFonts w:ascii="Arial" w:hAnsi="Arial" w:cs="Arial"/>
                <w:color w:val="000000"/>
                <w:sz w:val="16"/>
                <w:szCs w:val="16"/>
                <w:lang w:eastAsia="en-GB"/>
              </w:rPr>
            </w:pPr>
          </w:p>
        </w:tc>
      </w:tr>
      <w:tr w:rsidR="00836680" w:rsidRPr="00836680" w14:paraId="1FFC3ED5" w14:textId="77777777" w:rsidTr="00836680">
        <w:trPr>
          <w:trHeight w:val="215"/>
        </w:trPr>
        <w:tc>
          <w:tcPr>
            <w:tcW w:w="593" w:type="pct"/>
            <w:tcBorders>
              <w:top w:val="nil"/>
              <w:left w:val="nil"/>
              <w:bottom w:val="nil"/>
              <w:right w:val="nil"/>
            </w:tcBorders>
            <w:shd w:val="clear" w:color="auto" w:fill="auto"/>
            <w:noWrap/>
            <w:hideMark/>
          </w:tcPr>
          <w:p w14:paraId="57A3DFFB" w14:textId="77777777" w:rsidR="00836680" w:rsidRPr="00836680" w:rsidRDefault="00836680" w:rsidP="00836680">
            <w:pPr>
              <w:rPr>
                <w:rFonts w:ascii="Arial" w:hAnsi="Arial" w:cs="Arial"/>
                <w:b/>
                <w:bCs/>
                <w:sz w:val="16"/>
                <w:szCs w:val="16"/>
                <w:lang w:eastAsia="en-GB"/>
              </w:rPr>
            </w:pPr>
            <w:r w:rsidRPr="00836680">
              <w:rPr>
                <w:rFonts w:ascii="Arial" w:hAnsi="Arial" w:cs="Arial"/>
                <w:b/>
                <w:bCs/>
                <w:sz w:val="16"/>
                <w:szCs w:val="16"/>
                <w:lang w:eastAsia="en-GB"/>
              </w:rPr>
              <w:t xml:space="preserve">Fair value </w:t>
            </w:r>
            <w:r w:rsidRPr="00836680">
              <w:rPr>
                <w:rFonts w:ascii="Arial" w:eastAsiaTheme="minorHAnsi" w:hAnsi="Arial" w:cs="Arial"/>
                <w:b/>
                <w:bCs/>
                <w:sz w:val="16"/>
                <w:szCs w:val="16"/>
              </w:rPr>
              <w:t xml:space="preserve">of Level 3 </w:t>
            </w:r>
          </w:p>
        </w:tc>
        <w:tc>
          <w:tcPr>
            <w:tcW w:w="592" w:type="pct"/>
            <w:tcBorders>
              <w:top w:val="nil"/>
              <w:left w:val="nil"/>
              <w:bottom w:val="nil"/>
              <w:right w:val="nil"/>
            </w:tcBorders>
            <w:shd w:val="clear" w:color="auto" w:fill="auto"/>
            <w:noWrap/>
            <w:vAlign w:val="bottom"/>
            <w:hideMark/>
          </w:tcPr>
          <w:p w14:paraId="44D49273" w14:textId="77777777" w:rsidR="00836680" w:rsidRPr="00836680" w:rsidRDefault="00836680" w:rsidP="00836680">
            <w:pPr>
              <w:rPr>
                <w:rFonts w:ascii="Arial" w:hAnsi="Arial" w:cs="Arial"/>
                <w:b/>
                <w:bCs/>
                <w:sz w:val="16"/>
                <w:szCs w:val="16"/>
                <w:lang w:eastAsia="en-GB"/>
              </w:rPr>
            </w:pPr>
          </w:p>
        </w:tc>
        <w:tc>
          <w:tcPr>
            <w:tcW w:w="677" w:type="pct"/>
            <w:tcBorders>
              <w:top w:val="nil"/>
              <w:left w:val="nil"/>
              <w:bottom w:val="nil"/>
              <w:right w:val="nil"/>
            </w:tcBorders>
            <w:shd w:val="clear" w:color="auto" w:fill="auto"/>
            <w:noWrap/>
            <w:vAlign w:val="bottom"/>
            <w:hideMark/>
          </w:tcPr>
          <w:p w14:paraId="2A031FB1" w14:textId="77777777" w:rsidR="00836680" w:rsidRPr="00836680" w:rsidRDefault="00836680" w:rsidP="00836680">
            <w:pPr>
              <w:rPr>
                <w:rFonts w:ascii="Arial" w:hAnsi="Arial" w:cs="Arial"/>
                <w:b/>
                <w:bCs/>
                <w:sz w:val="16"/>
                <w:szCs w:val="16"/>
                <w:lang w:eastAsia="en-GB"/>
              </w:rPr>
            </w:pPr>
          </w:p>
        </w:tc>
        <w:tc>
          <w:tcPr>
            <w:tcW w:w="804" w:type="pct"/>
            <w:gridSpan w:val="2"/>
            <w:tcBorders>
              <w:top w:val="nil"/>
              <w:left w:val="nil"/>
              <w:bottom w:val="nil"/>
              <w:right w:val="nil"/>
            </w:tcBorders>
            <w:shd w:val="clear" w:color="auto" w:fill="auto"/>
            <w:noWrap/>
            <w:vAlign w:val="bottom"/>
            <w:hideMark/>
          </w:tcPr>
          <w:p w14:paraId="54E3A1F1" w14:textId="77777777" w:rsidR="00836680" w:rsidRPr="00836680" w:rsidRDefault="00836680" w:rsidP="00836680">
            <w:pPr>
              <w:rPr>
                <w:rFonts w:ascii="Arial" w:hAnsi="Arial" w:cs="Arial"/>
                <w:color w:val="000000"/>
                <w:sz w:val="16"/>
                <w:szCs w:val="16"/>
                <w:lang w:eastAsia="en-GB"/>
              </w:rPr>
            </w:pPr>
          </w:p>
        </w:tc>
        <w:tc>
          <w:tcPr>
            <w:tcW w:w="112" w:type="pct"/>
            <w:gridSpan w:val="2"/>
            <w:tcBorders>
              <w:top w:val="nil"/>
              <w:left w:val="nil"/>
              <w:bottom w:val="nil"/>
              <w:right w:val="nil"/>
            </w:tcBorders>
            <w:shd w:val="clear" w:color="auto" w:fill="auto"/>
            <w:noWrap/>
            <w:vAlign w:val="bottom"/>
            <w:hideMark/>
          </w:tcPr>
          <w:p w14:paraId="3BC86FD2" w14:textId="77777777" w:rsidR="00836680" w:rsidRPr="00836680" w:rsidRDefault="00836680" w:rsidP="00836680">
            <w:pPr>
              <w:rPr>
                <w:rFonts w:ascii="Arial" w:hAnsi="Arial" w:cs="Arial"/>
                <w:color w:val="000000"/>
                <w:sz w:val="16"/>
                <w:szCs w:val="16"/>
                <w:lang w:eastAsia="en-GB"/>
              </w:rPr>
            </w:pPr>
          </w:p>
        </w:tc>
        <w:tc>
          <w:tcPr>
            <w:tcW w:w="403" w:type="pct"/>
            <w:tcBorders>
              <w:top w:val="nil"/>
              <w:left w:val="nil"/>
              <w:bottom w:val="nil"/>
              <w:right w:val="nil"/>
            </w:tcBorders>
            <w:shd w:val="clear" w:color="auto" w:fill="auto"/>
            <w:noWrap/>
            <w:vAlign w:val="bottom"/>
            <w:hideMark/>
          </w:tcPr>
          <w:p w14:paraId="137699E4" w14:textId="77777777" w:rsidR="00836680" w:rsidRPr="00836680" w:rsidRDefault="00836680" w:rsidP="00836680">
            <w:pPr>
              <w:rPr>
                <w:rFonts w:ascii="Arial" w:hAnsi="Arial" w:cs="Arial"/>
                <w:color w:val="000000"/>
                <w:sz w:val="16"/>
                <w:szCs w:val="16"/>
                <w:lang w:eastAsia="en-GB"/>
              </w:rPr>
            </w:pPr>
          </w:p>
        </w:tc>
        <w:tc>
          <w:tcPr>
            <w:tcW w:w="1059" w:type="pct"/>
            <w:tcBorders>
              <w:top w:val="nil"/>
              <w:left w:val="nil"/>
              <w:bottom w:val="nil"/>
              <w:right w:val="nil"/>
            </w:tcBorders>
            <w:shd w:val="clear" w:color="auto" w:fill="auto"/>
            <w:noWrap/>
            <w:vAlign w:val="bottom"/>
            <w:hideMark/>
          </w:tcPr>
          <w:p w14:paraId="47FA880F" w14:textId="77777777" w:rsidR="00836680" w:rsidRPr="00836680" w:rsidRDefault="00836680" w:rsidP="00836680">
            <w:pPr>
              <w:jc w:val="right"/>
              <w:rPr>
                <w:rFonts w:ascii="Arial" w:hAnsi="Arial" w:cs="Arial"/>
                <w:b/>
                <w:bCs/>
                <w:sz w:val="16"/>
                <w:szCs w:val="16"/>
                <w:lang w:eastAsia="en-GB"/>
              </w:rPr>
            </w:pPr>
            <w:r w:rsidRPr="00836680">
              <w:rPr>
                <w:rFonts w:ascii="Arial" w:eastAsiaTheme="minorHAnsi" w:hAnsi="Arial" w:cs="Arial"/>
                <w:b/>
                <w:bCs/>
                <w:sz w:val="16"/>
                <w:szCs w:val="16"/>
              </w:rPr>
              <w:t>Sensitivity of the</w:t>
            </w:r>
          </w:p>
        </w:tc>
        <w:tc>
          <w:tcPr>
            <w:tcW w:w="760" w:type="pct"/>
            <w:tcBorders>
              <w:top w:val="nil"/>
              <w:left w:val="nil"/>
              <w:bottom w:val="nil"/>
              <w:right w:val="nil"/>
            </w:tcBorders>
            <w:shd w:val="clear" w:color="auto" w:fill="auto"/>
            <w:noWrap/>
            <w:vAlign w:val="bottom"/>
            <w:hideMark/>
          </w:tcPr>
          <w:p w14:paraId="7142852F" w14:textId="77777777" w:rsidR="00836680" w:rsidRPr="00836680" w:rsidRDefault="00836680" w:rsidP="00836680">
            <w:pPr>
              <w:jc w:val="right"/>
              <w:rPr>
                <w:rFonts w:ascii="Arial" w:hAnsi="Arial" w:cs="Arial"/>
                <w:color w:val="000000"/>
                <w:sz w:val="16"/>
                <w:szCs w:val="16"/>
                <w:lang w:eastAsia="en-GB"/>
              </w:rPr>
            </w:pPr>
            <w:r w:rsidRPr="00836680">
              <w:rPr>
                <w:rFonts w:ascii="Arial" w:eastAsiaTheme="minorHAnsi" w:hAnsi="Arial" w:cs="Arial"/>
                <w:b/>
                <w:bCs/>
                <w:sz w:val="16"/>
                <w:szCs w:val="16"/>
              </w:rPr>
              <w:t>Fair value of Level 3</w:t>
            </w:r>
          </w:p>
        </w:tc>
      </w:tr>
      <w:tr w:rsidR="00836680" w:rsidRPr="00836680" w14:paraId="45179236" w14:textId="77777777" w:rsidTr="00836680">
        <w:trPr>
          <w:trHeight w:val="133"/>
        </w:trPr>
        <w:tc>
          <w:tcPr>
            <w:tcW w:w="593" w:type="pct"/>
            <w:tcBorders>
              <w:top w:val="nil"/>
              <w:left w:val="nil"/>
              <w:right w:val="nil"/>
            </w:tcBorders>
            <w:shd w:val="clear" w:color="auto" w:fill="auto"/>
            <w:noWrap/>
            <w:hideMark/>
          </w:tcPr>
          <w:p w14:paraId="2B033471" w14:textId="77777777" w:rsidR="00836680" w:rsidRPr="00836680" w:rsidRDefault="00836680" w:rsidP="00836680">
            <w:pPr>
              <w:rPr>
                <w:rFonts w:ascii="Arial" w:hAnsi="Arial" w:cs="Arial"/>
                <w:b/>
                <w:bCs/>
                <w:color w:val="000000"/>
                <w:sz w:val="16"/>
                <w:szCs w:val="16"/>
                <w:lang w:eastAsia="en-GB"/>
              </w:rPr>
            </w:pPr>
            <w:r w:rsidRPr="00836680">
              <w:rPr>
                <w:rFonts w:ascii="Arial" w:eastAsiaTheme="minorHAnsi" w:hAnsi="Arial" w:cs="Arial"/>
                <w:b/>
                <w:bCs/>
                <w:sz w:val="16"/>
                <w:szCs w:val="16"/>
              </w:rPr>
              <w:t>investments</w:t>
            </w:r>
          </w:p>
        </w:tc>
        <w:tc>
          <w:tcPr>
            <w:tcW w:w="592" w:type="pct"/>
            <w:tcBorders>
              <w:top w:val="nil"/>
              <w:left w:val="nil"/>
              <w:right w:val="nil"/>
            </w:tcBorders>
            <w:shd w:val="clear" w:color="auto" w:fill="auto"/>
            <w:noWrap/>
            <w:vAlign w:val="bottom"/>
            <w:hideMark/>
          </w:tcPr>
          <w:p w14:paraId="34FF9C55" w14:textId="77777777" w:rsidR="00836680" w:rsidRPr="00836680" w:rsidRDefault="00836680" w:rsidP="00836680">
            <w:pPr>
              <w:jc w:val="right"/>
              <w:rPr>
                <w:rFonts w:ascii="Arial" w:hAnsi="Arial" w:cs="Arial"/>
                <w:b/>
                <w:bCs/>
                <w:sz w:val="16"/>
                <w:szCs w:val="16"/>
                <w:lang w:eastAsia="en-GB"/>
              </w:rPr>
            </w:pPr>
            <w:r w:rsidRPr="00836680">
              <w:rPr>
                <w:rFonts w:ascii="Arial" w:hAnsi="Arial" w:cs="Arial"/>
                <w:b/>
                <w:bCs/>
                <w:sz w:val="16"/>
                <w:szCs w:val="16"/>
                <w:lang w:eastAsia="en-GB"/>
              </w:rPr>
              <w:t>Valuation</w:t>
            </w:r>
          </w:p>
        </w:tc>
        <w:tc>
          <w:tcPr>
            <w:tcW w:w="677" w:type="pct"/>
            <w:tcBorders>
              <w:top w:val="nil"/>
              <w:left w:val="nil"/>
              <w:right w:val="nil"/>
            </w:tcBorders>
            <w:shd w:val="clear" w:color="auto" w:fill="auto"/>
            <w:noWrap/>
            <w:vAlign w:val="bottom"/>
            <w:hideMark/>
          </w:tcPr>
          <w:p w14:paraId="4D1D3515" w14:textId="77777777" w:rsidR="00836680" w:rsidRPr="00836680" w:rsidRDefault="00836680" w:rsidP="00836680">
            <w:pPr>
              <w:jc w:val="right"/>
              <w:rPr>
                <w:rFonts w:ascii="Arial" w:hAnsi="Arial" w:cs="Arial"/>
                <w:b/>
                <w:bCs/>
                <w:sz w:val="16"/>
                <w:szCs w:val="16"/>
                <w:lang w:eastAsia="en-GB"/>
              </w:rPr>
            </w:pPr>
            <w:r w:rsidRPr="00836680">
              <w:rPr>
                <w:rFonts w:ascii="Arial" w:hAnsi="Arial" w:cs="Arial"/>
                <w:b/>
                <w:bCs/>
                <w:sz w:val="16"/>
                <w:szCs w:val="16"/>
                <w:lang w:eastAsia="en-GB"/>
              </w:rPr>
              <w:t>Unobservable</w:t>
            </w:r>
          </w:p>
        </w:tc>
        <w:tc>
          <w:tcPr>
            <w:tcW w:w="854" w:type="pct"/>
            <w:gridSpan w:val="3"/>
            <w:tcBorders>
              <w:top w:val="nil"/>
              <w:left w:val="nil"/>
              <w:right w:val="nil"/>
            </w:tcBorders>
            <w:shd w:val="clear" w:color="auto" w:fill="auto"/>
            <w:noWrap/>
            <w:vAlign w:val="bottom"/>
            <w:hideMark/>
          </w:tcPr>
          <w:p w14:paraId="748A360D" w14:textId="77777777" w:rsidR="00836680" w:rsidRPr="00836680" w:rsidRDefault="00836680" w:rsidP="00836680">
            <w:pPr>
              <w:jc w:val="center"/>
              <w:rPr>
                <w:rFonts w:ascii="Arial" w:hAnsi="Arial" w:cs="Arial"/>
                <w:b/>
                <w:bCs/>
                <w:sz w:val="16"/>
                <w:szCs w:val="16"/>
                <w:lang w:eastAsia="en-GB"/>
              </w:rPr>
            </w:pPr>
            <w:r w:rsidRPr="00836680">
              <w:rPr>
                <w:rFonts w:ascii="Arial" w:hAnsi="Arial" w:cs="Arial"/>
                <w:b/>
                <w:bCs/>
                <w:sz w:val="16"/>
                <w:szCs w:val="16"/>
                <w:lang w:eastAsia="en-GB"/>
              </w:rPr>
              <w:t>Range</w:t>
            </w:r>
          </w:p>
        </w:tc>
        <w:tc>
          <w:tcPr>
            <w:tcW w:w="465" w:type="pct"/>
            <w:gridSpan w:val="2"/>
            <w:vMerge w:val="restart"/>
            <w:tcBorders>
              <w:top w:val="nil"/>
              <w:left w:val="nil"/>
              <w:right w:val="nil"/>
            </w:tcBorders>
            <w:shd w:val="clear" w:color="auto" w:fill="auto"/>
            <w:vAlign w:val="bottom"/>
            <w:hideMark/>
          </w:tcPr>
          <w:p w14:paraId="75487F3D" w14:textId="77777777" w:rsidR="00836680" w:rsidRPr="00836680" w:rsidRDefault="00836680" w:rsidP="00836680">
            <w:pPr>
              <w:jc w:val="right"/>
              <w:rPr>
                <w:rFonts w:ascii="Arial" w:hAnsi="Arial" w:cs="Arial"/>
                <w:b/>
                <w:bCs/>
                <w:sz w:val="16"/>
                <w:szCs w:val="16"/>
                <w:lang w:eastAsia="en-GB"/>
              </w:rPr>
            </w:pPr>
            <w:r w:rsidRPr="00836680">
              <w:rPr>
                <w:rFonts w:ascii="Arial" w:hAnsi="Arial" w:cs="Arial"/>
                <w:b/>
                <w:bCs/>
                <w:sz w:val="16"/>
                <w:szCs w:val="16"/>
                <w:lang w:eastAsia="en-GB"/>
              </w:rPr>
              <w:t xml:space="preserve">Weighted Average </w:t>
            </w:r>
            <w:r w:rsidRPr="00836680">
              <w:rPr>
                <w:rFonts w:ascii="Arial" w:hAnsi="Arial" w:cs="Arial"/>
                <w:b/>
                <w:bCs/>
                <w:sz w:val="16"/>
                <w:szCs w:val="16"/>
                <w:vertAlign w:val="superscript"/>
                <w:lang w:eastAsia="en-GB"/>
              </w:rPr>
              <w:t>(1)</w:t>
            </w:r>
          </w:p>
        </w:tc>
        <w:tc>
          <w:tcPr>
            <w:tcW w:w="1059" w:type="pct"/>
            <w:tcBorders>
              <w:top w:val="nil"/>
              <w:left w:val="nil"/>
              <w:right w:val="nil"/>
            </w:tcBorders>
            <w:shd w:val="clear" w:color="auto" w:fill="auto"/>
            <w:noWrap/>
            <w:vAlign w:val="bottom"/>
            <w:hideMark/>
          </w:tcPr>
          <w:p w14:paraId="7946445D" w14:textId="77777777" w:rsidR="00836680" w:rsidRPr="00836680" w:rsidRDefault="00836680" w:rsidP="00836680">
            <w:pPr>
              <w:jc w:val="right"/>
              <w:rPr>
                <w:rFonts w:ascii="Arial" w:hAnsi="Arial" w:cs="Arial"/>
                <w:b/>
                <w:bCs/>
                <w:sz w:val="16"/>
                <w:szCs w:val="16"/>
                <w:lang w:eastAsia="en-GB"/>
              </w:rPr>
            </w:pPr>
            <w:r w:rsidRPr="00836680">
              <w:rPr>
                <w:rFonts w:ascii="Arial" w:eastAsiaTheme="minorHAnsi" w:hAnsi="Arial" w:cs="Arial"/>
                <w:b/>
                <w:bCs/>
                <w:sz w:val="16"/>
                <w:szCs w:val="16"/>
              </w:rPr>
              <w:t>input to fair value of</w:t>
            </w:r>
          </w:p>
        </w:tc>
        <w:tc>
          <w:tcPr>
            <w:tcW w:w="760" w:type="pct"/>
            <w:tcBorders>
              <w:top w:val="nil"/>
              <w:left w:val="nil"/>
              <w:right w:val="nil"/>
            </w:tcBorders>
            <w:shd w:val="clear" w:color="auto" w:fill="auto"/>
            <w:noWrap/>
            <w:vAlign w:val="bottom"/>
            <w:hideMark/>
          </w:tcPr>
          <w:p w14:paraId="17B991B5" w14:textId="77777777" w:rsidR="00836680" w:rsidRPr="00836680" w:rsidRDefault="00836680" w:rsidP="00836680">
            <w:pPr>
              <w:jc w:val="right"/>
              <w:rPr>
                <w:rFonts w:ascii="Arial" w:hAnsi="Arial" w:cs="Arial"/>
                <w:b/>
                <w:bCs/>
                <w:sz w:val="16"/>
                <w:szCs w:val="16"/>
                <w:lang w:eastAsia="en-GB"/>
              </w:rPr>
            </w:pPr>
            <w:r w:rsidRPr="00836680">
              <w:rPr>
                <w:rFonts w:ascii="Arial" w:eastAsiaTheme="minorHAnsi" w:hAnsi="Arial" w:cs="Arial"/>
                <w:b/>
                <w:bCs/>
                <w:sz w:val="16"/>
                <w:szCs w:val="16"/>
              </w:rPr>
              <w:t xml:space="preserve">Investments affected by unobservable input </w:t>
            </w:r>
            <w:r w:rsidRPr="00836680">
              <w:rPr>
                <w:rFonts w:ascii="Arial" w:eastAsiaTheme="minorHAnsi" w:hAnsi="Arial" w:cs="Arial"/>
                <w:b/>
                <w:bCs/>
                <w:sz w:val="16"/>
                <w:szCs w:val="16"/>
                <w:vertAlign w:val="superscript"/>
              </w:rPr>
              <w:t>(3)</w:t>
            </w:r>
          </w:p>
        </w:tc>
      </w:tr>
      <w:tr w:rsidR="00836680" w:rsidRPr="00836680" w14:paraId="4E93AB95" w14:textId="77777777" w:rsidTr="00836680">
        <w:trPr>
          <w:trHeight w:val="239"/>
        </w:trPr>
        <w:tc>
          <w:tcPr>
            <w:tcW w:w="593" w:type="pct"/>
            <w:tcBorders>
              <w:top w:val="nil"/>
              <w:left w:val="nil"/>
              <w:bottom w:val="single" w:sz="4" w:space="0" w:color="auto"/>
              <w:right w:val="nil"/>
            </w:tcBorders>
            <w:shd w:val="clear" w:color="auto" w:fill="auto"/>
            <w:noWrap/>
            <w:hideMark/>
          </w:tcPr>
          <w:p w14:paraId="34510A11" w14:textId="77777777" w:rsidR="00836680" w:rsidRPr="00836680" w:rsidRDefault="00836680" w:rsidP="00836680">
            <w:pPr>
              <w:rPr>
                <w:rFonts w:ascii="Arial" w:hAnsi="Arial" w:cs="Arial"/>
                <w:b/>
                <w:bCs/>
                <w:sz w:val="16"/>
                <w:szCs w:val="16"/>
                <w:lang w:eastAsia="en-GB"/>
              </w:rPr>
            </w:pPr>
            <w:r w:rsidRPr="00836680">
              <w:rPr>
                <w:rFonts w:ascii="Arial" w:hAnsi="Arial" w:cs="Arial"/>
                <w:b/>
                <w:bCs/>
                <w:color w:val="000000"/>
                <w:sz w:val="16"/>
                <w:szCs w:val="16"/>
                <w:lang w:eastAsia="en-GB"/>
              </w:rPr>
              <w:t>(in thousands)</w:t>
            </w:r>
          </w:p>
        </w:tc>
        <w:tc>
          <w:tcPr>
            <w:tcW w:w="592" w:type="pct"/>
            <w:tcBorders>
              <w:top w:val="nil"/>
              <w:left w:val="nil"/>
              <w:bottom w:val="single" w:sz="4" w:space="0" w:color="auto"/>
              <w:right w:val="nil"/>
            </w:tcBorders>
            <w:shd w:val="clear" w:color="auto" w:fill="auto"/>
            <w:noWrap/>
            <w:vAlign w:val="bottom"/>
            <w:hideMark/>
          </w:tcPr>
          <w:p w14:paraId="23FC0FF6" w14:textId="77777777" w:rsidR="00836680" w:rsidRPr="00836680" w:rsidRDefault="00836680" w:rsidP="00836680">
            <w:pPr>
              <w:jc w:val="right"/>
              <w:rPr>
                <w:rFonts w:ascii="Arial" w:hAnsi="Arial" w:cs="Arial"/>
                <w:b/>
                <w:bCs/>
                <w:sz w:val="16"/>
                <w:szCs w:val="16"/>
                <w:lang w:eastAsia="en-GB"/>
              </w:rPr>
            </w:pPr>
            <w:r w:rsidRPr="00836680">
              <w:rPr>
                <w:rFonts w:ascii="Arial" w:hAnsi="Arial" w:cs="Arial"/>
                <w:b/>
                <w:bCs/>
                <w:sz w:val="16"/>
                <w:szCs w:val="16"/>
                <w:lang w:eastAsia="en-GB"/>
              </w:rPr>
              <w:t>technique(s)</w:t>
            </w:r>
          </w:p>
        </w:tc>
        <w:tc>
          <w:tcPr>
            <w:tcW w:w="677" w:type="pct"/>
            <w:tcBorders>
              <w:top w:val="nil"/>
              <w:left w:val="nil"/>
              <w:bottom w:val="single" w:sz="4" w:space="0" w:color="auto"/>
              <w:right w:val="nil"/>
            </w:tcBorders>
            <w:shd w:val="clear" w:color="auto" w:fill="auto"/>
            <w:noWrap/>
            <w:vAlign w:val="bottom"/>
            <w:hideMark/>
          </w:tcPr>
          <w:p w14:paraId="17FD056B" w14:textId="77777777" w:rsidR="00836680" w:rsidRPr="00836680" w:rsidRDefault="00836680" w:rsidP="00836680">
            <w:pPr>
              <w:jc w:val="right"/>
              <w:rPr>
                <w:rFonts w:ascii="Arial" w:hAnsi="Arial" w:cs="Arial"/>
                <w:b/>
                <w:bCs/>
                <w:sz w:val="16"/>
                <w:szCs w:val="16"/>
                <w:lang w:eastAsia="en-GB"/>
              </w:rPr>
            </w:pPr>
            <w:r w:rsidRPr="00836680">
              <w:rPr>
                <w:rFonts w:ascii="Arial" w:hAnsi="Arial" w:cs="Arial"/>
                <w:b/>
                <w:bCs/>
                <w:sz w:val="16"/>
                <w:szCs w:val="16"/>
                <w:lang w:eastAsia="en-GB"/>
              </w:rPr>
              <w:t>input(s)</w:t>
            </w:r>
          </w:p>
        </w:tc>
        <w:tc>
          <w:tcPr>
            <w:tcW w:w="424" w:type="pct"/>
            <w:tcBorders>
              <w:top w:val="nil"/>
              <w:left w:val="nil"/>
              <w:bottom w:val="single" w:sz="4" w:space="0" w:color="auto"/>
              <w:right w:val="nil"/>
            </w:tcBorders>
            <w:shd w:val="clear" w:color="auto" w:fill="auto"/>
            <w:noWrap/>
            <w:vAlign w:val="bottom"/>
            <w:hideMark/>
          </w:tcPr>
          <w:p w14:paraId="60C5A46C" w14:textId="77777777" w:rsidR="00836680" w:rsidRPr="00836680" w:rsidRDefault="00836680" w:rsidP="00836680">
            <w:pPr>
              <w:jc w:val="right"/>
              <w:rPr>
                <w:rFonts w:ascii="Arial" w:hAnsi="Arial" w:cs="Arial"/>
                <w:b/>
                <w:bCs/>
                <w:sz w:val="16"/>
                <w:szCs w:val="16"/>
                <w:lang w:eastAsia="en-GB"/>
              </w:rPr>
            </w:pPr>
            <w:r w:rsidRPr="00836680">
              <w:rPr>
                <w:rFonts w:ascii="Arial" w:hAnsi="Arial" w:cs="Arial"/>
                <w:b/>
                <w:bCs/>
                <w:sz w:val="16"/>
                <w:szCs w:val="16"/>
                <w:lang w:eastAsia="en-GB"/>
              </w:rPr>
              <w:t xml:space="preserve">Low </w:t>
            </w:r>
            <w:r w:rsidRPr="00836680">
              <w:rPr>
                <w:rFonts w:ascii="Arial" w:hAnsi="Arial" w:cs="Arial"/>
                <w:b/>
                <w:bCs/>
                <w:sz w:val="16"/>
                <w:szCs w:val="16"/>
                <w:vertAlign w:val="superscript"/>
                <w:lang w:eastAsia="en-GB"/>
              </w:rPr>
              <w:t>(1)</w:t>
            </w:r>
          </w:p>
        </w:tc>
        <w:tc>
          <w:tcPr>
            <w:tcW w:w="430" w:type="pct"/>
            <w:gridSpan w:val="2"/>
            <w:tcBorders>
              <w:top w:val="nil"/>
              <w:left w:val="nil"/>
              <w:bottom w:val="single" w:sz="4" w:space="0" w:color="auto"/>
              <w:right w:val="nil"/>
            </w:tcBorders>
            <w:shd w:val="clear" w:color="auto" w:fill="auto"/>
            <w:noWrap/>
            <w:vAlign w:val="bottom"/>
            <w:hideMark/>
          </w:tcPr>
          <w:p w14:paraId="1941B92D" w14:textId="77777777" w:rsidR="00836680" w:rsidRPr="00836680" w:rsidRDefault="00836680" w:rsidP="00836680">
            <w:pPr>
              <w:jc w:val="right"/>
              <w:rPr>
                <w:rFonts w:ascii="Arial" w:hAnsi="Arial" w:cs="Arial"/>
                <w:b/>
                <w:bCs/>
                <w:sz w:val="16"/>
                <w:szCs w:val="16"/>
                <w:lang w:eastAsia="en-GB"/>
              </w:rPr>
            </w:pPr>
            <w:r w:rsidRPr="00836680">
              <w:rPr>
                <w:rFonts w:ascii="Arial" w:hAnsi="Arial" w:cs="Arial"/>
                <w:b/>
                <w:bCs/>
                <w:sz w:val="16"/>
                <w:szCs w:val="16"/>
                <w:lang w:eastAsia="en-GB"/>
              </w:rPr>
              <w:t xml:space="preserve">High </w:t>
            </w:r>
            <w:r w:rsidRPr="00836680">
              <w:rPr>
                <w:rFonts w:ascii="Arial" w:hAnsi="Arial" w:cs="Arial"/>
                <w:b/>
                <w:bCs/>
                <w:sz w:val="16"/>
                <w:szCs w:val="16"/>
                <w:vertAlign w:val="superscript"/>
                <w:lang w:eastAsia="en-GB"/>
              </w:rPr>
              <w:t>(1)</w:t>
            </w:r>
          </w:p>
        </w:tc>
        <w:tc>
          <w:tcPr>
            <w:tcW w:w="465" w:type="pct"/>
            <w:gridSpan w:val="2"/>
            <w:vMerge/>
            <w:tcBorders>
              <w:top w:val="nil"/>
              <w:left w:val="nil"/>
              <w:bottom w:val="single" w:sz="4" w:space="0" w:color="auto"/>
              <w:right w:val="nil"/>
            </w:tcBorders>
            <w:vAlign w:val="bottom"/>
            <w:hideMark/>
          </w:tcPr>
          <w:p w14:paraId="0969A315" w14:textId="77777777" w:rsidR="00836680" w:rsidRPr="00836680" w:rsidRDefault="00836680" w:rsidP="00836680">
            <w:pPr>
              <w:jc w:val="right"/>
              <w:rPr>
                <w:rFonts w:ascii="Arial" w:hAnsi="Arial" w:cs="Arial"/>
                <w:b/>
                <w:bCs/>
                <w:sz w:val="16"/>
                <w:szCs w:val="16"/>
                <w:lang w:eastAsia="en-GB"/>
              </w:rPr>
            </w:pPr>
          </w:p>
        </w:tc>
        <w:tc>
          <w:tcPr>
            <w:tcW w:w="1059" w:type="pct"/>
            <w:tcBorders>
              <w:top w:val="nil"/>
              <w:left w:val="nil"/>
              <w:bottom w:val="single" w:sz="4" w:space="0" w:color="auto"/>
              <w:right w:val="nil"/>
            </w:tcBorders>
            <w:shd w:val="clear" w:color="auto" w:fill="auto"/>
            <w:noWrap/>
            <w:vAlign w:val="bottom"/>
            <w:hideMark/>
          </w:tcPr>
          <w:p w14:paraId="34A204CB" w14:textId="77777777" w:rsidR="00836680" w:rsidRPr="00836680" w:rsidRDefault="00836680" w:rsidP="00836680">
            <w:pPr>
              <w:jc w:val="right"/>
              <w:rPr>
                <w:rFonts w:ascii="Arial" w:hAnsi="Arial" w:cs="Arial"/>
                <w:b/>
                <w:bCs/>
                <w:sz w:val="16"/>
                <w:szCs w:val="16"/>
                <w:lang w:eastAsia="en-GB"/>
              </w:rPr>
            </w:pPr>
            <w:r w:rsidRPr="00836680">
              <w:rPr>
                <w:rFonts w:ascii="Arial" w:eastAsiaTheme="minorHAnsi" w:hAnsi="Arial" w:cs="Arial"/>
                <w:b/>
                <w:bCs/>
                <w:sz w:val="16"/>
                <w:szCs w:val="16"/>
              </w:rPr>
              <w:t>Level 3 investments</w:t>
            </w:r>
            <w:r w:rsidRPr="00836680">
              <w:rPr>
                <w:rFonts w:ascii="Arial" w:eastAsiaTheme="minorHAnsi" w:hAnsi="Arial" w:cs="Arial"/>
                <w:b/>
                <w:bCs/>
                <w:sz w:val="16"/>
                <w:szCs w:val="16"/>
                <w:vertAlign w:val="superscript"/>
              </w:rPr>
              <w:t>(2)</w:t>
            </w:r>
          </w:p>
        </w:tc>
        <w:tc>
          <w:tcPr>
            <w:tcW w:w="760" w:type="pct"/>
            <w:tcBorders>
              <w:top w:val="nil"/>
              <w:left w:val="nil"/>
              <w:bottom w:val="single" w:sz="4" w:space="0" w:color="auto"/>
              <w:right w:val="nil"/>
            </w:tcBorders>
            <w:shd w:val="clear" w:color="auto" w:fill="auto"/>
            <w:noWrap/>
            <w:vAlign w:val="bottom"/>
            <w:hideMark/>
          </w:tcPr>
          <w:p w14:paraId="469EA102" w14:textId="77777777" w:rsidR="00836680" w:rsidRPr="00836680" w:rsidRDefault="00836680" w:rsidP="00836680">
            <w:pPr>
              <w:jc w:val="right"/>
              <w:rPr>
                <w:rFonts w:ascii="Arial" w:hAnsi="Arial" w:cs="Arial"/>
                <w:b/>
                <w:bCs/>
                <w:sz w:val="16"/>
                <w:szCs w:val="16"/>
                <w:lang w:eastAsia="en-GB"/>
              </w:rPr>
            </w:pPr>
            <w:r w:rsidRPr="00836680">
              <w:rPr>
                <w:rFonts w:ascii="Arial" w:eastAsiaTheme="minorHAnsi" w:hAnsi="Arial" w:cs="Arial"/>
                <w:b/>
                <w:bCs/>
                <w:sz w:val="16"/>
                <w:szCs w:val="16"/>
              </w:rPr>
              <w:t>(in thousands)</w:t>
            </w:r>
          </w:p>
        </w:tc>
      </w:tr>
      <w:tr w:rsidR="00836680" w:rsidRPr="00836680" w14:paraId="77930440" w14:textId="77777777" w:rsidTr="00836680">
        <w:trPr>
          <w:trHeight w:val="75"/>
        </w:trPr>
        <w:tc>
          <w:tcPr>
            <w:tcW w:w="593" w:type="pct"/>
            <w:tcBorders>
              <w:top w:val="single" w:sz="4" w:space="0" w:color="auto"/>
              <w:left w:val="nil"/>
              <w:right w:val="nil"/>
            </w:tcBorders>
            <w:shd w:val="clear" w:color="auto" w:fill="auto"/>
            <w:noWrap/>
            <w:vAlign w:val="bottom"/>
            <w:hideMark/>
          </w:tcPr>
          <w:p w14:paraId="122A5583" w14:textId="77777777" w:rsidR="00836680" w:rsidRPr="00836680" w:rsidRDefault="00836680" w:rsidP="00836680">
            <w:pPr>
              <w:rPr>
                <w:rFonts w:ascii="Arial" w:hAnsi="Arial" w:cs="Arial"/>
                <w:color w:val="000000"/>
                <w:sz w:val="16"/>
                <w:szCs w:val="16"/>
                <w:lang w:eastAsia="en-GB"/>
              </w:rPr>
            </w:pPr>
            <w:r w:rsidRPr="00836680">
              <w:rPr>
                <w:rFonts w:ascii="Arial" w:hAnsi="Arial" w:cs="Arial"/>
                <w:color w:val="000000"/>
                <w:sz w:val="16"/>
                <w:szCs w:val="16"/>
                <w:lang w:eastAsia="en-GB"/>
              </w:rPr>
              <w:t> </w:t>
            </w:r>
          </w:p>
        </w:tc>
        <w:tc>
          <w:tcPr>
            <w:tcW w:w="592" w:type="pct"/>
            <w:tcBorders>
              <w:top w:val="single" w:sz="4" w:space="0" w:color="auto"/>
              <w:left w:val="nil"/>
              <w:right w:val="nil"/>
            </w:tcBorders>
            <w:shd w:val="clear" w:color="auto" w:fill="auto"/>
            <w:noWrap/>
            <w:vAlign w:val="bottom"/>
            <w:hideMark/>
          </w:tcPr>
          <w:p w14:paraId="7D1F4905" w14:textId="77777777" w:rsidR="00836680" w:rsidRPr="00836680" w:rsidRDefault="00836680" w:rsidP="00836680">
            <w:pPr>
              <w:rPr>
                <w:rFonts w:ascii="Arial" w:hAnsi="Arial" w:cs="Arial"/>
                <w:color w:val="000000"/>
                <w:sz w:val="16"/>
                <w:szCs w:val="16"/>
                <w:lang w:eastAsia="en-GB"/>
              </w:rPr>
            </w:pPr>
            <w:r w:rsidRPr="00836680">
              <w:rPr>
                <w:rFonts w:ascii="Arial" w:hAnsi="Arial" w:cs="Arial"/>
                <w:color w:val="000000"/>
                <w:sz w:val="16"/>
                <w:szCs w:val="16"/>
                <w:lang w:eastAsia="en-GB"/>
              </w:rPr>
              <w:t> </w:t>
            </w:r>
          </w:p>
        </w:tc>
        <w:tc>
          <w:tcPr>
            <w:tcW w:w="677" w:type="pct"/>
            <w:tcBorders>
              <w:top w:val="single" w:sz="4" w:space="0" w:color="auto"/>
              <w:left w:val="nil"/>
              <w:right w:val="nil"/>
            </w:tcBorders>
            <w:shd w:val="clear" w:color="auto" w:fill="auto"/>
            <w:noWrap/>
            <w:vAlign w:val="bottom"/>
            <w:hideMark/>
          </w:tcPr>
          <w:p w14:paraId="34413B21" w14:textId="77777777" w:rsidR="00836680" w:rsidRPr="00836680" w:rsidRDefault="00836680" w:rsidP="00836680">
            <w:pPr>
              <w:rPr>
                <w:rFonts w:ascii="Arial" w:hAnsi="Arial" w:cs="Arial"/>
                <w:color w:val="000000"/>
                <w:sz w:val="16"/>
                <w:szCs w:val="16"/>
                <w:lang w:eastAsia="en-GB"/>
              </w:rPr>
            </w:pPr>
            <w:r w:rsidRPr="00836680">
              <w:rPr>
                <w:rFonts w:ascii="Arial" w:hAnsi="Arial" w:cs="Arial"/>
                <w:color w:val="000000"/>
                <w:sz w:val="16"/>
                <w:szCs w:val="16"/>
                <w:lang w:eastAsia="en-GB"/>
              </w:rPr>
              <w:t> </w:t>
            </w:r>
          </w:p>
        </w:tc>
        <w:tc>
          <w:tcPr>
            <w:tcW w:w="424" w:type="pct"/>
            <w:tcBorders>
              <w:top w:val="single" w:sz="4" w:space="0" w:color="auto"/>
              <w:left w:val="nil"/>
              <w:right w:val="nil"/>
            </w:tcBorders>
            <w:shd w:val="clear" w:color="auto" w:fill="auto"/>
            <w:noWrap/>
            <w:vAlign w:val="bottom"/>
            <w:hideMark/>
          </w:tcPr>
          <w:p w14:paraId="458633A2" w14:textId="77777777" w:rsidR="00836680" w:rsidRPr="00836680" w:rsidRDefault="00836680" w:rsidP="00836680">
            <w:pPr>
              <w:ind w:firstLineChars="100" w:firstLine="160"/>
              <w:jc w:val="right"/>
              <w:rPr>
                <w:rFonts w:ascii="Arial" w:hAnsi="Arial" w:cs="Arial"/>
                <w:color w:val="000000"/>
                <w:sz w:val="16"/>
                <w:szCs w:val="16"/>
                <w:lang w:eastAsia="en-GB"/>
              </w:rPr>
            </w:pPr>
            <w:r w:rsidRPr="00836680">
              <w:rPr>
                <w:rFonts w:ascii="Arial" w:hAnsi="Arial" w:cs="Arial"/>
                <w:color w:val="000000"/>
                <w:sz w:val="16"/>
                <w:szCs w:val="16"/>
                <w:lang w:eastAsia="en-GB"/>
              </w:rPr>
              <w:t> </w:t>
            </w:r>
          </w:p>
        </w:tc>
        <w:tc>
          <w:tcPr>
            <w:tcW w:w="430" w:type="pct"/>
            <w:gridSpan w:val="2"/>
            <w:tcBorders>
              <w:top w:val="single" w:sz="4" w:space="0" w:color="auto"/>
              <w:left w:val="nil"/>
              <w:right w:val="nil"/>
            </w:tcBorders>
            <w:shd w:val="clear" w:color="auto" w:fill="auto"/>
            <w:noWrap/>
            <w:vAlign w:val="bottom"/>
            <w:hideMark/>
          </w:tcPr>
          <w:p w14:paraId="4877B51A" w14:textId="77777777" w:rsidR="00836680" w:rsidRPr="00836680" w:rsidRDefault="00836680" w:rsidP="00836680">
            <w:pPr>
              <w:ind w:firstLineChars="100" w:firstLine="160"/>
              <w:jc w:val="right"/>
              <w:rPr>
                <w:rFonts w:ascii="Arial" w:hAnsi="Arial" w:cs="Arial"/>
                <w:color w:val="000000"/>
                <w:sz w:val="16"/>
                <w:szCs w:val="16"/>
                <w:lang w:eastAsia="en-GB"/>
              </w:rPr>
            </w:pPr>
            <w:r w:rsidRPr="00836680">
              <w:rPr>
                <w:rFonts w:ascii="Arial" w:hAnsi="Arial" w:cs="Arial"/>
                <w:color w:val="000000"/>
                <w:sz w:val="16"/>
                <w:szCs w:val="16"/>
                <w:lang w:eastAsia="en-GB"/>
              </w:rPr>
              <w:t> </w:t>
            </w:r>
          </w:p>
        </w:tc>
        <w:tc>
          <w:tcPr>
            <w:tcW w:w="465" w:type="pct"/>
            <w:gridSpan w:val="2"/>
            <w:tcBorders>
              <w:top w:val="single" w:sz="4" w:space="0" w:color="auto"/>
              <w:left w:val="nil"/>
              <w:right w:val="nil"/>
            </w:tcBorders>
            <w:shd w:val="clear" w:color="auto" w:fill="auto"/>
            <w:noWrap/>
            <w:vAlign w:val="bottom"/>
            <w:hideMark/>
          </w:tcPr>
          <w:p w14:paraId="336B8BD3" w14:textId="77777777" w:rsidR="00836680" w:rsidRPr="00836680" w:rsidRDefault="00836680" w:rsidP="00836680">
            <w:pPr>
              <w:ind w:firstLineChars="200" w:firstLine="320"/>
              <w:jc w:val="right"/>
              <w:rPr>
                <w:rFonts w:ascii="Arial" w:hAnsi="Arial" w:cs="Arial"/>
                <w:color w:val="000000"/>
                <w:sz w:val="16"/>
                <w:szCs w:val="16"/>
                <w:lang w:eastAsia="en-GB"/>
              </w:rPr>
            </w:pPr>
            <w:r w:rsidRPr="00836680">
              <w:rPr>
                <w:rFonts w:ascii="Arial" w:hAnsi="Arial" w:cs="Arial"/>
                <w:color w:val="000000"/>
                <w:sz w:val="16"/>
                <w:szCs w:val="16"/>
                <w:lang w:eastAsia="en-GB"/>
              </w:rPr>
              <w:t> </w:t>
            </w:r>
          </w:p>
        </w:tc>
        <w:tc>
          <w:tcPr>
            <w:tcW w:w="1059" w:type="pct"/>
            <w:tcBorders>
              <w:top w:val="single" w:sz="4" w:space="0" w:color="auto"/>
              <w:left w:val="nil"/>
              <w:right w:val="nil"/>
            </w:tcBorders>
            <w:shd w:val="clear" w:color="auto" w:fill="auto"/>
            <w:noWrap/>
            <w:vAlign w:val="bottom"/>
            <w:hideMark/>
          </w:tcPr>
          <w:p w14:paraId="3FDFEE47" w14:textId="77777777" w:rsidR="00836680" w:rsidRPr="00836680" w:rsidRDefault="00836680" w:rsidP="00836680">
            <w:pPr>
              <w:rPr>
                <w:rFonts w:ascii="Arial" w:hAnsi="Arial" w:cs="Arial"/>
                <w:color w:val="000000"/>
                <w:sz w:val="16"/>
                <w:szCs w:val="16"/>
                <w:lang w:eastAsia="en-GB"/>
              </w:rPr>
            </w:pPr>
          </w:p>
        </w:tc>
        <w:tc>
          <w:tcPr>
            <w:tcW w:w="760" w:type="pct"/>
            <w:tcBorders>
              <w:top w:val="single" w:sz="4" w:space="0" w:color="auto"/>
              <w:left w:val="nil"/>
              <w:right w:val="nil"/>
            </w:tcBorders>
            <w:shd w:val="clear" w:color="auto" w:fill="auto"/>
            <w:noWrap/>
            <w:vAlign w:val="bottom"/>
            <w:hideMark/>
          </w:tcPr>
          <w:p w14:paraId="0CC4DE5B" w14:textId="77777777" w:rsidR="00836680" w:rsidRPr="00836680" w:rsidRDefault="00836680" w:rsidP="00836680">
            <w:pPr>
              <w:rPr>
                <w:rFonts w:ascii="Arial" w:hAnsi="Arial" w:cs="Arial"/>
                <w:color w:val="000000"/>
                <w:sz w:val="16"/>
                <w:szCs w:val="16"/>
                <w:lang w:eastAsia="en-GB"/>
              </w:rPr>
            </w:pPr>
            <w:r w:rsidRPr="00836680">
              <w:rPr>
                <w:rFonts w:ascii="Arial" w:hAnsi="Arial" w:cs="Arial"/>
                <w:color w:val="000000"/>
                <w:sz w:val="16"/>
                <w:szCs w:val="16"/>
                <w:lang w:eastAsia="en-GB"/>
              </w:rPr>
              <w:t> </w:t>
            </w:r>
          </w:p>
        </w:tc>
      </w:tr>
      <w:tr w:rsidR="00836680" w:rsidRPr="00836680" w14:paraId="50F6ED76" w14:textId="77777777" w:rsidTr="00836680">
        <w:trPr>
          <w:trHeight w:val="799"/>
        </w:trPr>
        <w:tc>
          <w:tcPr>
            <w:tcW w:w="593" w:type="pct"/>
            <w:tcBorders>
              <w:top w:val="nil"/>
              <w:left w:val="nil"/>
              <w:bottom w:val="nil"/>
              <w:right w:val="nil"/>
            </w:tcBorders>
            <w:shd w:val="clear" w:color="auto" w:fill="auto"/>
            <w:noWrap/>
            <w:vAlign w:val="bottom"/>
          </w:tcPr>
          <w:p w14:paraId="5E16F81F" w14:textId="77777777" w:rsidR="00836680" w:rsidRPr="00836680" w:rsidRDefault="00836680" w:rsidP="00836680">
            <w:pPr>
              <w:rPr>
                <w:rFonts w:ascii="Arial" w:hAnsi="Arial" w:cs="Arial"/>
                <w:color w:val="000000"/>
                <w:sz w:val="16"/>
                <w:szCs w:val="16"/>
                <w:lang w:eastAsia="en-GB"/>
              </w:rPr>
            </w:pPr>
            <w:r w:rsidRPr="00836680">
              <w:rPr>
                <w:rFonts w:ascii="Arial" w:hAnsi="Arial" w:cs="Arial"/>
                <w:color w:val="000000"/>
                <w:sz w:val="16"/>
                <w:szCs w:val="16"/>
                <w:lang w:eastAsia="en-GB"/>
              </w:rPr>
              <w:t>$405,752</w:t>
            </w:r>
          </w:p>
        </w:tc>
        <w:tc>
          <w:tcPr>
            <w:tcW w:w="592" w:type="pct"/>
            <w:tcBorders>
              <w:top w:val="nil"/>
              <w:left w:val="nil"/>
              <w:bottom w:val="nil"/>
              <w:right w:val="nil"/>
            </w:tcBorders>
            <w:shd w:val="clear" w:color="auto" w:fill="auto"/>
            <w:noWrap/>
            <w:vAlign w:val="bottom"/>
          </w:tcPr>
          <w:p w14:paraId="32399441"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Public comparables</w:t>
            </w:r>
          </w:p>
        </w:tc>
        <w:tc>
          <w:tcPr>
            <w:tcW w:w="677" w:type="pct"/>
            <w:tcBorders>
              <w:top w:val="nil"/>
              <w:left w:val="nil"/>
              <w:bottom w:val="nil"/>
              <w:right w:val="nil"/>
            </w:tcBorders>
            <w:shd w:val="clear" w:color="auto" w:fill="auto"/>
            <w:noWrap/>
            <w:vAlign w:val="bottom"/>
          </w:tcPr>
          <w:p w14:paraId="65F95708" w14:textId="100CBB2E"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2019 EV / EBITDA Multiple</w:t>
            </w:r>
            <w:r w:rsidRPr="00836680">
              <w:rPr>
                <w:rFonts w:ascii="Arial" w:hAnsi="Arial" w:cs="Arial"/>
                <w:color w:val="000000"/>
                <w:sz w:val="16"/>
                <w:szCs w:val="16"/>
                <w:vertAlign w:val="superscript"/>
                <w:lang w:eastAsia="en-GB"/>
              </w:rPr>
              <w:t>(</w:t>
            </w:r>
            <w:r w:rsidR="00B06A1A">
              <w:rPr>
                <w:rFonts w:ascii="Arial" w:hAnsi="Arial" w:cs="Arial"/>
                <w:color w:val="000000"/>
                <w:sz w:val="16"/>
                <w:szCs w:val="16"/>
                <w:vertAlign w:val="superscript"/>
                <w:lang w:eastAsia="en-GB"/>
              </w:rPr>
              <w:t>6</w:t>
            </w:r>
            <w:r w:rsidRPr="00836680">
              <w:rPr>
                <w:rFonts w:ascii="Arial" w:hAnsi="Arial" w:cs="Arial"/>
                <w:color w:val="000000"/>
                <w:sz w:val="16"/>
                <w:szCs w:val="16"/>
                <w:vertAlign w:val="superscript"/>
                <w:lang w:eastAsia="en-GB"/>
              </w:rPr>
              <w:t>)</w:t>
            </w:r>
          </w:p>
        </w:tc>
        <w:tc>
          <w:tcPr>
            <w:tcW w:w="424" w:type="pct"/>
            <w:tcBorders>
              <w:top w:val="nil"/>
              <w:left w:val="nil"/>
              <w:bottom w:val="nil"/>
              <w:right w:val="nil"/>
            </w:tcBorders>
            <w:shd w:val="clear" w:color="auto" w:fill="auto"/>
            <w:noWrap/>
            <w:vAlign w:val="bottom"/>
          </w:tcPr>
          <w:p w14:paraId="298CAA72"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3.5x</w:t>
            </w:r>
          </w:p>
        </w:tc>
        <w:tc>
          <w:tcPr>
            <w:tcW w:w="430" w:type="pct"/>
            <w:gridSpan w:val="2"/>
            <w:tcBorders>
              <w:top w:val="nil"/>
              <w:left w:val="nil"/>
              <w:bottom w:val="nil"/>
              <w:right w:val="nil"/>
            </w:tcBorders>
            <w:shd w:val="clear" w:color="auto" w:fill="auto"/>
            <w:noWrap/>
            <w:vAlign w:val="bottom"/>
          </w:tcPr>
          <w:p w14:paraId="14739768"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4.1x</w:t>
            </w:r>
          </w:p>
        </w:tc>
        <w:tc>
          <w:tcPr>
            <w:tcW w:w="465" w:type="pct"/>
            <w:gridSpan w:val="2"/>
            <w:tcBorders>
              <w:top w:val="nil"/>
              <w:left w:val="nil"/>
              <w:bottom w:val="nil"/>
              <w:right w:val="nil"/>
            </w:tcBorders>
            <w:shd w:val="clear" w:color="auto" w:fill="auto"/>
            <w:noWrap/>
            <w:vAlign w:val="bottom"/>
          </w:tcPr>
          <w:p w14:paraId="318428E7"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3.8x</w:t>
            </w:r>
          </w:p>
        </w:tc>
        <w:tc>
          <w:tcPr>
            <w:tcW w:w="1059" w:type="pct"/>
            <w:tcBorders>
              <w:top w:val="nil"/>
              <w:left w:val="nil"/>
              <w:bottom w:val="nil"/>
              <w:right w:val="nil"/>
            </w:tcBorders>
            <w:shd w:val="clear" w:color="000000" w:fill="FFFFFF"/>
          </w:tcPr>
          <w:p w14:paraId="362201A2"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40 per cent. weighted average change in the input would result in 3 per cent. change in the total fair value of Level 3 investments</w:t>
            </w:r>
          </w:p>
        </w:tc>
        <w:tc>
          <w:tcPr>
            <w:tcW w:w="760" w:type="pct"/>
            <w:tcBorders>
              <w:top w:val="nil"/>
              <w:left w:val="nil"/>
              <w:bottom w:val="nil"/>
              <w:right w:val="nil"/>
            </w:tcBorders>
            <w:shd w:val="clear" w:color="auto" w:fill="auto"/>
            <w:noWrap/>
            <w:vAlign w:val="bottom"/>
          </w:tcPr>
          <w:p w14:paraId="51A563EA"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$176,048</w:t>
            </w:r>
          </w:p>
        </w:tc>
      </w:tr>
      <w:tr w:rsidR="00836680" w:rsidRPr="00836680" w14:paraId="6AEE2131" w14:textId="77777777" w:rsidTr="00836680">
        <w:trPr>
          <w:trHeight w:val="799"/>
        </w:trPr>
        <w:tc>
          <w:tcPr>
            <w:tcW w:w="593" w:type="pct"/>
            <w:tcBorders>
              <w:top w:val="nil"/>
              <w:left w:val="nil"/>
              <w:bottom w:val="nil"/>
              <w:right w:val="nil"/>
            </w:tcBorders>
            <w:shd w:val="clear" w:color="auto" w:fill="auto"/>
            <w:noWrap/>
            <w:vAlign w:val="bottom"/>
          </w:tcPr>
          <w:p w14:paraId="2C009F76" w14:textId="77777777" w:rsidR="00836680" w:rsidRPr="00836680" w:rsidRDefault="00836680" w:rsidP="00836680">
            <w:pPr>
              <w:rPr>
                <w:rFonts w:ascii="Arial" w:hAnsi="Arial" w:cs="Arial"/>
                <w:color w:val="000000"/>
                <w:sz w:val="16"/>
                <w:szCs w:val="16"/>
                <w:lang w:eastAsia="en-GB"/>
              </w:rPr>
            </w:pPr>
          </w:p>
        </w:tc>
        <w:tc>
          <w:tcPr>
            <w:tcW w:w="592" w:type="pct"/>
            <w:tcBorders>
              <w:top w:val="nil"/>
              <w:left w:val="nil"/>
              <w:bottom w:val="nil"/>
              <w:right w:val="nil"/>
            </w:tcBorders>
            <w:shd w:val="clear" w:color="auto" w:fill="auto"/>
            <w:noWrap/>
            <w:vAlign w:val="bottom"/>
          </w:tcPr>
          <w:p w14:paraId="2EF2324F" w14:textId="77777777" w:rsidR="00836680" w:rsidRPr="00836680" w:rsidRDefault="00836680" w:rsidP="00836680">
            <w:pPr>
              <w:jc w:val="right"/>
              <w:rPr>
                <w:rFonts w:ascii="Arial" w:hAnsi="Arial" w:cs="Arial"/>
                <w:color w:val="000000"/>
                <w:sz w:val="16"/>
                <w:szCs w:val="16"/>
                <w:lang w:eastAsia="en-GB"/>
              </w:rPr>
            </w:pPr>
          </w:p>
        </w:tc>
        <w:tc>
          <w:tcPr>
            <w:tcW w:w="677" w:type="pct"/>
            <w:tcBorders>
              <w:top w:val="nil"/>
              <w:left w:val="nil"/>
              <w:bottom w:val="nil"/>
              <w:right w:val="nil"/>
            </w:tcBorders>
            <w:shd w:val="clear" w:color="auto" w:fill="auto"/>
            <w:noWrap/>
            <w:vAlign w:val="bottom"/>
          </w:tcPr>
          <w:p w14:paraId="1C80BC45" w14:textId="53758A7C"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2020 EV / EBITDA Multiple</w:t>
            </w:r>
            <w:r w:rsidRPr="00836680">
              <w:rPr>
                <w:rFonts w:ascii="Arial" w:hAnsi="Arial" w:cs="Arial"/>
                <w:color w:val="000000"/>
                <w:sz w:val="16"/>
                <w:szCs w:val="16"/>
                <w:vertAlign w:val="superscript"/>
                <w:lang w:eastAsia="en-GB"/>
              </w:rPr>
              <w:t>(</w:t>
            </w:r>
            <w:r w:rsidR="00B06A1A">
              <w:rPr>
                <w:rFonts w:ascii="Arial" w:hAnsi="Arial" w:cs="Arial"/>
                <w:color w:val="000000"/>
                <w:sz w:val="16"/>
                <w:szCs w:val="16"/>
                <w:vertAlign w:val="superscript"/>
                <w:lang w:eastAsia="en-GB"/>
              </w:rPr>
              <w:t>6</w:t>
            </w:r>
            <w:r w:rsidRPr="00836680">
              <w:rPr>
                <w:rFonts w:ascii="Arial" w:hAnsi="Arial" w:cs="Arial"/>
                <w:color w:val="000000"/>
                <w:sz w:val="16"/>
                <w:szCs w:val="16"/>
                <w:vertAlign w:val="superscript"/>
                <w:lang w:eastAsia="en-GB"/>
              </w:rPr>
              <w:t>)</w:t>
            </w:r>
          </w:p>
        </w:tc>
        <w:tc>
          <w:tcPr>
            <w:tcW w:w="424" w:type="pct"/>
            <w:tcBorders>
              <w:top w:val="nil"/>
              <w:left w:val="nil"/>
              <w:bottom w:val="nil"/>
              <w:right w:val="nil"/>
            </w:tcBorders>
            <w:shd w:val="clear" w:color="auto" w:fill="auto"/>
            <w:noWrap/>
            <w:vAlign w:val="bottom"/>
          </w:tcPr>
          <w:p w14:paraId="11C3660E"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3.1x</w:t>
            </w:r>
          </w:p>
        </w:tc>
        <w:tc>
          <w:tcPr>
            <w:tcW w:w="430" w:type="pct"/>
            <w:gridSpan w:val="2"/>
            <w:tcBorders>
              <w:top w:val="nil"/>
              <w:left w:val="nil"/>
              <w:bottom w:val="nil"/>
              <w:right w:val="nil"/>
            </w:tcBorders>
            <w:shd w:val="clear" w:color="auto" w:fill="auto"/>
            <w:noWrap/>
            <w:vAlign w:val="bottom"/>
          </w:tcPr>
          <w:p w14:paraId="102EE967"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4.0x</w:t>
            </w:r>
          </w:p>
        </w:tc>
        <w:tc>
          <w:tcPr>
            <w:tcW w:w="465" w:type="pct"/>
            <w:gridSpan w:val="2"/>
            <w:tcBorders>
              <w:top w:val="nil"/>
              <w:left w:val="nil"/>
              <w:bottom w:val="nil"/>
              <w:right w:val="nil"/>
            </w:tcBorders>
            <w:shd w:val="clear" w:color="auto" w:fill="auto"/>
            <w:noWrap/>
            <w:vAlign w:val="bottom"/>
          </w:tcPr>
          <w:p w14:paraId="72BCBE60"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3.5x</w:t>
            </w:r>
          </w:p>
        </w:tc>
        <w:tc>
          <w:tcPr>
            <w:tcW w:w="1059" w:type="pct"/>
            <w:tcBorders>
              <w:top w:val="nil"/>
              <w:left w:val="nil"/>
              <w:bottom w:val="nil"/>
              <w:right w:val="nil"/>
            </w:tcBorders>
            <w:shd w:val="clear" w:color="000000" w:fill="FFFFFF"/>
          </w:tcPr>
          <w:p w14:paraId="4DE05E4A"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25 per cent. weighted average change in the input would result in 1 per cent. change in the total fair value of Level 3 investments</w:t>
            </w:r>
          </w:p>
        </w:tc>
        <w:tc>
          <w:tcPr>
            <w:tcW w:w="760" w:type="pct"/>
            <w:tcBorders>
              <w:top w:val="nil"/>
              <w:left w:val="nil"/>
              <w:bottom w:val="nil"/>
              <w:right w:val="nil"/>
            </w:tcBorders>
            <w:shd w:val="clear" w:color="auto" w:fill="auto"/>
            <w:noWrap/>
            <w:vAlign w:val="bottom"/>
          </w:tcPr>
          <w:p w14:paraId="338E08A3"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$185,375</w:t>
            </w:r>
          </w:p>
        </w:tc>
      </w:tr>
      <w:tr w:rsidR="00836680" w:rsidRPr="00836680" w14:paraId="6DA5BE82" w14:textId="77777777" w:rsidTr="00836680">
        <w:trPr>
          <w:trHeight w:val="799"/>
        </w:trPr>
        <w:tc>
          <w:tcPr>
            <w:tcW w:w="593" w:type="pct"/>
            <w:tcBorders>
              <w:top w:val="nil"/>
              <w:left w:val="nil"/>
              <w:bottom w:val="nil"/>
              <w:right w:val="nil"/>
            </w:tcBorders>
            <w:shd w:val="clear" w:color="auto" w:fill="auto"/>
            <w:noWrap/>
            <w:vAlign w:val="bottom"/>
          </w:tcPr>
          <w:p w14:paraId="4C7C35AF" w14:textId="77777777" w:rsidR="00836680" w:rsidRPr="00836680" w:rsidRDefault="00836680" w:rsidP="00836680">
            <w:pPr>
              <w:rPr>
                <w:rFonts w:ascii="Arial" w:hAnsi="Arial" w:cs="Arial"/>
                <w:color w:val="000000"/>
                <w:sz w:val="16"/>
                <w:szCs w:val="16"/>
                <w:lang w:eastAsia="en-GB"/>
              </w:rPr>
            </w:pPr>
            <w:bookmarkStart w:id="10" w:name="_Hlk31009797"/>
          </w:p>
        </w:tc>
        <w:tc>
          <w:tcPr>
            <w:tcW w:w="592" w:type="pct"/>
            <w:tcBorders>
              <w:top w:val="nil"/>
              <w:left w:val="nil"/>
              <w:bottom w:val="nil"/>
              <w:right w:val="nil"/>
            </w:tcBorders>
            <w:shd w:val="clear" w:color="auto" w:fill="auto"/>
            <w:noWrap/>
            <w:vAlign w:val="bottom"/>
          </w:tcPr>
          <w:p w14:paraId="54244F2B" w14:textId="77777777" w:rsidR="00836680" w:rsidRPr="00836680" w:rsidRDefault="00836680" w:rsidP="00836680">
            <w:pPr>
              <w:jc w:val="right"/>
              <w:rPr>
                <w:rFonts w:ascii="Arial" w:hAnsi="Arial" w:cs="Arial"/>
                <w:color w:val="000000"/>
                <w:sz w:val="16"/>
                <w:szCs w:val="16"/>
                <w:lang w:eastAsia="en-GB"/>
              </w:rPr>
            </w:pPr>
          </w:p>
        </w:tc>
        <w:tc>
          <w:tcPr>
            <w:tcW w:w="677" w:type="pct"/>
            <w:tcBorders>
              <w:top w:val="nil"/>
              <w:left w:val="nil"/>
              <w:bottom w:val="nil"/>
              <w:right w:val="nil"/>
            </w:tcBorders>
            <w:shd w:val="clear" w:color="auto" w:fill="auto"/>
            <w:noWrap/>
            <w:vAlign w:val="bottom"/>
          </w:tcPr>
          <w:p w14:paraId="0FFE013C" w14:textId="77777777" w:rsidR="00836680" w:rsidRPr="00836680" w:rsidRDefault="00836680" w:rsidP="00836680">
            <w:pPr>
              <w:jc w:val="right"/>
              <w:rPr>
                <w:rFonts w:ascii="Arial" w:hAnsi="Arial" w:cs="Arial"/>
                <w:color w:val="000000"/>
                <w:sz w:val="16"/>
                <w:szCs w:val="16"/>
                <w:lang w:eastAsia="en-GB"/>
              </w:rPr>
            </w:pPr>
          </w:p>
          <w:p w14:paraId="1E8221C2" w14:textId="5F4E886B"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EV / 2019E Production Multiple ($/Boepd)</w:t>
            </w:r>
            <w:r w:rsidRPr="00836680">
              <w:rPr>
                <w:rFonts w:ascii="Arial" w:hAnsi="Arial" w:cs="Arial"/>
                <w:color w:val="000000"/>
                <w:sz w:val="16"/>
                <w:szCs w:val="16"/>
                <w:vertAlign w:val="superscript"/>
                <w:lang w:eastAsia="en-GB"/>
              </w:rPr>
              <w:t>(</w:t>
            </w:r>
            <w:r w:rsidR="00B06A1A">
              <w:rPr>
                <w:rFonts w:ascii="Arial" w:hAnsi="Arial" w:cs="Arial"/>
                <w:color w:val="000000"/>
                <w:sz w:val="16"/>
                <w:szCs w:val="16"/>
                <w:vertAlign w:val="superscript"/>
                <w:lang w:eastAsia="en-GB"/>
              </w:rPr>
              <w:t>6</w:t>
            </w:r>
            <w:r w:rsidRPr="00836680">
              <w:rPr>
                <w:rFonts w:ascii="Arial" w:hAnsi="Arial" w:cs="Arial"/>
                <w:color w:val="000000"/>
                <w:sz w:val="16"/>
                <w:szCs w:val="16"/>
                <w:vertAlign w:val="superscript"/>
                <w:lang w:eastAsia="en-GB"/>
              </w:rPr>
              <w:t>)</w:t>
            </w:r>
          </w:p>
        </w:tc>
        <w:tc>
          <w:tcPr>
            <w:tcW w:w="424" w:type="pct"/>
            <w:tcBorders>
              <w:top w:val="nil"/>
              <w:left w:val="nil"/>
              <w:bottom w:val="nil"/>
              <w:right w:val="nil"/>
            </w:tcBorders>
            <w:shd w:val="clear" w:color="auto" w:fill="auto"/>
            <w:noWrap/>
            <w:vAlign w:val="bottom"/>
          </w:tcPr>
          <w:p w14:paraId="0155C37B"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$21,000</w:t>
            </w:r>
          </w:p>
        </w:tc>
        <w:tc>
          <w:tcPr>
            <w:tcW w:w="430" w:type="pct"/>
            <w:gridSpan w:val="2"/>
            <w:tcBorders>
              <w:top w:val="nil"/>
              <w:left w:val="nil"/>
              <w:bottom w:val="nil"/>
              <w:right w:val="nil"/>
            </w:tcBorders>
            <w:shd w:val="clear" w:color="auto" w:fill="auto"/>
            <w:noWrap/>
            <w:vAlign w:val="bottom"/>
          </w:tcPr>
          <w:p w14:paraId="5238FB68"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$44,100</w:t>
            </w:r>
          </w:p>
        </w:tc>
        <w:tc>
          <w:tcPr>
            <w:tcW w:w="465" w:type="pct"/>
            <w:gridSpan w:val="2"/>
            <w:tcBorders>
              <w:top w:val="nil"/>
              <w:left w:val="nil"/>
              <w:bottom w:val="nil"/>
              <w:right w:val="nil"/>
            </w:tcBorders>
            <w:shd w:val="clear" w:color="auto" w:fill="auto"/>
            <w:noWrap/>
            <w:vAlign w:val="bottom"/>
          </w:tcPr>
          <w:p w14:paraId="6F11A7AF"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$30,900</w:t>
            </w:r>
          </w:p>
        </w:tc>
        <w:tc>
          <w:tcPr>
            <w:tcW w:w="1059" w:type="pct"/>
            <w:tcBorders>
              <w:top w:val="nil"/>
              <w:left w:val="nil"/>
              <w:bottom w:val="nil"/>
              <w:right w:val="nil"/>
            </w:tcBorders>
            <w:shd w:val="clear" w:color="000000" w:fill="FFFFFF"/>
            <w:vAlign w:val="bottom"/>
          </w:tcPr>
          <w:p w14:paraId="135AE741"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45 per cent. weighted average change in the input would result in 5 per cent. change in the total fair value of Level 3 investments</w:t>
            </w:r>
          </w:p>
        </w:tc>
        <w:tc>
          <w:tcPr>
            <w:tcW w:w="760" w:type="pct"/>
            <w:tcBorders>
              <w:top w:val="nil"/>
              <w:left w:val="nil"/>
              <w:bottom w:val="nil"/>
              <w:right w:val="nil"/>
            </w:tcBorders>
            <w:shd w:val="clear" w:color="auto" w:fill="auto"/>
            <w:noWrap/>
            <w:vAlign w:val="bottom"/>
          </w:tcPr>
          <w:p w14:paraId="216653B3"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$224,220</w:t>
            </w:r>
          </w:p>
        </w:tc>
      </w:tr>
      <w:tr w:rsidR="00836680" w:rsidRPr="00836680" w14:paraId="33120A24" w14:textId="77777777" w:rsidTr="00836680">
        <w:trPr>
          <w:trHeight w:val="799"/>
        </w:trPr>
        <w:tc>
          <w:tcPr>
            <w:tcW w:w="593" w:type="pct"/>
            <w:tcBorders>
              <w:top w:val="nil"/>
              <w:left w:val="nil"/>
              <w:bottom w:val="nil"/>
              <w:right w:val="nil"/>
            </w:tcBorders>
            <w:shd w:val="clear" w:color="auto" w:fill="auto"/>
            <w:noWrap/>
            <w:vAlign w:val="bottom"/>
          </w:tcPr>
          <w:p w14:paraId="0A8A822F" w14:textId="77777777" w:rsidR="00836680" w:rsidRPr="00836680" w:rsidRDefault="00836680" w:rsidP="00836680">
            <w:pPr>
              <w:rPr>
                <w:rFonts w:ascii="Arial" w:hAnsi="Arial" w:cs="Arial"/>
                <w:color w:val="000000"/>
                <w:sz w:val="16"/>
                <w:szCs w:val="16"/>
                <w:lang w:eastAsia="en-GB"/>
              </w:rPr>
            </w:pPr>
          </w:p>
        </w:tc>
        <w:tc>
          <w:tcPr>
            <w:tcW w:w="592" w:type="pct"/>
            <w:tcBorders>
              <w:top w:val="nil"/>
              <w:left w:val="nil"/>
              <w:bottom w:val="nil"/>
              <w:right w:val="nil"/>
            </w:tcBorders>
            <w:shd w:val="clear" w:color="auto" w:fill="auto"/>
            <w:noWrap/>
            <w:vAlign w:val="bottom"/>
          </w:tcPr>
          <w:p w14:paraId="7EB0E969" w14:textId="77777777" w:rsidR="00836680" w:rsidRPr="00836680" w:rsidRDefault="00836680" w:rsidP="00836680">
            <w:pPr>
              <w:jc w:val="right"/>
              <w:rPr>
                <w:rFonts w:ascii="Arial" w:hAnsi="Arial" w:cs="Arial"/>
                <w:color w:val="000000"/>
                <w:sz w:val="16"/>
                <w:szCs w:val="16"/>
                <w:lang w:eastAsia="en-GB"/>
              </w:rPr>
            </w:pPr>
          </w:p>
        </w:tc>
        <w:tc>
          <w:tcPr>
            <w:tcW w:w="677" w:type="pct"/>
            <w:tcBorders>
              <w:top w:val="nil"/>
              <w:left w:val="nil"/>
              <w:bottom w:val="nil"/>
              <w:right w:val="nil"/>
            </w:tcBorders>
            <w:shd w:val="clear" w:color="auto" w:fill="auto"/>
            <w:noWrap/>
            <w:vAlign w:val="bottom"/>
          </w:tcPr>
          <w:p w14:paraId="63F76504" w14:textId="77777777" w:rsidR="00836680" w:rsidRPr="00836680" w:rsidRDefault="00836680" w:rsidP="00836680">
            <w:pPr>
              <w:jc w:val="right"/>
              <w:rPr>
                <w:rFonts w:ascii="Arial" w:hAnsi="Arial" w:cs="Arial"/>
                <w:color w:val="000000"/>
                <w:sz w:val="16"/>
                <w:szCs w:val="16"/>
                <w:lang w:eastAsia="en-GB"/>
              </w:rPr>
            </w:pPr>
          </w:p>
          <w:p w14:paraId="24EB3EAB" w14:textId="62D454C0"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EV / 2020E Production Multiple ($/Boepd)</w:t>
            </w:r>
            <w:r w:rsidRPr="00836680">
              <w:rPr>
                <w:rFonts w:ascii="Arial" w:hAnsi="Arial" w:cs="Arial"/>
                <w:color w:val="000000"/>
                <w:sz w:val="16"/>
                <w:szCs w:val="16"/>
                <w:vertAlign w:val="superscript"/>
                <w:lang w:eastAsia="en-GB"/>
              </w:rPr>
              <w:t>(</w:t>
            </w:r>
            <w:r w:rsidR="00B06A1A">
              <w:rPr>
                <w:rFonts w:ascii="Arial" w:hAnsi="Arial" w:cs="Arial"/>
                <w:color w:val="000000"/>
                <w:sz w:val="16"/>
                <w:szCs w:val="16"/>
                <w:vertAlign w:val="superscript"/>
                <w:lang w:eastAsia="en-GB"/>
              </w:rPr>
              <w:t>6</w:t>
            </w:r>
            <w:r w:rsidRPr="00836680">
              <w:rPr>
                <w:rFonts w:ascii="Arial" w:hAnsi="Arial" w:cs="Arial"/>
                <w:color w:val="000000"/>
                <w:sz w:val="16"/>
                <w:szCs w:val="16"/>
                <w:vertAlign w:val="superscript"/>
                <w:lang w:eastAsia="en-GB"/>
              </w:rPr>
              <w:t>)</w:t>
            </w:r>
          </w:p>
        </w:tc>
        <w:tc>
          <w:tcPr>
            <w:tcW w:w="424" w:type="pct"/>
            <w:tcBorders>
              <w:top w:val="nil"/>
              <w:left w:val="nil"/>
              <w:bottom w:val="nil"/>
              <w:right w:val="nil"/>
            </w:tcBorders>
            <w:shd w:val="clear" w:color="auto" w:fill="auto"/>
            <w:noWrap/>
            <w:vAlign w:val="bottom"/>
          </w:tcPr>
          <w:p w14:paraId="6FCFF565"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$21,000</w:t>
            </w:r>
          </w:p>
        </w:tc>
        <w:tc>
          <w:tcPr>
            <w:tcW w:w="430" w:type="pct"/>
            <w:gridSpan w:val="2"/>
            <w:tcBorders>
              <w:top w:val="nil"/>
              <w:left w:val="nil"/>
              <w:bottom w:val="nil"/>
              <w:right w:val="nil"/>
            </w:tcBorders>
            <w:shd w:val="clear" w:color="auto" w:fill="auto"/>
            <w:noWrap/>
            <w:vAlign w:val="bottom"/>
          </w:tcPr>
          <w:p w14:paraId="18060447"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$39,100</w:t>
            </w:r>
          </w:p>
        </w:tc>
        <w:tc>
          <w:tcPr>
            <w:tcW w:w="465" w:type="pct"/>
            <w:gridSpan w:val="2"/>
            <w:tcBorders>
              <w:top w:val="nil"/>
              <w:left w:val="nil"/>
              <w:bottom w:val="nil"/>
              <w:right w:val="nil"/>
            </w:tcBorders>
            <w:shd w:val="clear" w:color="auto" w:fill="auto"/>
            <w:noWrap/>
            <w:vAlign w:val="bottom"/>
          </w:tcPr>
          <w:p w14:paraId="39DED084"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$28,700</w:t>
            </w:r>
          </w:p>
        </w:tc>
        <w:tc>
          <w:tcPr>
            <w:tcW w:w="1059" w:type="pct"/>
            <w:tcBorders>
              <w:top w:val="nil"/>
              <w:left w:val="nil"/>
              <w:bottom w:val="nil"/>
              <w:right w:val="nil"/>
            </w:tcBorders>
            <w:shd w:val="clear" w:color="000000" w:fill="FFFFFF"/>
            <w:vAlign w:val="bottom"/>
          </w:tcPr>
          <w:p w14:paraId="33F21EB0"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40 per cent. weighted average change in the input would result in 3 per cent. change in the total fair value of Level 3 investments</w:t>
            </w:r>
          </w:p>
        </w:tc>
        <w:tc>
          <w:tcPr>
            <w:tcW w:w="760" w:type="pct"/>
            <w:tcBorders>
              <w:top w:val="nil"/>
              <w:left w:val="nil"/>
              <w:bottom w:val="nil"/>
              <w:right w:val="nil"/>
            </w:tcBorders>
            <w:shd w:val="clear" w:color="auto" w:fill="auto"/>
            <w:noWrap/>
            <w:vAlign w:val="bottom"/>
          </w:tcPr>
          <w:p w14:paraId="6A900B65"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$185,375</w:t>
            </w:r>
          </w:p>
        </w:tc>
      </w:tr>
      <w:bookmarkEnd w:id="10"/>
      <w:tr w:rsidR="00836680" w:rsidRPr="00836680" w14:paraId="1B73C133" w14:textId="77777777" w:rsidTr="00836680">
        <w:trPr>
          <w:trHeight w:val="799"/>
        </w:trPr>
        <w:tc>
          <w:tcPr>
            <w:tcW w:w="593" w:type="pct"/>
            <w:tcBorders>
              <w:top w:val="nil"/>
              <w:left w:val="nil"/>
              <w:bottom w:val="nil"/>
              <w:right w:val="nil"/>
            </w:tcBorders>
            <w:shd w:val="clear" w:color="auto" w:fill="auto"/>
            <w:noWrap/>
            <w:vAlign w:val="bottom"/>
          </w:tcPr>
          <w:p w14:paraId="561BE8DC" w14:textId="77777777" w:rsidR="00836680" w:rsidRPr="00836680" w:rsidRDefault="00836680" w:rsidP="00836680">
            <w:pPr>
              <w:rPr>
                <w:rFonts w:ascii="Arial" w:hAnsi="Arial" w:cs="Arial"/>
                <w:color w:val="000000"/>
                <w:sz w:val="16"/>
                <w:szCs w:val="16"/>
                <w:lang w:eastAsia="en-GB"/>
              </w:rPr>
            </w:pPr>
          </w:p>
        </w:tc>
        <w:tc>
          <w:tcPr>
            <w:tcW w:w="592" w:type="pct"/>
            <w:tcBorders>
              <w:top w:val="nil"/>
              <w:left w:val="nil"/>
              <w:bottom w:val="nil"/>
              <w:right w:val="nil"/>
            </w:tcBorders>
            <w:shd w:val="clear" w:color="auto" w:fill="auto"/>
            <w:noWrap/>
            <w:vAlign w:val="bottom"/>
          </w:tcPr>
          <w:p w14:paraId="07C11B57" w14:textId="77777777" w:rsidR="00836680" w:rsidRPr="00836680" w:rsidRDefault="00836680" w:rsidP="00836680">
            <w:pPr>
              <w:jc w:val="right"/>
              <w:rPr>
                <w:rFonts w:ascii="Arial" w:hAnsi="Arial" w:cs="Arial"/>
                <w:color w:val="000000"/>
                <w:sz w:val="16"/>
                <w:szCs w:val="16"/>
                <w:lang w:eastAsia="en-GB"/>
              </w:rPr>
            </w:pPr>
          </w:p>
        </w:tc>
        <w:tc>
          <w:tcPr>
            <w:tcW w:w="677" w:type="pct"/>
            <w:tcBorders>
              <w:top w:val="nil"/>
              <w:left w:val="nil"/>
              <w:bottom w:val="nil"/>
              <w:right w:val="nil"/>
            </w:tcBorders>
            <w:shd w:val="clear" w:color="auto" w:fill="auto"/>
            <w:noWrap/>
            <w:vAlign w:val="bottom"/>
          </w:tcPr>
          <w:p w14:paraId="16427CCC" w14:textId="77777777" w:rsidR="00836680" w:rsidRPr="00836680" w:rsidRDefault="00836680" w:rsidP="00836680">
            <w:pPr>
              <w:jc w:val="right"/>
              <w:rPr>
                <w:rFonts w:ascii="Arial" w:hAnsi="Arial" w:cs="Arial"/>
                <w:color w:val="000000"/>
                <w:sz w:val="16"/>
                <w:szCs w:val="16"/>
                <w:lang w:eastAsia="en-GB"/>
              </w:rPr>
            </w:pPr>
          </w:p>
          <w:p w14:paraId="0FBA6DB0" w14:textId="77777777" w:rsidR="00836680" w:rsidRPr="00836680" w:rsidRDefault="00836680" w:rsidP="00836680">
            <w:pPr>
              <w:jc w:val="right"/>
              <w:rPr>
                <w:rFonts w:ascii="Arial" w:hAnsi="Arial" w:cs="Arial"/>
                <w:color w:val="000000"/>
                <w:sz w:val="16"/>
                <w:szCs w:val="16"/>
                <w:lang w:eastAsia="en-GB"/>
              </w:rPr>
            </w:pPr>
          </w:p>
          <w:p w14:paraId="7E0EA8AA" w14:textId="77777777" w:rsidR="00836680" w:rsidRPr="00836680" w:rsidRDefault="00836680" w:rsidP="00836680">
            <w:pPr>
              <w:rPr>
                <w:rFonts w:ascii="Arial" w:hAnsi="Arial" w:cs="Arial"/>
                <w:color w:val="000000"/>
                <w:sz w:val="16"/>
                <w:szCs w:val="16"/>
                <w:lang w:eastAsia="en-GB"/>
              </w:rPr>
            </w:pPr>
          </w:p>
          <w:p w14:paraId="136976A6" w14:textId="77777777" w:rsidR="00836680" w:rsidRPr="00836680" w:rsidRDefault="00836680" w:rsidP="00836680">
            <w:pPr>
              <w:rPr>
                <w:rFonts w:ascii="Arial" w:hAnsi="Arial" w:cs="Arial"/>
                <w:color w:val="000000"/>
                <w:sz w:val="16"/>
                <w:szCs w:val="16"/>
                <w:lang w:eastAsia="en-GB"/>
              </w:rPr>
            </w:pPr>
          </w:p>
          <w:p w14:paraId="4FF97F91"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1P Reserve multiple ($/Boe)</w:t>
            </w:r>
          </w:p>
        </w:tc>
        <w:tc>
          <w:tcPr>
            <w:tcW w:w="424" w:type="pct"/>
            <w:tcBorders>
              <w:top w:val="nil"/>
              <w:left w:val="nil"/>
              <w:bottom w:val="nil"/>
              <w:right w:val="nil"/>
            </w:tcBorders>
            <w:shd w:val="clear" w:color="auto" w:fill="auto"/>
            <w:noWrap/>
            <w:vAlign w:val="bottom"/>
          </w:tcPr>
          <w:p w14:paraId="319FBF89"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$7</w:t>
            </w:r>
          </w:p>
        </w:tc>
        <w:tc>
          <w:tcPr>
            <w:tcW w:w="430" w:type="pct"/>
            <w:gridSpan w:val="2"/>
            <w:tcBorders>
              <w:top w:val="nil"/>
              <w:left w:val="nil"/>
              <w:bottom w:val="nil"/>
              <w:right w:val="nil"/>
            </w:tcBorders>
            <w:shd w:val="clear" w:color="auto" w:fill="auto"/>
            <w:noWrap/>
            <w:vAlign w:val="bottom"/>
          </w:tcPr>
          <w:p w14:paraId="5883A6C9"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$13</w:t>
            </w:r>
          </w:p>
        </w:tc>
        <w:tc>
          <w:tcPr>
            <w:tcW w:w="465" w:type="pct"/>
            <w:gridSpan w:val="2"/>
            <w:tcBorders>
              <w:top w:val="nil"/>
              <w:left w:val="nil"/>
              <w:bottom w:val="nil"/>
              <w:right w:val="nil"/>
            </w:tcBorders>
            <w:shd w:val="clear" w:color="auto" w:fill="auto"/>
            <w:noWrap/>
            <w:vAlign w:val="bottom"/>
          </w:tcPr>
          <w:p w14:paraId="4DA259D1"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$9</w:t>
            </w:r>
          </w:p>
        </w:tc>
        <w:tc>
          <w:tcPr>
            <w:tcW w:w="1059" w:type="pct"/>
            <w:tcBorders>
              <w:top w:val="nil"/>
              <w:left w:val="nil"/>
              <w:bottom w:val="nil"/>
              <w:right w:val="nil"/>
            </w:tcBorders>
            <w:shd w:val="clear" w:color="000000" w:fill="FFFFFF"/>
            <w:vAlign w:val="bottom"/>
          </w:tcPr>
          <w:p w14:paraId="685C76DF"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40 per cent. weighted average change in the input would result in 5 per cent. change in the total fair value of Level 3 investments</w:t>
            </w:r>
          </w:p>
        </w:tc>
        <w:tc>
          <w:tcPr>
            <w:tcW w:w="760" w:type="pct"/>
            <w:tcBorders>
              <w:top w:val="nil"/>
              <w:left w:val="nil"/>
              <w:bottom w:val="nil"/>
              <w:right w:val="nil"/>
            </w:tcBorders>
            <w:shd w:val="clear" w:color="auto" w:fill="auto"/>
            <w:noWrap/>
            <w:vAlign w:val="bottom"/>
          </w:tcPr>
          <w:p w14:paraId="3E4941F2"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$143,683</w:t>
            </w:r>
          </w:p>
        </w:tc>
      </w:tr>
      <w:tr w:rsidR="00836680" w:rsidRPr="00836680" w14:paraId="00333192" w14:textId="77777777" w:rsidTr="00836680">
        <w:trPr>
          <w:trHeight w:val="799"/>
        </w:trPr>
        <w:tc>
          <w:tcPr>
            <w:tcW w:w="593" w:type="pct"/>
            <w:tcBorders>
              <w:top w:val="nil"/>
              <w:left w:val="nil"/>
              <w:bottom w:val="nil"/>
              <w:right w:val="nil"/>
            </w:tcBorders>
            <w:shd w:val="clear" w:color="auto" w:fill="auto"/>
            <w:noWrap/>
            <w:vAlign w:val="bottom"/>
          </w:tcPr>
          <w:p w14:paraId="42C784AA" w14:textId="77777777" w:rsidR="00836680" w:rsidRPr="00836680" w:rsidRDefault="00836680" w:rsidP="00836680">
            <w:pPr>
              <w:rPr>
                <w:rFonts w:ascii="Arial" w:hAnsi="Arial" w:cs="Arial"/>
                <w:color w:val="000000"/>
                <w:sz w:val="16"/>
                <w:szCs w:val="16"/>
                <w:lang w:eastAsia="en-GB"/>
              </w:rPr>
            </w:pPr>
          </w:p>
        </w:tc>
        <w:tc>
          <w:tcPr>
            <w:tcW w:w="592" w:type="pct"/>
            <w:tcBorders>
              <w:top w:val="nil"/>
              <w:left w:val="nil"/>
              <w:bottom w:val="nil"/>
              <w:right w:val="nil"/>
            </w:tcBorders>
            <w:shd w:val="clear" w:color="auto" w:fill="auto"/>
            <w:noWrap/>
            <w:vAlign w:val="bottom"/>
          </w:tcPr>
          <w:p w14:paraId="7B393E01" w14:textId="77777777" w:rsidR="00836680" w:rsidRPr="00836680" w:rsidRDefault="00836680" w:rsidP="00836680">
            <w:pPr>
              <w:jc w:val="right"/>
              <w:rPr>
                <w:rFonts w:ascii="Arial" w:hAnsi="Arial" w:cs="Arial"/>
                <w:color w:val="000000"/>
                <w:sz w:val="16"/>
                <w:szCs w:val="16"/>
                <w:lang w:eastAsia="en-GB"/>
              </w:rPr>
            </w:pPr>
          </w:p>
        </w:tc>
        <w:tc>
          <w:tcPr>
            <w:tcW w:w="677" w:type="pct"/>
            <w:tcBorders>
              <w:top w:val="nil"/>
              <w:left w:val="nil"/>
              <w:bottom w:val="nil"/>
              <w:right w:val="nil"/>
            </w:tcBorders>
            <w:shd w:val="clear" w:color="auto" w:fill="auto"/>
            <w:noWrap/>
            <w:vAlign w:val="bottom"/>
            <w:hideMark/>
          </w:tcPr>
          <w:p w14:paraId="5E0C9ACE" w14:textId="77777777" w:rsidR="00836680" w:rsidRPr="00836680" w:rsidRDefault="00836680" w:rsidP="00836680">
            <w:pPr>
              <w:jc w:val="right"/>
              <w:rPr>
                <w:rFonts w:ascii="Arial" w:hAnsi="Arial" w:cs="Arial"/>
                <w:color w:val="000000"/>
                <w:sz w:val="16"/>
                <w:szCs w:val="16"/>
                <w:lang w:eastAsia="en-GB"/>
              </w:rPr>
            </w:pPr>
          </w:p>
          <w:p w14:paraId="249BC726" w14:textId="77777777" w:rsidR="00836680" w:rsidRPr="00836680" w:rsidRDefault="00836680" w:rsidP="00836680">
            <w:pPr>
              <w:jc w:val="right"/>
              <w:rPr>
                <w:rFonts w:ascii="Arial" w:hAnsi="Arial" w:cs="Arial"/>
                <w:color w:val="000000"/>
                <w:sz w:val="16"/>
                <w:szCs w:val="16"/>
                <w:lang w:eastAsia="en-GB"/>
              </w:rPr>
            </w:pPr>
          </w:p>
          <w:p w14:paraId="0733CF61" w14:textId="77777777" w:rsidR="00836680" w:rsidRPr="00836680" w:rsidRDefault="00836680" w:rsidP="00836680">
            <w:pPr>
              <w:rPr>
                <w:rFonts w:ascii="Arial" w:hAnsi="Arial" w:cs="Arial"/>
                <w:color w:val="000000"/>
                <w:sz w:val="16"/>
                <w:szCs w:val="16"/>
                <w:lang w:eastAsia="en-GB"/>
              </w:rPr>
            </w:pPr>
          </w:p>
          <w:p w14:paraId="69A77628" w14:textId="77777777" w:rsidR="00836680" w:rsidRPr="00836680" w:rsidRDefault="00836680" w:rsidP="00836680">
            <w:pPr>
              <w:jc w:val="right"/>
              <w:rPr>
                <w:rFonts w:ascii="Arial" w:hAnsi="Arial" w:cs="Arial"/>
                <w:color w:val="000000"/>
                <w:sz w:val="16"/>
                <w:szCs w:val="16"/>
                <w:lang w:eastAsia="en-GB"/>
              </w:rPr>
            </w:pPr>
          </w:p>
          <w:p w14:paraId="586CC607"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2P Reserve multiple ($/Boe</w:t>
            </w:r>
            <w:r w:rsidRPr="00836680">
              <w:rPr>
                <w:rFonts w:ascii="Arial" w:eastAsiaTheme="minorHAnsi" w:hAnsi="Arial" w:cs="Arial"/>
                <w:color w:val="000000"/>
                <w:sz w:val="16"/>
                <w:szCs w:val="20"/>
              </w:rPr>
              <w:t>)</w:t>
            </w:r>
          </w:p>
        </w:tc>
        <w:tc>
          <w:tcPr>
            <w:tcW w:w="424" w:type="pct"/>
            <w:tcBorders>
              <w:top w:val="nil"/>
              <w:left w:val="nil"/>
              <w:bottom w:val="nil"/>
              <w:right w:val="nil"/>
            </w:tcBorders>
            <w:shd w:val="clear" w:color="auto" w:fill="auto"/>
            <w:noWrap/>
            <w:vAlign w:val="bottom"/>
          </w:tcPr>
          <w:p w14:paraId="5FF5F127"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$3</w:t>
            </w:r>
          </w:p>
        </w:tc>
        <w:tc>
          <w:tcPr>
            <w:tcW w:w="430" w:type="pct"/>
            <w:gridSpan w:val="2"/>
            <w:tcBorders>
              <w:top w:val="nil"/>
              <w:left w:val="nil"/>
              <w:bottom w:val="nil"/>
              <w:right w:val="nil"/>
            </w:tcBorders>
            <w:shd w:val="clear" w:color="auto" w:fill="auto"/>
            <w:noWrap/>
            <w:vAlign w:val="bottom"/>
          </w:tcPr>
          <w:p w14:paraId="7931539C"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$4</w:t>
            </w:r>
          </w:p>
        </w:tc>
        <w:tc>
          <w:tcPr>
            <w:tcW w:w="465" w:type="pct"/>
            <w:gridSpan w:val="2"/>
            <w:tcBorders>
              <w:top w:val="nil"/>
              <w:left w:val="nil"/>
              <w:bottom w:val="nil"/>
              <w:right w:val="nil"/>
            </w:tcBorders>
            <w:shd w:val="clear" w:color="auto" w:fill="auto"/>
            <w:noWrap/>
            <w:vAlign w:val="bottom"/>
          </w:tcPr>
          <w:p w14:paraId="74617DD5"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$3</w:t>
            </w:r>
          </w:p>
        </w:tc>
        <w:tc>
          <w:tcPr>
            <w:tcW w:w="1059" w:type="pct"/>
            <w:tcBorders>
              <w:top w:val="nil"/>
              <w:left w:val="nil"/>
              <w:bottom w:val="nil"/>
              <w:right w:val="nil"/>
            </w:tcBorders>
            <w:shd w:val="clear" w:color="000000" w:fill="FFFFFF"/>
            <w:vAlign w:val="bottom"/>
          </w:tcPr>
          <w:p w14:paraId="5B253F73"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50 per cent. weighted average change in the input would result in 5 per cent. change in the total fair value of Level 3 investments</w:t>
            </w:r>
          </w:p>
        </w:tc>
        <w:tc>
          <w:tcPr>
            <w:tcW w:w="760" w:type="pct"/>
            <w:tcBorders>
              <w:top w:val="nil"/>
              <w:left w:val="nil"/>
              <w:bottom w:val="nil"/>
              <w:right w:val="nil"/>
            </w:tcBorders>
            <w:shd w:val="clear" w:color="auto" w:fill="auto"/>
            <w:noWrap/>
            <w:vAlign w:val="bottom"/>
          </w:tcPr>
          <w:p w14:paraId="3F000E59"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$80,536</w:t>
            </w:r>
          </w:p>
        </w:tc>
      </w:tr>
      <w:tr w:rsidR="00836680" w:rsidRPr="00836680" w14:paraId="1232B723" w14:textId="77777777" w:rsidTr="00836680">
        <w:trPr>
          <w:trHeight w:val="799"/>
        </w:trPr>
        <w:tc>
          <w:tcPr>
            <w:tcW w:w="593" w:type="pct"/>
            <w:tcBorders>
              <w:top w:val="nil"/>
              <w:left w:val="nil"/>
              <w:right w:val="nil"/>
            </w:tcBorders>
            <w:shd w:val="clear" w:color="auto" w:fill="auto"/>
            <w:noWrap/>
            <w:hideMark/>
          </w:tcPr>
          <w:p w14:paraId="47015B39" w14:textId="77777777" w:rsidR="00836680" w:rsidRPr="00836680" w:rsidRDefault="00836680" w:rsidP="00836680">
            <w:pPr>
              <w:rPr>
                <w:rFonts w:ascii="Arial" w:hAnsi="Arial" w:cs="Arial"/>
                <w:color w:val="000000"/>
                <w:sz w:val="16"/>
                <w:szCs w:val="16"/>
                <w:lang w:eastAsia="en-GB"/>
              </w:rPr>
            </w:pPr>
          </w:p>
        </w:tc>
        <w:tc>
          <w:tcPr>
            <w:tcW w:w="592" w:type="pct"/>
            <w:tcBorders>
              <w:top w:val="single" w:sz="4" w:space="0" w:color="auto"/>
              <w:left w:val="nil"/>
              <w:right w:val="nil"/>
            </w:tcBorders>
            <w:shd w:val="clear" w:color="auto" w:fill="auto"/>
            <w:noWrap/>
            <w:vAlign w:val="bottom"/>
            <w:hideMark/>
          </w:tcPr>
          <w:p w14:paraId="1A15617E"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 xml:space="preserve">Transaction comparables </w:t>
            </w:r>
          </w:p>
        </w:tc>
        <w:tc>
          <w:tcPr>
            <w:tcW w:w="677" w:type="pct"/>
            <w:tcBorders>
              <w:top w:val="single" w:sz="4" w:space="0" w:color="auto"/>
              <w:left w:val="nil"/>
              <w:right w:val="nil"/>
            </w:tcBorders>
            <w:shd w:val="clear" w:color="auto" w:fill="auto"/>
            <w:vAlign w:val="bottom"/>
            <w:hideMark/>
          </w:tcPr>
          <w:p w14:paraId="4149E116" w14:textId="77777777" w:rsidR="00836680" w:rsidRPr="00836680" w:rsidRDefault="00836680" w:rsidP="00836680">
            <w:pPr>
              <w:jc w:val="right"/>
              <w:rPr>
                <w:rFonts w:ascii="Arial" w:hAnsi="Arial" w:cs="Arial"/>
                <w:color w:val="000000"/>
                <w:sz w:val="16"/>
                <w:szCs w:val="16"/>
                <w:lang w:eastAsia="en-GB"/>
              </w:rPr>
            </w:pPr>
          </w:p>
          <w:p w14:paraId="4A4CD951" w14:textId="77777777" w:rsidR="00836680" w:rsidRPr="00836680" w:rsidRDefault="00836680" w:rsidP="00836680">
            <w:pPr>
              <w:jc w:val="right"/>
              <w:rPr>
                <w:rFonts w:ascii="Arial" w:hAnsi="Arial" w:cs="Arial"/>
                <w:color w:val="000000"/>
                <w:sz w:val="16"/>
                <w:szCs w:val="16"/>
                <w:lang w:eastAsia="en-GB"/>
              </w:rPr>
            </w:pPr>
          </w:p>
          <w:p w14:paraId="0139C77B" w14:textId="77777777" w:rsidR="00836680" w:rsidRPr="00836680" w:rsidRDefault="00836680" w:rsidP="00836680">
            <w:pPr>
              <w:jc w:val="right"/>
              <w:rPr>
                <w:rFonts w:ascii="Arial" w:hAnsi="Arial" w:cs="Arial"/>
                <w:color w:val="000000"/>
                <w:sz w:val="16"/>
                <w:szCs w:val="16"/>
                <w:lang w:eastAsia="en-GB"/>
              </w:rPr>
            </w:pPr>
          </w:p>
          <w:p w14:paraId="20A65F00"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Acreage Multiple ($/Boepd per Acre</w:t>
            </w:r>
            <w:r w:rsidRPr="00836680">
              <w:rPr>
                <w:rFonts w:ascii="Arial" w:eastAsiaTheme="minorHAnsi" w:hAnsi="Arial" w:cs="Arial"/>
                <w:color w:val="000000"/>
                <w:sz w:val="16"/>
                <w:szCs w:val="20"/>
              </w:rPr>
              <w:t>)</w:t>
            </w:r>
          </w:p>
        </w:tc>
        <w:tc>
          <w:tcPr>
            <w:tcW w:w="424" w:type="pct"/>
            <w:tcBorders>
              <w:top w:val="single" w:sz="4" w:space="0" w:color="auto"/>
              <w:left w:val="nil"/>
              <w:right w:val="nil"/>
            </w:tcBorders>
            <w:shd w:val="clear" w:color="auto" w:fill="auto"/>
            <w:noWrap/>
            <w:vAlign w:val="bottom"/>
          </w:tcPr>
          <w:p w14:paraId="29974803"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$3,000</w:t>
            </w:r>
          </w:p>
        </w:tc>
        <w:tc>
          <w:tcPr>
            <w:tcW w:w="430" w:type="pct"/>
            <w:gridSpan w:val="2"/>
            <w:tcBorders>
              <w:top w:val="single" w:sz="4" w:space="0" w:color="auto"/>
              <w:left w:val="nil"/>
              <w:right w:val="nil"/>
            </w:tcBorders>
            <w:shd w:val="clear" w:color="auto" w:fill="auto"/>
            <w:noWrap/>
            <w:vAlign w:val="bottom"/>
          </w:tcPr>
          <w:p w14:paraId="2BB2653C"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$39,100</w:t>
            </w:r>
          </w:p>
        </w:tc>
        <w:tc>
          <w:tcPr>
            <w:tcW w:w="465" w:type="pct"/>
            <w:gridSpan w:val="2"/>
            <w:tcBorders>
              <w:top w:val="single" w:sz="4" w:space="0" w:color="auto"/>
              <w:left w:val="nil"/>
              <w:right w:val="nil"/>
            </w:tcBorders>
            <w:shd w:val="clear" w:color="auto" w:fill="auto"/>
            <w:noWrap/>
            <w:vAlign w:val="bottom"/>
          </w:tcPr>
          <w:p w14:paraId="75E26B39"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$13,400</w:t>
            </w:r>
          </w:p>
        </w:tc>
        <w:tc>
          <w:tcPr>
            <w:tcW w:w="1059" w:type="pct"/>
            <w:tcBorders>
              <w:top w:val="single" w:sz="4" w:space="0" w:color="auto"/>
              <w:left w:val="nil"/>
              <w:right w:val="nil"/>
            </w:tcBorders>
            <w:shd w:val="clear" w:color="000000" w:fill="FFFFFF"/>
            <w:vAlign w:val="bottom"/>
          </w:tcPr>
          <w:p w14:paraId="0A3869A7"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20 per cent. weighted average change in the input would result in 2 per cent. change in the total fair value of Level 3 investments</w:t>
            </w:r>
          </w:p>
        </w:tc>
        <w:tc>
          <w:tcPr>
            <w:tcW w:w="760" w:type="pct"/>
            <w:tcBorders>
              <w:top w:val="single" w:sz="4" w:space="0" w:color="auto"/>
              <w:left w:val="nil"/>
              <w:right w:val="nil"/>
            </w:tcBorders>
            <w:shd w:val="clear" w:color="auto" w:fill="auto"/>
            <w:noWrap/>
            <w:vAlign w:val="bottom"/>
          </w:tcPr>
          <w:p w14:paraId="3139D1CF"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$185,375</w:t>
            </w:r>
          </w:p>
        </w:tc>
      </w:tr>
      <w:tr w:rsidR="00836680" w:rsidRPr="00836680" w14:paraId="2B740CEC" w14:textId="77777777" w:rsidTr="00836680">
        <w:trPr>
          <w:trHeight w:val="799"/>
        </w:trPr>
        <w:tc>
          <w:tcPr>
            <w:tcW w:w="593" w:type="pct"/>
            <w:tcBorders>
              <w:left w:val="nil"/>
              <w:bottom w:val="nil"/>
              <w:right w:val="nil"/>
            </w:tcBorders>
            <w:shd w:val="clear" w:color="auto" w:fill="auto"/>
            <w:noWrap/>
            <w:hideMark/>
          </w:tcPr>
          <w:p w14:paraId="3EA87163" w14:textId="77777777" w:rsidR="00836680" w:rsidRPr="00836680" w:rsidRDefault="00836680" w:rsidP="00836680">
            <w:pPr>
              <w:rPr>
                <w:rFonts w:ascii="Arial" w:hAnsi="Arial" w:cs="Arial"/>
                <w:color w:val="000000"/>
                <w:sz w:val="16"/>
                <w:szCs w:val="16"/>
                <w:lang w:eastAsia="en-GB"/>
              </w:rPr>
            </w:pPr>
          </w:p>
        </w:tc>
        <w:tc>
          <w:tcPr>
            <w:tcW w:w="592" w:type="pct"/>
            <w:tcBorders>
              <w:left w:val="nil"/>
              <w:right w:val="nil"/>
            </w:tcBorders>
            <w:shd w:val="clear" w:color="auto" w:fill="auto"/>
            <w:noWrap/>
            <w:vAlign w:val="bottom"/>
            <w:hideMark/>
          </w:tcPr>
          <w:p w14:paraId="5F12BB3B" w14:textId="77777777" w:rsidR="00836680" w:rsidRPr="00836680" w:rsidRDefault="00836680" w:rsidP="00836680">
            <w:pPr>
              <w:jc w:val="right"/>
              <w:rPr>
                <w:rFonts w:ascii="Arial" w:hAnsi="Arial" w:cs="Arial"/>
                <w:color w:val="000000"/>
                <w:sz w:val="16"/>
                <w:szCs w:val="16"/>
                <w:lang w:eastAsia="en-GB"/>
              </w:rPr>
            </w:pPr>
          </w:p>
        </w:tc>
        <w:tc>
          <w:tcPr>
            <w:tcW w:w="677" w:type="pct"/>
            <w:tcBorders>
              <w:left w:val="nil"/>
              <w:right w:val="nil"/>
            </w:tcBorders>
            <w:shd w:val="clear" w:color="auto" w:fill="auto"/>
            <w:vAlign w:val="bottom"/>
            <w:hideMark/>
          </w:tcPr>
          <w:p w14:paraId="6CA59F39" w14:textId="1348CB10"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1P Reserve multiple ($/Boe)</w:t>
            </w:r>
            <w:r w:rsidR="00B06A1A" w:rsidRPr="00B06A1A">
              <w:rPr>
                <w:rFonts w:ascii="Arial" w:hAnsi="Arial" w:cs="Arial"/>
                <w:color w:val="000000"/>
                <w:sz w:val="16"/>
                <w:szCs w:val="16"/>
                <w:vertAlign w:val="superscript"/>
                <w:lang w:eastAsia="en-GB"/>
              </w:rPr>
              <w:t>(6)</w:t>
            </w:r>
          </w:p>
        </w:tc>
        <w:tc>
          <w:tcPr>
            <w:tcW w:w="424" w:type="pct"/>
            <w:tcBorders>
              <w:left w:val="nil"/>
              <w:right w:val="nil"/>
            </w:tcBorders>
            <w:shd w:val="clear" w:color="auto" w:fill="auto"/>
            <w:noWrap/>
            <w:vAlign w:val="bottom"/>
          </w:tcPr>
          <w:p w14:paraId="28DA30EA"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$9</w:t>
            </w:r>
          </w:p>
        </w:tc>
        <w:tc>
          <w:tcPr>
            <w:tcW w:w="430" w:type="pct"/>
            <w:gridSpan w:val="2"/>
            <w:tcBorders>
              <w:left w:val="nil"/>
              <w:right w:val="nil"/>
            </w:tcBorders>
            <w:shd w:val="clear" w:color="auto" w:fill="auto"/>
            <w:noWrap/>
            <w:vAlign w:val="bottom"/>
          </w:tcPr>
          <w:p w14:paraId="5593475D"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$13</w:t>
            </w:r>
          </w:p>
        </w:tc>
        <w:tc>
          <w:tcPr>
            <w:tcW w:w="465" w:type="pct"/>
            <w:gridSpan w:val="2"/>
            <w:tcBorders>
              <w:left w:val="nil"/>
              <w:right w:val="nil"/>
            </w:tcBorders>
            <w:shd w:val="clear" w:color="auto" w:fill="auto"/>
            <w:noWrap/>
            <w:vAlign w:val="bottom"/>
          </w:tcPr>
          <w:p w14:paraId="0E25AA22"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$9</w:t>
            </w:r>
          </w:p>
        </w:tc>
        <w:tc>
          <w:tcPr>
            <w:tcW w:w="1059" w:type="pct"/>
            <w:tcBorders>
              <w:left w:val="nil"/>
              <w:right w:val="nil"/>
            </w:tcBorders>
            <w:shd w:val="clear" w:color="000000" w:fill="FFFFFF"/>
            <w:vAlign w:val="bottom"/>
          </w:tcPr>
          <w:p w14:paraId="55FC8AAE"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10 per cent. weighted average change in the input would result in 1 per cent. change in the total fair value of Level 3 investments</w:t>
            </w:r>
          </w:p>
        </w:tc>
        <w:tc>
          <w:tcPr>
            <w:tcW w:w="760" w:type="pct"/>
            <w:tcBorders>
              <w:left w:val="nil"/>
              <w:right w:val="nil"/>
            </w:tcBorders>
            <w:shd w:val="clear" w:color="auto" w:fill="auto"/>
            <w:noWrap/>
            <w:vAlign w:val="bottom"/>
          </w:tcPr>
          <w:p w14:paraId="5461151E"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$56,667</w:t>
            </w:r>
          </w:p>
        </w:tc>
      </w:tr>
      <w:tr w:rsidR="00836680" w:rsidRPr="00836680" w14:paraId="3BB2F7AB" w14:textId="77777777" w:rsidTr="00836680">
        <w:trPr>
          <w:trHeight w:val="799"/>
        </w:trPr>
        <w:tc>
          <w:tcPr>
            <w:tcW w:w="593" w:type="pct"/>
            <w:tcBorders>
              <w:top w:val="nil"/>
              <w:left w:val="nil"/>
              <w:bottom w:val="nil"/>
              <w:right w:val="nil"/>
            </w:tcBorders>
            <w:shd w:val="clear" w:color="auto" w:fill="auto"/>
            <w:noWrap/>
          </w:tcPr>
          <w:p w14:paraId="1E20783A" w14:textId="77777777" w:rsidR="00836680" w:rsidRPr="00836680" w:rsidRDefault="00836680" w:rsidP="00836680">
            <w:pPr>
              <w:rPr>
                <w:rFonts w:ascii="Arial" w:hAnsi="Arial" w:cs="Arial"/>
                <w:color w:val="000000"/>
                <w:sz w:val="16"/>
                <w:szCs w:val="16"/>
                <w:lang w:eastAsia="en-GB"/>
              </w:rPr>
            </w:pPr>
            <w:bookmarkStart w:id="11" w:name="_Hlk31009995"/>
          </w:p>
        </w:tc>
        <w:tc>
          <w:tcPr>
            <w:tcW w:w="592" w:type="pct"/>
            <w:tcBorders>
              <w:left w:val="nil"/>
              <w:bottom w:val="single" w:sz="4" w:space="0" w:color="auto"/>
              <w:right w:val="nil"/>
            </w:tcBorders>
            <w:shd w:val="clear" w:color="auto" w:fill="auto"/>
            <w:noWrap/>
            <w:vAlign w:val="bottom"/>
          </w:tcPr>
          <w:p w14:paraId="5EB10F47" w14:textId="77777777" w:rsidR="00836680" w:rsidRPr="00836680" w:rsidRDefault="00836680" w:rsidP="00836680">
            <w:pPr>
              <w:jc w:val="right"/>
              <w:rPr>
                <w:rFonts w:ascii="Arial" w:hAnsi="Arial" w:cs="Arial"/>
                <w:color w:val="000000"/>
                <w:sz w:val="16"/>
                <w:szCs w:val="16"/>
                <w:lang w:eastAsia="en-GB"/>
              </w:rPr>
            </w:pPr>
          </w:p>
        </w:tc>
        <w:tc>
          <w:tcPr>
            <w:tcW w:w="677" w:type="pct"/>
            <w:tcBorders>
              <w:left w:val="nil"/>
              <w:bottom w:val="single" w:sz="4" w:space="0" w:color="auto"/>
              <w:right w:val="nil"/>
            </w:tcBorders>
            <w:shd w:val="clear" w:color="auto" w:fill="auto"/>
            <w:vAlign w:val="bottom"/>
          </w:tcPr>
          <w:p w14:paraId="49A3F833"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2P / 2C Reserve multiple ($/Boe)</w:t>
            </w:r>
          </w:p>
        </w:tc>
        <w:tc>
          <w:tcPr>
            <w:tcW w:w="424" w:type="pct"/>
            <w:tcBorders>
              <w:left w:val="nil"/>
              <w:bottom w:val="single" w:sz="4" w:space="0" w:color="auto"/>
              <w:right w:val="nil"/>
            </w:tcBorders>
            <w:shd w:val="clear" w:color="auto" w:fill="auto"/>
            <w:noWrap/>
            <w:vAlign w:val="bottom"/>
          </w:tcPr>
          <w:p w14:paraId="32759B76"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$7</w:t>
            </w:r>
          </w:p>
        </w:tc>
        <w:tc>
          <w:tcPr>
            <w:tcW w:w="430" w:type="pct"/>
            <w:gridSpan w:val="2"/>
            <w:tcBorders>
              <w:left w:val="nil"/>
              <w:bottom w:val="single" w:sz="4" w:space="0" w:color="auto"/>
              <w:right w:val="nil"/>
            </w:tcBorders>
            <w:shd w:val="clear" w:color="auto" w:fill="auto"/>
            <w:noWrap/>
            <w:vAlign w:val="bottom"/>
          </w:tcPr>
          <w:p w14:paraId="64D9DD06"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$12</w:t>
            </w:r>
          </w:p>
        </w:tc>
        <w:tc>
          <w:tcPr>
            <w:tcW w:w="465" w:type="pct"/>
            <w:gridSpan w:val="2"/>
            <w:tcBorders>
              <w:left w:val="nil"/>
              <w:bottom w:val="single" w:sz="4" w:space="0" w:color="auto"/>
              <w:right w:val="nil"/>
            </w:tcBorders>
            <w:shd w:val="clear" w:color="auto" w:fill="auto"/>
            <w:noWrap/>
            <w:vAlign w:val="bottom"/>
          </w:tcPr>
          <w:p w14:paraId="1501233F"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$10</w:t>
            </w:r>
          </w:p>
        </w:tc>
        <w:tc>
          <w:tcPr>
            <w:tcW w:w="1059" w:type="pct"/>
            <w:tcBorders>
              <w:left w:val="nil"/>
              <w:bottom w:val="single" w:sz="4" w:space="0" w:color="auto"/>
              <w:right w:val="nil"/>
            </w:tcBorders>
            <w:shd w:val="clear" w:color="000000" w:fill="FFFFFF"/>
            <w:vAlign w:val="bottom"/>
          </w:tcPr>
          <w:p w14:paraId="67B1E939"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20 per cent. weighted average change in the input would result in 3 per cent. change in the total fair value of Level 3 investments</w:t>
            </w:r>
          </w:p>
        </w:tc>
        <w:tc>
          <w:tcPr>
            <w:tcW w:w="760" w:type="pct"/>
            <w:tcBorders>
              <w:left w:val="nil"/>
              <w:bottom w:val="single" w:sz="4" w:space="0" w:color="auto"/>
              <w:right w:val="nil"/>
            </w:tcBorders>
            <w:shd w:val="clear" w:color="auto" w:fill="auto"/>
            <w:noWrap/>
            <w:vAlign w:val="bottom"/>
          </w:tcPr>
          <w:p w14:paraId="2F4D1888"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$181,532</w:t>
            </w:r>
          </w:p>
        </w:tc>
      </w:tr>
      <w:bookmarkEnd w:id="11"/>
      <w:tr w:rsidR="00836680" w:rsidRPr="00836680" w14:paraId="7F7413A4" w14:textId="77777777" w:rsidTr="00836680">
        <w:trPr>
          <w:trHeight w:val="799"/>
        </w:trPr>
        <w:tc>
          <w:tcPr>
            <w:tcW w:w="593" w:type="pct"/>
            <w:tcBorders>
              <w:top w:val="nil"/>
              <w:left w:val="nil"/>
              <w:bottom w:val="nil"/>
              <w:right w:val="nil"/>
            </w:tcBorders>
            <w:shd w:val="clear" w:color="auto" w:fill="auto"/>
            <w:noWrap/>
            <w:hideMark/>
          </w:tcPr>
          <w:p w14:paraId="5BD421ED" w14:textId="77777777" w:rsidR="00836680" w:rsidRPr="00836680" w:rsidRDefault="00836680" w:rsidP="00836680">
            <w:pPr>
              <w:rPr>
                <w:rFonts w:ascii="Arial" w:hAnsi="Arial" w:cs="Arial"/>
                <w:color w:val="000000"/>
                <w:sz w:val="16"/>
                <w:szCs w:val="16"/>
                <w:lang w:eastAsia="en-GB"/>
              </w:rPr>
            </w:pPr>
          </w:p>
        </w:tc>
        <w:tc>
          <w:tcPr>
            <w:tcW w:w="592" w:type="pct"/>
            <w:tcBorders>
              <w:top w:val="nil"/>
              <w:left w:val="nil"/>
              <w:bottom w:val="nil"/>
              <w:right w:val="nil"/>
            </w:tcBorders>
            <w:shd w:val="clear" w:color="auto" w:fill="auto"/>
            <w:noWrap/>
            <w:vAlign w:val="bottom"/>
            <w:hideMark/>
          </w:tcPr>
          <w:p w14:paraId="742673E3" w14:textId="74A4DC53" w:rsidR="00836680" w:rsidRPr="00836680" w:rsidRDefault="00836680" w:rsidP="002F5EEA">
            <w:pPr>
              <w:jc w:val="right"/>
              <w:rPr>
                <w:rFonts w:ascii="Arial" w:hAnsi="Arial" w:cs="Arial"/>
                <w:color w:val="000000"/>
                <w:sz w:val="16"/>
                <w:szCs w:val="16"/>
                <w:lang w:eastAsia="en-GB"/>
              </w:rPr>
            </w:pPr>
            <w:r w:rsidRPr="00836680">
              <w:rPr>
                <w:rFonts w:ascii="Arial" w:eastAsiaTheme="minorHAnsi" w:hAnsi="Arial" w:cs="Arial"/>
                <w:sz w:val="16"/>
                <w:szCs w:val="16"/>
              </w:rPr>
              <w:t>Discounted cash flow</w:t>
            </w:r>
            <w:r w:rsidRPr="00836680">
              <w:rPr>
                <w:rFonts w:ascii="Arial" w:eastAsiaTheme="minorHAnsi" w:hAnsi="Arial" w:cs="Arial"/>
                <w:sz w:val="16"/>
                <w:szCs w:val="16"/>
                <w:vertAlign w:val="superscript"/>
              </w:rPr>
              <w:t>(</w:t>
            </w:r>
            <w:r w:rsidR="00D04370">
              <w:rPr>
                <w:rFonts w:ascii="Arial" w:eastAsiaTheme="minorHAnsi" w:hAnsi="Arial" w:cs="Arial"/>
                <w:sz w:val="16"/>
                <w:szCs w:val="16"/>
                <w:vertAlign w:val="superscript"/>
              </w:rPr>
              <w:t>5</w:t>
            </w:r>
            <w:r w:rsidRPr="00836680">
              <w:rPr>
                <w:rFonts w:ascii="Arial" w:eastAsiaTheme="minorHAnsi" w:hAnsi="Arial" w:cs="Arial"/>
                <w:sz w:val="16"/>
                <w:szCs w:val="16"/>
                <w:vertAlign w:val="superscript"/>
              </w:rPr>
              <w:t>)</w:t>
            </w:r>
          </w:p>
        </w:tc>
        <w:tc>
          <w:tcPr>
            <w:tcW w:w="677" w:type="pct"/>
            <w:tcBorders>
              <w:top w:val="nil"/>
              <w:left w:val="nil"/>
              <w:bottom w:val="nil"/>
              <w:right w:val="nil"/>
            </w:tcBorders>
            <w:shd w:val="clear" w:color="auto" w:fill="auto"/>
            <w:noWrap/>
            <w:vAlign w:val="bottom"/>
            <w:hideMark/>
          </w:tcPr>
          <w:p w14:paraId="0238AFCC"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Oil Price Curve ($/bbl)</w:t>
            </w:r>
          </w:p>
        </w:tc>
        <w:tc>
          <w:tcPr>
            <w:tcW w:w="424" w:type="pct"/>
            <w:tcBorders>
              <w:top w:val="nil"/>
              <w:left w:val="nil"/>
              <w:bottom w:val="nil"/>
              <w:right w:val="nil"/>
            </w:tcBorders>
            <w:shd w:val="clear" w:color="auto" w:fill="auto"/>
            <w:noWrap/>
            <w:vAlign w:val="bottom"/>
          </w:tcPr>
          <w:p w14:paraId="53BCE0FA"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$51</w:t>
            </w:r>
          </w:p>
        </w:tc>
        <w:tc>
          <w:tcPr>
            <w:tcW w:w="430" w:type="pct"/>
            <w:gridSpan w:val="2"/>
            <w:tcBorders>
              <w:top w:val="nil"/>
              <w:left w:val="nil"/>
              <w:bottom w:val="nil"/>
              <w:right w:val="nil"/>
            </w:tcBorders>
            <w:shd w:val="clear" w:color="auto" w:fill="auto"/>
            <w:noWrap/>
            <w:vAlign w:val="bottom"/>
          </w:tcPr>
          <w:p w14:paraId="100FB5AF"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$62</w:t>
            </w:r>
          </w:p>
        </w:tc>
        <w:tc>
          <w:tcPr>
            <w:tcW w:w="465" w:type="pct"/>
            <w:gridSpan w:val="2"/>
            <w:tcBorders>
              <w:top w:val="nil"/>
              <w:left w:val="nil"/>
              <w:bottom w:val="nil"/>
              <w:right w:val="nil"/>
            </w:tcBorders>
            <w:shd w:val="clear" w:color="auto" w:fill="auto"/>
            <w:noWrap/>
            <w:vAlign w:val="bottom"/>
          </w:tcPr>
          <w:p w14:paraId="45B9C368"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$58</w:t>
            </w:r>
          </w:p>
        </w:tc>
        <w:tc>
          <w:tcPr>
            <w:tcW w:w="1059" w:type="pct"/>
            <w:tcBorders>
              <w:top w:val="nil"/>
              <w:left w:val="nil"/>
              <w:bottom w:val="nil"/>
              <w:right w:val="nil"/>
            </w:tcBorders>
            <w:shd w:val="clear" w:color="000000" w:fill="FFFFFF"/>
            <w:vAlign w:val="bottom"/>
          </w:tcPr>
          <w:p w14:paraId="028A358A"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30 per cent. weighted average change in the input would result in 35 per cent. change in the total fair value of Level 3 investments</w:t>
            </w:r>
          </w:p>
        </w:tc>
        <w:tc>
          <w:tcPr>
            <w:tcW w:w="760" w:type="pct"/>
            <w:tcBorders>
              <w:top w:val="nil"/>
              <w:left w:val="nil"/>
              <w:bottom w:val="nil"/>
              <w:right w:val="nil"/>
            </w:tcBorders>
            <w:shd w:val="clear" w:color="auto" w:fill="auto"/>
            <w:noWrap/>
            <w:vAlign w:val="bottom"/>
          </w:tcPr>
          <w:p w14:paraId="0B34B0EC"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$405</w:t>
            </w:r>
            <w:r w:rsidRPr="00836680">
              <w:rPr>
                <w:rFonts w:ascii="Arial" w:eastAsiaTheme="minorHAnsi" w:hAnsi="Arial" w:cs="Arial"/>
                <w:color w:val="000000"/>
                <w:sz w:val="16"/>
                <w:szCs w:val="16"/>
              </w:rPr>
              <w:t xml:space="preserve">,752 </w:t>
            </w:r>
          </w:p>
        </w:tc>
      </w:tr>
      <w:tr w:rsidR="00836680" w:rsidRPr="00836680" w14:paraId="462E627F" w14:textId="77777777" w:rsidTr="00836680">
        <w:trPr>
          <w:trHeight w:val="799"/>
        </w:trPr>
        <w:tc>
          <w:tcPr>
            <w:tcW w:w="593" w:type="pct"/>
            <w:tcBorders>
              <w:top w:val="nil"/>
              <w:left w:val="nil"/>
              <w:bottom w:val="nil"/>
              <w:right w:val="nil"/>
            </w:tcBorders>
            <w:shd w:val="clear" w:color="auto" w:fill="auto"/>
            <w:noWrap/>
            <w:hideMark/>
          </w:tcPr>
          <w:p w14:paraId="23227D78" w14:textId="77777777" w:rsidR="00836680" w:rsidRPr="00836680" w:rsidRDefault="00836680" w:rsidP="00836680">
            <w:pPr>
              <w:rPr>
                <w:rFonts w:ascii="Arial" w:hAnsi="Arial" w:cs="Arial"/>
                <w:color w:val="000000"/>
                <w:sz w:val="16"/>
                <w:szCs w:val="16"/>
                <w:lang w:eastAsia="en-GB"/>
              </w:rPr>
            </w:pPr>
          </w:p>
        </w:tc>
        <w:tc>
          <w:tcPr>
            <w:tcW w:w="592" w:type="pct"/>
            <w:tcBorders>
              <w:top w:val="nil"/>
              <w:left w:val="nil"/>
              <w:bottom w:val="nil"/>
              <w:right w:val="nil"/>
            </w:tcBorders>
            <w:shd w:val="clear" w:color="auto" w:fill="auto"/>
            <w:noWrap/>
            <w:vAlign w:val="bottom"/>
            <w:hideMark/>
          </w:tcPr>
          <w:p w14:paraId="7D343BBB" w14:textId="77777777" w:rsidR="00836680" w:rsidRPr="00836680" w:rsidRDefault="00836680" w:rsidP="00836680">
            <w:pPr>
              <w:jc w:val="right"/>
              <w:rPr>
                <w:rFonts w:ascii="Arial" w:hAnsi="Arial" w:cs="Arial"/>
                <w:color w:val="000000"/>
                <w:sz w:val="16"/>
                <w:szCs w:val="16"/>
                <w:lang w:eastAsia="en-GB"/>
              </w:rPr>
            </w:pPr>
          </w:p>
        </w:tc>
        <w:tc>
          <w:tcPr>
            <w:tcW w:w="677" w:type="pct"/>
            <w:tcBorders>
              <w:top w:val="nil"/>
              <w:left w:val="nil"/>
              <w:bottom w:val="nil"/>
              <w:right w:val="nil"/>
            </w:tcBorders>
            <w:shd w:val="clear" w:color="auto" w:fill="auto"/>
            <w:noWrap/>
            <w:vAlign w:val="bottom"/>
            <w:hideMark/>
          </w:tcPr>
          <w:p w14:paraId="57E47EA7"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Gas Price Curve ($/mcfe)</w:t>
            </w:r>
          </w:p>
        </w:tc>
        <w:tc>
          <w:tcPr>
            <w:tcW w:w="424" w:type="pct"/>
            <w:tcBorders>
              <w:top w:val="nil"/>
              <w:left w:val="nil"/>
              <w:bottom w:val="nil"/>
              <w:right w:val="nil"/>
            </w:tcBorders>
            <w:shd w:val="clear" w:color="auto" w:fill="auto"/>
            <w:noWrap/>
            <w:vAlign w:val="bottom"/>
          </w:tcPr>
          <w:p w14:paraId="73DBA11C"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 xml:space="preserve"> $3 </w:t>
            </w:r>
          </w:p>
        </w:tc>
        <w:tc>
          <w:tcPr>
            <w:tcW w:w="430" w:type="pct"/>
            <w:gridSpan w:val="2"/>
            <w:tcBorders>
              <w:top w:val="nil"/>
              <w:left w:val="nil"/>
              <w:bottom w:val="nil"/>
              <w:right w:val="nil"/>
            </w:tcBorders>
            <w:shd w:val="clear" w:color="auto" w:fill="auto"/>
            <w:noWrap/>
            <w:vAlign w:val="bottom"/>
          </w:tcPr>
          <w:p w14:paraId="4BC0A436"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 xml:space="preserve"> $3 </w:t>
            </w:r>
          </w:p>
        </w:tc>
        <w:tc>
          <w:tcPr>
            <w:tcW w:w="465" w:type="pct"/>
            <w:gridSpan w:val="2"/>
            <w:tcBorders>
              <w:top w:val="nil"/>
              <w:left w:val="nil"/>
              <w:bottom w:val="nil"/>
              <w:right w:val="nil"/>
            </w:tcBorders>
            <w:shd w:val="clear" w:color="auto" w:fill="auto"/>
            <w:noWrap/>
            <w:vAlign w:val="bottom"/>
          </w:tcPr>
          <w:p w14:paraId="38687AF8"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 xml:space="preserve"> $3 </w:t>
            </w:r>
          </w:p>
        </w:tc>
        <w:tc>
          <w:tcPr>
            <w:tcW w:w="1059" w:type="pct"/>
            <w:tcBorders>
              <w:top w:val="nil"/>
              <w:left w:val="nil"/>
              <w:bottom w:val="nil"/>
              <w:right w:val="nil"/>
            </w:tcBorders>
            <w:shd w:val="clear" w:color="000000" w:fill="FFFFFF"/>
            <w:vAlign w:val="bottom"/>
          </w:tcPr>
          <w:p w14:paraId="1B423D49"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20 per cent. weighted average change in the input would result in 4 per cent. change in the total fair value of Level 3 investments</w:t>
            </w:r>
          </w:p>
        </w:tc>
        <w:tc>
          <w:tcPr>
            <w:tcW w:w="760" w:type="pct"/>
            <w:tcBorders>
              <w:top w:val="nil"/>
              <w:left w:val="nil"/>
              <w:bottom w:val="nil"/>
              <w:right w:val="nil"/>
            </w:tcBorders>
            <w:shd w:val="clear" w:color="auto" w:fill="auto"/>
            <w:noWrap/>
            <w:vAlign w:val="bottom"/>
          </w:tcPr>
          <w:p w14:paraId="5735CE0B"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$349</w:t>
            </w:r>
            <w:r w:rsidRPr="00836680">
              <w:rPr>
                <w:rFonts w:ascii="Arial" w:eastAsiaTheme="minorHAnsi" w:hAnsi="Arial" w:cs="Arial"/>
                <w:color w:val="000000"/>
                <w:sz w:val="16"/>
                <w:szCs w:val="16"/>
              </w:rPr>
              <w:t xml:space="preserve">,086 </w:t>
            </w:r>
          </w:p>
        </w:tc>
      </w:tr>
      <w:tr w:rsidR="00836680" w:rsidRPr="00836680" w14:paraId="4EAACAD2" w14:textId="77777777" w:rsidTr="00836680">
        <w:trPr>
          <w:trHeight w:val="241"/>
        </w:trPr>
        <w:tc>
          <w:tcPr>
            <w:tcW w:w="593" w:type="pct"/>
            <w:tcBorders>
              <w:top w:val="nil"/>
              <w:left w:val="nil"/>
              <w:bottom w:val="single" w:sz="4" w:space="0" w:color="auto"/>
              <w:right w:val="nil"/>
            </w:tcBorders>
            <w:shd w:val="clear" w:color="auto" w:fill="auto"/>
            <w:noWrap/>
          </w:tcPr>
          <w:p w14:paraId="7C858E8E" w14:textId="77777777" w:rsidR="00836680" w:rsidRPr="00836680" w:rsidRDefault="00836680" w:rsidP="00836680">
            <w:pPr>
              <w:rPr>
                <w:rFonts w:ascii="Arial" w:hAnsi="Arial" w:cs="Arial"/>
                <w:color w:val="000000"/>
                <w:sz w:val="16"/>
                <w:szCs w:val="16"/>
                <w:lang w:eastAsia="en-GB"/>
              </w:rPr>
            </w:pPr>
          </w:p>
        </w:tc>
        <w:tc>
          <w:tcPr>
            <w:tcW w:w="592" w:type="pct"/>
            <w:tcBorders>
              <w:top w:val="nil"/>
              <w:left w:val="nil"/>
              <w:bottom w:val="single" w:sz="4" w:space="0" w:color="auto"/>
              <w:right w:val="nil"/>
            </w:tcBorders>
            <w:shd w:val="clear" w:color="auto" w:fill="auto"/>
            <w:noWrap/>
            <w:hideMark/>
          </w:tcPr>
          <w:p w14:paraId="2ABAD76C" w14:textId="77777777" w:rsidR="00836680" w:rsidRPr="00836680" w:rsidRDefault="00836680" w:rsidP="00836680">
            <w:pPr>
              <w:rPr>
                <w:rFonts w:ascii="Arial" w:hAnsi="Arial" w:cs="Arial"/>
                <w:color w:val="000000"/>
                <w:sz w:val="16"/>
                <w:szCs w:val="16"/>
                <w:lang w:eastAsia="en-GB"/>
              </w:rPr>
            </w:pPr>
            <w:r w:rsidRPr="00836680">
              <w:rPr>
                <w:rFonts w:ascii="Arial" w:hAnsi="Arial" w:cs="Arial"/>
                <w:color w:val="000000"/>
                <w:sz w:val="16"/>
                <w:szCs w:val="16"/>
                <w:lang w:eastAsia="en-GB"/>
              </w:rPr>
              <w:t> </w:t>
            </w:r>
          </w:p>
        </w:tc>
        <w:tc>
          <w:tcPr>
            <w:tcW w:w="677" w:type="pct"/>
            <w:tcBorders>
              <w:top w:val="nil"/>
              <w:left w:val="nil"/>
              <w:bottom w:val="single" w:sz="4" w:space="0" w:color="auto"/>
              <w:right w:val="nil"/>
            </w:tcBorders>
            <w:shd w:val="clear" w:color="auto" w:fill="auto"/>
            <w:noWrap/>
            <w:hideMark/>
          </w:tcPr>
          <w:p w14:paraId="5CE70B32" w14:textId="77777777" w:rsidR="00836680" w:rsidRPr="00836680" w:rsidRDefault="00836680" w:rsidP="00836680">
            <w:pPr>
              <w:rPr>
                <w:rFonts w:ascii="Arial" w:hAnsi="Arial" w:cs="Arial"/>
                <w:color w:val="000000"/>
                <w:sz w:val="16"/>
                <w:szCs w:val="16"/>
                <w:lang w:eastAsia="en-GB"/>
              </w:rPr>
            </w:pPr>
            <w:r w:rsidRPr="00836680">
              <w:rPr>
                <w:rFonts w:ascii="Arial" w:hAnsi="Arial" w:cs="Arial"/>
                <w:color w:val="000000"/>
                <w:sz w:val="16"/>
                <w:szCs w:val="16"/>
                <w:lang w:eastAsia="en-GB"/>
              </w:rPr>
              <w:t> </w:t>
            </w:r>
          </w:p>
        </w:tc>
        <w:tc>
          <w:tcPr>
            <w:tcW w:w="424" w:type="pct"/>
            <w:tcBorders>
              <w:top w:val="nil"/>
              <w:left w:val="nil"/>
              <w:bottom w:val="single" w:sz="4" w:space="0" w:color="auto"/>
              <w:right w:val="nil"/>
            </w:tcBorders>
            <w:shd w:val="clear" w:color="auto" w:fill="auto"/>
            <w:noWrap/>
            <w:hideMark/>
          </w:tcPr>
          <w:p w14:paraId="26A56983"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 </w:t>
            </w:r>
          </w:p>
        </w:tc>
        <w:tc>
          <w:tcPr>
            <w:tcW w:w="430" w:type="pct"/>
            <w:gridSpan w:val="2"/>
            <w:tcBorders>
              <w:top w:val="nil"/>
              <w:left w:val="nil"/>
              <w:bottom w:val="single" w:sz="4" w:space="0" w:color="auto"/>
              <w:right w:val="nil"/>
            </w:tcBorders>
            <w:shd w:val="clear" w:color="auto" w:fill="auto"/>
            <w:noWrap/>
            <w:hideMark/>
          </w:tcPr>
          <w:p w14:paraId="32CD9318" w14:textId="77777777" w:rsidR="00836680" w:rsidRPr="00836680" w:rsidRDefault="00836680" w:rsidP="00836680">
            <w:pPr>
              <w:jc w:val="right"/>
              <w:rPr>
                <w:rFonts w:ascii="Arial" w:hAnsi="Arial" w:cs="Arial"/>
                <w:color w:val="000000"/>
                <w:sz w:val="16"/>
                <w:szCs w:val="16"/>
                <w:lang w:eastAsia="en-GB"/>
              </w:rPr>
            </w:pPr>
            <w:r w:rsidRPr="00836680">
              <w:rPr>
                <w:rFonts w:ascii="Arial" w:hAnsi="Arial" w:cs="Arial"/>
                <w:color w:val="000000"/>
                <w:sz w:val="16"/>
                <w:szCs w:val="16"/>
                <w:lang w:eastAsia="en-GB"/>
              </w:rPr>
              <w:t> </w:t>
            </w:r>
          </w:p>
        </w:tc>
        <w:tc>
          <w:tcPr>
            <w:tcW w:w="465" w:type="pct"/>
            <w:gridSpan w:val="2"/>
            <w:tcBorders>
              <w:top w:val="nil"/>
              <w:left w:val="nil"/>
              <w:bottom w:val="single" w:sz="4" w:space="0" w:color="auto"/>
              <w:right w:val="nil"/>
            </w:tcBorders>
            <w:shd w:val="clear" w:color="auto" w:fill="auto"/>
            <w:noWrap/>
            <w:hideMark/>
          </w:tcPr>
          <w:p w14:paraId="1390C4A8" w14:textId="77777777" w:rsidR="00836680" w:rsidRPr="00836680" w:rsidRDefault="00836680" w:rsidP="00836680">
            <w:pPr>
              <w:jc w:val="center"/>
              <w:rPr>
                <w:rFonts w:ascii="Arial" w:hAnsi="Arial" w:cs="Arial"/>
                <w:color w:val="000000"/>
                <w:sz w:val="16"/>
                <w:szCs w:val="16"/>
                <w:lang w:eastAsia="en-GB"/>
              </w:rPr>
            </w:pPr>
            <w:r w:rsidRPr="00836680">
              <w:rPr>
                <w:rFonts w:ascii="Arial" w:hAnsi="Arial" w:cs="Arial"/>
                <w:color w:val="000000"/>
                <w:sz w:val="16"/>
                <w:szCs w:val="16"/>
                <w:lang w:eastAsia="en-GB"/>
              </w:rPr>
              <w:t> </w:t>
            </w:r>
          </w:p>
        </w:tc>
        <w:tc>
          <w:tcPr>
            <w:tcW w:w="1059" w:type="pct"/>
            <w:tcBorders>
              <w:top w:val="nil"/>
              <w:left w:val="nil"/>
              <w:bottom w:val="single" w:sz="4" w:space="0" w:color="auto"/>
              <w:right w:val="nil"/>
            </w:tcBorders>
            <w:shd w:val="clear" w:color="auto" w:fill="auto"/>
            <w:noWrap/>
            <w:hideMark/>
          </w:tcPr>
          <w:p w14:paraId="33D518B4" w14:textId="77777777" w:rsidR="00836680" w:rsidRPr="00836680" w:rsidRDefault="00836680" w:rsidP="00836680">
            <w:pPr>
              <w:rPr>
                <w:rFonts w:ascii="Arial" w:hAnsi="Arial" w:cs="Arial"/>
                <w:color w:val="000000"/>
                <w:sz w:val="16"/>
                <w:szCs w:val="16"/>
                <w:lang w:eastAsia="en-GB"/>
              </w:rPr>
            </w:pPr>
            <w:r w:rsidRPr="00836680">
              <w:rPr>
                <w:rFonts w:ascii="Arial" w:hAnsi="Arial" w:cs="Arial"/>
                <w:color w:val="000000"/>
                <w:sz w:val="16"/>
                <w:szCs w:val="16"/>
                <w:lang w:eastAsia="en-GB"/>
              </w:rPr>
              <w:t> </w:t>
            </w:r>
          </w:p>
        </w:tc>
        <w:tc>
          <w:tcPr>
            <w:tcW w:w="760" w:type="pct"/>
            <w:tcBorders>
              <w:top w:val="nil"/>
              <w:left w:val="nil"/>
              <w:bottom w:val="single" w:sz="4" w:space="0" w:color="auto"/>
              <w:right w:val="nil"/>
            </w:tcBorders>
            <w:shd w:val="clear" w:color="auto" w:fill="auto"/>
            <w:noWrap/>
            <w:hideMark/>
          </w:tcPr>
          <w:p w14:paraId="112189A9" w14:textId="77777777" w:rsidR="00836680" w:rsidRPr="00836680" w:rsidRDefault="00836680" w:rsidP="00836680">
            <w:pPr>
              <w:rPr>
                <w:rFonts w:ascii="Arial" w:hAnsi="Arial" w:cs="Arial"/>
                <w:color w:val="000000"/>
                <w:sz w:val="16"/>
                <w:szCs w:val="16"/>
                <w:lang w:eastAsia="en-GB"/>
              </w:rPr>
            </w:pPr>
            <w:r w:rsidRPr="00836680">
              <w:rPr>
                <w:rFonts w:ascii="Arial" w:hAnsi="Arial" w:cs="Arial"/>
                <w:color w:val="000000"/>
                <w:sz w:val="16"/>
                <w:szCs w:val="16"/>
                <w:lang w:eastAsia="en-GB"/>
              </w:rPr>
              <w:t> </w:t>
            </w:r>
          </w:p>
        </w:tc>
      </w:tr>
      <w:tr w:rsidR="00836680" w:rsidRPr="00836680" w14:paraId="5B6019E8" w14:textId="77777777" w:rsidTr="00836680">
        <w:trPr>
          <w:trHeight w:val="300"/>
        </w:trPr>
        <w:tc>
          <w:tcPr>
            <w:tcW w:w="593" w:type="pct"/>
            <w:tcBorders>
              <w:top w:val="nil"/>
              <w:left w:val="nil"/>
              <w:bottom w:val="nil"/>
              <w:right w:val="nil"/>
            </w:tcBorders>
            <w:shd w:val="clear" w:color="auto" w:fill="auto"/>
            <w:noWrap/>
          </w:tcPr>
          <w:p w14:paraId="0933BD7F" w14:textId="77777777" w:rsidR="00836680" w:rsidRPr="00836680" w:rsidRDefault="00836680" w:rsidP="00836680">
            <w:pPr>
              <w:rPr>
                <w:rFonts w:ascii="Arial" w:hAnsi="Arial" w:cs="Arial"/>
                <w:color w:val="000000"/>
                <w:sz w:val="16"/>
                <w:szCs w:val="16"/>
                <w:lang w:eastAsia="en-GB"/>
              </w:rPr>
            </w:pPr>
            <w:r w:rsidRPr="00836680">
              <w:rPr>
                <w:rFonts w:ascii="Arial" w:hAnsi="Arial" w:cs="Arial"/>
                <w:color w:val="000000"/>
                <w:sz w:val="16"/>
                <w:szCs w:val="16"/>
                <w:lang w:eastAsia="en-GB"/>
              </w:rPr>
              <w:t>$117,405</w:t>
            </w:r>
          </w:p>
        </w:tc>
        <w:tc>
          <w:tcPr>
            <w:tcW w:w="592" w:type="pct"/>
            <w:tcBorders>
              <w:top w:val="nil"/>
              <w:left w:val="nil"/>
              <w:bottom w:val="nil"/>
              <w:right w:val="nil"/>
            </w:tcBorders>
            <w:shd w:val="clear" w:color="auto" w:fill="auto"/>
            <w:noWrap/>
            <w:hideMark/>
          </w:tcPr>
          <w:p w14:paraId="20F9777F" w14:textId="77777777" w:rsidR="00836680" w:rsidRPr="00836680" w:rsidRDefault="00836680" w:rsidP="00836680">
            <w:pPr>
              <w:rPr>
                <w:rFonts w:ascii="Arial" w:hAnsi="Arial" w:cs="Arial"/>
                <w:color w:val="000000"/>
                <w:sz w:val="16"/>
                <w:szCs w:val="16"/>
                <w:lang w:eastAsia="en-GB"/>
              </w:rPr>
            </w:pPr>
            <w:r w:rsidRPr="00836680">
              <w:rPr>
                <w:rFonts w:ascii="Arial" w:hAnsi="Arial" w:cs="Arial"/>
                <w:color w:val="000000"/>
                <w:sz w:val="16"/>
                <w:szCs w:val="16"/>
                <w:lang w:eastAsia="en-GB"/>
              </w:rPr>
              <w:t>Other</w:t>
            </w:r>
          </w:p>
        </w:tc>
        <w:tc>
          <w:tcPr>
            <w:tcW w:w="677" w:type="pct"/>
            <w:tcBorders>
              <w:top w:val="nil"/>
              <w:left w:val="nil"/>
              <w:bottom w:val="nil"/>
              <w:right w:val="nil"/>
            </w:tcBorders>
            <w:shd w:val="clear" w:color="auto" w:fill="auto"/>
            <w:noWrap/>
            <w:hideMark/>
          </w:tcPr>
          <w:p w14:paraId="1D6A0C1F" w14:textId="77777777" w:rsidR="00836680" w:rsidRPr="00836680" w:rsidRDefault="00836680" w:rsidP="00836680">
            <w:pPr>
              <w:rPr>
                <w:rFonts w:ascii="Arial" w:hAnsi="Arial" w:cs="Arial"/>
                <w:color w:val="000000"/>
                <w:sz w:val="16"/>
                <w:szCs w:val="16"/>
                <w:lang w:eastAsia="en-GB"/>
              </w:rPr>
            </w:pPr>
          </w:p>
        </w:tc>
        <w:tc>
          <w:tcPr>
            <w:tcW w:w="424" w:type="pct"/>
            <w:tcBorders>
              <w:top w:val="nil"/>
              <w:left w:val="nil"/>
              <w:bottom w:val="nil"/>
              <w:right w:val="nil"/>
            </w:tcBorders>
            <w:shd w:val="clear" w:color="auto" w:fill="auto"/>
            <w:noWrap/>
            <w:hideMark/>
          </w:tcPr>
          <w:p w14:paraId="085FB198" w14:textId="77777777" w:rsidR="00836680" w:rsidRPr="00836680" w:rsidRDefault="00836680" w:rsidP="00836680">
            <w:pPr>
              <w:jc w:val="right"/>
              <w:rPr>
                <w:rFonts w:ascii="Arial" w:hAnsi="Arial" w:cs="Arial"/>
                <w:color w:val="000000"/>
                <w:sz w:val="16"/>
                <w:szCs w:val="16"/>
                <w:lang w:eastAsia="en-GB"/>
              </w:rPr>
            </w:pPr>
          </w:p>
        </w:tc>
        <w:tc>
          <w:tcPr>
            <w:tcW w:w="430" w:type="pct"/>
            <w:gridSpan w:val="2"/>
            <w:tcBorders>
              <w:top w:val="nil"/>
              <w:left w:val="nil"/>
              <w:bottom w:val="nil"/>
              <w:right w:val="nil"/>
            </w:tcBorders>
            <w:shd w:val="clear" w:color="auto" w:fill="auto"/>
            <w:noWrap/>
            <w:hideMark/>
          </w:tcPr>
          <w:p w14:paraId="5A2CCDC3" w14:textId="77777777" w:rsidR="00836680" w:rsidRPr="00836680" w:rsidRDefault="00836680" w:rsidP="00836680">
            <w:pPr>
              <w:jc w:val="right"/>
              <w:rPr>
                <w:rFonts w:ascii="Arial" w:hAnsi="Arial" w:cs="Arial"/>
                <w:color w:val="000000"/>
                <w:sz w:val="16"/>
                <w:szCs w:val="16"/>
                <w:lang w:eastAsia="en-GB"/>
              </w:rPr>
            </w:pPr>
          </w:p>
        </w:tc>
        <w:tc>
          <w:tcPr>
            <w:tcW w:w="465" w:type="pct"/>
            <w:gridSpan w:val="2"/>
            <w:tcBorders>
              <w:top w:val="nil"/>
              <w:left w:val="nil"/>
              <w:bottom w:val="nil"/>
              <w:right w:val="nil"/>
            </w:tcBorders>
            <w:shd w:val="clear" w:color="auto" w:fill="auto"/>
            <w:noWrap/>
            <w:hideMark/>
          </w:tcPr>
          <w:p w14:paraId="03DE9EDD" w14:textId="77777777" w:rsidR="00836680" w:rsidRPr="00836680" w:rsidRDefault="00836680" w:rsidP="00836680">
            <w:pPr>
              <w:jc w:val="right"/>
              <w:rPr>
                <w:rFonts w:ascii="Arial" w:hAnsi="Arial" w:cs="Arial"/>
                <w:color w:val="000000"/>
                <w:sz w:val="16"/>
                <w:szCs w:val="16"/>
                <w:lang w:eastAsia="en-GB"/>
              </w:rPr>
            </w:pPr>
          </w:p>
        </w:tc>
        <w:tc>
          <w:tcPr>
            <w:tcW w:w="1059" w:type="pct"/>
            <w:tcBorders>
              <w:top w:val="nil"/>
              <w:left w:val="nil"/>
              <w:bottom w:val="nil"/>
              <w:right w:val="nil"/>
            </w:tcBorders>
            <w:shd w:val="clear" w:color="auto" w:fill="auto"/>
            <w:noWrap/>
            <w:hideMark/>
          </w:tcPr>
          <w:p w14:paraId="0E8142C7" w14:textId="77777777" w:rsidR="00836680" w:rsidRPr="00836680" w:rsidRDefault="00836680" w:rsidP="00836680">
            <w:pPr>
              <w:rPr>
                <w:rFonts w:ascii="Arial" w:hAnsi="Arial" w:cs="Arial"/>
                <w:color w:val="000000"/>
                <w:sz w:val="16"/>
                <w:szCs w:val="16"/>
                <w:lang w:eastAsia="en-GB"/>
              </w:rPr>
            </w:pPr>
          </w:p>
        </w:tc>
        <w:tc>
          <w:tcPr>
            <w:tcW w:w="760" w:type="pct"/>
            <w:tcBorders>
              <w:top w:val="nil"/>
              <w:left w:val="nil"/>
              <w:bottom w:val="nil"/>
              <w:right w:val="nil"/>
            </w:tcBorders>
            <w:shd w:val="clear" w:color="auto" w:fill="auto"/>
            <w:noWrap/>
            <w:hideMark/>
          </w:tcPr>
          <w:p w14:paraId="0FEB9281" w14:textId="77777777" w:rsidR="00836680" w:rsidRPr="00836680" w:rsidRDefault="00836680" w:rsidP="00836680">
            <w:pPr>
              <w:jc w:val="center"/>
              <w:rPr>
                <w:rFonts w:ascii="Arial" w:hAnsi="Arial" w:cs="Arial"/>
                <w:color w:val="000000"/>
                <w:sz w:val="16"/>
                <w:szCs w:val="16"/>
                <w:lang w:eastAsia="en-GB"/>
              </w:rPr>
            </w:pPr>
          </w:p>
        </w:tc>
      </w:tr>
      <w:tr w:rsidR="00836680" w:rsidRPr="00836680" w14:paraId="669F9D2C" w14:textId="77777777" w:rsidTr="00836680">
        <w:trPr>
          <w:trHeight w:val="45"/>
        </w:trPr>
        <w:tc>
          <w:tcPr>
            <w:tcW w:w="593" w:type="pct"/>
            <w:tcBorders>
              <w:top w:val="nil"/>
              <w:left w:val="nil"/>
              <w:bottom w:val="single" w:sz="4" w:space="0" w:color="auto"/>
              <w:right w:val="nil"/>
            </w:tcBorders>
            <w:shd w:val="clear" w:color="auto" w:fill="auto"/>
            <w:noWrap/>
          </w:tcPr>
          <w:p w14:paraId="10CEB838" w14:textId="77777777" w:rsidR="00836680" w:rsidRPr="00836680" w:rsidRDefault="00836680" w:rsidP="00836680">
            <w:pPr>
              <w:rPr>
                <w:rFonts w:ascii="Arial" w:hAnsi="Arial" w:cs="Arial"/>
                <w:color w:val="000000"/>
                <w:sz w:val="16"/>
                <w:szCs w:val="16"/>
                <w:lang w:eastAsia="en-GB"/>
              </w:rPr>
            </w:pPr>
          </w:p>
        </w:tc>
        <w:tc>
          <w:tcPr>
            <w:tcW w:w="592" w:type="pct"/>
            <w:tcBorders>
              <w:top w:val="nil"/>
              <w:left w:val="nil"/>
              <w:bottom w:val="single" w:sz="4" w:space="0" w:color="auto"/>
              <w:right w:val="nil"/>
            </w:tcBorders>
            <w:shd w:val="clear" w:color="auto" w:fill="auto"/>
            <w:noWrap/>
            <w:hideMark/>
          </w:tcPr>
          <w:p w14:paraId="657DF523" w14:textId="77777777" w:rsidR="00836680" w:rsidRPr="00836680" w:rsidRDefault="00836680" w:rsidP="00836680">
            <w:pPr>
              <w:rPr>
                <w:rFonts w:ascii="Arial" w:hAnsi="Arial" w:cs="Arial"/>
                <w:color w:val="000000"/>
                <w:sz w:val="16"/>
                <w:szCs w:val="16"/>
                <w:lang w:eastAsia="en-GB"/>
              </w:rPr>
            </w:pPr>
            <w:r w:rsidRPr="00836680">
              <w:rPr>
                <w:rFonts w:ascii="Arial" w:hAnsi="Arial" w:cs="Arial"/>
                <w:color w:val="000000"/>
                <w:sz w:val="16"/>
                <w:szCs w:val="16"/>
                <w:lang w:eastAsia="en-GB"/>
              </w:rPr>
              <w:t> </w:t>
            </w:r>
          </w:p>
        </w:tc>
        <w:tc>
          <w:tcPr>
            <w:tcW w:w="677" w:type="pct"/>
            <w:tcBorders>
              <w:top w:val="nil"/>
              <w:left w:val="nil"/>
              <w:bottom w:val="single" w:sz="4" w:space="0" w:color="auto"/>
              <w:right w:val="nil"/>
            </w:tcBorders>
            <w:shd w:val="clear" w:color="auto" w:fill="auto"/>
            <w:noWrap/>
            <w:hideMark/>
          </w:tcPr>
          <w:p w14:paraId="2C3233C8" w14:textId="77777777" w:rsidR="00836680" w:rsidRPr="00836680" w:rsidRDefault="00836680" w:rsidP="00836680">
            <w:pPr>
              <w:rPr>
                <w:rFonts w:ascii="Arial" w:hAnsi="Arial" w:cs="Arial"/>
                <w:color w:val="000000"/>
                <w:sz w:val="16"/>
                <w:szCs w:val="16"/>
                <w:lang w:eastAsia="en-GB"/>
              </w:rPr>
            </w:pPr>
            <w:r w:rsidRPr="00836680">
              <w:rPr>
                <w:rFonts w:ascii="Arial" w:hAnsi="Arial" w:cs="Arial"/>
                <w:color w:val="000000"/>
                <w:sz w:val="16"/>
                <w:szCs w:val="16"/>
                <w:lang w:eastAsia="en-GB"/>
              </w:rPr>
              <w:t> </w:t>
            </w:r>
          </w:p>
        </w:tc>
        <w:tc>
          <w:tcPr>
            <w:tcW w:w="424" w:type="pct"/>
            <w:tcBorders>
              <w:top w:val="nil"/>
              <w:left w:val="nil"/>
              <w:bottom w:val="single" w:sz="4" w:space="0" w:color="auto"/>
              <w:right w:val="nil"/>
            </w:tcBorders>
            <w:shd w:val="clear" w:color="auto" w:fill="auto"/>
            <w:noWrap/>
            <w:hideMark/>
          </w:tcPr>
          <w:p w14:paraId="1CF940FF" w14:textId="77777777" w:rsidR="00836680" w:rsidRPr="00836680" w:rsidRDefault="00836680" w:rsidP="00836680">
            <w:pPr>
              <w:rPr>
                <w:rFonts w:ascii="Arial" w:hAnsi="Arial" w:cs="Arial"/>
                <w:color w:val="000000"/>
                <w:sz w:val="16"/>
                <w:szCs w:val="16"/>
                <w:lang w:eastAsia="en-GB"/>
              </w:rPr>
            </w:pPr>
            <w:r w:rsidRPr="00836680">
              <w:rPr>
                <w:rFonts w:ascii="Arial" w:hAnsi="Arial" w:cs="Arial"/>
                <w:color w:val="000000"/>
                <w:sz w:val="16"/>
                <w:szCs w:val="16"/>
                <w:lang w:eastAsia="en-GB"/>
              </w:rPr>
              <w:t> </w:t>
            </w:r>
          </w:p>
        </w:tc>
        <w:tc>
          <w:tcPr>
            <w:tcW w:w="430" w:type="pct"/>
            <w:gridSpan w:val="2"/>
            <w:tcBorders>
              <w:top w:val="nil"/>
              <w:left w:val="nil"/>
              <w:bottom w:val="single" w:sz="4" w:space="0" w:color="auto"/>
              <w:right w:val="nil"/>
            </w:tcBorders>
            <w:shd w:val="clear" w:color="auto" w:fill="auto"/>
            <w:noWrap/>
            <w:hideMark/>
          </w:tcPr>
          <w:p w14:paraId="213F391A" w14:textId="77777777" w:rsidR="00836680" w:rsidRPr="00836680" w:rsidRDefault="00836680" w:rsidP="00836680">
            <w:pPr>
              <w:rPr>
                <w:rFonts w:ascii="Arial" w:hAnsi="Arial" w:cs="Arial"/>
                <w:color w:val="000000"/>
                <w:sz w:val="16"/>
                <w:szCs w:val="16"/>
                <w:lang w:eastAsia="en-GB"/>
              </w:rPr>
            </w:pPr>
            <w:r w:rsidRPr="00836680">
              <w:rPr>
                <w:rFonts w:ascii="Arial" w:hAnsi="Arial" w:cs="Arial"/>
                <w:color w:val="000000"/>
                <w:sz w:val="16"/>
                <w:szCs w:val="16"/>
                <w:lang w:eastAsia="en-GB"/>
              </w:rPr>
              <w:t> </w:t>
            </w:r>
          </w:p>
        </w:tc>
        <w:tc>
          <w:tcPr>
            <w:tcW w:w="465" w:type="pct"/>
            <w:gridSpan w:val="2"/>
            <w:tcBorders>
              <w:top w:val="nil"/>
              <w:left w:val="nil"/>
              <w:bottom w:val="single" w:sz="4" w:space="0" w:color="auto"/>
              <w:right w:val="nil"/>
            </w:tcBorders>
            <w:shd w:val="clear" w:color="auto" w:fill="auto"/>
            <w:noWrap/>
            <w:hideMark/>
          </w:tcPr>
          <w:p w14:paraId="117E5258" w14:textId="77777777" w:rsidR="00836680" w:rsidRPr="00836680" w:rsidRDefault="00836680" w:rsidP="00836680">
            <w:pPr>
              <w:rPr>
                <w:rFonts w:ascii="Arial" w:hAnsi="Arial" w:cs="Arial"/>
                <w:color w:val="000000"/>
                <w:sz w:val="16"/>
                <w:szCs w:val="16"/>
                <w:lang w:eastAsia="en-GB"/>
              </w:rPr>
            </w:pPr>
            <w:r w:rsidRPr="00836680">
              <w:rPr>
                <w:rFonts w:ascii="Arial" w:hAnsi="Arial" w:cs="Arial"/>
                <w:color w:val="000000"/>
                <w:sz w:val="16"/>
                <w:szCs w:val="16"/>
                <w:lang w:eastAsia="en-GB"/>
              </w:rPr>
              <w:t> </w:t>
            </w:r>
          </w:p>
        </w:tc>
        <w:tc>
          <w:tcPr>
            <w:tcW w:w="1059" w:type="pct"/>
            <w:tcBorders>
              <w:top w:val="nil"/>
              <w:left w:val="nil"/>
              <w:bottom w:val="single" w:sz="4" w:space="0" w:color="auto"/>
              <w:right w:val="nil"/>
            </w:tcBorders>
            <w:shd w:val="clear" w:color="auto" w:fill="auto"/>
            <w:noWrap/>
            <w:hideMark/>
          </w:tcPr>
          <w:p w14:paraId="3629C0C7" w14:textId="77777777" w:rsidR="00836680" w:rsidRPr="00836680" w:rsidRDefault="00836680" w:rsidP="00836680">
            <w:pPr>
              <w:rPr>
                <w:rFonts w:ascii="Arial" w:hAnsi="Arial" w:cs="Arial"/>
                <w:color w:val="000000"/>
                <w:sz w:val="16"/>
                <w:szCs w:val="16"/>
                <w:lang w:eastAsia="en-GB"/>
              </w:rPr>
            </w:pPr>
            <w:r w:rsidRPr="00836680">
              <w:rPr>
                <w:rFonts w:ascii="Arial" w:hAnsi="Arial" w:cs="Arial"/>
                <w:color w:val="000000"/>
                <w:sz w:val="16"/>
                <w:szCs w:val="16"/>
                <w:lang w:eastAsia="en-GB"/>
              </w:rPr>
              <w:t> </w:t>
            </w:r>
          </w:p>
        </w:tc>
        <w:tc>
          <w:tcPr>
            <w:tcW w:w="760" w:type="pct"/>
            <w:tcBorders>
              <w:top w:val="nil"/>
              <w:left w:val="nil"/>
              <w:bottom w:val="single" w:sz="4" w:space="0" w:color="auto"/>
              <w:right w:val="nil"/>
            </w:tcBorders>
            <w:shd w:val="clear" w:color="auto" w:fill="auto"/>
            <w:noWrap/>
            <w:hideMark/>
          </w:tcPr>
          <w:p w14:paraId="7AD55EB7" w14:textId="77777777" w:rsidR="00836680" w:rsidRPr="00836680" w:rsidRDefault="00836680" w:rsidP="00836680">
            <w:pPr>
              <w:rPr>
                <w:rFonts w:ascii="Arial" w:hAnsi="Arial" w:cs="Arial"/>
                <w:color w:val="000000"/>
                <w:sz w:val="16"/>
                <w:szCs w:val="16"/>
                <w:lang w:eastAsia="en-GB"/>
              </w:rPr>
            </w:pPr>
            <w:r w:rsidRPr="00836680">
              <w:rPr>
                <w:rFonts w:ascii="Arial" w:hAnsi="Arial" w:cs="Arial"/>
                <w:color w:val="000000"/>
                <w:sz w:val="16"/>
                <w:szCs w:val="16"/>
                <w:lang w:eastAsia="en-GB"/>
              </w:rPr>
              <w:t> </w:t>
            </w:r>
          </w:p>
        </w:tc>
      </w:tr>
      <w:tr w:rsidR="00836680" w:rsidRPr="00836680" w14:paraId="0576947C" w14:textId="77777777" w:rsidTr="00836680">
        <w:trPr>
          <w:trHeight w:val="315"/>
        </w:trPr>
        <w:tc>
          <w:tcPr>
            <w:tcW w:w="593" w:type="pct"/>
            <w:tcBorders>
              <w:top w:val="nil"/>
              <w:left w:val="nil"/>
              <w:bottom w:val="nil"/>
              <w:right w:val="nil"/>
            </w:tcBorders>
            <w:shd w:val="clear" w:color="auto" w:fill="auto"/>
            <w:noWrap/>
            <w:vAlign w:val="bottom"/>
          </w:tcPr>
          <w:p w14:paraId="145D8338" w14:textId="77777777" w:rsidR="00836680" w:rsidRPr="00836680" w:rsidRDefault="00836680" w:rsidP="00836680">
            <w:pPr>
              <w:rPr>
                <w:rFonts w:ascii="Arial" w:hAnsi="Arial" w:cs="Arial"/>
                <w:b/>
                <w:color w:val="000000"/>
                <w:sz w:val="16"/>
                <w:szCs w:val="16"/>
                <w:lang w:eastAsia="en-GB"/>
              </w:rPr>
            </w:pPr>
            <w:r w:rsidRPr="00836680">
              <w:rPr>
                <w:rFonts w:ascii="Arial" w:hAnsi="Arial" w:cs="Arial"/>
                <w:b/>
                <w:color w:val="000000"/>
                <w:sz w:val="16"/>
                <w:szCs w:val="16"/>
                <w:lang w:eastAsia="en-GB"/>
              </w:rPr>
              <w:t>$523,157</w:t>
            </w:r>
          </w:p>
        </w:tc>
        <w:tc>
          <w:tcPr>
            <w:tcW w:w="592" w:type="pct"/>
            <w:tcBorders>
              <w:top w:val="nil"/>
              <w:left w:val="nil"/>
              <w:bottom w:val="nil"/>
              <w:right w:val="nil"/>
            </w:tcBorders>
            <w:shd w:val="clear" w:color="auto" w:fill="auto"/>
            <w:noWrap/>
            <w:vAlign w:val="bottom"/>
            <w:hideMark/>
          </w:tcPr>
          <w:p w14:paraId="627FB3D7" w14:textId="77777777" w:rsidR="00836680" w:rsidRPr="00836680" w:rsidRDefault="00836680" w:rsidP="00836680">
            <w:pPr>
              <w:rPr>
                <w:rFonts w:ascii="Arial" w:hAnsi="Arial" w:cs="Arial"/>
                <w:b/>
                <w:bCs/>
                <w:color w:val="000000"/>
                <w:sz w:val="16"/>
                <w:szCs w:val="16"/>
                <w:lang w:eastAsia="en-GB"/>
              </w:rPr>
            </w:pPr>
            <w:r w:rsidRPr="00836680">
              <w:rPr>
                <w:rFonts w:ascii="Arial" w:hAnsi="Arial" w:cs="Arial"/>
                <w:b/>
                <w:bCs/>
                <w:color w:val="000000"/>
                <w:sz w:val="16"/>
                <w:szCs w:val="16"/>
                <w:lang w:eastAsia="en-GB"/>
              </w:rPr>
              <w:t>Total</w:t>
            </w:r>
          </w:p>
        </w:tc>
        <w:tc>
          <w:tcPr>
            <w:tcW w:w="677" w:type="pct"/>
            <w:tcBorders>
              <w:top w:val="nil"/>
              <w:left w:val="nil"/>
              <w:bottom w:val="nil"/>
              <w:right w:val="nil"/>
            </w:tcBorders>
            <w:shd w:val="clear" w:color="auto" w:fill="auto"/>
            <w:noWrap/>
            <w:vAlign w:val="bottom"/>
            <w:hideMark/>
          </w:tcPr>
          <w:p w14:paraId="5823174B" w14:textId="77777777" w:rsidR="00836680" w:rsidRPr="00836680" w:rsidRDefault="00836680" w:rsidP="00836680">
            <w:pPr>
              <w:rPr>
                <w:rFonts w:ascii="Arial" w:hAnsi="Arial" w:cs="Arial"/>
                <w:color w:val="000000"/>
                <w:sz w:val="16"/>
                <w:szCs w:val="16"/>
                <w:lang w:eastAsia="en-GB"/>
              </w:rPr>
            </w:pPr>
          </w:p>
        </w:tc>
        <w:tc>
          <w:tcPr>
            <w:tcW w:w="424" w:type="pct"/>
            <w:tcBorders>
              <w:top w:val="nil"/>
              <w:left w:val="nil"/>
              <w:bottom w:val="nil"/>
              <w:right w:val="nil"/>
            </w:tcBorders>
            <w:shd w:val="clear" w:color="auto" w:fill="auto"/>
            <w:noWrap/>
            <w:vAlign w:val="bottom"/>
            <w:hideMark/>
          </w:tcPr>
          <w:p w14:paraId="5541906E" w14:textId="77777777" w:rsidR="00836680" w:rsidRPr="00836680" w:rsidRDefault="00836680" w:rsidP="00836680">
            <w:pPr>
              <w:ind w:firstLineChars="100" w:firstLine="160"/>
              <w:jc w:val="right"/>
              <w:rPr>
                <w:rFonts w:ascii="Arial" w:hAnsi="Arial" w:cs="Arial"/>
                <w:color w:val="000000"/>
                <w:sz w:val="16"/>
                <w:szCs w:val="16"/>
                <w:lang w:eastAsia="en-GB"/>
              </w:rPr>
            </w:pPr>
          </w:p>
        </w:tc>
        <w:tc>
          <w:tcPr>
            <w:tcW w:w="430" w:type="pct"/>
            <w:gridSpan w:val="2"/>
            <w:tcBorders>
              <w:top w:val="nil"/>
              <w:left w:val="nil"/>
              <w:bottom w:val="nil"/>
              <w:right w:val="nil"/>
            </w:tcBorders>
            <w:shd w:val="clear" w:color="auto" w:fill="auto"/>
            <w:noWrap/>
            <w:vAlign w:val="bottom"/>
            <w:hideMark/>
          </w:tcPr>
          <w:p w14:paraId="4F4EB349" w14:textId="77777777" w:rsidR="00836680" w:rsidRPr="00836680" w:rsidRDefault="00836680" w:rsidP="00836680">
            <w:pPr>
              <w:ind w:firstLineChars="100" w:firstLine="160"/>
              <w:jc w:val="right"/>
              <w:rPr>
                <w:rFonts w:ascii="Arial" w:hAnsi="Arial" w:cs="Arial"/>
                <w:color w:val="000000"/>
                <w:sz w:val="16"/>
                <w:szCs w:val="16"/>
                <w:lang w:eastAsia="en-GB"/>
              </w:rPr>
            </w:pPr>
          </w:p>
        </w:tc>
        <w:tc>
          <w:tcPr>
            <w:tcW w:w="465" w:type="pct"/>
            <w:gridSpan w:val="2"/>
            <w:tcBorders>
              <w:top w:val="nil"/>
              <w:left w:val="nil"/>
              <w:bottom w:val="nil"/>
              <w:right w:val="nil"/>
            </w:tcBorders>
            <w:shd w:val="clear" w:color="auto" w:fill="auto"/>
            <w:noWrap/>
            <w:vAlign w:val="bottom"/>
            <w:hideMark/>
          </w:tcPr>
          <w:p w14:paraId="1940E3DE" w14:textId="77777777" w:rsidR="00836680" w:rsidRPr="00836680" w:rsidRDefault="00836680" w:rsidP="00836680">
            <w:pPr>
              <w:rPr>
                <w:rFonts w:ascii="Arial" w:hAnsi="Arial" w:cs="Arial"/>
                <w:color w:val="000000"/>
                <w:sz w:val="16"/>
                <w:szCs w:val="16"/>
                <w:lang w:eastAsia="en-GB"/>
              </w:rPr>
            </w:pPr>
          </w:p>
        </w:tc>
        <w:tc>
          <w:tcPr>
            <w:tcW w:w="1059" w:type="pct"/>
            <w:tcBorders>
              <w:top w:val="nil"/>
              <w:left w:val="nil"/>
              <w:bottom w:val="nil"/>
              <w:right w:val="nil"/>
            </w:tcBorders>
            <w:shd w:val="clear" w:color="auto" w:fill="auto"/>
            <w:noWrap/>
            <w:vAlign w:val="bottom"/>
            <w:hideMark/>
          </w:tcPr>
          <w:p w14:paraId="69728826" w14:textId="77777777" w:rsidR="00836680" w:rsidRPr="00836680" w:rsidRDefault="00836680" w:rsidP="00836680">
            <w:pPr>
              <w:ind w:firstLineChars="200" w:firstLine="320"/>
              <w:jc w:val="right"/>
              <w:rPr>
                <w:rFonts w:ascii="Arial" w:hAnsi="Arial" w:cs="Arial"/>
                <w:color w:val="000000"/>
                <w:sz w:val="16"/>
                <w:szCs w:val="16"/>
                <w:lang w:eastAsia="en-GB"/>
              </w:rPr>
            </w:pPr>
          </w:p>
        </w:tc>
        <w:tc>
          <w:tcPr>
            <w:tcW w:w="760" w:type="pct"/>
            <w:tcBorders>
              <w:top w:val="nil"/>
              <w:left w:val="nil"/>
              <w:bottom w:val="nil"/>
              <w:right w:val="nil"/>
            </w:tcBorders>
            <w:shd w:val="clear" w:color="auto" w:fill="auto"/>
            <w:noWrap/>
            <w:vAlign w:val="bottom"/>
            <w:hideMark/>
          </w:tcPr>
          <w:p w14:paraId="69DE051A" w14:textId="77777777" w:rsidR="00836680" w:rsidRPr="00836680" w:rsidRDefault="00836680" w:rsidP="00836680">
            <w:pPr>
              <w:rPr>
                <w:rFonts w:ascii="Arial" w:hAnsi="Arial" w:cs="Arial"/>
                <w:color w:val="000000"/>
                <w:sz w:val="16"/>
                <w:szCs w:val="16"/>
                <w:lang w:eastAsia="en-GB"/>
              </w:rPr>
            </w:pPr>
          </w:p>
        </w:tc>
      </w:tr>
    </w:tbl>
    <w:p w14:paraId="510C1DF8" w14:textId="77777777" w:rsidR="005637CA" w:rsidRDefault="005637CA" w:rsidP="005637CA">
      <w:pPr>
        <w:pStyle w:val="Bodytext"/>
        <w:ind w:left="567"/>
      </w:pPr>
    </w:p>
    <w:p w14:paraId="2C144949" w14:textId="77777777" w:rsidR="00836680" w:rsidRPr="00836680" w:rsidRDefault="00836680" w:rsidP="00836680">
      <w:pPr>
        <w:tabs>
          <w:tab w:val="left" w:pos="6903"/>
        </w:tabs>
        <w:ind w:left="567"/>
        <w:rPr>
          <w:rFonts w:ascii="Arial" w:hAnsi="Arial" w:cs="Arial"/>
          <w:sz w:val="16"/>
          <w:szCs w:val="16"/>
        </w:rPr>
      </w:pPr>
      <w:r w:rsidRPr="00836680">
        <w:rPr>
          <w:rFonts w:ascii="Arial" w:hAnsi="Arial" w:cs="Arial"/>
          <w:sz w:val="16"/>
          <w:szCs w:val="16"/>
          <w:vertAlign w:val="superscript"/>
        </w:rPr>
        <w:t>(1)</w:t>
      </w:r>
      <w:r w:rsidRPr="00836680">
        <w:rPr>
          <w:rFonts w:ascii="Arial" w:hAnsi="Arial" w:cs="Arial"/>
          <w:sz w:val="16"/>
          <w:szCs w:val="16"/>
        </w:rPr>
        <w:t xml:space="preserve">  Calculated based on fair values of the Partnership’s Level 3 investments </w:t>
      </w:r>
    </w:p>
    <w:p w14:paraId="214C4ACA" w14:textId="73A542BA" w:rsidR="00836680" w:rsidRPr="00836680" w:rsidRDefault="00836680" w:rsidP="00836680">
      <w:pPr>
        <w:tabs>
          <w:tab w:val="left" w:pos="6903"/>
        </w:tabs>
        <w:ind w:left="567"/>
        <w:rPr>
          <w:rFonts w:ascii="Arial" w:hAnsi="Arial" w:cs="Arial"/>
          <w:sz w:val="16"/>
          <w:szCs w:val="16"/>
        </w:rPr>
      </w:pPr>
      <w:r w:rsidRPr="00836680">
        <w:rPr>
          <w:rFonts w:ascii="Arial" w:hAnsi="Arial" w:cs="Arial"/>
          <w:sz w:val="16"/>
          <w:szCs w:val="16"/>
          <w:vertAlign w:val="superscript"/>
        </w:rPr>
        <w:lastRenderedPageBreak/>
        <w:t>(2)</w:t>
      </w:r>
      <w:r w:rsidRPr="00836680">
        <w:rPr>
          <w:rFonts w:ascii="Arial" w:hAnsi="Arial" w:cs="Arial"/>
          <w:sz w:val="16"/>
          <w:szCs w:val="16"/>
        </w:rPr>
        <w:t xml:space="preserve"> Based on its professional experience and recent market conditions, the Investment Manager has provided the Board with these weighted average change in the inputs with a forecasted time period of 6 to 12 months</w:t>
      </w:r>
    </w:p>
    <w:p w14:paraId="06DDF5FD" w14:textId="2C79541B" w:rsidR="00836680" w:rsidRDefault="00836680" w:rsidP="00836680">
      <w:pPr>
        <w:tabs>
          <w:tab w:val="left" w:pos="6903"/>
        </w:tabs>
        <w:ind w:left="567"/>
        <w:rPr>
          <w:rFonts w:ascii="Arial" w:hAnsi="Arial" w:cs="Arial"/>
          <w:sz w:val="16"/>
          <w:szCs w:val="16"/>
        </w:rPr>
      </w:pPr>
      <w:r w:rsidRPr="00836680">
        <w:rPr>
          <w:rFonts w:ascii="Arial" w:hAnsi="Arial" w:cs="Arial"/>
          <w:sz w:val="16"/>
          <w:szCs w:val="16"/>
          <w:vertAlign w:val="superscript"/>
        </w:rPr>
        <w:t>(3)</w:t>
      </w:r>
      <w:r w:rsidRPr="00836680">
        <w:rPr>
          <w:rFonts w:ascii="Arial" w:hAnsi="Arial" w:cs="Arial"/>
          <w:sz w:val="16"/>
          <w:szCs w:val="16"/>
        </w:rPr>
        <w:t xml:space="preserve"> The Partnership’s Level 3 investments are valued using one or more of the techniques which utilise one or more of the unobservable inputs, so the amounts in the “Fair value of Level 3 investments” column will not aggregate to the total fair value of the Partnership’s Level 3 investments</w:t>
      </w:r>
    </w:p>
    <w:p w14:paraId="1CA7B5D1" w14:textId="31E645CB" w:rsidR="00B06A1A" w:rsidRPr="00836680" w:rsidRDefault="00B06A1A" w:rsidP="00B06A1A">
      <w:pPr>
        <w:tabs>
          <w:tab w:val="left" w:pos="6903"/>
        </w:tabs>
        <w:ind w:left="567"/>
        <w:rPr>
          <w:rFonts w:ascii="Arial" w:hAnsi="Arial" w:cs="Arial"/>
          <w:sz w:val="16"/>
          <w:szCs w:val="16"/>
        </w:rPr>
      </w:pPr>
      <w:r w:rsidRPr="00C216C4">
        <w:rPr>
          <w:rFonts w:ascii="Arial" w:hAnsi="Arial" w:cs="Arial"/>
          <w:sz w:val="16"/>
          <w:szCs w:val="16"/>
          <w:vertAlign w:val="superscript"/>
        </w:rPr>
        <w:t>(</w:t>
      </w:r>
      <w:r>
        <w:rPr>
          <w:rFonts w:ascii="Arial" w:hAnsi="Arial" w:cs="Arial"/>
          <w:sz w:val="16"/>
          <w:szCs w:val="16"/>
          <w:vertAlign w:val="superscript"/>
        </w:rPr>
        <w:t>4</w:t>
      </w:r>
      <w:r w:rsidRPr="00C216C4">
        <w:rPr>
          <w:rFonts w:ascii="Arial" w:hAnsi="Arial" w:cs="Arial"/>
          <w:sz w:val="16"/>
          <w:szCs w:val="16"/>
          <w:vertAlign w:val="superscript"/>
        </w:rPr>
        <w:t>)</w:t>
      </w:r>
      <w:r>
        <w:rPr>
          <w:rFonts w:ascii="Arial" w:hAnsi="Arial" w:cs="Arial"/>
          <w:sz w:val="16"/>
          <w:szCs w:val="16"/>
        </w:rPr>
        <w:t xml:space="preserve"> </w:t>
      </w:r>
      <w:r w:rsidRPr="00C216C4">
        <w:rPr>
          <w:rFonts w:ascii="Arial" w:hAnsi="Arial" w:cs="Arial"/>
          <w:sz w:val="16"/>
          <w:szCs w:val="16"/>
        </w:rPr>
        <w:t>As at 30 June 2020, the sensitivity of this unobservable input to the total fair value of Level 3 investments was determined to be significant by applying the same methodology that determined it not to be significant as at 31 December 2019</w:t>
      </w:r>
    </w:p>
    <w:p w14:paraId="09630F5B" w14:textId="0F6F0ED3" w:rsidR="00A82C99" w:rsidRDefault="00836680" w:rsidP="00836680">
      <w:pPr>
        <w:tabs>
          <w:tab w:val="left" w:pos="6903"/>
        </w:tabs>
        <w:ind w:left="567"/>
        <w:rPr>
          <w:rFonts w:ascii="Arial" w:hAnsi="Arial" w:cs="Arial"/>
          <w:sz w:val="16"/>
          <w:szCs w:val="16"/>
        </w:rPr>
      </w:pPr>
      <w:r w:rsidRPr="00836680">
        <w:rPr>
          <w:rFonts w:ascii="Arial" w:hAnsi="Arial" w:cs="Arial"/>
          <w:sz w:val="16"/>
          <w:szCs w:val="16"/>
          <w:vertAlign w:val="superscript"/>
        </w:rPr>
        <w:t>(</w:t>
      </w:r>
      <w:r w:rsidR="00B06A1A">
        <w:rPr>
          <w:rFonts w:ascii="Arial" w:hAnsi="Arial" w:cs="Arial"/>
          <w:sz w:val="16"/>
          <w:szCs w:val="16"/>
          <w:vertAlign w:val="superscript"/>
        </w:rPr>
        <w:t>5</w:t>
      </w:r>
      <w:r w:rsidRPr="00836680">
        <w:rPr>
          <w:rFonts w:ascii="Arial" w:hAnsi="Arial" w:cs="Arial"/>
          <w:sz w:val="16"/>
          <w:szCs w:val="16"/>
          <w:vertAlign w:val="superscript"/>
        </w:rPr>
        <w:t>)</w:t>
      </w:r>
      <w:r w:rsidRPr="00836680">
        <w:rPr>
          <w:rFonts w:ascii="Arial" w:hAnsi="Arial" w:cs="Arial"/>
          <w:sz w:val="16"/>
          <w:szCs w:val="16"/>
        </w:rPr>
        <w:t xml:space="preserve"> Discounted cash flow technique involves the use of a discount factor of 10 per cent.</w:t>
      </w:r>
    </w:p>
    <w:p w14:paraId="1D6C04C9" w14:textId="657BF569" w:rsidR="00B06A1A" w:rsidRPr="00B06A1A" w:rsidRDefault="00B06A1A" w:rsidP="00836680">
      <w:pPr>
        <w:tabs>
          <w:tab w:val="left" w:pos="6903"/>
        </w:tabs>
        <w:ind w:left="567"/>
        <w:rPr>
          <w:rFonts w:ascii="Arial" w:hAnsi="Arial" w:cs="Arial"/>
          <w:sz w:val="16"/>
          <w:szCs w:val="16"/>
        </w:rPr>
      </w:pPr>
      <w:r w:rsidRPr="00B06A1A">
        <w:rPr>
          <w:rFonts w:ascii="Arial" w:hAnsi="Arial" w:cs="Arial"/>
          <w:sz w:val="16"/>
          <w:szCs w:val="16"/>
          <w:vertAlign w:val="superscript"/>
        </w:rPr>
        <w:t>(6)</w:t>
      </w:r>
      <w:r>
        <w:rPr>
          <w:rFonts w:ascii="Arial" w:hAnsi="Arial" w:cs="Arial"/>
          <w:sz w:val="16"/>
          <w:szCs w:val="16"/>
          <w:vertAlign w:val="superscript"/>
        </w:rPr>
        <w:t xml:space="preserve"> </w:t>
      </w:r>
      <w:r w:rsidRPr="00C216C4">
        <w:rPr>
          <w:rFonts w:ascii="Arial" w:hAnsi="Arial" w:cs="Arial"/>
          <w:sz w:val="16"/>
          <w:szCs w:val="16"/>
        </w:rPr>
        <w:t>As at 3</w:t>
      </w:r>
      <w:r>
        <w:rPr>
          <w:rFonts w:ascii="Arial" w:hAnsi="Arial" w:cs="Arial"/>
          <w:sz w:val="16"/>
          <w:szCs w:val="16"/>
        </w:rPr>
        <w:t>1</w:t>
      </w:r>
      <w:r w:rsidRPr="00C216C4">
        <w:rPr>
          <w:rFonts w:ascii="Arial" w:hAnsi="Arial" w:cs="Arial"/>
          <w:sz w:val="16"/>
          <w:szCs w:val="16"/>
        </w:rPr>
        <w:t xml:space="preserve"> </w:t>
      </w:r>
      <w:r>
        <w:rPr>
          <w:rFonts w:ascii="Arial" w:hAnsi="Arial" w:cs="Arial"/>
          <w:sz w:val="16"/>
          <w:szCs w:val="16"/>
        </w:rPr>
        <w:t>December</w:t>
      </w:r>
      <w:r w:rsidRPr="00C216C4">
        <w:rPr>
          <w:rFonts w:ascii="Arial" w:hAnsi="Arial" w:cs="Arial"/>
          <w:sz w:val="16"/>
          <w:szCs w:val="16"/>
        </w:rPr>
        <w:t xml:space="preserve"> 20</w:t>
      </w:r>
      <w:r>
        <w:rPr>
          <w:rFonts w:ascii="Arial" w:hAnsi="Arial" w:cs="Arial"/>
          <w:sz w:val="16"/>
          <w:szCs w:val="16"/>
        </w:rPr>
        <w:t>19</w:t>
      </w:r>
      <w:r w:rsidRPr="00C216C4">
        <w:rPr>
          <w:rFonts w:ascii="Arial" w:hAnsi="Arial" w:cs="Arial"/>
          <w:sz w:val="16"/>
          <w:szCs w:val="16"/>
        </w:rPr>
        <w:t>, the sensitivity of this unobservable input to the total fair value of Level 3 investments was determined to be significant by applying the same methodology that determined it not to be significant as at 31 December 20</w:t>
      </w:r>
      <w:r>
        <w:rPr>
          <w:rFonts w:ascii="Arial" w:hAnsi="Arial" w:cs="Arial"/>
          <w:sz w:val="16"/>
          <w:szCs w:val="16"/>
        </w:rPr>
        <w:t>18</w:t>
      </w:r>
    </w:p>
    <w:p w14:paraId="3A354B7A" w14:textId="77777777" w:rsidR="002F5EEA" w:rsidRDefault="002F5EEA">
      <w:pPr>
        <w:tabs>
          <w:tab w:val="left" w:pos="6903"/>
        </w:tabs>
        <w:ind w:left="567"/>
        <w:rPr>
          <w:rFonts w:ascii="Arial" w:hAnsi="Arial" w:cs="Arial"/>
          <w:sz w:val="20"/>
          <w:szCs w:val="20"/>
        </w:rPr>
      </w:pPr>
    </w:p>
    <w:p w14:paraId="16AD0A23" w14:textId="2EEC4C3B" w:rsidR="00E41A2E" w:rsidRPr="002D1A2F" w:rsidRDefault="00E41A2E">
      <w:pPr>
        <w:tabs>
          <w:tab w:val="left" w:pos="6903"/>
        </w:tabs>
        <w:ind w:left="567"/>
        <w:rPr>
          <w:rFonts w:ascii="Arial" w:hAnsi="Arial" w:cs="Arial"/>
          <w:sz w:val="20"/>
          <w:szCs w:val="20"/>
        </w:rPr>
      </w:pPr>
      <w:r w:rsidRPr="00DC2064">
        <w:rPr>
          <w:rFonts w:ascii="Arial" w:hAnsi="Arial" w:cs="Arial"/>
          <w:sz w:val="20"/>
          <w:szCs w:val="20"/>
        </w:rPr>
        <w:t xml:space="preserve">The Board reviews and considers the fair value of the Partnership’s investments arrived at by the Investment Manager before incorporating </w:t>
      </w:r>
      <w:r w:rsidR="004B3F26">
        <w:rPr>
          <w:rFonts w:ascii="Arial" w:hAnsi="Arial" w:cs="Arial"/>
          <w:sz w:val="20"/>
          <w:szCs w:val="20"/>
        </w:rPr>
        <w:t xml:space="preserve">such values </w:t>
      </w:r>
      <w:r w:rsidRPr="00DC2064">
        <w:rPr>
          <w:rFonts w:ascii="Arial" w:hAnsi="Arial" w:cs="Arial"/>
          <w:sz w:val="20"/>
          <w:szCs w:val="20"/>
        </w:rPr>
        <w:t>into the fair value of the Partnership. The variety of valuation bases adopted, quality of management information prov</w:t>
      </w:r>
      <w:r w:rsidRPr="002D1A2F">
        <w:rPr>
          <w:rFonts w:ascii="Arial" w:hAnsi="Arial" w:cs="Arial"/>
          <w:sz w:val="20"/>
          <w:szCs w:val="20"/>
        </w:rPr>
        <w:t xml:space="preserve">ided by the underlying investee companies and the lack of liquid markets for the investments mean that there are inherent difficulties in determining the fair value of these investments </w:t>
      </w:r>
      <w:r w:rsidR="00384BC8" w:rsidRPr="002D1A2F">
        <w:rPr>
          <w:rFonts w:ascii="Arial" w:hAnsi="Arial" w:cs="Arial"/>
          <w:sz w:val="20"/>
          <w:szCs w:val="20"/>
        </w:rPr>
        <w:t xml:space="preserve">and such difficulties </w:t>
      </w:r>
      <w:r w:rsidRPr="002D1A2F">
        <w:rPr>
          <w:rFonts w:ascii="Arial" w:hAnsi="Arial" w:cs="Arial"/>
          <w:sz w:val="20"/>
          <w:szCs w:val="20"/>
        </w:rPr>
        <w:t>cannot be eliminated. Therefore</w:t>
      </w:r>
      <w:r w:rsidR="00FB4704">
        <w:rPr>
          <w:rFonts w:ascii="Arial" w:hAnsi="Arial" w:cs="Arial"/>
          <w:sz w:val="20"/>
          <w:szCs w:val="20"/>
        </w:rPr>
        <w:t>,</w:t>
      </w:r>
      <w:r w:rsidRPr="002D1A2F">
        <w:rPr>
          <w:rFonts w:ascii="Arial" w:hAnsi="Arial" w:cs="Arial"/>
          <w:sz w:val="20"/>
          <w:szCs w:val="20"/>
        </w:rPr>
        <w:t xml:space="preserve"> the amounts realised on the sale of investments may differ from the fair values reflected in these interim condensed financial statements and the differences may be significant.</w:t>
      </w:r>
    </w:p>
    <w:p w14:paraId="076AA07C" w14:textId="77777777" w:rsidR="00E41A2E" w:rsidRPr="002D1A2F" w:rsidRDefault="00E41A2E">
      <w:pPr>
        <w:tabs>
          <w:tab w:val="left" w:pos="6903"/>
        </w:tabs>
        <w:ind w:left="567"/>
        <w:rPr>
          <w:rFonts w:ascii="Arial" w:hAnsi="Arial" w:cs="Arial"/>
          <w:sz w:val="20"/>
          <w:szCs w:val="20"/>
        </w:rPr>
      </w:pPr>
    </w:p>
    <w:p w14:paraId="4BF85812" w14:textId="3E83B28B" w:rsidR="00CE78B7" w:rsidRPr="00CE78B7" w:rsidRDefault="00745617" w:rsidP="00CE78B7">
      <w:pPr>
        <w:pStyle w:val="Bodytext"/>
        <w:ind w:left="567"/>
        <w:rPr>
          <w:lang w:val="en-US"/>
        </w:rPr>
      </w:pPr>
      <w:r w:rsidRPr="002D1A2F">
        <w:rPr>
          <w:rFonts w:cs="Arial"/>
        </w:rPr>
        <w:t xml:space="preserve">The Board approves the valuations performed by the Investment Manager and monitors the range of reasonably possible changes in significant </w:t>
      </w:r>
      <w:r w:rsidR="00E76D23">
        <w:rPr>
          <w:rFonts w:cs="Arial"/>
        </w:rPr>
        <w:t>un</w:t>
      </w:r>
      <w:r w:rsidRPr="002D1A2F">
        <w:rPr>
          <w:rFonts w:cs="Arial"/>
        </w:rPr>
        <w:t>observable inputs on a regular basis</w:t>
      </w:r>
      <w:r w:rsidR="00127E80">
        <w:rPr>
          <w:rFonts w:cs="Arial"/>
        </w:rPr>
        <w:t xml:space="preserve"> </w:t>
      </w:r>
      <w:r w:rsidR="00CE78B7" w:rsidRPr="00CE78B7">
        <w:rPr>
          <w:bCs/>
        </w:rPr>
        <w:t>with consultation from the Investment Manager</w:t>
      </w:r>
      <w:r w:rsidR="00CE78B7" w:rsidRPr="00CE78B7">
        <w:t xml:space="preserve">. </w:t>
      </w:r>
      <w:r w:rsidR="00CE78B7" w:rsidRPr="00CE78B7">
        <w:rPr>
          <w:bCs/>
        </w:rPr>
        <w:t>Using its extensive industry experience, the Investment Manager provides the Board with its determination of the reasonably possible changes in significant unobservable inputs in normal market conditions as of the period end.</w:t>
      </w:r>
    </w:p>
    <w:p w14:paraId="0295EA6B" w14:textId="77777777" w:rsidR="00E41A2E" w:rsidRPr="002D1A2F" w:rsidRDefault="00E41A2E" w:rsidP="00CE78B7">
      <w:pPr>
        <w:pStyle w:val="Bodytext"/>
      </w:pPr>
    </w:p>
    <w:p w14:paraId="4C4EC9CF" w14:textId="77777777" w:rsidR="00E91CC3" w:rsidRPr="00E91CC3" w:rsidRDefault="00E91CC3" w:rsidP="00E91CC3">
      <w:pPr>
        <w:tabs>
          <w:tab w:val="left" w:pos="6903"/>
        </w:tabs>
        <w:ind w:left="567"/>
        <w:rPr>
          <w:rFonts w:ascii="Arial" w:hAnsi="Arial" w:cs="Arial"/>
          <w:sz w:val="20"/>
          <w:szCs w:val="20"/>
        </w:rPr>
      </w:pPr>
      <w:r w:rsidRPr="00E91CC3">
        <w:rPr>
          <w:rFonts w:ascii="Arial" w:hAnsi="Arial" w:cs="Arial"/>
          <w:sz w:val="20"/>
          <w:szCs w:val="20"/>
        </w:rPr>
        <w:t>The Directors have considered whether a discount or premium should be applied to the n</w:t>
      </w:r>
      <w:r>
        <w:rPr>
          <w:rFonts w:ascii="Arial" w:hAnsi="Arial" w:cs="Arial"/>
          <w:sz w:val="20"/>
          <w:szCs w:val="20"/>
        </w:rPr>
        <w:t>e</w:t>
      </w:r>
      <w:r w:rsidRPr="00E91CC3">
        <w:rPr>
          <w:rFonts w:ascii="Arial" w:hAnsi="Arial" w:cs="Arial"/>
          <w:sz w:val="20"/>
          <w:szCs w:val="20"/>
        </w:rPr>
        <w:t xml:space="preserve">t asset value of the Partnership. In view of the investment in the Partnership and the nature of the Partnership’s assets, no adjustment to </w:t>
      </w:r>
      <w:r>
        <w:rPr>
          <w:rFonts w:ascii="Arial" w:hAnsi="Arial" w:cs="Arial"/>
          <w:sz w:val="20"/>
          <w:szCs w:val="20"/>
        </w:rPr>
        <w:t>t</w:t>
      </w:r>
      <w:r w:rsidRPr="00E91CC3">
        <w:rPr>
          <w:rFonts w:ascii="Arial" w:hAnsi="Arial" w:cs="Arial"/>
          <w:sz w:val="20"/>
          <w:szCs w:val="20"/>
        </w:rPr>
        <w:t xml:space="preserve">he net asset value of the Partnership has been deemed to be necessary. </w:t>
      </w:r>
    </w:p>
    <w:p w14:paraId="05A0FA39" w14:textId="77777777" w:rsidR="00E41A2E" w:rsidRDefault="00E41A2E">
      <w:pPr>
        <w:tabs>
          <w:tab w:val="left" w:pos="6903"/>
        </w:tabs>
        <w:ind w:left="567"/>
        <w:rPr>
          <w:rFonts w:ascii="Arial" w:hAnsi="Arial" w:cs="Arial"/>
        </w:rPr>
      </w:pPr>
    </w:p>
    <w:p w14:paraId="0BAC1608" w14:textId="77777777" w:rsidR="00E91CC3" w:rsidRPr="002D1A2F" w:rsidRDefault="00E91CC3">
      <w:pPr>
        <w:tabs>
          <w:tab w:val="left" w:pos="6903"/>
        </w:tabs>
        <w:ind w:left="567"/>
        <w:rPr>
          <w:rFonts w:ascii="Arial" w:hAnsi="Arial" w:cs="Arial"/>
        </w:rPr>
      </w:pPr>
    </w:p>
    <w:p w14:paraId="63D5E2A8" w14:textId="77777777" w:rsidR="00E41A2E" w:rsidRPr="002D1A2F" w:rsidRDefault="00E41A2E">
      <w:pPr>
        <w:ind w:left="567" w:hanging="567"/>
        <w:outlineLvl w:val="1"/>
        <w:rPr>
          <w:rFonts w:ascii="Arial" w:hAnsi="Arial" w:cs="Arial"/>
          <w:b/>
          <w:sz w:val="28"/>
          <w:szCs w:val="28"/>
        </w:rPr>
      </w:pPr>
      <w:r w:rsidRPr="002D1A2F">
        <w:rPr>
          <w:rFonts w:ascii="Arial" w:hAnsi="Arial" w:cs="Arial"/>
          <w:b/>
          <w:sz w:val="28"/>
          <w:szCs w:val="28"/>
        </w:rPr>
        <w:t>6.</w:t>
      </w:r>
      <w:r w:rsidRPr="002D1A2F">
        <w:rPr>
          <w:rFonts w:ascii="Arial" w:hAnsi="Arial" w:cs="Arial"/>
          <w:b/>
          <w:sz w:val="28"/>
          <w:szCs w:val="28"/>
        </w:rPr>
        <w:tab/>
        <w:t>Investment at fair value through profit or loss</w:t>
      </w:r>
    </w:p>
    <w:p w14:paraId="1F653840" w14:textId="77777777" w:rsidR="00384BC8" w:rsidRPr="002D1A2F" w:rsidRDefault="00384BC8">
      <w:pPr>
        <w:tabs>
          <w:tab w:val="left" w:pos="6903"/>
        </w:tabs>
        <w:ind w:left="567"/>
        <w:rPr>
          <w:rFonts w:ascii="Arial" w:hAnsi="Arial" w:cs="Arial"/>
          <w:sz w:val="20"/>
        </w:rPr>
      </w:pPr>
      <w:r w:rsidRPr="002D1A2F">
        <w:rPr>
          <w:rFonts w:ascii="Arial" w:hAnsi="Arial" w:cs="Arial"/>
          <w:sz w:val="20"/>
        </w:rPr>
        <w:t>The movement in fair value is derived from the fair value movements in the underlying investments held by the Partnership, net of income and expenses of the Partnership and its related Investment Undertakings, including any Performance Allocation and applicable taxes.</w:t>
      </w:r>
    </w:p>
    <w:tbl>
      <w:tblPr>
        <w:tblStyle w:val="TableGrid3"/>
        <w:tblW w:w="4710" w:type="pct"/>
        <w:tblInd w:w="567" w:type="dxa"/>
        <w:tblLook w:val="04A0" w:firstRow="1" w:lastRow="0" w:firstColumn="1" w:lastColumn="0" w:noHBand="0" w:noVBand="1"/>
      </w:tblPr>
      <w:tblGrid>
        <w:gridCol w:w="5451"/>
        <w:gridCol w:w="1937"/>
        <w:gridCol w:w="1826"/>
      </w:tblGrid>
      <w:tr w:rsidR="00064E4A" w:rsidRPr="00BC678F" w14:paraId="6F4DED37" w14:textId="77777777" w:rsidTr="0048637A">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2957" w:type="pct"/>
            <w:tcBorders>
              <w:bottom w:val="single" w:sz="4" w:space="0" w:color="auto"/>
            </w:tcBorders>
            <w:tcMar>
              <w:top w:w="57" w:type="dxa"/>
              <w:bottom w:w="57" w:type="dxa"/>
            </w:tcMar>
            <w:vAlign w:val="bottom"/>
          </w:tcPr>
          <w:p w14:paraId="05A3D739" w14:textId="77777777" w:rsidR="00E41A2E" w:rsidRPr="002D1A2F" w:rsidRDefault="00E41A2E">
            <w:pPr>
              <w:rPr>
                <w:rFonts w:ascii="Arial" w:hAnsi="Arial" w:cs="Arial"/>
                <w:sz w:val="20"/>
                <w:szCs w:val="20"/>
              </w:rPr>
            </w:pPr>
          </w:p>
        </w:tc>
        <w:tc>
          <w:tcPr>
            <w:tcW w:w="1051" w:type="pct"/>
            <w:tcBorders>
              <w:bottom w:val="single" w:sz="4" w:space="0" w:color="auto"/>
            </w:tcBorders>
            <w:tcMar>
              <w:top w:w="57" w:type="dxa"/>
              <w:bottom w:w="57" w:type="dxa"/>
            </w:tcMar>
            <w:vAlign w:val="bottom"/>
          </w:tcPr>
          <w:p w14:paraId="798458E1"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30 June</w:t>
            </w:r>
          </w:p>
          <w:p w14:paraId="6552B243" w14:textId="2A7E5C7A" w:rsidR="00E41A2E" w:rsidRPr="002D1A2F" w:rsidRDefault="005637CA">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2020</w:t>
            </w:r>
          </w:p>
          <w:p w14:paraId="308D9E37"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$’000</w:t>
            </w:r>
          </w:p>
        </w:tc>
        <w:tc>
          <w:tcPr>
            <w:tcW w:w="991" w:type="pct"/>
            <w:tcBorders>
              <w:bottom w:val="single" w:sz="4" w:space="0" w:color="auto"/>
            </w:tcBorders>
            <w:tcMar>
              <w:top w:w="57" w:type="dxa"/>
              <w:bottom w:w="57" w:type="dxa"/>
            </w:tcMar>
            <w:vAlign w:val="bottom"/>
          </w:tcPr>
          <w:p w14:paraId="43FB70B5"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31 December</w:t>
            </w:r>
          </w:p>
          <w:p w14:paraId="201FA998" w14:textId="48090199"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201</w:t>
            </w:r>
            <w:r w:rsidR="005637CA">
              <w:rPr>
                <w:rFonts w:ascii="Arial" w:hAnsi="Arial" w:cs="Arial"/>
                <w:sz w:val="20"/>
                <w:szCs w:val="20"/>
              </w:rPr>
              <w:t>9</w:t>
            </w:r>
          </w:p>
          <w:p w14:paraId="79B9FDE3"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$’000</w:t>
            </w:r>
          </w:p>
        </w:tc>
      </w:tr>
      <w:tr w:rsidR="00064E4A" w:rsidRPr="00BC678F" w14:paraId="3640D22F" w14:textId="77777777" w:rsidTr="0048637A">
        <w:tc>
          <w:tcPr>
            <w:cnfStyle w:val="001000000000" w:firstRow="0" w:lastRow="0" w:firstColumn="1" w:lastColumn="0" w:oddVBand="0" w:evenVBand="0" w:oddHBand="0" w:evenHBand="0" w:firstRowFirstColumn="0" w:firstRowLastColumn="0" w:lastRowFirstColumn="0" w:lastRowLastColumn="0"/>
            <w:tcW w:w="2957" w:type="pct"/>
            <w:tcBorders>
              <w:top w:val="single" w:sz="4" w:space="0" w:color="auto"/>
            </w:tcBorders>
            <w:tcMar>
              <w:top w:w="57" w:type="dxa"/>
              <w:bottom w:w="57" w:type="dxa"/>
            </w:tcMar>
            <w:vAlign w:val="bottom"/>
          </w:tcPr>
          <w:p w14:paraId="1B924BA5" w14:textId="77777777" w:rsidR="00E41A2E" w:rsidRPr="002D1A2F" w:rsidRDefault="00E41A2E">
            <w:pPr>
              <w:rPr>
                <w:rFonts w:ascii="Arial" w:hAnsi="Arial" w:cs="Arial"/>
                <w:b/>
                <w:sz w:val="20"/>
                <w:szCs w:val="20"/>
              </w:rPr>
            </w:pPr>
            <w:r w:rsidRPr="00DC2064">
              <w:rPr>
                <w:rFonts w:ascii="Arial" w:hAnsi="Arial" w:cs="Arial"/>
                <w:b/>
                <w:sz w:val="20"/>
                <w:szCs w:val="20"/>
              </w:rPr>
              <w:t>Cost</w:t>
            </w:r>
          </w:p>
        </w:tc>
        <w:tc>
          <w:tcPr>
            <w:tcW w:w="1051" w:type="pct"/>
            <w:tcBorders>
              <w:top w:val="single" w:sz="4" w:space="0" w:color="auto"/>
            </w:tcBorders>
            <w:tcMar>
              <w:top w:w="57" w:type="dxa"/>
              <w:bottom w:w="57" w:type="dxa"/>
            </w:tcMar>
            <w:vAlign w:val="bottom"/>
          </w:tcPr>
          <w:p w14:paraId="566CCBBC" w14:textId="77777777" w:rsidR="00E41A2E" w:rsidRPr="002D1A2F" w:rsidRDefault="00E41A2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91" w:type="pct"/>
            <w:tcBorders>
              <w:top w:val="single" w:sz="4" w:space="0" w:color="auto"/>
            </w:tcBorders>
            <w:tcMar>
              <w:top w:w="57" w:type="dxa"/>
              <w:bottom w:w="57" w:type="dxa"/>
            </w:tcMar>
            <w:vAlign w:val="bottom"/>
          </w:tcPr>
          <w:p w14:paraId="26D0E07D" w14:textId="77777777" w:rsidR="00E41A2E" w:rsidRPr="002D1A2F" w:rsidRDefault="00E41A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64E4A" w:rsidRPr="00BC678F" w14:paraId="38026F21" w14:textId="77777777" w:rsidTr="0048637A">
        <w:tc>
          <w:tcPr>
            <w:cnfStyle w:val="001000000000" w:firstRow="0" w:lastRow="0" w:firstColumn="1" w:lastColumn="0" w:oddVBand="0" w:evenVBand="0" w:oddHBand="0" w:evenHBand="0" w:firstRowFirstColumn="0" w:firstRowLastColumn="0" w:lastRowFirstColumn="0" w:lastRowLastColumn="0"/>
            <w:tcW w:w="2957" w:type="pct"/>
            <w:tcMar>
              <w:top w:w="57" w:type="dxa"/>
              <w:bottom w:w="57" w:type="dxa"/>
            </w:tcMar>
            <w:vAlign w:val="bottom"/>
          </w:tcPr>
          <w:p w14:paraId="6FCC2672" w14:textId="77777777" w:rsidR="00E41A2E" w:rsidRPr="002D1A2F" w:rsidRDefault="00E41A2E">
            <w:pPr>
              <w:rPr>
                <w:rFonts w:ascii="Arial" w:hAnsi="Arial" w:cs="Arial"/>
                <w:sz w:val="20"/>
                <w:szCs w:val="20"/>
              </w:rPr>
            </w:pPr>
            <w:r w:rsidRPr="00DC2064">
              <w:rPr>
                <w:rFonts w:ascii="Arial" w:hAnsi="Arial" w:cs="Arial"/>
                <w:sz w:val="20"/>
                <w:szCs w:val="20"/>
              </w:rPr>
              <w:t xml:space="preserve">Brought forward </w:t>
            </w:r>
          </w:p>
        </w:tc>
        <w:tc>
          <w:tcPr>
            <w:tcW w:w="1051" w:type="pct"/>
            <w:tcMar>
              <w:top w:w="57" w:type="dxa"/>
              <w:bottom w:w="57" w:type="dxa"/>
            </w:tcMar>
            <w:vAlign w:val="bottom"/>
          </w:tcPr>
          <w:p w14:paraId="05EBC74C" w14:textId="7828E47F" w:rsidR="00E41A2E" w:rsidRPr="002D1A2F" w:rsidRDefault="00800AA3" w:rsidP="00EB511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1,223,171</w:t>
            </w:r>
          </w:p>
        </w:tc>
        <w:tc>
          <w:tcPr>
            <w:tcW w:w="991" w:type="pct"/>
            <w:tcMar>
              <w:top w:w="57" w:type="dxa"/>
              <w:bottom w:w="57" w:type="dxa"/>
            </w:tcMar>
            <w:vAlign w:val="bottom"/>
          </w:tcPr>
          <w:p w14:paraId="41496708" w14:textId="745485A7" w:rsidR="00E41A2E" w:rsidRPr="002D1A2F" w:rsidRDefault="00F60C87" w:rsidP="005637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r w:rsidR="005637CA">
              <w:rPr>
                <w:rFonts w:ascii="Arial" w:hAnsi="Arial" w:cs="Arial"/>
                <w:sz w:val="20"/>
                <w:szCs w:val="20"/>
              </w:rPr>
              <w:t>225,271</w:t>
            </w:r>
          </w:p>
        </w:tc>
      </w:tr>
      <w:tr w:rsidR="00064E4A" w:rsidRPr="00BC678F" w14:paraId="1DA52B33" w14:textId="77777777" w:rsidTr="0048637A">
        <w:tc>
          <w:tcPr>
            <w:cnfStyle w:val="001000000000" w:firstRow="0" w:lastRow="0" w:firstColumn="1" w:lastColumn="0" w:oddVBand="0" w:evenVBand="0" w:oddHBand="0" w:evenHBand="0" w:firstRowFirstColumn="0" w:firstRowLastColumn="0" w:lastRowFirstColumn="0" w:lastRowLastColumn="0"/>
            <w:tcW w:w="2957" w:type="pct"/>
            <w:tcMar>
              <w:top w:w="57" w:type="dxa"/>
              <w:bottom w:w="57" w:type="dxa"/>
            </w:tcMar>
            <w:vAlign w:val="bottom"/>
          </w:tcPr>
          <w:p w14:paraId="506E1AEE" w14:textId="77777777" w:rsidR="008C2925" w:rsidRPr="002D1A2F" w:rsidRDefault="008C2925">
            <w:pPr>
              <w:rPr>
                <w:rFonts w:ascii="Arial" w:hAnsi="Arial" w:cs="Arial"/>
                <w:sz w:val="20"/>
                <w:szCs w:val="20"/>
              </w:rPr>
            </w:pPr>
            <w:r w:rsidRPr="00DC2064">
              <w:rPr>
                <w:rFonts w:ascii="Arial" w:hAnsi="Arial" w:cs="Arial"/>
                <w:sz w:val="20"/>
                <w:szCs w:val="20"/>
              </w:rPr>
              <w:t>Distribution from the Partnership</w:t>
            </w:r>
          </w:p>
        </w:tc>
        <w:tc>
          <w:tcPr>
            <w:tcW w:w="1051" w:type="pct"/>
            <w:tcMar>
              <w:top w:w="57" w:type="dxa"/>
              <w:bottom w:w="57" w:type="dxa"/>
            </w:tcMar>
            <w:vAlign w:val="bottom"/>
          </w:tcPr>
          <w:p w14:paraId="2B0C036A" w14:textId="53B93B48" w:rsidR="008C2925" w:rsidRPr="002D1A2F" w:rsidRDefault="00800AA3" w:rsidP="00BE04E5">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(41,98</w:t>
            </w:r>
            <w:r w:rsidR="00BE04E5">
              <w:rPr>
                <w:rFonts w:ascii="Arial" w:hAnsi="Arial" w:cs="Arial"/>
                <w:b/>
                <w:sz w:val="20"/>
                <w:szCs w:val="20"/>
              </w:rPr>
              <w:t>0</w:t>
            </w:r>
            <w:r>
              <w:rPr>
                <w:rFonts w:ascii="Arial" w:hAnsi="Arial" w:cs="Arial"/>
                <w:b/>
                <w:sz w:val="20"/>
                <w:szCs w:val="20"/>
              </w:rPr>
              <w:t>)</w:t>
            </w:r>
          </w:p>
        </w:tc>
        <w:tc>
          <w:tcPr>
            <w:tcW w:w="991" w:type="pct"/>
            <w:tcMar>
              <w:top w:w="57" w:type="dxa"/>
              <w:bottom w:w="57" w:type="dxa"/>
            </w:tcMar>
            <w:vAlign w:val="bottom"/>
          </w:tcPr>
          <w:p w14:paraId="06EBC304" w14:textId="20ADDDF7" w:rsidR="008C2925" w:rsidRPr="002D1A2F" w:rsidRDefault="00F60C87" w:rsidP="005637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005637CA">
              <w:rPr>
                <w:rFonts w:ascii="Arial" w:hAnsi="Arial" w:cs="Arial"/>
                <w:sz w:val="20"/>
                <w:szCs w:val="20"/>
              </w:rPr>
              <w:t>2,100</w:t>
            </w:r>
            <w:r>
              <w:rPr>
                <w:rFonts w:ascii="Arial" w:hAnsi="Arial" w:cs="Arial"/>
                <w:sz w:val="20"/>
                <w:szCs w:val="20"/>
              </w:rPr>
              <w:t>)</w:t>
            </w:r>
          </w:p>
        </w:tc>
      </w:tr>
      <w:tr w:rsidR="00064E4A" w:rsidRPr="00BC678F" w14:paraId="0D4D00CC" w14:textId="77777777" w:rsidTr="0048637A">
        <w:tc>
          <w:tcPr>
            <w:cnfStyle w:val="001000000000" w:firstRow="0" w:lastRow="0" w:firstColumn="1" w:lastColumn="0" w:oddVBand="0" w:evenVBand="0" w:oddHBand="0" w:evenHBand="0" w:firstRowFirstColumn="0" w:firstRowLastColumn="0" w:lastRowFirstColumn="0" w:lastRowLastColumn="0"/>
            <w:tcW w:w="2957" w:type="pct"/>
            <w:tcBorders>
              <w:top w:val="single" w:sz="4" w:space="0" w:color="auto"/>
              <w:bottom w:val="single" w:sz="4" w:space="0" w:color="auto"/>
            </w:tcBorders>
            <w:tcMar>
              <w:top w:w="57" w:type="dxa"/>
              <w:bottom w:w="57" w:type="dxa"/>
            </w:tcMar>
            <w:vAlign w:val="bottom"/>
          </w:tcPr>
          <w:p w14:paraId="64770696" w14:textId="77777777" w:rsidR="00E41A2E" w:rsidRPr="002D1A2F" w:rsidRDefault="00E41A2E">
            <w:pPr>
              <w:rPr>
                <w:rFonts w:ascii="Arial" w:hAnsi="Arial" w:cs="Arial"/>
                <w:sz w:val="20"/>
                <w:szCs w:val="20"/>
              </w:rPr>
            </w:pPr>
            <w:r w:rsidRPr="00DC2064">
              <w:rPr>
                <w:rFonts w:ascii="Arial" w:hAnsi="Arial" w:cs="Arial"/>
                <w:sz w:val="20"/>
                <w:szCs w:val="20"/>
              </w:rPr>
              <w:t>Carried forward</w:t>
            </w:r>
          </w:p>
        </w:tc>
        <w:tc>
          <w:tcPr>
            <w:tcW w:w="1051" w:type="pct"/>
            <w:tcBorders>
              <w:top w:val="single" w:sz="4" w:space="0" w:color="auto"/>
              <w:bottom w:val="single" w:sz="4" w:space="0" w:color="auto"/>
            </w:tcBorders>
            <w:tcMar>
              <w:top w:w="57" w:type="dxa"/>
              <w:bottom w:w="57" w:type="dxa"/>
            </w:tcMar>
            <w:vAlign w:val="bottom"/>
          </w:tcPr>
          <w:p w14:paraId="45449823" w14:textId="04240F07" w:rsidR="00E41A2E" w:rsidRPr="002D1A2F" w:rsidRDefault="00800AA3" w:rsidP="00EB511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1,181,19</w:t>
            </w:r>
            <w:r w:rsidR="00BE04E5">
              <w:rPr>
                <w:rFonts w:ascii="Arial" w:hAnsi="Arial" w:cs="Arial"/>
                <w:b/>
                <w:sz w:val="20"/>
                <w:szCs w:val="20"/>
              </w:rPr>
              <w:t>1</w:t>
            </w:r>
          </w:p>
        </w:tc>
        <w:tc>
          <w:tcPr>
            <w:tcW w:w="991" w:type="pct"/>
            <w:tcBorders>
              <w:top w:val="single" w:sz="4" w:space="0" w:color="auto"/>
              <w:bottom w:val="single" w:sz="4" w:space="0" w:color="auto"/>
            </w:tcBorders>
            <w:tcMar>
              <w:top w:w="57" w:type="dxa"/>
              <w:bottom w:w="57" w:type="dxa"/>
            </w:tcMar>
            <w:vAlign w:val="bottom"/>
          </w:tcPr>
          <w:p w14:paraId="738D42EA" w14:textId="1E7C2B3D" w:rsidR="00E41A2E" w:rsidRPr="002D1A2F" w:rsidRDefault="00F60C87" w:rsidP="005637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r w:rsidR="00E9791A">
              <w:rPr>
                <w:rFonts w:ascii="Arial" w:hAnsi="Arial" w:cs="Arial"/>
                <w:sz w:val="20"/>
                <w:szCs w:val="20"/>
              </w:rPr>
              <w:t>22</w:t>
            </w:r>
            <w:r w:rsidR="005637CA">
              <w:rPr>
                <w:rFonts w:ascii="Arial" w:hAnsi="Arial" w:cs="Arial"/>
                <w:sz w:val="20"/>
                <w:szCs w:val="20"/>
              </w:rPr>
              <w:t>3,171</w:t>
            </w:r>
          </w:p>
        </w:tc>
      </w:tr>
      <w:tr w:rsidR="00064E4A" w:rsidRPr="00BC678F" w14:paraId="74283F7E" w14:textId="77777777" w:rsidTr="0048637A">
        <w:tc>
          <w:tcPr>
            <w:cnfStyle w:val="001000000000" w:firstRow="0" w:lastRow="0" w:firstColumn="1" w:lastColumn="0" w:oddVBand="0" w:evenVBand="0" w:oddHBand="0" w:evenHBand="0" w:firstRowFirstColumn="0" w:firstRowLastColumn="0" w:lastRowFirstColumn="0" w:lastRowLastColumn="0"/>
            <w:tcW w:w="2957" w:type="pct"/>
            <w:tcBorders>
              <w:top w:val="single" w:sz="4" w:space="0" w:color="auto"/>
            </w:tcBorders>
            <w:tcMar>
              <w:top w:w="57" w:type="dxa"/>
              <w:bottom w:w="57" w:type="dxa"/>
            </w:tcMar>
            <w:vAlign w:val="bottom"/>
          </w:tcPr>
          <w:p w14:paraId="5E245A44" w14:textId="77777777" w:rsidR="00E41A2E" w:rsidRPr="00DC2064" w:rsidRDefault="00E41A2E">
            <w:pPr>
              <w:rPr>
                <w:rFonts w:ascii="Arial" w:hAnsi="Arial" w:cs="Arial"/>
                <w:sz w:val="20"/>
                <w:szCs w:val="20"/>
              </w:rPr>
            </w:pPr>
          </w:p>
        </w:tc>
        <w:tc>
          <w:tcPr>
            <w:tcW w:w="1051" w:type="pct"/>
            <w:tcBorders>
              <w:top w:val="single" w:sz="4" w:space="0" w:color="auto"/>
            </w:tcBorders>
            <w:tcMar>
              <w:top w:w="57" w:type="dxa"/>
              <w:bottom w:w="57" w:type="dxa"/>
            </w:tcMar>
            <w:vAlign w:val="bottom"/>
          </w:tcPr>
          <w:p w14:paraId="33A7B979" w14:textId="77777777" w:rsidR="00E41A2E" w:rsidRPr="002D1A2F" w:rsidRDefault="00E41A2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91" w:type="pct"/>
            <w:tcBorders>
              <w:top w:val="single" w:sz="4" w:space="0" w:color="auto"/>
            </w:tcBorders>
            <w:tcMar>
              <w:top w:w="57" w:type="dxa"/>
              <w:bottom w:w="57" w:type="dxa"/>
            </w:tcMar>
            <w:vAlign w:val="bottom"/>
          </w:tcPr>
          <w:p w14:paraId="44831778" w14:textId="77777777" w:rsidR="00E41A2E" w:rsidRPr="002D1A2F" w:rsidRDefault="00E41A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64E4A" w:rsidRPr="00BC678F" w14:paraId="70900560" w14:textId="77777777" w:rsidTr="0048637A">
        <w:tc>
          <w:tcPr>
            <w:cnfStyle w:val="001000000000" w:firstRow="0" w:lastRow="0" w:firstColumn="1" w:lastColumn="0" w:oddVBand="0" w:evenVBand="0" w:oddHBand="0" w:evenHBand="0" w:firstRowFirstColumn="0" w:firstRowLastColumn="0" w:lastRowFirstColumn="0" w:lastRowLastColumn="0"/>
            <w:tcW w:w="2957" w:type="pct"/>
            <w:tcMar>
              <w:top w:w="57" w:type="dxa"/>
              <w:bottom w:w="57" w:type="dxa"/>
            </w:tcMar>
            <w:vAlign w:val="bottom"/>
          </w:tcPr>
          <w:p w14:paraId="4718AA00" w14:textId="77777777" w:rsidR="00E41A2E" w:rsidRPr="002D1A2F" w:rsidRDefault="00E41A2E">
            <w:pPr>
              <w:rPr>
                <w:rFonts w:ascii="Arial" w:hAnsi="Arial" w:cs="Arial"/>
                <w:b/>
                <w:sz w:val="20"/>
                <w:szCs w:val="20"/>
              </w:rPr>
            </w:pPr>
            <w:r w:rsidRPr="00DC2064">
              <w:rPr>
                <w:rFonts w:ascii="Arial" w:hAnsi="Arial" w:cs="Arial"/>
                <w:b/>
                <w:sz w:val="20"/>
                <w:szCs w:val="20"/>
              </w:rPr>
              <w:t>Fair value movement through profit or loss</w:t>
            </w:r>
          </w:p>
        </w:tc>
        <w:tc>
          <w:tcPr>
            <w:tcW w:w="1051" w:type="pct"/>
            <w:tcMar>
              <w:top w:w="57" w:type="dxa"/>
              <w:bottom w:w="57" w:type="dxa"/>
            </w:tcMar>
            <w:vAlign w:val="bottom"/>
          </w:tcPr>
          <w:p w14:paraId="183EAB21" w14:textId="77777777" w:rsidR="00E41A2E" w:rsidRPr="002D1A2F" w:rsidRDefault="00E41A2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91" w:type="pct"/>
            <w:tcMar>
              <w:top w:w="57" w:type="dxa"/>
              <w:bottom w:w="57" w:type="dxa"/>
            </w:tcMar>
            <w:vAlign w:val="bottom"/>
          </w:tcPr>
          <w:p w14:paraId="3737BE65" w14:textId="77777777" w:rsidR="00E41A2E" w:rsidRPr="002D1A2F" w:rsidRDefault="00E41A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433C0" w:rsidRPr="00BC678F" w14:paraId="47CB0FC0" w14:textId="77777777" w:rsidTr="0048637A">
        <w:tc>
          <w:tcPr>
            <w:cnfStyle w:val="001000000000" w:firstRow="0" w:lastRow="0" w:firstColumn="1" w:lastColumn="0" w:oddVBand="0" w:evenVBand="0" w:oddHBand="0" w:evenHBand="0" w:firstRowFirstColumn="0" w:firstRowLastColumn="0" w:lastRowFirstColumn="0" w:lastRowLastColumn="0"/>
            <w:tcW w:w="2957" w:type="pct"/>
            <w:tcMar>
              <w:top w:w="57" w:type="dxa"/>
              <w:bottom w:w="57" w:type="dxa"/>
            </w:tcMar>
            <w:vAlign w:val="bottom"/>
          </w:tcPr>
          <w:p w14:paraId="602B2829" w14:textId="77777777" w:rsidR="00D433C0" w:rsidRPr="002D1A2F" w:rsidRDefault="00D433C0">
            <w:pPr>
              <w:rPr>
                <w:rFonts w:ascii="Arial" w:hAnsi="Arial" w:cs="Arial"/>
                <w:sz w:val="20"/>
                <w:szCs w:val="20"/>
              </w:rPr>
            </w:pPr>
            <w:r w:rsidRPr="00DC2064">
              <w:rPr>
                <w:rFonts w:ascii="Arial" w:hAnsi="Arial" w:cs="Arial"/>
                <w:sz w:val="20"/>
                <w:szCs w:val="20"/>
              </w:rPr>
              <w:t xml:space="preserve">Brought forward </w:t>
            </w:r>
          </w:p>
        </w:tc>
        <w:tc>
          <w:tcPr>
            <w:tcW w:w="1051" w:type="pct"/>
            <w:tcMar>
              <w:top w:w="57" w:type="dxa"/>
              <w:bottom w:w="57" w:type="dxa"/>
            </w:tcMar>
            <w:vAlign w:val="center"/>
          </w:tcPr>
          <w:p w14:paraId="72B0A97F" w14:textId="7297384E" w:rsidR="00D433C0" w:rsidRPr="00D433C0" w:rsidRDefault="00800AA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(450,449)</w:t>
            </w:r>
          </w:p>
        </w:tc>
        <w:tc>
          <w:tcPr>
            <w:tcW w:w="991" w:type="pct"/>
            <w:tcMar>
              <w:top w:w="57" w:type="dxa"/>
              <w:bottom w:w="57" w:type="dxa"/>
            </w:tcMar>
            <w:vAlign w:val="bottom"/>
          </w:tcPr>
          <w:p w14:paraId="7E636FF5" w14:textId="762E8424" w:rsidR="00D433C0" w:rsidRPr="002D1A2F" w:rsidRDefault="005637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203,714</w:t>
            </w:r>
          </w:p>
        </w:tc>
      </w:tr>
      <w:tr w:rsidR="00D433C0" w:rsidRPr="00BC678F" w14:paraId="351D887A" w14:textId="77777777" w:rsidTr="0048637A">
        <w:tc>
          <w:tcPr>
            <w:cnfStyle w:val="001000000000" w:firstRow="0" w:lastRow="0" w:firstColumn="1" w:lastColumn="0" w:oddVBand="0" w:evenVBand="0" w:oddHBand="0" w:evenHBand="0" w:firstRowFirstColumn="0" w:firstRowLastColumn="0" w:lastRowFirstColumn="0" w:lastRowLastColumn="0"/>
            <w:tcW w:w="2957" w:type="pct"/>
            <w:tcBorders>
              <w:bottom w:val="single" w:sz="4" w:space="0" w:color="auto"/>
            </w:tcBorders>
            <w:tcMar>
              <w:top w:w="57" w:type="dxa"/>
              <w:bottom w:w="57" w:type="dxa"/>
            </w:tcMar>
            <w:vAlign w:val="bottom"/>
          </w:tcPr>
          <w:p w14:paraId="54281B6E" w14:textId="377A2309" w:rsidR="00D433C0" w:rsidRPr="002D1A2F" w:rsidRDefault="00D433C0">
            <w:pPr>
              <w:rPr>
                <w:rFonts w:ascii="Arial" w:hAnsi="Arial" w:cs="Arial"/>
                <w:sz w:val="20"/>
                <w:szCs w:val="20"/>
              </w:rPr>
            </w:pPr>
            <w:r w:rsidRPr="00DC2064">
              <w:rPr>
                <w:rFonts w:ascii="Arial" w:hAnsi="Arial" w:cs="Arial"/>
                <w:sz w:val="20"/>
                <w:szCs w:val="20"/>
              </w:rPr>
              <w:t>Fair value movement during period/year</w:t>
            </w:r>
            <w:r w:rsidR="00882D43">
              <w:rPr>
                <w:rFonts w:ascii="Arial" w:hAnsi="Arial" w:cs="Arial"/>
                <w:sz w:val="20"/>
                <w:szCs w:val="20"/>
              </w:rPr>
              <w:t xml:space="preserve"> – see Summary Income Statement below</w:t>
            </w:r>
          </w:p>
        </w:tc>
        <w:tc>
          <w:tcPr>
            <w:tcW w:w="1051" w:type="pct"/>
            <w:tcBorders>
              <w:bottom w:val="single" w:sz="4" w:space="0" w:color="auto"/>
            </w:tcBorders>
            <w:tcMar>
              <w:top w:w="57" w:type="dxa"/>
              <w:bottom w:w="57" w:type="dxa"/>
            </w:tcMar>
            <w:vAlign w:val="bottom"/>
          </w:tcPr>
          <w:p w14:paraId="21B12D45" w14:textId="76613929" w:rsidR="00D433C0" w:rsidRPr="00D433C0" w:rsidRDefault="00800AA3" w:rsidP="00F671D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(353,9</w:t>
            </w:r>
            <w:r w:rsidR="00BE04E5">
              <w:rPr>
                <w:rFonts w:ascii="Arial" w:hAnsi="Arial" w:cs="Arial"/>
                <w:b/>
                <w:sz w:val="20"/>
                <w:szCs w:val="20"/>
              </w:rPr>
              <w:t>27</w:t>
            </w:r>
            <w:r>
              <w:rPr>
                <w:rFonts w:ascii="Arial" w:hAnsi="Arial" w:cs="Arial"/>
                <w:b/>
                <w:sz w:val="20"/>
                <w:szCs w:val="20"/>
              </w:rPr>
              <w:t>)</w:t>
            </w:r>
          </w:p>
        </w:tc>
        <w:tc>
          <w:tcPr>
            <w:tcW w:w="991" w:type="pct"/>
            <w:tcBorders>
              <w:bottom w:val="single" w:sz="4" w:space="0" w:color="auto"/>
            </w:tcBorders>
            <w:tcMar>
              <w:top w:w="57" w:type="dxa"/>
              <w:bottom w:w="57" w:type="dxa"/>
            </w:tcMar>
            <w:vAlign w:val="bottom"/>
          </w:tcPr>
          <w:p w14:paraId="25226F88" w14:textId="1786D7B0" w:rsidR="00D433C0" w:rsidRPr="002D1A2F" w:rsidRDefault="00E9791A" w:rsidP="005637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005637CA">
              <w:rPr>
                <w:rFonts w:ascii="Arial" w:hAnsi="Arial" w:cs="Arial"/>
                <w:sz w:val="20"/>
                <w:szCs w:val="20"/>
              </w:rPr>
              <w:t>654,163</w:t>
            </w:r>
            <w:r>
              <w:rPr>
                <w:rFonts w:ascii="Arial" w:hAnsi="Arial" w:cs="Arial"/>
                <w:sz w:val="20"/>
                <w:szCs w:val="20"/>
              </w:rPr>
              <w:t>)</w:t>
            </w:r>
          </w:p>
        </w:tc>
      </w:tr>
      <w:tr w:rsidR="00D433C0" w:rsidRPr="00BC678F" w14:paraId="32B001B8" w14:textId="77777777" w:rsidTr="0048637A">
        <w:tc>
          <w:tcPr>
            <w:cnfStyle w:val="001000000000" w:firstRow="0" w:lastRow="0" w:firstColumn="1" w:lastColumn="0" w:oddVBand="0" w:evenVBand="0" w:oddHBand="0" w:evenHBand="0" w:firstRowFirstColumn="0" w:firstRowLastColumn="0" w:lastRowFirstColumn="0" w:lastRowLastColumn="0"/>
            <w:tcW w:w="2957" w:type="pct"/>
            <w:tcBorders>
              <w:top w:val="single" w:sz="4" w:space="0" w:color="auto"/>
              <w:bottom w:val="single" w:sz="4" w:space="0" w:color="auto"/>
            </w:tcBorders>
            <w:tcMar>
              <w:top w:w="57" w:type="dxa"/>
              <w:bottom w:w="57" w:type="dxa"/>
            </w:tcMar>
            <w:vAlign w:val="bottom"/>
          </w:tcPr>
          <w:p w14:paraId="49098284" w14:textId="77777777" w:rsidR="00D433C0" w:rsidRPr="002D1A2F" w:rsidRDefault="00D433C0">
            <w:pPr>
              <w:rPr>
                <w:rFonts w:ascii="Arial" w:hAnsi="Arial" w:cs="Arial"/>
                <w:sz w:val="20"/>
                <w:szCs w:val="20"/>
              </w:rPr>
            </w:pPr>
            <w:r w:rsidRPr="00DC2064">
              <w:rPr>
                <w:rFonts w:ascii="Arial" w:hAnsi="Arial" w:cs="Arial"/>
                <w:sz w:val="20"/>
                <w:szCs w:val="20"/>
              </w:rPr>
              <w:t>Carried forward</w:t>
            </w:r>
          </w:p>
        </w:tc>
        <w:tc>
          <w:tcPr>
            <w:tcW w:w="1051" w:type="pct"/>
            <w:tcBorders>
              <w:top w:val="single" w:sz="4" w:space="0" w:color="auto"/>
              <w:bottom w:val="single" w:sz="4" w:space="0" w:color="auto"/>
            </w:tcBorders>
            <w:tcMar>
              <w:top w:w="57" w:type="dxa"/>
              <w:bottom w:w="57" w:type="dxa"/>
            </w:tcMar>
            <w:vAlign w:val="center"/>
          </w:tcPr>
          <w:p w14:paraId="0CE0E5C3" w14:textId="0ADACDE3" w:rsidR="00D433C0" w:rsidRPr="00D433C0" w:rsidRDefault="00800AA3" w:rsidP="00BE04E5">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(804,3</w:t>
            </w:r>
            <w:r w:rsidR="00BE04E5">
              <w:rPr>
                <w:rFonts w:ascii="Arial" w:hAnsi="Arial" w:cs="Arial"/>
                <w:b/>
                <w:sz w:val="20"/>
                <w:szCs w:val="20"/>
              </w:rPr>
              <w:t>7</w:t>
            </w:r>
            <w:r>
              <w:rPr>
                <w:rFonts w:ascii="Arial" w:hAnsi="Arial" w:cs="Arial"/>
                <w:b/>
                <w:sz w:val="20"/>
                <w:szCs w:val="20"/>
              </w:rPr>
              <w:t>6)</w:t>
            </w:r>
          </w:p>
        </w:tc>
        <w:tc>
          <w:tcPr>
            <w:tcW w:w="991" w:type="pct"/>
            <w:tcBorders>
              <w:top w:val="single" w:sz="4" w:space="0" w:color="auto"/>
              <w:bottom w:val="single" w:sz="4" w:space="0" w:color="auto"/>
            </w:tcBorders>
            <w:tcMar>
              <w:top w:w="57" w:type="dxa"/>
              <w:bottom w:w="57" w:type="dxa"/>
            </w:tcMar>
            <w:vAlign w:val="bottom"/>
          </w:tcPr>
          <w:p w14:paraId="2ADB1B38" w14:textId="37D07728" w:rsidR="00D433C0" w:rsidRPr="002D1A2F" w:rsidRDefault="005637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(450,449)</w:t>
            </w:r>
          </w:p>
        </w:tc>
      </w:tr>
      <w:tr w:rsidR="00D433C0" w:rsidRPr="00BC678F" w14:paraId="069C43B1" w14:textId="77777777" w:rsidTr="0048637A">
        <w:tc>
          <w:tcPr>
            <w:cnfStyle w:val="001000000000" w:firstRow="0" w:lastRow="0" w:firstColumn="1" w:lastColumn="0" w:oddVBand="0" w:evenVBand="0" w:oddHBand="0" w:evenHBand="0" w:firstRowFirstColumn="0" w:firstRowLastColumn="0" w:lastRowFirstColumn="0" w:lastRowLastColumn="0"/>
            <w:tcW w:w="2957" w:type="pct"/>
            <w:tcBorders>
              <w:top w:val="single" w:sz="4" w:space="0" w:color="auto"/>
              <w:bottom w:val="single" w:sz="18" w:space="0" w:color="auto"/>
            </w:tcBorders>
            <w:tcMar>
              <w:top w:w="57" w:type="dxa"/>
              <w:bottom w:w="57" w:type="dxa"/>
            </w:tcMar>
            <w:vAlign w:val="bottom"/>
          </w:tcPr>
          <w:p w14:paraId="253EC989" w14:textId="77777777" w:rsidR="00D433C0" w:rsidRPr="002D1A2F" w:rsidRDefault="00D433C0">
            <w:pPr>
              <w:rPr>
                <w:rFonts w:ascii="Arial" w:hAnsi="Arial" w:cs="Arial"/>
                <w:b/>
                <w:sz w:val="20"/>
                <w:szCs w:val="20"/>
              </w:rPr>
            </w:pPr>
            <w:r w:rsidRPr="00DC2064">
              <w:rPr>
                <w:rFonts w:ascii="Arial" w:hAnsi="Arial" w:cs="Arial"/>
                <w:b/>
                <w:sz w:val="20"/>
                <w:szCs w:val="20"/>
              </w:rPr>
              <w:t>Fair value at period/year end</w:t>
            </w:r>
          </w:p>
        </w:tc>
        <w:tc>
          <w:tcPr>
            <w:tcW w:w="1051" w:type="pct"/>
            <w:tcBorders>
              <w:top w:val="single" w:sz="4" w:space="0" w:color="auto"/>
              <w:bottom w:val="single" w:sz="18" w:space="0" w:color="auto"/>
            </w:tcBorders>
            <w:tcMar>
              <w:top w:w="57" w:type="dxa"/>
              <w:bottom w:w="57" w:type="dxa"/>
            </w:tcMar>
            <w:vAlign w:val="center"/>
          </w:tcPr>
          <w:p w14:paraId="74C65080" w14:textId="071937D6" w:rsidR="00D433C0" w:rsidRPr="00D433C0" w:rsidRDefault="00800AA3" w:rsidP="00BE04E5">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376,8</w:t>
            </w:r>
            <w:r w:rsidR="00BE04E5">
              <w:rPr>
                <w:rFonts w:ascii="Arial" w:hAnsi="Arial" w:cs="Arial"/>
                <w:b/>
                <w:sz w:val="20"/>
                <w:szCs w:val="20"/>
              </w:rPr>
              <w:t>1</w:t>
            </w:r>
            <w:r>
              <w:rPr>
                <w:rFonts w:ascii="Arial" w:hAnsi="Arial" w:cs="Arial"/>
                <w:b/>
                <w:sz w:val="20"/>
                <w:szCs w:val="20"/>
              </w:rPr>
              <w:t>5</w:t>
            </w:r>
          </w:p>
        </w:tc>
        <w:tc>
          <w:tcPr>
            <w:tcW w:w="991" w:type="pct"/>
            <w:tcBorders>
              <w:top w:val="single" w:sz="4" w:space="0" w:color="auto"/>
              <w:bottom w:val="single" w:sz="18" w:space="0" w:color="auto"/>
            </w:tcBorders>
            <w:tcMar>
              <w:top w:w="57" w:type="dxa"/>
              <w:bottom w:w="57" w:type="dxa"/>
            </w:tcMar>
            <w:vAlign w:val="bottom"/>
          </w:tcPr>
          <w:p w14:paraId="770B467E" w14:textId="50947C6B" w:rsidR="00D433C0" w:rsidRPr="002D1A2F" w:rsidRDefault="005637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772,722</w:t>
            </w:r>
          </w:p>
        </w:tc>
      </w:tr>
    </w:tbl>
    <w:p w14:paraId="33DD90C7" w14:textId="77777777" w:rsidR="00E41A2E" w:rsidRPr="00DC2064" w:rsidRDefault="00E41A2E">
      <w:pPr>
        <w:tabs>
          <w:tab w:val="left" w:pos="6903"/>
        </w:tabs>
        <w:ind w:left="567"/>
        <w:rPr>
          <w:rFonts w:ascii="Arial" w:hAnsi="Arial" w:cs="Arial"/>
          <w:sz w:val="20"/>
          <w:szCs w:val="20"/>
        </w:rPr>
      </w:pPr>
    </w:p>
    <w:p w14:paraId="5607F3F7" w14:textId="77777777" w:rsidR="00E41A2E" w:rsidRPr="002D1A2F" w:rsidRDefault="00E41A2E">
      <w:pPr>
        <w:tabs>
          <w:tab w:val="left" w:pos="6903"/>
        </w:tabs>
        <w:ind w:left="567"/>
        <w:rPr>
          <w:rFonts w:ascii="Arial" w:hAnsi="Arial" w:cs="Arial"/>
        </w:rPr>
      </w:pPr>
    </w:p>
    <w:p w14:paraId="0A272420" w14:textId="77777777" w:rsidR="00E41A2E" w:rsidRPr="002D1A2F" w:rsidRDefault="00E41A2E">
      <w:pPr>
        <w:ind w:left="1134" w:hanging="567"/>
        <w:outlineLvl w:val="2"/>
        <w:rPr>
          <w:rFonts w:ascii="Arial" w:hAnsi="Arial" w:cs="Arial"/>
          <w:sz w:val="26"/>
          <w:szCs w:val="26"/>
        </w:rPr>
      </w:pPr>
      <w:r w:rsidRPr="002D1A2F">
        <w:rPr>
          <w:rFonts w:ascii="Arial" w:hAnsi="Arial" w:cs="Arial"/>
          <w:sz w:val="26"/>
          <w:szCs w:val="26"/>
        </w:rPr>
        <w:t>Summary financial information for the Partnership</w:t>
      </w:r>
    </w:p>
    <w:tbl>
      <w:tblPr>
        <w:tblStyle w:val="TableGrid3"/>
        <w:tblW w:w="4608" w:type="pct"/>
        <w:tblInd w:w="675" w:type="dxa"/>
        <w:tblLook w:val="04A0" w:firstRow="1" w:lastRow="0" w:firstColumn="1" w:lastColumn="0" w:noHBand="0" w:noVBand="1"/>
      </w:tblPr>
      <w:tblGrid>
        <w:gridCol w:w="5686"/>
        <w:gridCol w:w="1646"/>
        <w:gridCol w:w="1682"/>
      </w:tblGrid>
      <w:tr w:rsidR="00064E4A" w:rsidRPr="00BC678F" w14:paraId="57E3CAAE" w14:textId="77777777" w:rsidTr="00AE7818">
        <w:trPr>
          <w:cnfStyle w:val="100000000000" w:firstRow="1" w:lastRow="0" w:firstColumn="0" w:lastColumn="0" w:oddVBand="0" w:evenVBand="0" w:oddHBand="0"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3154" w:type="pct"/>
            <w:tcBorders>
              <w:bottom w:val="single" w:sz="4" w:space="0" w:color="auto"/>
            </w:tcBorders>
            <w:tcMar>
              <w:top w:w="57" w:type="dxa"/>
              <w:bottom w:w="57" w:type="dxa"/>
            </w:tcMar>
            <w:vAlign w:val="bottom"/>
          </w:tcPr>
          <w:p w14:paraId="41D7922A" w14:textId="77777777" w:rsidR="00AE7818" w:rsidRDefault="00AE7818" w:rsidP="00AE7818">
            <w:pPr>
              <w:tabs>
                <w:tab w:val="left" w:pos="6903"/>
              </w:tabs>
              <w:jc w:val="left"/>
              <w:rPr>
                <w:rFonts w:ascii="Arial" w:hAnsi="Arial" w:cs="Arial"/>
                <w:sz w:val="26"/>
                <w:szCs w:val="26"/>
              </w:rPr>
            </w:pPr>
          </w:p>
          <w:p w14:paraId="060F213D" w14:textId="77777777" w:rsidR="00E41A2E" w:rsidRPr="00AE7818" w:rsidRDefault="00AE7818" w:rsidP="00AE7818">
            <w:pPr>
              <w:jc w:val="left"/>
              <w:rPr>
                <w:rFonts w:ascii="Arial" w:hAnsi="Arial" w:cs="Arial"/>
                <w:b/>
                <w:sz w:val="20"/>
                <w:szCs w:val="20"/>
              </w:rPr>
            </w:pPr>
            <w:r w:rsidRPr="00AE7818">
              <w:rPr>
                <w:rFonts w:ascii="Arial" w:hAnsi="Arial" w:cs="Arial"/>
                <w:b/>
                <w:sz w:val="20"/>
                <w:szCs w:val="20"/>
              </w:rPr>
              <w:t>Summary Balance Sheet</w:t>
            </w:r>
          </w:p>
        </w:tc>
        <w:tc>
          <w:tcPr>
            <w:tcW w:w="913" w:type="pct"/>
            <w:tcBorders>
              <w:bottom w:val="single" w:sz="4" w:space="0" w:color="auto"/>
            </w:tcBorders>
            <w:tcMar>
              <w:top w:w="57" w:type="dxa"/>
              <w:bottom w:w="57" w:type="dxa"/>
            </w:tcMar>
            <w:vAlign w:val="bottom"/>
          </w:tcPr>
          <w:p w14:paraId="0D7ADBAF"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30 June</w:t>
            </w:r>
          </w:p>
          <w:p w14:paraId="3D4A76BB" w14:textId="3D50AB45" w:rsidR="00E41A2E" w:rsidRPr="002D1A2F" w:rsidRDefault="005637CA">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2020</w:t>
            </w:r>
          </w:p>
          <w:p w14:paraId="6CB9B993"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$’000</w:t>
            </w:r>
          </w:p>
        </w:tc>
        <w:tc>
          <w:tcPr>
            <w:tcW w:w="933" w:type="pct"/>
            <w:tcBorders>
              <w:bottom w:val="single" w:sz="4" w:space="0" w:color="auto"/>
            </w:tcBorders>
            <w:tcMar>
              <w:top w:w="57" w:type="dxa"/>
              <w:bottom w:w="57" w:type="dxa"/>
            </w:tcMar>
            <w:vAlign w:val="bottom"/>
          </w:tcPr>
          <w:p w14:paraId="2C112DD8"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31 December</w:t>
            </w:r>
          </w:p>
          <w:p w14:paraId="2A189176" w14:textId="1B703615"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201</w:t>
            </w:r>
            <w:r w:rsidR="005637CA">
              <w:rPr>
                <w:rFonts w:ascii="Arial" w:hAnsi="Arial" w:cs="Arial"/>
                <w:sz w:val="20"/>
                <w:szCs w:val="20"/>
              </w:rPr>
              <w:t>9</w:t>
            </w:r>
          </w:p>
          <w:p w14:paraId="0B91151E"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$’000</w:t>
            </w:r>
          </w:p>
        </w:tc>
      </w:tr>
      <w:tr w:rsidR="000B6589" w:rsidRPr="00BC678F" w14:paraId="267DE945" w14:textId="77777777" w:rsidTr="006F1C57">
        <w:tc>
          <w:tcPr>
            <w:cnfStyle w:val="001000000000" w:firstRow="0" w:lastRow="0" w:firstColumn="1" w:lastColumn="0" w:oddVBand="0" w:evenVBand="0" w:oddHBand="0" w:evenHBand="0" w:firstRowFirstColumn="0" w:firstRowLastColumn="0" w:lastRowFirstColumn="0" w:lastRowLastColumn="0"/>
            <w:tcW w:w="3154" w:type="pct"/>
            <w:tcBorders>
              <w:top w:val="single" w:sz="4" w:space="0" w:color="auto"/>
            </w:tcBorders>
            <w:tcMar>
              <w:top w:w="57" w:type="dxa"/>
              <w:bottom w:w="57" w:type="dxa"/>
            </w:tcMar>
            <w:vAlign w:val="bottom"/>
          </w:tcPr>
          <w:p w14:paraId="58E36A8C" w14:textId="77777777" w:rsidR="000B6589" w:rsidRPr="002D1A2F" w:rsidRDefault="000B6589">
            <w:pPr>
              <w:rPr>
                <w:rFonts w:ascii="Arial" w:hAnsi="Arial" w:cs="Arial"/>
                <w:sz w:val="20"/>
                <w:szCs w:val="20"/>
              </w:rPr>
            </w:pPr>
            <w:r w:rsidRPr="00DC2064">
              <w:rPr>
                <w:rFonts w:ascii="Arial" w:hAnsi="Arial" w:cs="Arial"/>
                <w:sz w:val="20"/>
                <w:szCs w:val="20"/>
              </w:rPr>
              <w:t>Investments at fair value (net)</w:t>
            </w:r>
          </w:p>
        </w:tc>
        <w:tc>
          <w:tcPr>
            <w:tcW w:w="913" w:type="pct"/>
            <w:tcBorders>
              <w:top w:val="single" w:sz="4" w:space="0" w:color="auto"/>
            </w:tcBorders>
            <w:tcMar>
              <w:top w:w="57" w:type="dxa"/>
              <w:bottom w:w="57" w:type="dxa"/>
            </w:tcMar>
            <w:vAlign w:val="center"/>
          </w:tcPr>
          <w:p w14:paraId="277B67EF" w14:textId="6D7FD352" w:rsidR="000B6589" w:rsidRPr="000B6589" w:rsidRDefault="00800AA3" w:rsidP="00C37C8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243,8</w:t>
            </w:r>
            <w:r w:rsidR="00BE04E5">
              <w:rPr>
                <w:rFonts w:ascii="Arial" w:hAnsi="Arial" w:cs="Arial"/>
                <w:b/>
                <w:sz w:val="20"/>
                <w:szCs w:val="20"/>
              </w:rPr>
              <w:t>77</w:t>
            </w:r>
          </w:p>
        </w:tc>
        <w:tc>
          <w:tcPr>
            <w:tcW w:w="933" w:type="pct"/>
            <w:tcBorders>
              <w:top w:val="single" w:sz="4" w:space="0" w:color="auto"/>
            </w:tcBorders>
            <w:tcMar>
              <w:top w:w="57" w:type="dxa"/>
              <w:bottom w:w="57" w:type="dxa"/>
            </w:tcMar>
            <w:vAlign w:val="bottom"/>
          </w:tcPr>
          <w:p w14:paraId="444F04F4" w14:textId="39B35CDB" w:rsidR="000B6589" w:rsidRPr="002D1A2F" w:rsidRDefault="005637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612,289</w:t>
            </w:r>
          </w:p>
        </w:tc>
      </w:tr>
      <w:tr w:rsidR="000B6589" w:rsidRPr="00BC678F" w14:paraId="00F39341" w14:textId="77777777" w:rsidTr="006F1C57">
        <w:tc>
          <w:tcPr>
            <w:cnfStyle w:val="001000000000" w:firstRow="0" w:lastRow="0" w:firstColumn="1" w:lastColumn="0" w:oddVBand="0" w:evenVBand="0" w:oddHBand="0" w:evenHBand="0" w:firstRowFirstColumn="0" w:firstRowLastColumn="0" w:lastRowFirstColumn="0" w:lastRowLastColumn="0"/>
            <w:tcW w:w="3154" w:type="pct"/>
            <w:tcMar>
              <w:top w:w="57" w:type="dxa"/>
              <w:bottom w:w="57" w:type="dxa"/>
            </w:tcMar>
            <w:vAlign w:val="bottom"/>
          </w:tcPr>
          <w:p w14:paraId="476AD3BB" w14:textId="77786204" w:rsidR="000B6589" w:rsidRPr="002D1A2F" w:rsidRDefault="000B6589">
            <w:pPr>
              <w:rPr>
                <w:rFonts w:ascii="Arial" w:hAnsi="Arial" w:cs="Arial"/>
                <w:sz w:val="20"/>
                <w:szCs w:val="20"/>
              </w:rPr>
            </w:pPr>
            <w:r w:rsidRPr="00DC2064">
              <w:rPr>
                <w:rFonts w:ascii="Arial" w:hAnsi="Arial" w:cs="Arial"/>
                <w:sz w:val="20"/>
                <w:szCs w:val="20"/>
              </w:rPr>
              <w:t>Cash and cash equivalents</w:t>
            </w:r>
            <w:r w:rsidR="00882D43">
              <w:rPr>
                <w:rFonts w:ascii="Arial" w:hAnsi="Arial" w:cs="Arial"/>
                <w:sz w:val="20"/>
                <w:szCs w:val="20"/>
              </w:rPr>
              <w:t xml:space="preserve"> </w:t>
            </w:r>
            <w:r w:rsidR="00882D43" w:rsidRPr="00882D43">
              <w:rPr>
                <w:rFonts w:ascii="Arial" w:hAnsi="Arial" w:cs="Arial"/>
                <w:sz w:val="20"/>
                <w:szCs w:val="20"/>
                <w:vertAlign w:val="superscript"/>
              </w:rPr>
              <w:t>(1)</w:t>
            </w:r>
          </w:p>
        </w:tc>
        <w:tc>
          <w:tcPr>
            <w:tcW w:w="913" w:type="pct"/>
            <w:tcMar>
              <w:top w:w="57" w:type="dxa"/>
              <w:bottom w:w="57" w:type="dxa"/>
            </w:tcMar>
            <w:vAlign w:val="center"/>
          </w:tcPr>
          <w:p w14:paraId="68499AB4" w14:textId="31BE9CA0" w:rsidR="000B6589" w:rsidRPr="000B6589" w:rsidRDefault="00800AA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44,245</w:t>
            </w:r>
          </w:p>
        </w:tc>
        <w:tc>
          <w:tcPr>
            <w:tcW w:w="933" w:type="pct"/>
            <w:tcMar>
              <w:top w:w="57" w:type="dxa"/>
              <w:bottom w:w="57" w:type="dxa"/>
            </w:tcMar>
            <w:vAlign w:val="bottom"/>
          </w:tcPr>
          <w:p w14:paraId="6AC0C933" w14:textId="128E0B8A" w:rsidR="000B6589" w:rsidRPr="002D1A2F" w:rsidRDefault="005637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28,382</w:t>
            </w:r>
          </w:p>
        </w:tc>
      </w:tr>
      <w:tr w:rsidR="000B6589" w:rsidRPr="00BC678F" w14:paraId="4AA8F6D1" w14:textId="77777777" w:rsidTr="006F1C57">
        <w:tc>
          <w:tcPr>
            <w:cnfStyle w:val="001000000000" w:firstRow="0" w:lastRow="0" w:firstColumn="1" w:lastColumn="0" w:oddVBand="0" w:evenVBand="0" w:oddHBand="0" w:evenHBand="0" w:firstRowFirstColumn="0" w:firstRowLastColumn="0" w:lastRowFirstColumn="0" w:lastRowLastColumn="0"/>
            <w:tcW w:w="3154" w:type="pct"/>
            <w:tcMar>
              <w:top w:w="57" w:type="dxa"/>
              <w:bottom w:w="57" w:type="dxa"/>
            </w:tcMar>
            <w:vAlign w:val="bottom"/>
          </w:tcPr>
          <w:p w14:paraId="1B64E368" w14:textId="447EA20F" w:rsidR="000B6589" w:rsidRPr="002D1A2F" w:rsidRDefault="000B6589">
            <w:pPr>
              <w:rPr>
                <w:rFonts w:ascii="Arial" w:hAnsi="Arial" w:cs="Arial"/>
                <w:sz w:val="20"/>
                <w:szCs w:val="20"/>
              </w:rPr>
            </w:pPr>
            <w:r w:rsidRPr="00DC2064">
              <w:rPr>
                <w:rFonts w:ascii="Arial" w:hAnsi="Arial" w:cs="Arial"/>
                <w:sz w:val="20"/>
                <w:szCs w:val="20"/>
              </w:rPr>
              <w:t>Money market fixed deposits</w:t>
            </w:r>
            <w:r w:rsidR="00882D43">
              <w:rPr>
                <w:rFonts w:ascii="Arial" w:hAnsi="Arial" w:cs="Arial"/>
                <w:sz w:val="20"/>
                <w:szCs w:val="20"/>
              </w:rPr>
              <w:t xml:space="preserve"> </w:t>
            </w:r>
            <w:r w:rsidR="00882D43" w:rsidRPr="00882D43">
              <w:rPr>
                <w:rFonts w:ascii="Arial" w:hAnsi="Arial" w:cs="Arial"/>
                <w:sz w:val="20"/>
                <w:szCs w:val="20"/>
                <w:vertAlign w:val="superscript"/>
              </w:rPr>
              <w:t>(1)</w:t>
            </w:r>
          </w:p>
        </w:tc>
        <w:tc>
          <w:tcPr>
            <w:tcW w:w="913" w:type="pct"/>
            <w:tcMar>
              <w:top w:w="57" w:type="dxa"/>
              <w:bottom w:w="57" w:type="dxa"/>
            </w:tcMar>
            <w:vAlign w:val="center"/>
          </w:tcPr>
          <w:p w14:paraId="0874C881" w14:textId="788B752C" w:rsidR="000B6589" w:rsidRPr="000B6589" w:rsidRDefault="00800AA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91,306</w:t>
            </w:r>
          </w:p>
        </w:tc>
        <w:tc>
          <w:tcPr>
            <w:tcW w:w="933" w:type="pct"/>
            <w:tcMar>
              <w:top w:w="57" w:type="dxa"/>
              <w:bottom w:w="57" w:type="dxa"/>
            </w:tcMar>
            <w:vAlign w:val="bottom"/>
          </w:tcPr>
          <w:p w14:paraId="033CB2EE" w14:textId="5DA704FC" w:rsidR="000B6589" w:rsidRPr="002D1A2F" w:rsidRDefault="005637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134,975</w:t>
            </w:r>
          </w:p>
        </w:tc>
      </w:tr>
      <w:tr w:rsidR="000B6589" w:rsidRPr="00BC678F" w14:paraId="2942E54F" w14:textId="77777777" w:rsidTr="006F1C57">
        <w:tc>
          <w:tcPr>
            <w:cnfStyle w:val="001000000000" w:firstRow="0" w:lastRow="0" w:firstColumn="1" w:lastColumn="0" w:oddVBand="0" w:evenVBand="0" w:oddHBand="0" w:evenHBand="0" w:firstRowFirstColumn="0" w:firstRowLastColumn="0" w:lastRowFirstColumn="0" w:lastRowLastColumn="0"/>
            <w:tcW w:w="3154" w:type="pct"/>
            <w:tcMar>
              <w:top w:w="57" w:type="dxa"/>
              <w:bottom w:w="57" w:type="dxa"/>
            </w:tcMar>
            <w:vAlign w:val="bottom"/>
          </w:tcPr>
          <w:p w14:paraId="4F118169" w14:textId="0D3C7061" w:rsidR="000B6589" w:rsidRPr="002D1A2F" w:rsidRDefault="000B6589" w:rsidP="0020549A">
            <w:pPr>
              <w:rPr>
                <w:rFonts w:ascii="Arial" w:hAnsi="Arial" w:cs="Arial"/>
                <w:sz w:val="20"/>
                <w:szCs w:val="20"/>
              </w:rPr>
            </w:pPr>
            <w:r w:rsidRPr="00DC2064">
              <w:rPr>
                <w:rFonts w:ascii="Arial" w:hAnsi="Arial" w:cs="Arial"/>
                <w:sz w:val="20"/>
                <w:szCs w:val="20"/>
              </w:rPr>
              <w:lastRenderedPageBreak/>
              <w:t xml:space="preserve">Management fee payable – see Note </w:t>
            </w:r>
            <w:r w:rsidR="0020549A">
              <w:rPr>
                <w:rFonts w:ascii="Arial" w:hAnsi="Arial" w:cs="Arial"/>
                <w:sz w:val="20"/>
                <w:szCs w:val="20"/>
              </w:rPr>
              <w:t>8</w:t>
            </w:r>
          </w:p>
        </w:tc>
        <w:tc>
          <w:tcPr>
            <w:tcW w:w="913" w:type="pct"/>
            <w:tcMar>
              <w:top w:w="57" w:type="dxa"/>
              <w:bottom w:w="57" w:type="dxa"/>
            </w:tcMar>
            <w:vAlign w:val="center"/>
          </w:tcPr>
          <w:p w14:paraId="6D9E8B42" w14:textId="5BDAF509" w:rsidR="000B6589" w:rsidRPr="000B6589" w:rsidRDefault="00800AA3" w:rsidP="00AD3761">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(1,4</w:t>
            </w:r>
            <w:r w:rsidR="00BE04E5">
              <w:rPr>
                <w:rFonts w:ascii="Arial" w:hAnsi="Arial" w:cs="Arial"/>
                <w:b/>
                <w:sz w:val="20"/>
                <w:szCs w:val="20"/>
              </w:rPr>
              <w:t>20</w:t>
            </w:r>
            <w:r>
              <w:rPr>
                <w:rFonts w:ascii="Arial" w:hAnsi="Arial" w:cs="Arial"/>
                <w:b/>
                <w:sz w:val="20"/>
                <w:szCs w:val="20"/>
              </w:rPr>
              <w:t>)</w:t>
            </w:r>
          </w:p>
        </w:tc>
        <w:tc>
          <w:tcPr>
            <w:tcW w:w="933" w:type="pct"/>
            <w:tcMar>
              <w:top w:w="57" w:type="dxa"/>
              <w:bottom w:w="57" w:type="dxa"/>
            </w:tcMar>
            <w:vAlign w:val="bottom"/>
          </w:tcPr>
          <w:p w14:paraId="76515550" w14:textId="4F686108" w:rsidR="000B6589" w:rsidRPr="002D1A2F" w:rsidRDefault="00F60C87" w:rsidP="005637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005637CA">
              <w:rPr>
                <w:rFonts w:ascii="Arial" w:hAnsi="Arial" w:cs="Arial"/>
                <w:sz w:val="20"/>
                <w:szCs w:val="20"/>
              </w:rPr>
              <w:t>2,443</w:t>
            </w:r>
            <w:r>
              <w:rPr>
                <w:rFonts w:ascii="Arial" w:hAnsi="Arial" w:cs="Arial"/>
                <w:sz w:val="20"/>
                <w:szCs w:val="20"/>
              </w:rPr>
              <w:t>)</w:t>
            </w:r>
          </w:p>
        </w:tc>
      </w:tr>
      <w:tr w:rsidR="000B6589" w:rsidRPr="00BC678F" w14:paraId="74348519" w14:textId="77777777" w:rsidTr="006F1C57">
        <w:tc>
          <w:tcPr>
            <w:cnfStyle w:val="001000000000" w:firstRow="0" w:lastRow="0" w:firstColumn="1" w:lastColumn="0" w:oddVBand="0" w:evenVBand="0" w:oddHBand="0" w:evenHBand="0" w:firstRowFirstColumn="0" w:firstRowLastColumn="0" w:lastRowFirstColumn="0" w:lastRowLastColumn="0"/>
            <w:tcW w:w="3154" w:type="pct"/>
            <w:tcBorders>
              <w:bottom w:val="single" w:sz="4" w:space="0" w:color="auto"/>
            </w:tcBorders>
            <w:tcMar>
              <w:top w:w="57" w:type="dxa"/>
              <w:bottom w:w="57" w:type="dxa"/>
            </w:tcMar>
            <w:vAlign w:val="bottom"/>
          </w:tcPr>
          <w:p w14:paraId="0663DC4C" w14:textId="2E9ADE70" w:rsidR="000B6589" w:rsidRPr="002D1A2F" w:rsidRDefault="000B6589">
            <w:pPr>
              <w:rPr>
                <w:rFonts w:ascii="Arial" w:hAnsi="Arial" w:cs="Arial"/>
                <w:sz w:val="20"/>
                <w:szCs w:val="20"/>
              </w:rPr>
            </w:pPr>
            <w:r w:rsidRPr="00DC2064">
              <w:rPr>
                <w:rFonts w:ascii="Arial" w:hAnsi="Arial" w:cs="Arial"/>
                <w:sz w:val="20"/>
                <w:szCs w:val="20"/>
              </w:rPr>
              <w:t xml:space="preserve">Other net </w:t>
            </w:r>
            <w:r w:rsidR="00FB1EC0">
              <w:rPr>
                <w:rFonts w:ascii="Arial" w:hAnsi="Arial" w:cs="Arial"/>
                <w:sz w:val="20"/>
                <w:szCs w:val="20"/>
              </w:rPr>
              <w:t>liabilities</w:t>
            </w:r>
          </w:p>
        </w:tc>
        <w:tc>
          <w:tcPr>
            <w:tcW w:w="913" w:type="pct"/>
            <w:tcBorders>
              <w:bottom w:val="single" w:sz="4" w:space="0" w:color="auto"/>
            </w:tcBorders>
            <w:tcMar>
              <w:top w:w="57" w:type="dxa"/>
              <w:bottom w:w="57" w:type="dxa"/>
            </w:tcMar>
            <w:vAlign w:val="center"/>
          </w:tcPr>
          <w:p w14:paraId="400705DC" w14:textId="3D82D0B4" w:rsidR="000B6589" w:rsidRPr="000B6589" w:rsidRDefault="00800AA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(1,193)</w:t>
            </w:r>
          </w:p>
        </w:tc>
        <w:tc>
          <w:tcPr>
            <w:tcW w:w="933" w:type="pct"/>
            <w:tcBorders>
              <w:bottom w:val="single" w:sz="4" w:space="0" w:color="auto"/>
            </w:tcBorders>
            <w:tcMar>
              <w:top w:w="57" w:type="dxa"/>
              <w:bottom w:w="57" w:type="dxa"/>
            </w:tcMar>
            <w:vAlign w:val="bottom"/>
          </w:tcPr>
          <w:p w14:paraId="68788FE0" w14:textId="66365EB8" w:rsidR="000B6589" w:rsidRPr="002D1A2F" w:rsidRDefault="008F569F" w:rsidP="005637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005637CA">
              <w:rPr>
                <w:rFonts w:ascii="Arial" w:hAnsi="Arial" w:cs="Arial"/>
                <w:sz w:val="20"/>
                <w:szCs w:val="20"/>
              </w:rPr>
              <w:t>481</w:t>
            </w:r>
            <w:r>
              <w:rPr>
                <w:rFonts w:ascii="Arial" w:hAnsi="Arial" w:cs="Arial"/>
                <w:sz w:val="20"/>
                <w:szCs w:val="20"/>
              </w:rPr>
              <w:t>)</w:t>
            </w:r>
          </w:p>
        </w:tc>
      </w:tr>
      <w:tr w:rsidR="000B6589" w:rsidRPr="00BC678F" w14:paraId="79B864FF" w14:textId="77777777" w:rsidTr="00AE7818">
        <w:tc>
          <w:tcPr>
            <w:cnfStyle w:val="001000000000" w:firstRow="0" w:lastRow="0" w:firstColumn="1" w:lastColumn="0" w:oddVBand="0" w:evenVBand="0" w:oddHBand="0" w:evenHBand="0" w:firstRowFirstColumn="0" w:firstRowLastColumn="0" w:lastRowFirstColumn="0" w:lastRowLastColumn="0"/>
            <w:tcW w:w="3154" w:type="pct"/>
            <w:tcBorders>
              <w:top w:val="single" w:sz="4" w:space="0" w:color="auto"/>
              <w:bottom w:val="single" w:sz="18" w:space="0" w:color="auto"/>
            </w:tcBorders>
            <w:tcMar>
              <w:top w:w="57" w:type="dxa"/>
              <w:bottom w:w="57" w:type="dxa"/>
            </w:tcMar>
            <w:vAlign w:val="bottom"/>
          </w:tcPr>
          <w:p w14:paraId="1DE31289" w14:textId="77777777" w:rsidR="000B6589" w:rsidRPr="002D1A2F" w:rsidRDefault="000B6589">
            <w:pPr>
              <w:rPr>
                <w:rFonts w:ascii="Arial" w:hAnsi="Arial" w:cs="Arial"/>
                <w:b/>
                <w:sz w:val="20"/>
                <w:szCs w:val="20"/>
              </w:rPr>
            </w:pPr>
            <w:r w:rsidRPr="00DC2064">
              <w:rPr>
                <w:rFonts w:ascii="Arial" w:hAnsi="Arial" w:cs="Arial"/>
                <w:b/>
                <w:sz w:val="20"/>
                <w:szCs w:val="20"/>
              </w:rPr>
              <w:t>Fair value of REL’s investment in the Partnership</w:t>
            </w:r>
          </w:p>
        </w:tc>
        <w:tc>
          <w:tcPr>
            <w:tcW w:w="913" w:type="pct"/>
            <w:tcBorders>
              <w:top w:val="single" w:sz="4" w:space="0" w:color="auto"/>
              <w:bottom w:val="single" w:sz="18" w:space="0" w:color="auto"/>
            </w:tcBorders>
            <w:tcMar>
              <w:top w:w="57" w:type="dxa"/>
              <w:bottom w:w="57" w:type="dxa"/>
            </w:tcMar>
            <w:vAlign w:val="bottom"/>
          </w:tcPr>
          <w:p w14:paraId="2B4ACE63" w14:textId="79F74B09" w:rsidR="000B6589" w:rsidRPr="000B6589" w:rsidRDefault="00800AA3" w:rsidP="00BE04E5">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376,8</w:t>
            </w:r>
            <w:r w:rsidR="00BE04E5">
              <w:rPr>
                <w:rFonts w:ascii="Arial" w:hAnsi="Arial" w:cs="Arial"/>
                <w:b/>
                <w:sz w:val="20"/>
                <w:szCs w:val="20"/>
              </w:rPr>
              <w:t>1</w:t>
            </w:r>
            <w:r>
              <w:rPr>
                <w:rFonts w:ascii="Arial" w:hAnsi="Arial" w:cs="Arial"/>
                <w:b/>
                <w:sz w:val="20"/>
                <w:szCs w:val="20"/>
              </w:rPr>
              <w:t>5</w:t>
            </w:r>
          </w:p>
        </w:tc>
        <w:tc>
          <w:tcPr>
            <w:tcW w:w="933" w:type="pct"/>
            <w:tcBorders>
              <w:top w:val="single" w:sz="4" w:space="0" w:color="auto"/>
              <w:bottom w:val="single" w:sz="18" w:space="0" w:color="auto"/>
            </w:tcBorders>
            <w:tcMar>
              <w:top w:w="57" w:type="dxa"/>
              <w:bottom w:w="57" w:type="dxa"/>
            </w:tcMar>
            <w:vAlign w:val="bottom"/>
          </w:tcPr>
          <w:p w14:paraId="6FDC83C7" w14:textId="6849DF40" w:rsidR="000B6589" w:rsidRPr="002D1A2F" w:rsidRDefault="005637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772,722</w:t>
            </w:r>
          </w:p>
        </w:tc>
      </w:tr>
    </w:tbl>
    <w:p w14:paraId="320786A5" w14:textId="491BE86C" w:rsidR="001F4F46" w:rsidRDefault="001F4F46">
      <w:pPr>
        <w:tabs>
          <w:tab w:val="left" w:pos="6903"/>
        </w:tabs>
        <w:ind w:left="567"/>
        <w:rPr>
          <w:rFonts w:ascii="Arial" w:hAnsi="Arial" w:cs="Arial"/>
          <w:sz w:val="26"/>
          <w:szCs w:val="26"/>
        </w:rPr>
      </w:pPr>
    </w:p>
    <w:p w14:paraId="4EB0624E" w14:textId="5FB52405" w:rsidR="00882D43" w:rsidRPr="0020549A" w:rsidRDefault="0020549A">
      <w:pPr>
        <w:tabs>
          <w:tab w:val="left" w:pos="6903"/>
        </w:tabs>
        <w:ind w:left="567"/>
        <w:rPr>
          <w:rFonts w:ascii="Arial" w:hAnsi="Arial" w:cs="Arial"/>
          <w:sz w:val="16"/>
          <w:szCs w:val="16"/>
        </w:rPr>
      </w:pPr>
      <w:r w:rsidRPr="0020549A">
        <w:rPr>
          <w:rFonts w:ascii="Arial" w:hAnsi="Arial"/>
          <w:sz w:val="16"/>
          <w:szCs w:val="16"/>
          <w:vertAlign w:val="superscript"/>
        </w:rPr>
        <w:t xml:space="preserve">(1) </w:t>
      </w:r>
      <w:r w:rsidRPr="0020549A">
        <w:rPr>
          <w:rFonts w:ascii="Arial" w:hAnsi="Arial"/>
          <w:sz w:val="16"/>
          <w:szCs w:val="16"/>
        </w:rPr>
        <w:t xml:space="preserve">These figures are comprised of </w:t>
      </w:r>
      <w:r w:rsidR="00FC1DED" w:rsidRPr="0020549A">
        <w:rPr>
          <w:rFonts w:ascii="Arial" w:hAnsi="Arial"/>
          <w:sz w:val="16"/>
          <w:szCs w:val="16"/>
        </w:rPr>
        <w:t>$</w:t>
      </w:r>
      <w:r w:rsidR="00FC1DED">
        <w:rPr>
          <w:rFonts w:ascii="Arial" w:hAnsi="Arial"/>
          <w:sz w:val="16"/>
          <w:szCs w:val="16"/>
        </w:rPr>
        <w:t>136</w:t>
      </w:r>
      <w:r w:rsidR="00FC1DED" w:rsidRPr="0020549A">
        <w:rPr>
          <w:rFonts w:ascii="Arial" w:hAnsi="Arial"/>
          <w:sz w:val="16"/>
          <w:szCs w:val="16"/>
        </w:rPr>
        <w:t xml:space="preserve"> </w:t>
      </w:r>
      <w:r w:rsidRPr="0020549A">
        <w:rPr>
          <w:rFonts w:ascii="Arial" w:hAnsi="Arial"/>
          <w:sz w:val="16"/>
          <w:szCs w:val="16"/>
        </w:rPr>
        <w:t xml:space="preserve">million held at the Partnership and </w:t>
      </w:r>
      <w:r w:rsidR="00FC1DED" w:rsidRPr="0020549A">
        <w:rPr>
          <w:rFonts w:ascii="Arial" w:hAnsi="Arial"/>
          <w:sz w:val="16"/>
          <w:szCs w:val="16"/>
        </w:rPr>
        <w:t>$</w:t>
      </w:r>
      <w:r w:rsidR="00FC1DED">
        <w:rPr>
          <w:rFonts w:ascii="Arial" w:hAnsi="Arial"/>
          <w:sz w:val="16"/>
          <w:szCs w:val="16"/>
        </w:rPr>
        <w:t xml:space="preserve">22 </w:t>
      </w:r>
      <w:r w:rsidRPr="0020549A">
        <w:rPr>
          <w:rFonts w:ascii="Arial" w:hAnsi="Arial"/>
          <w:sz w:val="16"/>
          <w:szCs w:val="16"/>
        </w:rPr>
        <w:t xml:space="preserve">million held at REL US Corp. </w:t>
      </w:r>
    </w:p>
    <w:tbl>
      <w:tblPr>
        <w:tblStyle w:val="TableGrid3"/>
        <w:tblW w:w="4608" w:type="pct"/>
        <w:tblInd w:w="675" w:type="dxa"/>
        <w:tblLook w:val="04A0" w:firstRow="1" w:lastRow="0" w:firstColumn="1" w:lastColumn="0" w:noHBand="0" w:noVBand="1"/>
      </w:tblPr>
      <w:tblGrid>
        <w:gridCol w:w="5639"/>
        <w:gridCol w:w="1601"/>
        <w:gridCol w:w="1774"/>
      </w:tblGrid>
      <w:tr w:rsidR="00051034" w:rsidRPr="00051034" w14:paraId="74B14FC6" w14:textId="77777777" w:rsidTr="00217C61">
        <w:trPr>
          <w:cnfStyle w:val="100000000000" w:firstRow="1" w:lastRow="0" w:firstColumn="0" w:lastColumn="0" w:oddVBand="0" w:evenVBand="0" w:oddHBand="0"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3128" w:type="pct"/>
            <w:tcBorders>
              <w:bottom w:val="single" w:sz="4" w:space="0" w:color="auto"/>
            </w:tcBorders>
            <w:tcMar>
              <w:top w:w="57" w:type="dxa"/>
              <w:bottom w:w="57" w:type="dxa"/>
            </w:tcMar>
            <w:vAlign w:val="bottom"/>
          </w:tcPr>
          <w:p w14:paraId="65C53318" w14:textId="77777777" w:rsidR="00051034" w:rsidRPr="00051034" w:rsidRDefault="00051034" w:rsidP="00051034">
            <w:pPr>
              <w:jc w:val="left"/>
              <w:rPr>
                <w:rFonts w:ascii="Arial" w:hAnsi="Arial" w:cs="Arial"/>
                <w:sz w:val="20"/>
                <w:szCs w:val="20"/>
              </w:rPr>
            </w:pPr>
            <w:r w:rsidRPr="00051034">
              <w:rPr>
                <w:rFonts w:ascii="Arial" w:hAnsi="Arial" w:cs="Arial"/>
                <w:b/>
                <w:sz w:val="20"/>
                <w:szCs w:val="20"/>
              </w:rPr>
              <w:t>Reconciliation of Partnership’s investments at fair value</w:t>
            </w:r>
          </w:p>
        </w:tc>
        <w:tc>
          <w:tcPr>
            <w:tcW w:w="888" w:type="pct"/>
            <w:tcBorders>
              <w:bottom w:val="single" w:sz="4" w:space="0" w:color="auto"/>
            </w:tcBorders>
            <w:tcMar>
              <w:top w:w="57" w:type="dxa"/>
              <w:bottom w:w="57" w:type="dxa"/>
            </w:tcMar>
            <w:vAlign w:val="bottom"/>
          </w:tcPr>
          <w:p w14:paraId="594600AD" w14:textId="77777777" w:rsidR="00051034" w:rsidRPr="00051034" w:rsidRDefault="00051034" w:rsidP="00D52D40">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051034">
              <w:rPr>
                <w:rFonts w:ascii="Arial" w:hAnsi="Arial" w:cs="Arial"/>
                <w:b/>
                <w:sz w:val="20"/>
                <w:szCs w:val="20"/>
              </w:rPr>
              <w:t>30 June</w:t>
            </w:r>
          </w:p>
          <w:p w14:paraId="6D94C855" w14:textId="20A0E7C4" w:rsidR="00051034" w:rsidRPr="00051034" w:rsidRDefault="005637CA" w:rsidP="00D52D40">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2020</w:t>
            </w:r>
          </w:p>
          <w:p w14:paraId="7FD65CC3" w14:textId="77777777" w:rsidR="00051034" w:rsidRPr="00051034" w:rsidRDefault="00051034" w:rsidP="00D52D40">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051034">
              <w:rPr>
                <w:rFonts w:ascii="Arial" w:hAnsi="Arial" w:cs="Arial"/>
                <w:b/>
                <w:sz w:val="20"/>
                <w:szCs w:val="20"/>
              </w:rPr>
              <w:t>$’000</w:t>
            </w:r>
          </w:p>
        </w:tc>
        <w:tc>
          <w:tcPr>
            <w:tcW w:w="984" w:type="pct"/>
            <w:tcBorders>
              <w:bottom w:val="single" w:sz="4" w:space="0" w:color="auto"/>
            </w:tcBorders>
            <w:tcMar>
              <w:top w:w="57" w:type="dxa"/>
              <w:bottom w:w="57" w:type="dxa"/>
            </w:tcMar>
            <w:vAlign w:val="bottom"/>
          </w:tcPr>
          <w:p w14:paraId="5DB196A8" w14:textId="77777777" w:rsidR="00051034" w:rsidRPr="00051034" w:rsidRDefault="00051034" w:rsidP="00D52D4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51034">
              <w:rPr>
                <w:rFonts w:ascii="Arial" w:hAnsi="Arial" w:cs="Arial"/>
                <w:sz w:val="20"/>
                <w:szCs w:val="20"/>
              </w:rPr>
              <w:t>31 December</w:t>
            </w:r>
          </w:p>
          <w:p w14:paraId="00ED8194" w14:textId="7ED2B624" w:rsidR="00051034" w:rsidRPr="00051034" w:rsidRDefault="009A526B" w:rsidP="00D52D4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201</w:t>
            </w:r>
            <w:r w:rsidR="005637CA">
              <w:rPr>
                <w:rFonts w:ascii="Arial" w:hAnsi="Arial" w:cs="Arial"/>
                <w:sz w:val="20"/>
                <w:szCs w:val="20"/>
              </w:rPr>
              <w:t>9</w:t>
            </w:r>
          </w:p>
          <w:p w14:paraId="3290B660" w14:textId="77777777" w:rsidR="00051034" w:rsidRPr="00051034" w:rsidRDefault="00051034" w:rsidP="00D52D4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51034">
              <w:rPr>
                <w:rFonts w:ascii="Arial" w:hAnsi="Arial" w:cs="Arial"/>
                <w:sz w:val="20"/>
                <w:szCs w:val="20"/>
              </w:rPr>
              <w:t>$’000</w:t>
            </w:r>
          </w:p>
        </w:tc>
      </w:tr>
      <w:tr w:rsidR="000B6589" w:rsidRPr="00051034" w14:paraId="44A9774C" w14:textId="77777777" w:rsidTr="00217C61">
        <w:tc>
          <w:tcPr>
            <w:cnfStyle w:val="001000000000" w:firstRow="0" w:lastRow="0" w:firstColumn="1" w:lastColumn="0" w:oddVBand="0" w:evenVBand="0" w:oddHBand="0" w:evenHBand="0" w:firstRowFirstColumn="0" w:firstRowLastColumn="0" w:lastRowFirstColumn="0" w:lastRowLastColumn="0"/>
            <w:tcW w:w="3128" w:type="pct"/>
            <w:tcBorders>
              <w:top w:val="single" w:sz="4" w:space="0" w:color="auto"/>
            </w:tcBorders>
            <w:tcMar>
              <w:top w:w="57" w:type="dxa"/>
              <w:bottom w:w="57" w:type="dxa"/>
            </w:tcMar>
            <w:vAlign w:val="bottom"/>
          </w:tcPr>
          <w:p w14:paraId="514E4E89" w14:textId="77777777" w:rsidR="000B6589" w:rsidRPr="00051034" w:rsidRDefault="000B6589" w:rsidP="00D52D40">
            <w:pPr>
              <w:rPr>
                <w:rFonts w:ascii="Arial" w:hAnsi="Arial" w:cs="Arial"/>
                <w:sz w:val="20"/>
                <w:szCs w:val="20"/>
              </w:rPr>
            </w:pPr>
            <w:r w:rsidRPr="00051034">
              <w:rPr>
                <w:rFonts w:ascii="Arial" w:hAnsi="Arial" w:cs="Arial"/>
                <w:sz w:val="20"/>
                <w:szCs w:val="20"/>
              </w:rPr>
              <w:t xml:space="preserve">Investments at fair value - Level 1 (gross)  </w:t>
            </w:r>
          </w:p>
        </w:tc>
        <w:tc>
          <w:tcPr>
            <w:tcW w:w="888" w:type="pct"/>
            <w:tcBorders>
              <w:top w:val="single" w:sz="4" w:space="0" w:color="auto"/>
            </w:tcBorders>
            <w:tcMar>
              <w:top w:w="57" w:type="dxa"/>
              <w:bottom w:w="57" w:type="dxa"/>
            </w:tcMar>
            <w:vAlign w:val="center"/>
          </w:tcPr>
          <w:p w14:paraId="4427B9B5" w14:textId="7D3D7A2D" w:rsidR="000B6589" w:rsidRPr="006F1C57" w:rsidRDefault="00336806" w:rsidP="00D52D4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16</w:t>
            </w:r>
            <w:r w:rsidR="00EE5A47">
              <w:rPr>
                <w:rFonts w:ascii="Arial" w:hAnsi="Arial" w:cs="Arial"/>
                <w:b/>
                <w:bCs/>
                <w:sz w:val="20"/>
                <w:szCs w:val="20"/>
              </w:rPr>
              <w:t>,</w:t>
            </w:r>
            <w:r>
              <w:rPr>
                <w:rFonts w:ascii="Arial" w:hAnsi="Arial" w:cs="Arial"/>
                <w:b/>
                <w:bCs/>
                <w:sz w:val="20"/>
                <w:szCs w:val="20"/>
              </w:rPr>
              <w:t>746</w:t>
            </w:r>
          </w:p>
        </w:tc>
        <w:tc>
          <w:tcPr>
            <w:tcW w:w="984" w:type="pct"/>
            <w:tcBorders>
              <w:top w:val="single" w:sz="4" w:space="0" w:color="auto"/>
            </w:tcBorders>
            <w:tcMar>
              <w:top w:w="57" w:type="dxa"/>
              <w:bottom w:w="57" w:type="dxa"/>
            </w:tcMar>
            <w:vAlign w:val="bottom"/>
          </w:tcPr>
          <w:p w14:paraId="430C29B9" w14:textId="4381D916" w:rsidR="000B6589" w:rsidRPr="00051034" w:rsidRDefault="005637CA" w:rsidP="007033C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70,131</w:t>
            </w:r>
          </w:p>
        </w:tc>
      </w:tr>
      <w:tr w:rsidR="000B6589" w:rsidRPr="00051034" w14:paraId="4333BACE" w14:textId="77777777" w:rsidTr="00217C61">
        <w:tc>
          <w:tcPr>
            <w:cnfStyle w:val="001000000000" w:firstRow="0" w:lastRow="0" w:firstColumn="1" w:lastColumn="0" w:oddVBand="0" w:evenVBand="0" w:oddHBand="0" w:evenHBand="0" w:firstRowFirstColumn="0" w:firstRowLastColumn="0" w:lastRowFirstColumn="0" w:lastRowLastColumn="0"/>
            <w:tcW w:w="3128" w:type="pct"/>
            <w:tcBorders>
              <w:bottom w:val="single" w:sz="4" w:space="0" w:color="auto"/>
            </w:tcBorders>
            <w:tcMar>
              <w:top w:w="57" w:type="dxa"/>
              <w:bottom w:w="57" w:type="dxa"/>
            </w:tcMar>
            <w:vAlign w:val="bottom"/>
          </w:tcPr>
          <w:p w14:paraId="34527753" w14:textId="71BBF7DC" w:rsidR="000B6589" w:rsidRPr="00051034" w:rsidRDefault="000B6589" w:rsidP="0020549A">
            <w:pPr>
              <w:rPr>
                <w:rFonts w:ascii="Arial" w:hAnsi="Arial" w:cs="Arial"/>
                <w:sz w:val="20"/>
                <w:szCs w:val="20"/>
              </w:rPr>
            </w:pPr>
            <w:r w:rsidRPr="00051034">
              <w:rPr>
                <w:rFonts w:ascii="Arial" w:hAnsi="Arial" w:cs="Arial"/>
                <w:sz w:val="20"/>
                <w:szCs w:val="20"/>
              </w:rPr>
              <w:t xml:space="preserve">Investments at fair value - Level 3 (gross) - see Note </w:t>
            </w:r>
            <w:r w:rsidR="0020549A">
              <w:rPr>
                <w:rFonts w:ascii="Arial" w:hAnsi="Arial" w:cs="Arial"/>
                <w:sz w:val="20"/>
                <w:szCs w:val="20"/>
              </w:rPr>
              <w:t>5</w:t>
            </w:r>
          </w:p>
        </w:tc>
        <w:tc>
          <w:tcPr>
            <w:tcW w:w="888" w:type="pct"/>
            <w:tcBorders>
              <w:bottom w:val="single" w:sz="4" w:space="0" w:color="auto"/>
            </w:tcBorders>
            <w:tcMar>
              <w:top w:w="57" w:type="dxa"/>
              <w:bottom w:w="57" w:type="dxa"/>
            </w:tcMar>
            <w:vAlign w:val="center"/>
          </w:tcPr>
          <w:p w14:paraId="5AB88763" w14:textId="648A9258" w:rsidR="000B6589" w:rsidRPr="006F1C57" w:rsidRDefault="00EE5A47" w:rsidP="00AD376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20</w:t>
            </w:r>
            <w:r w:rsidR="00336806">
              <w:rPr>
                <w:rFonts w:ascii="Arial" w:hAnsi="Arial" w:cs="Arial"/>
                <w:b/>
                <w:bCs/>
                <w:sz w:val="20"/>
                <w:szCs w:val="20"/>
              </w:rPr>
              <w:t>5</w:t>
            </w:r>
            <w:r>
              <w:rPr>
                <w:rFonts w:ascii="Arial" w:hAnsi="Arial" w:cs="Arial"/>
                <w:b/>
                <w:bCs/>
                <w:sz w:val="20"/>
                <w:szCs w:val="20"/>
              </w:rPr>
              <w:t>,</w:t>
            </w:r>
            <w:r w:rsidR="00336806">
              <w:rPr>
                <w:rFonts w:ascii="Arial" w:hAnsi="Arial" w:cs="Arial"/>
                <w:b/>
                <w:bCs/>
                <w:sz w:val="20"/>
                <w:szCs w:val="20"/>
              </w:rPr>
              <w:t>470</w:t>
            </w:r>
          </w:p>
        </w:tc>
        <w:tc>
          <w:tcPr>
            <w:tcW w:w="984" w:type="pct"/>
            <w:tcBorders>
              <w:bottom w:val="single" w:sz="4" w:space="0" w:color="auto"/>
            </w:tcBorders>
            <w:tcMar>
              <w:top w:w="57" w:type="dxa"/>
              <w:bottom w:w="57" w:type="dxa"/>
            </w:tcMar>
            <w:vAlign w:val="bottom"/>
          </w:tcPr>
          <w:p w14:paraId="742ED1CE" w14:textId="7CAF2EF5" w:rsidR="000B6589" w:rsidRPr="00051034" w:rsidRDefault="005637CA" w:rsidP="00D52D4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523,157</w:t>
            </w:r>
          </w:p>
        </w:tc>
      </w:tr>
      <w:tr w:rsidR="000B6589" w:rsidRPr="00051034" w14:paraId="59C0BA32" w14:textId="77777777" w:rsidTr="00217C61">
        <w:tc>
          <w:tcPr>
            <w:cnfStyle w:val="001000000000" w:firstRow="0" w:lastRow="0" w:firstColumn="1" w:lastColumn="0" w:oddVBand="0" w:evenVBand="0" w:oddHBand="0" w:evenHBand="0" w:firstRowFirstColumn="0" w:firstRowLastColumn="0" w:lastRowFirstColumn="0" w:lastRowLastColumn="0"/>
            <w:tcW w:w="3128" w:type="pct"/>
            <w:tcBorders>
              <w:top w:val="single" w:sz="4" w:space="0" w:color="auto"/>
            </w:tcBorders>
            <w:tcMar>
              <w:top w:w="57" w:type="dxa"/>
              <w:bottom w:w="57" w:type="dxa"/>
            </w:tcMar>
            <w:vAlign w:val="bottom"/>
          </w:tcPr>
          <w:p w14:paraId="32924B20" w14:textId="77777777" w:rsidR="000B6589" w:rsidRPr="00051034" w:rsidRDefault="000B6589" w:rsidP="00D52D40">
            <w:pPr>
              <w:rPr>
                <w:rFonts w:ascii="Arial" w:hAnsi="Arial" w:cs="Arial"/>
                <w:sz w:val="20"/>
                <w:szCs w:val="20"/>
              </w:rPr>
            </w:pPr>
            <w:r w:rsidRPr="00051034">
              <w:rPr>
                <w:rFonts w:ascii="Arial" w:hAnsi="Arial" w:cs="Arial"/>
                <w:sz w:val="20"/>
                <w:szCs w:val="20"/>
              </w:rPr>
              <w:t>Investments at fair value (gross)</w:t>
            </w:r>
          </w:p>
        </w:tc>
        <w:tc>
          <w:tcPr>
            <w:tcW w:w="888" w:type="pct"/>
            <w:tcBorders>
              <w:top w:val="single" w:sz="4" w:space="0" w:color="auto"/>
            </w:tcBorders>
            <w:tcMar>
              <w:top w:w="57" w:type="dxa"/>
              <w:bottom w:w="57" w:type="dxa"/>
            </w:tcMar>
            <w:vAlign w:val="center"/>
          </w:tcPr>
          <w:p w14:paraId="3158DFBF" w14:textId="5773B566" w:rsidR="000B6589" w:rsidRPr="006F1C57" w:rsidRDefault="00EE5A47" w:rsidP="00AD376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222,2</w:t>
            </w:r>
            <w:r w:rsidR="00BE04E5">
              <w:rPr>
                <w:rFonts w:ascii="Arial" w:hAnsi="Arial" w:cs="Arial"/>
                <w:b/>
                <w:bCs/>
                <w:sz w:val="20"/>
                <w:szCs w:val="20"/>
              </w:rPr>
              <w:t>16</w:t>
            </w:r>
          </w:p>
        </w:tc>
        <w:tc>
          <w:tcPr>
            <w:tcW w:w="984" w:type="pct"/>
            <w:tcBorders>
              <w:top w:val="single" w:sz="4" w:space="0" w:color="auto"/>
            </w:tcBorders>
            <w:tcMar>
              <w:top w:w="57" w:type="dxa"/>
              <w:bottom w:w="57" w:type="dxa"/>
            </w:tcMar>
            <w:vAlign w:val="bottom"/>
          </w:tcPr>
          <w:p w14:paraId="398C630D" w14:textId="169B405E" w:rsidR="000B6589" w:rsidRPr="00051034" w:rsidRDefault="005637CA" w:rsidP="007033C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593,288</w:t>
            </w:r>
          </w:p>
        </w:tc>
      </w:tr>
      <w:tr w:rsidR="000B6589" w:rsidRPr="00051034" w14:paraId="25BC5DC7" w14:textId="77777777" w:rsidTr="00217C61">
        <w:tc>
          <w:tcPr>
            <w:cnfStyle w:val="001000000000" w:firstRow="0" w:lastRow="0" w:firstColumn="1" w:lastColumn="0" w:oddVBand="0" w:evenVBand="0" w:oddHBand="0" w:evenHBand="0" w:firstRowFirstColumn="0" w:firstRowLastColumn="0" w:lastRowFirstColumn="0" w:lastRowLastColumn="0"/>
            <w:tcW w:w="3128" w:type="pct"/>
            <w:tcBorders>
              <w:bottom w:val="single" w:sz="4" w:space="0" w:color="auto"/>
            </w:tcBorders>
            <w:tcMar>
              <w:top w:w="57" w:type="dxa"/>
              <w:bottom w:w="57" w:type="dxa"/>
            </w:tcMar>
            <w:vAlign w:val="bottom"/>
          </w:tcPr>
          <w:p w14:paraId="0581ACF7" w14:textId="77777777" w:rsidR="000B6589" w:rsidRPr="00051034" w:rsidRDefault="000B6589" w:rsidP="00D52D40">
            <w:pPr>
              <w:rPr>
                <w:rFonts w:ascii="Arial" w:hAnsi="Arial" w:cs="Arial"/>
                <w:sz w:val="20"/>
                <w:szCs w:val="20"/>
              </w:rPr>
            </w:pPr>
            <w:r w:rsidRPr="00051034">
              <w:rPr>
                <w:rFonts w:ascii="Arial" w:hAnsi="Arial" w:cs="Arial"/>
                <w:sz w:val="20"/>
                <w:szCs w:val="20"/>
              </w:rPr>
              <w:t>Cash and cash equivalents</w:t>
            </w:r>
          </w:p>
        </w:tc>
        <w:tc>
          <w:tcPr>
            <w:tcW w:w="888" w:type="pct"/>
            <w:tcBorders>
              <w:bottom w:val="single" w:sz="4" w:space="0" w:color="auto"/>
            </w:tcBorders>
            <w:tcMar>
              <w:top w:w="57" w:type="dxa"/>
              <w:bottom w:w="57" w:type="dxa"/>
            </w:tcMar>
            <w:vAlign w:val="center"/>
          </w:tcPr>
          <w:p w14:paraId="5AD54424" w14:textId="35005617" w:rsidR="000B6589" w:rsidRPr="006F1C57" w:rsidRDefault="00EE5A47" w:rsidP="00D52D4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21,661</w:t>
            </w:r>
          </w:p>
        </w:tc>
        <w:tc>
          <w:tcPr>
            <w:tcW w:w="984" w:type="pct"/>
            <w:tcBorders>
              <w:bottom w:val="single" w:sz="4" w:space="0" w:color="auto"/>
            </w:tcBorders>
            <w:tcMar>
              <w:top w:w="57" w:type="dxa"/>
              <w:bottom w:w="57" w:type="dxa"/>
            </w:tcMar>
            <w:vAlign w:val="bottom"/>
          </w:tcPr>
          <w:p w14:paraId="42A3ECB3" w14:textId="44D163F1" w:rsidR="000B6589" w:rsidRPr="00051034" w:rsidRDefault="005637CA" w:rsidP="00D52D4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19,001</w:t>
            </w:r>
          </w:p>
        </w:tc>
      </w:tr>
      <w:tr w:rsidR="000B6589" w:rsidRPr="00051034" w14:paraId="431ABB54" w14:textId="77777777" w:rsidTr="00217C61">
        <w:tc>
          <w:tcPr>
            <w:cnfStyle w:val="001000000000" w:firstRow="0" w:lastRow="0" w:firstColumn="1" w:lastColumn="0" w:oddVBand="0" w:evenVBand="0" w:oddHBand="0" w:evenHBand="0" w:firstRowFirstColumn="0" w:firstRowLastColumn="0" w:lastRowFirstColumn="0" w:lastRowLastColumn="0"/>
            <w:tcW w:w="3128" w:type="pct"/>
            <w:tcBorders>
              <w:top w:val="single" w:sz="4" w:space="0" w:color="auto"/>
              <w:bottom w:val="single" w:sz="18" w:space="0" w:color="auto"/>
            </w:tcBorders>
            <w:tcMar>
              <w:top w:w="57" w:type="dxa"/>
              <w:bottom w:w="57" w:type="dxa"/>
            </w:tcMar>
            <w:vAlign w:val="bottom"/>
          </w:tcPr>
          <w:p w14:paraId="46667176" w14:textId="77777777" w:rsidR="000B6589" w:rsidRPr="00051034" w:rsidRDefault="000B6589" w:rsidP="00D52D40">
            <w:pPr>
              <w:rPr>
                <w:rFonts w:ascii="Arial" w:hAnsi="Arial" w:cs="Arial"/>
                <w:b/>
                <w:sz w:val="20"/>
                <w:szCs w:val="20"/>
              </w:rPr>
            </w:pPr>
            <w:r w:rsidRPr="00051034">
              <w:rPr>
                <w:rFonts w:ascii="Arial" w:hAnsi="Arial" w:cs="Arial"/>
                <w:b/>
                <w:sz w:val="20"/>
                <w:szCs w:val="20"/>
              </w:rPr>
              <w:t>Partnership’s investments at fair value (net)</w:t>
            </w:r>
          </w:p>
        </w:tc>
        <w:tc>
          <w:tcPr>
            <w:tcW w:w="888" w:type="pct"/>
            <w:tcBorders>
              <w:top w:val="single" w:sz="4" w:space="0" w:color="auto"/>
              <w:bottom w:val="single" w:sz="18" w:space="0" w:color="auto"/>
            </w:tcBorders>
            <w:tcMar>
              <w:top w:w="57" w:type="dxa"/>
              <w:bottom w:w="57" w:type="dxa"/>
            </w:tcMar>
            <w:vAlign w:val="bottom"/>
          </w:tcPr>
          <w:p w14:paraId="631B915C" w14:textId="0D02FE32" w:rsidR="000B6589" w:rsidRPr="006F1C57" w:rsidRDefault="00EE5A47" w:rsidP="00AD376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243,8</w:t>
            </w:r>
            <w:r w:rsidR="00BE04E5">
              <w:rPr>
                <w:rFonts w:ascii="Arial" w:hAnsi="Arial" w:cs="Arial"/>
                <w:b/>
                <w:bCs/>
                <w:sz w:val="20"/>
                <w:szCs w:val="20"/>
              </w:rPr>
              <w:t>77</w:t>
            </w:r>
          </w:p>
        </w:tc>
        <w:tc>
          <w:tcPr>
            <w:tcW w:w="984" w:type="pct"/>
            <w:tcBorders>
              <w:top w:val="single" w:sz="4" w:space="0" w:color="auto"/>
              <w:bottom w:val="single" w:sz="18" w:space="0" w:color="auto"/>
            </w:tcBorders>
            <w:tcMar>
              <w:top w:w="57" w:type="dxa"/>
              <w:bottom w:w="57" w:type="dxa"/>
            </w:tcMar>
            <w:vAlign w:val="bottom"/>
          </w:tcPr>
          <w:p w14:paraId="33A459ED" w14:textId="01ACEEFE" w:rsidR="000B6589" w:rsidRPr="00051034" w:rsidRDefault="005637CA" w:rsidP="00D52D4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612,289</w:t>
            </w:r>
          </w:p>
        </w:tc>
      </w:tr>
    </w:tbl>
    <w:p w14:paraId="7391645F" w14:textId="77777777" w:rsidR="00051034" w:rsidRDefault="00051034">
      <w:pPr>
        <w:tabs>
          <w:tab w:val="left" w:pos="6903"/>
        </w:tabs>
        <w:ind w:left="567"/>
        <w:rPr>
          <w:rFonts w:ascii="Arial" w:hAnsi="Arial" w:cs="Arial"/>
          <w:sz w:val="26"/>
          <w:szCs w:val="26"/>
        </w:rPr>
      </w:pPr>
    </w:p>
    <w:tbl>
      <w:tblPr>
        <w:tblStyle w:val="TableGrid3"/>
        <w:tblW w:w="4608" w:type="pct"/>
        <w:tblInd w:w="675" w:type="dxa"/>
        <w:tblLook w:val="04A0" w:firstRow="1" w:lastRow="0" w:firstColumn="1" w:lastColumn="0" w:noHBand="0" w:noVBand="1"/>
      </w:tblPr>
      <w:tblGrid>
        <w:gridCol w:w="5686"/>
        <w:gridCol w:w="1664"/>
        <w:gridCol w:w="1664"/>
      </w:tblGrid>
      <w:tr w:rsidR="00064E4A" w:rsidRPr="00BC678F" w14:paraId="1E6301BC" w14:textId="77777777" w:rsidTr="00AE7818">
        <w:trPr>
          <w:cnfStyle w:val="100000000000" w:firstRow="1" w:lastRow="0" w:firstColumn="0" w:lastColumn="0" w:oddVBand="0" w:evenVBand="0" w:oddHBand="0" w:evenHBand="0" w:firstRowFirstColumn="0" w:firstRowLastColumn="0" w:lastRowFirstColumn="0" w:lastRowLastColumn="0"/>
          <w:trHeight w:val="1316"/>
        </w:trPr>
        <w:tc>
          <w:tcPr>
            <w:cnfStyle w:val="001000000000" w:firstRow="0" w:lastRow="0" w:firstColumn="1" w:lastColumn="0" w:oddVBand="0" w:evenVBand="0" w:oddHBand="0" w:evenHBand="0" w:firstRowFirstColumn="0" w:firstRowLastColumn="0" w:lastRowFirstColumn="0" w:lastRowLastColumn="0"/>
            <w:tcW w:w="3154" w:type="pct"/>
            <w:tcBorders>
              <w:bottom w:val="single" w:sz="4" w:space="0" w:color="auto"/>
            </w:tcBorders>
            <w:tcMar>
              <w:top w:w="57" w:type="dxa"/>
              <w:bottom w:w="57" w:type="dxa"/>
            </w:tcMar>
            <w:vAlign w:val="bottom"/>
          </w:tcPr>
          <w:p w14:paraId="2BC48F11" w14:textId="77777777" w:rsidR="00E41A2E" w:rsidRPr="00AE7818" w:rsidRDefault="00AE7818" w:rsidP="00AE7818">
            <w:pPr>
              <w:jc w:val="left"/>
              <w:rPr>
                <w:rFonts w:ascii="Arial" w:hAnsi="Arial" w:cs="Arial"/>
                <w:b/>
                <w:sz w:val="20"/>
                <w:szCs w:val="20"/>
              </w:rPr>
            </w:pPr>
            <w:r w:rsidRPr="00AE7818">
              <w:rPr>
                <w:rFonts w:ascii="Arial" w:hAnsi="Arial" w:cs="Arial"/>
                <w:b/>
                <w:sz w:val="20"/>
                <w:szCs w:val="20"/>
              </w:rPr>
              <w:t>Summary Income Statement</w:t>
            </w:r>
          </w:p>
        </w:tc>
        <w:tc>
          <w:tcPr>
            <w:tcW w:w="923" w:type="pct"/>
            <w:tcBorders>
              <w:bottom w:val="single" w:sz="4" w:space="0" w:color="auto"/>
            </w:tcBorders>
            <w:tcMar>
              <w:top w:w="57" w:type="dxa"/>
              <w:bottom w:w="57" w:type="dxa"/>
            </w:tcMar>
            <w:vAlign w:val="bottom"/>
          </w:tcPr>
          <w:p w14:paraId="2EB15113"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1 January</w:t>
            </w:r>
          </w:p>
          <w:p w14:paraId="63800DD5" w14:textId="3DD03609" w:rsidR="00E41A2E" w:rsidRPr="002D1A2F" w:rsidRDefault="005637CA">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2020</w:t>
            </w:r>
            <w:r w:rsidR="00E41A2E" w:rsidRPr="002D1A2F">
              <w:rPr>
                <w:rFonts w:ascii="Arial" w:hAnsi="Arial" w:cs="Arial"/>
                <w:b/>
                <w:sz w:val="20"/>
                <w:szCs w:val="20"/>
              </w:rPr>
              <w:t xml:space="preserve"> to</w:t>
            </w:r>
          </w:p>
          <w:p w14:paraId="429F8C9B"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30 June</w:t>
            </w:r>
          </w:p>
          <w:p w14:paraId="7DE1E32E" w14:textId="2C57B67E"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20</w:t>
            </w:r>
            <w:r w:rsidR="005637CA">
              <w:rPr>
                <w:rFonts w:ascii="Arial" w:hAnsi="Arial" w:cs="Arial"/>
                <w:b/>
                <w:sz w:val="20"/>
                <w:szCs w:val="20"/>
              </w:rPr>
              <w:t>20</w:t>
            </w:r>
          </w:p>
          <w:p w14:paraId="5DD569D9"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$’000</w:t>
            </w:r>
          </w:p>
        </w:tc>
        <w:tc>
          <w:tcPr>
            <w:tcW w:w="923" w:type="pct"/>
            <w:tcBorders>
              <w:bottom w:val="single" w:sz="4" w:space="0" w:color="auto"/>
            </w:tcBorders>
            <w:tcMar>
              <w:top w:w="57" w:type="dxa"/>
              <w:bottom w:w="57" w:type="dxa"/>
            </w:tcMar>
            <w:vAlign w:val="bottom"/>
          </w:tcPr>
          <w:p w14:paraId="5F4A99B3"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1 January</w:t>
            </w:r>
          </w:p>
          <w:p w14:paraId="4BF74922" w14:textId="1FF0B63D"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201</w:t>
            </w:r>
            <w:r w:rsidR="005637CA">
              <w:rPr>
                <w:rFonts w:ascii="Arial" w:hAnsi="Arial" w:cs="Arial"/>
                <w:sz w:val="20"/>
                <w:szCs w:val="20"/>
              </w:rPr>
              <w:t>9</w:t>
            </w:r>
            <w:r w:rsidRPr="002D1A2F">
              <w:rPr>
                <w:rFonts w:ascii="Arial" w:hAnsi="Arial" w:cs="Arial"/>
                <w:sz w:val="20"/>
                <w:szCs w:val="20"/>
              </w:rPr>
              <w:t xml:space="preserve"> to</w:t>
            </w:r>
          </w:p>
          <w:p w14:paraId="68BD86C6"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30 June</w:t>
            </w:r>
          </w:p>
          <w:p w14:paraId="49E84993" w14:textId="4435E191"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201</w:t>
            </w:r>
            <w:r w:rsidR="005637CA">
              <w:rPr>
                <w:rFonts w:ascii="Arial" w:hAnsi="Arial" w:cs="Arial"/>
                <w:sz w:val="20"/>
                <w:szCs w:val="20"/>
              </w:rPr>
              <w:t>9</w:t>
            </w:r>
          </w:p>
          <w:p w14:paraId="6F5B589A"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$’000</w:t>
            </w:r>
          </w:p>
        </w:tc>
      </w:tr>
      <w:tr w:rsidR="00284790" w:rsidRPr="00BC678F" w14:paraId="577F936E" w14:textId="77777777" w:rsidTr="009A526B">
        <w:tc>
          <w:tcPr>
            <w:cnfStyle w:val="001000000000" w:firstRow="0" w:lastRow="0" w:firstColumn="1" w:lastColumn="0" w:oddVBand="0" w:evenVBand="0" w:oddHBand="0" w:evenHBand="0" w:firstRowFirstColumn="0" w:firstRowLastColumn="0" w:lastRowFirstColumn="0" w:lastRowLastColumn="0"/>
            <w:tcW w:w="3154" w:type="pct"/>
            <w:tcBorders>
              <w:top w:val="single" w:sz="4" w:space="0" w:color="auto"/>
            </w:tcBorders>
            <w:tcMar>
              <w:top w:w="57" w:type="dxa"/>
              <w:bottom w:w="57" w:type="dxa"/>
            </w:tcMar>
            <w:vAlign w:val="bottom"/>
          </w:tcPr>
          <w:p w14:paraId="57465174" w14:textId="40480BEE" w:rsidR="00284790" w:rsidRPr="002D1A2F" w:rsidRDefault="00284790" w:rsidP="0020549A">
            <w:pPr>
              <w:rPr>
                <w:rFonts w:ascii="Arial" w:hAnsi="Arial" w:cs="Arial"/>
                <w:sz w:val="20"/>
                <w:szCs w:val="20"/>
              </w:rPr>
            </w:pPr>
            <w:r w:rsidRPr="00DC2064">
              <w:rPr>
                <w:rFonts w:ascii="Arial" w:hAnsi="Arial" w:cs="Arial"/>
                <w:sz w:val="20"/>
                <w:szCs w:val="20"/>
              </w:rPr>
              <w:t>Unrealised</w:t>
            </w:r>
            <w:r>
              <w:rPr>
                <w:rFonts w:ascii="Arial" w:hAnsi="Arial" w:cs="Arial"/>
                <w:sz w:val="20"/>
                <w:szCs w:val="20"/>
              </w:rPr>
              <w:t xml:space="preserve"> and realised</w:t>
            </w:r>
            <w:r w:rsidRPr="00DC2064">
              <w:rPr>
                <w:rFonts w:ascii="Arial" w:hAnsi="Arial" w:cs="Arial"/>
                <w:sz w:val="20"/>
                <w:szCs w:val="20"/>
              </w:rPr>
              <w:t xml:space="preserve"> </w:t>
            </w:r>
            <w:r>
              <w:rPr>
                <w:rFonts w:ascii="Arial" w:hAnsi="Arial" w:cs="Arial"/>
                <w:sz w:val="20"/>
                <w:szCs w:val="20"/>
              </w:rPr>
              <w:t xml:space="preserve">loss </w:t>
            </w:r>
            <w:r w:rsidRPr="00DC2064">
              <w:rPr>
                <w:rFonts w:ascii="Arial" w:hAnsi="Arial" w:cs="Arial"/>
                <w:sz w:val="20"/>
                <w:szCs w:val="20"/>
              </w:rPr>
              <w:t xml:space="preserve">on </w:t>
            </w:r>
            <w:r w:rsidRPr="002D1A2F">
              <w:rPr>
                <w:rFonts w:ascii="Arial" w:hAnsi="Arial" w:cs="Arial"/>
                <w:sz w:val="20"/>
                <w:szCs w:val="20"/>
              </w:rPr>
              <w:t>Partnership’s investments (net)</w:t>
            </w:r>
            <w:r w:rsidRPr="002D1A2F">
              <w:rPr>
                <w:rFonts w:ascii="Arial" w:hAnsi="Arial" w:cs="Arial"/>
                <w:sz w:val="20"/>
                <w:szCs w:val="20"/>
                <w:vertAlign w:val="superscript"/>
              </w:rPr>
              <w:t xml:space="preserve"> </w:t>
            </w:r>
          </w:p>
        </w:tc>
        <w:tc>
          <w:tcPr>
            <w:tcW w:w="923" w:type="pct"/>
            <w:tcBorders>
              <w:top w:val="single" w:sz="4" w:space="0" w:color="auto"/>
            </w:tcBorders>
            <w:tcMar>
              <w:top w:w="57" w:type="dxa"/>
              <w:bottom w:w="57" w:type="dxa"/>
            </w:tcMar>
            <w:vAlign w:val="center"/>
          </w:tcPr>
          <w:p w14:paraId="3FAFA5E8" w14:textId="47CB2FB8" w:rsidR="00284790" w:rsidRPr="00BB1AFE" w:rsidRDefault="00EE5A47" w:rsidP="00DD62BE">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w:t>
            </w:r>
            <w:r w:rsidR="00DD62BE">
              <w:rPr>
                <w:rFonts w:ascii="Arial" w:hAnsi="Arial" w:cs="Arial"/>
                <w:b/>
                <w:bCs/>
                <w:sz w:val="20"/>
                <w:szCs w:val="20"/>
              </w:rPr>
              <w:t>351</w:t>
            </w:r>
            <w:r>
              <w:rPr>
                <w:rFonts w:ascii="Arial" w:hAnsi="Arial" w:cs="Arial"/>
                <w:b/>
                <w:bCs/>
                <w:sz w:val="20"/>
                <w:szCs w:val="20"/>
              </w:rPr>
              <w:t>,</w:t>
            </w:r>
            <w:r w:rsidR="00BE04E5">
              <w:rPr>
                <w:rFonts w:ascii="Arial" w:hAnsi="Arial" w:cs="Arial"/>
                <w:b/>
                <w:bCs/>
                <w:sz w:val="20"/>
                <w:szCs w:val="20"/>
              </w:rPr>
              <w:t>007</w:t>
            </w:r>
            <w:r>
              <w:rPr>
                <w:rFonts w:ascii="Arial" w:hAnsi="Arial" w:cs="Arial"/>
                <w:b/>
                <w:bCs/>
                <w:sz w:val="20"/>
                <w:szCs w:val="20"/>
              </w:rPr>
              <w:t>)</w:t>
            </w:r>
          </w:p>
        </w:tc>
        <w:tc>
          <w:tcPr>
            <w:tcW w:w="923" w:type="pct"/>
            <w:tcBorders>
              <w:top w:val="single" w:sz="4" w:space="0" w:color="auto"/>
            </w:tcBorders>
            <w:tcMar>
              <w:top w:w="57" w:type="dxa"/>
              <w:bottom w:w="57" w:type="dxa"/>
            </w:tcMar>
            <w:vAlign w:val="center"/>
          </w:tcPr>
          <w:p w14:paraId="507C9C28" w14:textId="1187A843" w:rsidR="00284790" w:rsidRPr="009A526B" w:rsidRDefault="00284790" w:rsidP="005637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526B">
              <w:rPr>
                <w:rFonts w:ascii="Arial" w:eastAsia="Arial" w:hAnsi="Arial" w:cs="Arial"/>
                <w:bCs/>
                <w:sz w:val="20"/>
                <w:szCs w:val="20"/>
              </w:rPr>
              <w:t xml:space="preserve"> </w:t>
            </w:r>
            <w:r w:rsidR="005637CA">
              <w:rPr>
                <w:rFonts w:ascii="Arial" w:eastAsia="Arial" w:hAnsi="Arial" w:cs="Arial"/>
                <w:bCs/>
                <w:sz w:val="20"/>
                <w:szCs w:val="20"/>
              </w:rPr>
              <w:t>(364,899)</w:t>
            </w:r>
          </w:p>
        </w:tc>
      </w:tr>
      <w:tr w:rsidR="00284790" w:rsidRPr="00BC678F" w14:paraId="355AB26D" w14:textId="77777777" w:rsidTr="009A526B">
        <w:tc>
          <w:tcPr>
            <w:cnfStyle w:val="001000000000" w:firstRow="0" w:lastRow="0" w:firstColumn="1" w:lastColumn="0" w:oddVBand="0" w:evenVBand="0" w:oddHBand="0" w:evenHBand="0" w:firstRowFirstColumn="0" w:firstRowLastColumn="0" w:lastRowFirstColumn="0" w:lastRowLastColumn="0"/>
            <w:tcW w:w="3154" w:type="pct"/>
            <w:tcMar>
              <w:top w:w="57" w:type="dxa"/>
              <w:bottom w:w="57" w:type="dxa"/>
            </w:tcMar>
            <w:vAlign w:val="bottom"/>
          </w:tcPr>
          <w:p w14:paraId="5447C830" w14:textId="77777777" w:rsidR="00284790" w:rsidRPr="002D1A2F" w:rsidRDefault="00284790" w:rsidP="00284790">
            <w:pPr>
              <w:rPr>
                <w:rFonts w:ascii="Arial" w:hAnsi="Arial" w:cs="Arial"/>
                <w:sz w:val="20"/>
                <w:szCs w:val="20"/>
              </w:rPr>
            </w:pPr>
            <w:r w:rsidRPr="00DC2064">
              <w:rPr>
                <w:rFonts w:ascii="Arial" w:hAnsi="Arial" w:cs="Arial"/>
                <w:sz w:val="20"/>
                <w:szCs w:val="20"/>
              </w:rPr>
              <w:t xml:space="preserve">Interest and </w:t>
            </w:r>
            <w:r>
              <w:rPr>
                <w:rFonts w:ascii="Arial" w:hAnsi="Arial" w:cs="Arial"/>
                <w:sz w:val="20"/>
                <w:szCs w:val="20"/>
              </w:rPr>
              <w:t>o</w:t>
            </w:r>
            <w:r w:rsidRPr="002D1A2F">
              <w:rPr>
                <w:rFonts w:ascii="Arial" w:hAnsi="Arial" w:cs="Arial"/>
                <w:sz w:val="20"/>
                <w:szCs w:val="20"/>
              </w:rPr>
              <w:t>ther income</w:t>
            </w:r>
          </w:p>
        </w:tc>
        <w:tc>
          <w:tcPr>
            <w:tcW w:w="923" w:type="pct"/>
            <w:tcMar>
              <w:top w:w="57" w:type="dxa"/>
              <w:bottom w:w="57" w:type="dxa"/>
            </w:tcMar>
            <w:vAlign w:val="center"/>
          </w:tcPr>
          <w:p w14:paraId="60D7C27C" w14:textId="560457BA" w:rsidR="00284790" w:rsidRPr="00BB1AFE" w:rsidRDefault="00EE5A47" w:rsidP="0028479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1,616</w:t>
            </w:r>
          </w:p>
        </w:tc>
        <w:tc>
          <w:tcPr>
            <w:tcW w:w="923" w:type="pct"/>
            <w:tcMar>
              <w:top w:w="57" w:type="dxa"/>
              <w:bottom w:w="57" w:type="dxa"/>
            </w:tcMar>
            <w:vAlign w:val="center"/>
          </w:tcPr>
          <w:p w14:paraId="504D0236" w14:textId="2D3E1E4E" w:rsidR="00284790" w:rsidRPr="009A526B" w:rsidRDefault="005637CA" w:rsidP="0028479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rial" w:hAnsi="Arial" w:cs="Arial"/>
                <w:bCs/>
                <w:sz w:val="20"/>
                <w:szCs w:val="20"/>
              </w:rPr>
              <w:t>2,732</w:t>
            </w:r>
            <w:r w:rsidR="00284790" w:rsidRPr="009A526B">
              <w:rPr>
                <w:rFonts w:ascii="Arial" w:eastAsia="Arial" w:hAnsi="Arial" w:cs="Arial"/>
                <w:bCs/>
                <w:sz w:val="20"/>
                <w:szCs w:val="20"/>
              </w:rPr>
              <w:t xml:space="preserve"> </w:t>
            </w:r>
          </w:p>
        </w:tc>
      </w:tr>
      <w:tr w:rsidR="00284790" w:rsidRPr="00BC678F" w14:paraId="33E4999C" w14:textId="77777777" w:rsidTr="009A526B">
        <w:tc>
          <w:tcPr>
            <w:cnfStyle w:val="001000000000" w:firstRow="0" w:lastRow="0" w:firstColumn="1" w:lastColumn="0" w:oddVBand="0" w:evenVBand="0" w:oddHBand="0" w:evenHBand="0" w:firstRowFirstColumn="0" w:firstRowLastColumn="0" w:lastRowFirstColumn="0" w:lastRowLastColumn="0"/>
            <w:tcW w:w="3154" w:type="pct"/>
            <w:tcMar>
              <w:top w:w="57" w:type="dxa"/>
              <w:bottom w:w="57" w:type="dxa"/>
            </w:tcMar>
            <w:vAlign w:val="bottom"/>
          </w:tcPr>
          <w:p w14:paraId="737BCD25" w14:textId="749EDE39" w:rsidR="00284790" w:rsidRPr="002D1A2F" w:rsidRDefault="00284790" w:rsidP="0020549A">
            <w:pPr>
              <w:rPr>
                <w:rFonts w:ascii="Arial" w:hAnsi="Arial" w:cs="Arial"/>
                <w:sz w:val="20"/>
                <w:szCs w:val="20"/>
              </w:rPr>
            </w:pPr>
            <w:r w:rsidRPr="00DC2064">
              <w:rPr>
                <w:rFonts w:ascii="Arial" w:hAnsi="Arial" w:cs="Arial"/>
                <w:sz w:val="20"/>
                <w:szCs w:val="20"/>
              </w:rPr>
              <w:t xml:space="preserve">Management fee expense – see Note </w:t>
            </w:r>
            <w:r w:rsidR="0020549A">
              <w:rPr>
                <w:rFonts w:ascii="Arial" w:hAnsi="Arial" w:cs="Arial"/>
                <w:sz w:val="20"/>
                <w:szCs w:val="20"/>
              </w:rPr>
              <w:t>8</w:t>
            </w:r>
          </w:p>
        </w:tc>
        <w:tc>
          <w:tcPr>
            <w:tcW w:w="923" w:type="pct"/>
            <w:tcMar>
              <w:top w:w="57" w:type="dxa"/>
              <w:bottom w:w="57" w:type="dxa"/>
            </w:tcMar>
            <w:vAlign w:val="center"/>
          </w:tcPr>
          <w:p w14:paraId="6F7A0491" w14:textId="6708CA2C" w:rsidR="00284790" w:rsidRPr="00BB1AFE" w:rsidRDefault="00EE5A47" w:rsidP="0028479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(3,0</w:t>
            </w:r>
            <w:r w:rsidR="00BE04E5">
              <w:rPr>
                <w:rFonts w:ascii="Arial" w:hAnsi="Arial" w:cs="Arial"/>
                <w:b/>
                <w:bCs/>
                <w:sz w:val="20"/>
                <w:szCs w:val="20"/>
              </w:rPr>
              <w:t>10</w:t>
            </w:r>
            <w:r>
              <w:rPr>
                <w:rFonts w:ascii="Arial" w:hAnsi="Arial" w:cs="Arial"/>
                <w:b/>
                <w:bCs/>
                <w:sz w:val="20"/>
                <w:szCs w:val="20"/>
              </w:rPr>
              <w:t>)</w:t>
            </w:r>
          </w:p>
        </w:tc>
        <w:tc>
          <w:tcPr>
            <w:tcW w:w="923" w:type="pct"/>
            <w:tcMar>
              <w:top w:w="57" w:type="dxa"/>
              <w:bottom w:w="57" w:type="dxa"/>
            </w:tcMar>
            <w:vAlign w:val="center"/>
          </w:tcPr>
          <w:p w14:paraId="370E1FBE" w14:textId="028FB84A" w:rsidR="00284790" w:rsidRPr="009A526B" w:rsidRDefault="00284790" w:rsidP="005637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rial" w:hAnsi="Arial" w:cs="Arial"/>
                <w:bCs/>
                <w:sz w:val="20"/>
                <w:szCs w:val="20"/>
              </w:rPr>
              <w:t xml:space="preserve"> (</w:t>
            </w:r>
            <w:r w:rsidR="005637CA">
              <w:rPr>
                <w:rFonts w:ascii="Arial" w:eastAsia="Arial" w:hAnsi="Arial" w:cs="Arial"/>
                <w:bCs/>
                <w:sz w:val="20"/>
                <w:szCs w:val="20"/>
              </w:rPr>
              <w:t>8,547</w:t>
            </w:r>
            <w:r w:rsidRPr="009A526B">
              <w:rPr>
                <w:rFonts w:ascii="Arial" w:eastAsia="Arial" w:hAnsi="Arial" w:cs="Arial"/>
                <w:bCs/>
                <w:sz w:val="20"/>
                <w:szCs w:val="20"/>
              </w:rPr>
              <w:t>)</w:t>
            </w:r>
          </w:p>
        </w:tc>
      </w:tr>
      <w:tr w:rsidR="00284790" w:rsidRPr="00BC678F" w14:paraId="23C8A394" w14:textId="77777777" w:rsidTr="009A526B">
        <w:tc>
          <w:tcPr>
            <w:cnfStyle w:val="001000000000" w:firstRow="0" w:lastRow="0" w:firstColumn="1" w:lastColumn="0" w:oddVBand="0" w:evenVBand="0" w:oddHBand="0" w:evenHBand="0" w:firstRowFirstColumn="0" w:firstRowLastColumn="0" w:lastRowFirstColumn="0" w:lastRowLastColumn="0"/>
            <w:tcW w:w="3154" w:type="pct"/>
            <w:tcBorders>
              <w:bottom w:val="single" w:sz="4" w:space="0" w:color="auto"/>
            </w:tcBorders>
            <w:tcMar>
              <w:top w:w="57" w:type="dxa"/>
              <w:bottom w:w="57" w:type="dxa"/>
            </w:tcMar>
            <w:vAlign w:val="bottom"/>
          </w:tcPr>
          <w:p w14:paraId="63E5CA7D" w14:textId="77777777" w:rsidR="00284790" w:rsidRPr="002D1A2F" w:rsidRDefault="00284790" w:rsidP="00284790">
            <w:pPr>
              <w:rPr>
                <w:rFonts w:ascii="Arial" w:hAnsi="Arial" w:cs="Arial"/>
                <w:sz w:val="20"/>
                <w:szCs w:val="20"/>
              </w:rPr>
            </w:pPr>
            <w:r w:rsidRPr="00DC2064">
              <w:rPr>
                <w:rFonts w:ascii="Arial" w:hAnsi="Arial" w:cs="Arial"/>
                <w:sz w:val="20"/>
                <w:szCs w:val="20"/>
              </w:rPr>
              <w:t>Other operating expenses</w:t>
            </w:r>
          </w:p>
        </w:tc>
        <w:tc>
          <w:tcPr>
            <w:tcW w:w="923" w:type="pct"/>
            <w:tcBorders>
              <w:bottom w:val="single" w:sz="4" w:space="0" w:color="auto"/>
            </w:tcBorders>
            <w:tcMar>
              <w:top w:w="57" w:type="dxa"/>
              <w:bottom w:w="57" w:type="dxa"/>
            </w:tcMar>
            <w:vAlign w:val="center"/>
          </w:tcPr>
          <w:p w14:paraId="01960EEE" w14:textId="29CA9FC9" w:rsidR="00284790" w:rsidRPr="00BB1AFE" w:rsidRDefault="00EE5A47" w:rsidP="0028479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(1,526)</w:t>
            </w:r>
          </w:p>
        </w:tc>
        <w:tc>
          <w:tcPr>
            <w:tcW w:w="923" w:type="pct"/>
            <w:tcBorders>
              <w:bottom w:val="single" w:sz="4" w:space="0" w:color="auto"/>
            </w:tcBorders>
            <w:tcMar>
              <w:top w:w="57" w:type="dxa"/>
              <w:bottom w:w="57" w:type="dxa"/>
            </w:tcMar>
            <w:vAlign w:val="center"/>
          </w:tcPr>
          <w:p w14:paraId="74C77B0D" w14:textId="3D2ACB16" w:rsidR="00284790" w:rsidRPr="009A526B" w:rsidRDefault="00284790" w:rsidP="005637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rial" w:hAnsi="Arial" w:cs="Arial"/>
                <w:bCs/>
                <w:sz w:val="20"/>
                <w:szCs w:val="20"/>
              </w:rPr>
              <w:t xml:space="preserve"> (</w:t>
            </w:r>
            <w:r w:rsidR="005637CA">
              <w:rPr>
                <w:rFonts w:ascii="Arial" w:eastAsia="Arial" w:hAnsi="Arial" w:cs="Arial"/>
                <w:bCs/>
                <w:sz w:val="20"/>
                <w:szCs w:val="20"/>
              </w:rPr>
              <w:t>622</w:t>
            </w:r>
            <w:r w:rsidRPr="009A526B">
              <w:rPr>
                <w:rFonts w:ascii="Arial" w:eastAsia="Arial" w:hAnsi="Arial" w:cs="Arial"/>
                <w:bCs/>
                <w:sz w:val="20"/>
                <w:szCs w:val="20"/>
              </w:rPr>
              <w:t>)</w:t>
            </w:r>
          </w:p>
        </w:tc>
      </w:tr>
      <w:tr w:rsidR="00284790" w:rsidRPr="00BC678F" w14:paraId="06D54D68" w14:textId="77777777" w:rsidTr="00AE7818">
        <w:tc>
          <w:tcPr>
            <w:cnfStyle w:val="001000000000" w:firstRow="0" w:lastRow="0" w:firstColumn="1" w:lastColumn="0" w:oddVBand="0" w:evenVBand="0" w:oddHBand="0" w:evenHBand="0" w:firstRowFirstColumn="0" w:firstRowLastColumn="0" w:lastRowFirstColumn="0" w:lastRowLastColumn="0"/>
            <w:tcW w:w="3154" w:type="pct"/>
            <w:tcBorders>
              <w:top w:val="single" w:sz="4" w:space="0" w:color="auto"/>
              <w:bottom w:val="single" w:sz="18" w:space="0" w:color="auto"/>
            </w:tcBorders>
            <w:tcMar>
              <w:top w:w="57" w:type="dxa"/>
              <w:bottom w:w="57" w:type="dxa"/>
            </w:tcMar>
            <w:vAlign w:val="bottom"/>
          </w:tcPr>
          <w:p w14:paraId="63381B63" w14:textId="0C423B2F" w:rsidR="00284790" w:rsidRPr="002D1A2F" w:rsidRDefault="00284790" w:rsidP="0020549A">
            <w:pPr>
              <w:rPr>
                <w:rFonts w:ascii="Arial" w:hAnsi="Arial" w:cs="Arial"/>
                <w:b/>
                <w:sz w:val="20"/>
                <w:szCs w:val="20"/>
              </w:rPr>
            </w:pPr>
            <w:r w:rsidRPr="00DC2064">
              <w:rPr>
                <w:rFonts w:ascii="Arial" w:hAnsi="Arial" w:cs="Arial"/>
                <w:b/>
                <w:sz w:val="20"/>
                <w:szCs w:val="20"/>
              </w:rPr>
              <w:t xml:space="preserve">Portion of the operating </w:t>
            </w:r>
            <w:r>
              <w:rPr>
                <w:rFonts w:ascii="Arial" w:hAnsi="Arial" w:cs="Arial"/>
                <w:b/>
                <w:sz w:val="20"/>
                <w:szCs w:val="20"/>
              </w:rPr>
              <w:t>loss</w:t>
            </w:r>
            <w:r w:rsidR="00FB1EC0">
              <w:rPr>
                <w:rFonts w:ascii="Arial" w:hAnsi="Arial" w:cs="Arial"/>
                <w:b/>
                <w:sz w:val="20"/>
                <w:szCs w:val="20"/>
              </w:rPr>
              <w:t xml:space="preserve"> </w:t>
            </w:r>
            <w:r w:rsidRPr="002D1A2F">
              <w:rPr>
                <w:rFonts w:ascii="Arial" w:hAnsi="Arial" w:cs="Arial"/>
                <w:b/>
                <w:sz w:val="20"/>
                <w:szCs w:val="20"/>
              </w:rPr>
              <w:t>for the period attributable to REL’s investment in the Partnership</w:t>
            </w:r>
          </w:p>
        </w:tc>
        <w:tc>
          <w:tcPr>
            <w:tcW w:w="923" w:type="pct"/>
            <w:tcBorders>
              <w:top w:val="single" w:sz="4" w:space="0" w:color="auto"/>
              <w:bottom w:val="single" w:sz="18" w:space="0" w:color="auto"/>
            </w:tcBorders>
            <w:tcMar>
              <w:top w:w="57" w:type="dxa"/>
              <w:bottom w:w="57" w:type="dxa"/>
            </w:tcMar>
            <w:vAlign w:val="bottom"/>
          </w:tcPr>
          <w:p w14:paraId="7A7F8EC3" w14:textId="5740D851" w:rsidR="00284790" w:rsidRPr="00BB1AFE" w:rsidRDefault="00EE5A47" w:rsidP="00BE04E5">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(353,9</w:t>
            </w:r>
            <w:r w:rsidR="00BE04E5">
              <w:rPr>
                <w:rFonts w:ascii="Arial" w:hAnsi="Arial" w:cs="Arial"/>
                <w:b/>
                <w:bCs/>
                <w:sz w:val="20"/>
                <w:szCs w:val="20"/>
              </w:rPr>
              <w:t>27</w:t>
            </w:r>
            <w:r>
              <w:rPr>
                <w:rFonts w:ascii="Arial" w:hAnsi="Arial" w:cs="Arial"/>
                <w:b/>
                <w:bCs/>
                <w:sz w:val="20"/>
                <w:szCs w:val="20"/>
              </w:rPr>
              <w:t>)</w:t>
            </w:r>
          </w:p>
        </w:tc>
        <w:tc>
          <w:tcPr>
            <w:tcW w:w="923" w:type="pct"/>
            <w:tcBorders>
              <w:top w:val="single" w:sz="4" w:space="0" w:color="auto"/>
              <w:bottom w:val="single" w:sz="18" w:space="0" w:color="auto"/>
            </w:tcBorders>
            <w:tcMar>
              <w:top w:w="57" w:type="dxa"/>
              <w:bottom w:w="57" w:type="dxa"/>
            </w:tcMar>
            <w:vAlign w:val="bottom"/>
          </w:tcPr>
          <w:p w14:paraId="0A94BAF7" w14:textId="6B18E8A5" w:rsidR="00284790" w:rsidRPr="009A526B" w:rsidRDefault="00284790" w:rsidP="00BD690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rial" w:hAnsi="Arial" w:cs="Arial"/>
                <w:bCs/>
                <w:sz w:val="20"/>
                <w:szCs w:val="20"/>
              </w:rPr>
              <w:t xml:space="preserve"> </w:t>
            </w:r>
            <w:r w:rsidR="00BD690E">
              <w:rPr>
                <w:rFonts w:ascii="Arial" w:eastAsia="Arial" w:hAnsi="Arial" w:cs="Arial"/>
                <w:bCs/>
                <w:sz w:val="20"/>
                <w:szCs w:val="20"/>
              </w:rPr>
              <w:t>(371,336)</w:t>
            </w:r>
          </w:p>
        </w:tc>
      </w:tr>
    </w:tbl>
    <w:p w14:paraId="400740AF" w14:textId="77777777" w:rsidR="00E41A2E" w:rsidRPr="00DC2064" w:rsidRDefault="00E41A2E">
      <w:pPr>
        <w:tabs>
          <w:tab w:val="left" w:pos="6903"/>
        </w:tabs>
        <w:ind w:left="567"/>
        <w:rPr>
          <w:rFonts w:ascii="Arial" w:hAnsi="Arial" w:cs="Arial"/>
          <w:sz w:val="20"/>
          <w:szCs w:val="20"/>
        </w:rPr>
      </w:pPr>
    </w:p>
    <w:tbl>
      <w:tblPr>
        <w:tblStyle w:val="TableGrid3"/>
        <w:tblW w:w="4608" w:type="pct"/>
        <w:tblInd w:w="675" w:type="dxa"/>
        <w:tblLook w:val="04A0" w:firstRow="1" w:lastRow="0" w:firstColumn="1" w:lastColumn="0" w:noHBand="0" w:noVBand="1"/>
      </w:tblPr>
      <w:tblGrid>
        <w:gridCol w:w="5686"/>
        <w:gridCol w:w="1664"/>
        <w:gridCol w:w="1664"/>
      </w:tblGrid>
      <w:tr w:rsidR="00051034" w:rsidRPr="00051034" w14:paraId="62A42D3A" w14:textId="77777777" w:rsidTr="00AE7818">
        <w:trPr>
          <w:cnfStyle w:val="100000000000" w:firstRow="1" w:lastRow="0" w:firstColumn="0" w:lastColumn="0" w:oddVBand="0" w:evenVBand="0" w:oddHBand="0" w:evenHBand="0" w:firstRowFirstColumn="0" w:firstRowLastColumn="0" w:lastRowFirstColumn="0" w:lastRowLastColumn="0"/>
          <w:trHeight w:val="1316"/>
        </w:trPr>
        <w:tc>
          <w:tcPr>
            <w:cnfStyle w:val="001000000000" w:firstRow="0" w:lastRow="0" w:firstColumn="1" w:lastColumn="0" w:oddVBand="0" w:evenVBand="0" w:oddHBand="0" w:evenHBand="0" w:firstRowFirstColumn="0" w:firstRowLastColumn="0" w:lastRowFirstColumn="0" w:lastRowLastColumn="0"/>
            <w:tcW w:w="3154" w:type="pct"/>
            <w:tcBorders>
              <w:bottom w:val="single" w:sz="4" w:space="0" w:color="auto"/>
            </w:tcBorders>
            <w:tcMar>
              <w:top w:w="57" w:type="dxa"/>
              <w:bottom w:w="57" w:type="dxa"/>
            </w:tcMar>
            <w:vAlign w:val="bottom"/>
          </w:tcPr>
          <w:p w14:paraId="7149525D" w14:textId="6F99F534" w:rsidR="00051034" w:rsidRPr="00051034" w:rsidRDefault="00051034" w:rsidP="0020549A">
            <w:pPr>
              <w:jc w:val="left"/>
              <w:rPr>
                <w:rFonts w:ascii="Arial" w:hAnsi="Arial" w:cs="Arial"/>
                <w:sz w:val="20"/>
                <w:szCs w:val="20"/>
              </w:rPr>
            </w:pPr>
            <w:r w:rsidRPr="00051034">
              <w:rPr>
                <w:rFonts w:ascii="Arial" w:hAnsi="Arial" w:cs="Arial"/>
                <w:b/>
                <w:sz w:val="20"/>
                <w:szCs w:val="20"/>
              </w:rPr>
              <w:t>Reconciliation of unrealised and realised</w:t>
            </w:r>
            <w:r w:rsidR="00FC1940">
              <w:rPr>
                <w:rFonts w:ascii="Arial" w:hAnsi="Arial" w:cs="Arial"/>
                <w:b/>
                <w:sz w:val="20"/>
                <w:szCs w:val="20"/>
              </w:rPr>
              <w:t xml:space="preserve"> </w:t>
            </w:r>
            <w:r w:rsidR="000B6589">
              <w:rPr>
                <w:rFonts w:ascii="Arial" w:hAnsi="Arial" w:cs="Arial"/>
                <w:b/>
                <w:sz w:val="20"/>
                <w:szCs w:val="20"/>
              </w:rPr>
              <w:t xml:space="preserve">loss </w:t>
            </w:r>
            <w:r w:rsidRPr="00051034">
              <w:rPr>
                <w:rFonts w:ascii="Arial" w:hAnsi="Arial" w:cs="Arial"/>
                <w:b/>
                <w:sz w:val="20"/>
                <w:szCs w:val="20"/>
              </w:rPr>
              <w:t>on Partnership’s investments</w:t>
            </w:r>
          </w:p>
        </w:tc>
        <w:tc>
          <w:tcPr>
            <w:tcW w:w="923" w:type="pct"/>
            <w:tcBorders>
              <w:bottom w:val="single" w:sz="4" w:space="0" w:color="auto"/>
            </w:tcBorders>
            <w:tcMar>
              <w:top w:w="57" w:type="dxa"/>
              <w:bottom w:w="57" w:type="dxa"/>
            </w:tcMar>
            <w:vAlign w:val="bottom"/>
          </w:tcPr>
          <w:p w14:paraId="24E99CFE" w14:textId="77777777" w:rsidR="00051034" w:rsidRPr="00051034" w:rsidRDefault="00051034" w:rsidP="00D52D40">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051034">
              <w:rPr>
                <w:rFonts w:ascii="Arial" w:hAnsi="Arial" w:cs="Arial"/>
                <w:b/>
                <w:sz w:val="20"/>
                <w:szCs w:val="20"/>
              </w:rPr>
              <w:t>1 January</w:t>
            </w:r>
          </w:p>
          <w:p w14:paraId="313882A2" w14:textId="2ACD55D5" w:rsidR="00051034" w:rsidRPr="00051034" w:rsidRDefault="00BD690E" w:rsidP="00D52D40">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2020</w:t>
            </w:r>
            <w:r w:rsidR="00051034" w:rsidRPr="00051034">
              <w:rPr>
                <w:rFonts w:ascii="Arial" w:hAnsi="Arial" w:cs="Arial"/>
                <w:b/>
                <w:sz w:val="20"/>
                <w:szCs w:val="20"/>
              </w:rPr>
              <w:t xml:space="preserve"> to</w:t>
            </w:r>
          </w:p>
          <w:p w14:paraId="5FF849D5" w14:textId="77777777" w:rsidR="00051034" w:rsidRPr="00051034" w:rsidRDefault="00051034" w:rsidP="00D52D40">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051034">
              <w:rPr>
                <w:rFonts w:ascii="Arial" w:hAnsi="Arial" w:cs="Arial"/>
                <w:b/>
                <w:sz w:val="20"/>
                <w:szCs w:val="20"/>
              </w:rPr>
              <w:t>30 June</w:t>
            </w:r>
          </w:p>
          <w:p w14:paraId="53354712" w14:textId="0375B7DC" w:rsidR="00051034" w:rsidRPr="00051034" w:rsidRDefault="00BD690E" w:rsidP="00D52D40">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2020</w:t>
            </w:r>
          </w:p>
          <w:p w14:paraId="3DF45D73" w14:textId="77777777" w:rsidR="00051034" w:rsidRPr="00051034" w:rsidRDefault="00051034" w:rsidP="00D52D40">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051034">
              <w:rPr>
                <w:rFonts w:ascii="Arial" w:hAnsi="Arial" w:cs="Arial"/>
                <w:b/>
                <w:sz w:val="20"/>
                <w:szCs w:val="20"/>
              </w:rPr>
              <w:t>$’000</w:t>
            </w:r>
          </w:p>
        </w:tc>
        <w:tc>
          <w:tcPr>
            <w:tcW w:w="923" w:type="pct"/>
            <w:tcBorders>
              <w:bottom w:val="single" w:sz="4" w:space="0" w:color="auto"/>
            </w:tcBorders>
            <w:tcMar>
              <w:top w:w="57" w:type="dxa"/>
              <w:bottom w:w="57" w:type="dxa"/>
            </w:tcMar>
            <w:vAlign w:val="bottom"/>
          </w:tcPr>
          <w:p w14:paraId="62B1CB6F" w14:textId="77777777" w:rsidR="00051034" w:rsidRPr="00051034" w:rsidRDefault="00051034" w:rsidP="00D52D4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51034">
              <w:rPr>
                <w:rFonts w:ascii="Arial" w:hAnsi="Arial" w:cs="Arial"/>
                <w:sz w:val="20"/>
                <w:szCs w:val="20"/>
              </w:rPr>
              <w:t>1 January</w:t>
            </w:r>
          </w:p>
          <w:p w14:paraId="59D6462D" w14:textId="6B605FEE" w:rsidR="00051034" w:rsidRPr="00051034" w:rsidRDefault="00051034" w:rsidP="00D52D4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51034">
              <w:rPr>
                <w:rFonts w:ascii="Arial" w:hAnsi="Arial" w:cs="Arial"/>
                <w:sz w:val="20"/>
                <w:szCs w:val="20"/>
              </w:rPr>
              <w:t>201</w:t>
            </w:r>
            <w:r w:rsidR="00BD690E">
              <w:rPr>
                <w:rFonts w:ascii="Arial" w:hAnsi="Arial" w:cs="Arial"/>
                <w:sz w:val="20"/>
                <w:szCs w:val="20"/>
              </w:rPr>
              <w:t>9</w:t>
            </w:r>
            <w:r w:rsidRPr="00051034">
              <w:rPr>
                <w:rFonts w:ascii="Arial" w:hAnsi="Arial" w:cs="Arial"/>
                <w:sz w:val="20"/>
                <w:szCs w:val="20"/>
              </w:rPr>
              <w:t xml:space="preserve"> to</w:t>
            </w:r>
          </w:p>
          <w:p w14:paraId="0C4F18EC" w14:textId="77777777" w:rsidR="00051034" w:rsidRPr="00051034" w:rsidRDefault="00051034" w:rsidP="00D52D4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51034">
              <w:rPr>
                <w:rFonts w:ascii="Arial" w:hAnsi="Arial" w:cs="Arial"/>
                <w:sz w:val="20"/>
                <w:szCs w:val="20"/>
              </w:rPr>
              <w:t>30 June</w:t>
            </w:r>
          </w:p>
          <w:p w14:paraId="517BD0C7" w14:textId="2B6DC703" w:rsidR="00051034" w:rsidRPr="00051034" w:rsidRDefault="00051034" w:rsidP="00D52D4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51034">
              <w:rPr>
                <w:rFonts w:ascii="Arial" w:hAnsi="Arial" w:cs="Arial"/>
                <w:sz w:val="20"/>
                <w:szCs w:val="20"/>
              </w:rPr>
              <w:t>201</w:t>
            </w:r>
            <w:r w:rsidR="00BD690E">
              <w:rPr>
                <w:rFonts w:ascii="Arial" w:hAnsi="Arial" w:cs="Arial"/>
                <w:sz w:val="20"/>
                <w:szCs w:val="20"/>
              </w:rPr>
              <w:t>9</w:t>
            </w:r>
          </w:p>
          <w:p w14:paraId="1605413B" w14:textId="77777777" w:rsidR="00051034" w:rsidRPr="00051034" w:rsidRDefault="00051034" w:rsidP="00D52D4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51034">
              <w:rPr>
                <w:rFonts w:ascii="Arial" w:hAnsi="Arial" w:cs="Arial"/>
                <w:sz w:val="20"/>
                <w:szCs w:val="20"/>
              </w:rPr>
              <w:t>$’000</w:t>
            </w:r>
          </w:p>
        </w:tc>
      </w:tr>
      <w:tr w:rsidR="00284790" w:rsidRPr="00051034" w14:paraId="54A35E1E" w14:textId="77777777" w:rsidTr="009A526B">
        <w:tc>
          <w:tcPr>
            <w:cnfStyle w:val="001000000000" w:firstRow="0" w:lastRow="0" w:firstColumn="1" w:lastColumn="0" w:oddVBand="0" w:evenVBand="0" w:oddHBand="0" w:evenHBand="0" w:firstRowFirstColumn="0" w:firstRowLastColumn="0" w:lastRowFirstColumn="0" w:lastRowLastColumn="0"/>
            <w:tcW w:w="3154" w:type="pct"/>
            <w:tcBorders>
              <w:top w:val="single" w:sz="4" w:space="0" w:color="auto"/>
            </w:tcBorders>
            <w:tcMar>
              <w:top w:w="57" w:type="dxa"/>
              <w:bottom w:w="57" w:type="dxa"/>
            </w:tcMar>
            <w:vAlign w:val="bottom"/>
          </w:tcPr>
          <w:p w14:paraId="4F67FE22" w14:textId="4BE8F0AB" w:rsidR="00284790" w:rsidRPr="00051034" w:rsidRDefault="00284790" w:rsidP="00284790">
            <w:pPr>
              <w:rPr>
                <w:rFonts w:ascii="Arial" w:hAnsi="Arial" w:cs="Arial"/>
                <w:sz w:val="20"/>
                <w:szCs w:val="20"/>
              </w:rPr>
            </w:pPr>
            <w:r w:rsidRPr="00051034">
              <w:rPr>
                <w:rFonts w:ascii="Arial" w:hAnsi="Arial" w:cs="Arial"/>
                <w:sz w:val="20"/>
                <w:szCs w:val="20"/>
              </w:rPr>
              <w:t xml:space="preserve">Unrealised </w:t>
            </w:r>
            <w:r>
              <w:rPr>
                <w:rFonts w:ascii="Arial" w:hAnsi="Arial" w:cs="Arial"/>
                <w:sz w:val="20"/>
                <w:szCs w:val="20"/>
              </w:rPr>
              <w:t>loss</w:t>
            </w:r>
            <w:r w:rsidRPr="00051034">
              <w:rPr>
                <w:rFonts w:ascii="Arial" w:hAnsi="Arial" w:cs="Arial"/>
                <w:sz w:val="20"/>
                <w:szCs w:val="20"/>
              </w:rPr>
              <w:t xml:space="preserve"> on Partnership’s investments (gross)</w:t>
            </w:r>
          </w:p>
        </w:tc>
        <w:tc>
          <w:tcPr>
            <w:tcW w:w="923" w:type="pct"/>
            <w:tcBorders>
              <w:top w:val="single" w:sz="4" w:space="0" w:color="auto"/>
            </w:tcBorders>
            <w:tcMar>
              <w:top w:w="57" w:type="dxa"/>
              <w:bottom w:w="57" w:type="dxa"/>
            </w:tcMar>
            <w:vAlign w:val="center"/>
          </w:tcPr>
          <w:p w14:paraId="638D460D" w14:textId="58F272F2" w:rsidR="00284790" w:rsidRPr="006F1C57" w:rsidRDefault="00EE5A47" w:rsidP="00DD62B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w:t>
            </w:r>
            <w:r w:rsidR="00DD62BE">
              <w:rPr>
                <w:rFonts w:ascii="Arial" w:hAnsi="Arial" w:cs="Arial"/>
                <w:b/>
                <w:sz w:val="20"/>
                <w:szCs w:val="20"/>
              </w:rPr>
              <w:t>351</w:t>
            </w:r>
            <w:r>
              <w:rPr>
                <w:rFonts w:ascii="Arial" w:hAnsi="Arial" w:cs="Arial"/>
                <w:b/>
                <w:sz w:val="20"/>
                <w:szCs w:val="20"/>
              </w:rPr>
              <w:t>,</w:t>
            </w:r>
            <w:r w:rsidR="00BE04E5">
              <w:rPr>
                <w:rFonts w:ascii="Arial" w:hAnsi="Arial" w:cs="Arial"/>
                <w:b/>
                <w:sz w:val="20"/>
                <w:szCs w:val="20"/>
              </w:rPr>
              <w:t>007</w:t>
            </w:r>
            <w:r>
              <w:rPr>
                <w:rFonts w:ascii="Arial" w:hAnsi="Arial" w:cs="Arial"/>
                <w:b/>
                <w:sz w:val="20"/>
                <w:szCs w:val="20"/>
              </w:rPr>
              <w:t>)</w:t>
            </w:r>
          </w:p>
        </w:tc>
        <w:tc>
          <w:tcPr>
            <w:tcW w:w="923" w:type="pct"/>
            <w:tcBorders>
              <w:top w:val="single" w:sz="4" w:space="0" w:color="auto"/>
            </w:tcBorders>
            <w:tcMar>
              <w:top w:w="57" w:type="dxa"/>
              <w:bottom w:w="57" w:type="dxa"/>
            </w:tcMar>
            <w:vAlign w:val="center"/>
          </w:tcPr>
          <w:p w14:paraId="3DC5498C" w14:textId="15185AFC" w:rsidR="00284790" w:rsidRPr="009A526B" w:rsidRDefault="00284790" w:rsidP="00BD690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BD690E">
              <w:rPr>
                <w:rFonts w:ascii="Arial" w:hAnsi="Arial" w:cs="Arial"/>
                <w:sz w:val="20"/>
                <w:szCs w:val="20"/>
              </w:rPr>
              <w:t>450,190</w:t>
            </w:r>
            <w:r w:rsidRPr="009A526B">
              <w:rPr>
                <w:rFonts w:ascii="Arial" w:hAnsi="Arial" w:cs="Arial"/>
                <w:sz w:val="20"/>
                <w:szCs w:val="20"/>
              </w:rPr>
              <w:t>)</w:t>
            </w:r>
          </w:p>
        </w:tc>
      </w:tr>
      <w:tr w:rsidR="00284790" w:rsidRPr="00051034" w14:paraId="51B9319B" w14:textId="77777777" w:rsidTr="009A526B">
        <w:tc>
          <w:tcPr>
            <w:cnfStyle w:val="001000000000" w:firstRow="0" w:lastRow="0" w:firstColumn="1" w:lastColumn="0" w:oddVBand="0" w:evenVBand="0" w:oddHBand="0" w:evenHBand="0" w:firstRowFirstColumn="0" w:firstRowLastColumn="0" w:lastRowFirstColumn="0" w:lastRowLastColumn="0"/>
            <w:tcW w:w="3154" w:type="pct"/>
            <w:tcMar>
              <w:top w:w="57" w:type="dxa"/>
              <w:bottom w:w="57" w:type="dxa"/>
            </w:tcMar>
            <w:vAlign w:val="bottom"/>
          </w:tcPr>
          <w:p w14:paraId="1A5E9212" w14:textId="55E1DE5B" w:rsidR="00284790" w:rsidRPr="00051034" w:rsidRDefault="00284790" w:rsidP="008376DE">
            <w:pPr>
              <w:rPr>
                <w:rFonts w:ascii="Arial" w:hAnsi="Arial" w:cs="Arial"/>
                <w:sz w:val="20"/>
                <w:szCs w:val="20"/>
              </w:rPr>
            </w:pPr>
            <w:r w:rsidRPr="00051034">
              <w:rPr>
                <w:rFonts w:ascii="Arial" w:hAnsi="Arial" w:cs="Arial"/>
                <w:sz w:val="20"/>
                <w:szCs w:val="20"/>
              </w:rPr>
              <w:t xml:space="preserve">Realised </w:t>
            </w:r>
            <w:r>
              <w:rPr>
                <w:rFonts w:ascii="Arial" w:hAnsi="Arial" w:cs="Arial"/>
                <w:sz w:val="20"/>
                <w:szCs w:val="20"/>
              </w:rPr>
              <w:t xml:space="preserve">profit </w:t>
            </w:r>
            <w:r w:rsidRPr="00051034">
              <w:rPr>
                <w:rFonts w:ascii="Arial" w:hAnsi="Arial" w:cs="Arial"/>
                <w:sz w:val="20"/>
                <w:szCs w:val="20"/>
              </w:rPr>
              <w:t>on Partnership’s investments (gross)</w:t>
            </w:r>
          </w:p>
        </w:tc>
        <w:tc>
          <w:tcPr>
            <w:tcW w:w="923" w:type="pct"/>
            <w:tcMar>
              <w:top w:w="57" w:type="dxa"/>
              <w:bottom w:w="57" w:type="dxa"/>
            </w:tcMar>
            <w:vAlign w:val="center"/>
          </w:tcPr>
          <w:p w14:paraId="391688F7" w14:textId="7DCB8987" w:rsidR="00284790" w:rsidRPr="006F1C57" w:rsidRDefault="00EE5A47" w:rsidP="00284790">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w:t>
            </w:r>
          </w:p>
        </w:tc>
        <w:tc>
          <w:tcPr>
            <w:tcW w:w="923" w:type="pct"/>
            <w:tcMar>
              <w:top w:w="57" w:type="dxa"/>
              <w:bottom w:w="57" w:type="dxa"/>
            </w:tcMar>
            <w:vAlign w:val="center"/>
          </w:tcPr>
          <w:p w14:paraId="30915010" w14:textId="0581BB4A" w:rsidR="00284790" w:rsidRPr="009A526B" w:rsidRDefault="00284790" w:rsidP="00BD690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BD690E">
              <w:rPr>
                <w:rFonts w:ascii="Arial" w:hAnsi="Arial" w:cs="Arial"/>
                <w:sz w:val="20"/>
                <w:szCs w:val="20"/>
              </w:rPr>
              <w:t>54,330</w:t>
            </w:r>
          </w:p>
        </w:tc>
      </w:tr>
      <w:tr w:rsidR="00284790" w:rsidRPr="00051034" w14:paraId="76192C11" w14:textId="77777777" w:rsidTr="009A526B">
        <w:tc>
          <w:tcPr>
            <w:cnfStyle w:val="001000000000" w:firstRow="0" w:lastRow="0" w:firstColumn="1" w:lastColumn="0" w:oddVBand="0" w:evenVBand="0" w:oddHBand="0" w:evenHBand="0" w:firstRowFirstColumn="0" w:firstRowLastColumn="0" w:lastRowFirstColumn="0" w:lastRowLastColumn="0"/>
            <w:tcW w:w="3154" w:type="pct"/>
            <w:tcMar>
              <w:top w:w="57" w:type="dxa"/>
              <w:bottom w:w="57" w:type="dxa"/>
            </w:tcMar>
            <w:vAlign w:val="bottom"/>
          </w:tcPr>
          <w:p w14:paraId="48B0DF33" w14:textId="77777777" w:rsidR="00284790" w:rsidRPr="00051034" w:rsidRDefault="00284790" w:rsidP="00284790">
            <w:pPr>
              <w:rPr>
                <w:rFonts w:ascii="Arial" w:hAnsi="Arial" w:cs="Arial"/>
                <w:sz w:val="20"/>
                <w:szCs w:val="20"/>
              </w:rPr>
            </w:pPr>
            <w:r w:rsidRPr="00051034">
              <w:rPr>
                <w:rFonts w:ascii="Arial" w:hAnsi="Arial" w:cs="Arial"/>
                <w:sz w:val="20"/>
                <w:szCs w:val="20"/>
              </w:rPr>
              <w:t>Income from Partnership’s investments (gross)</w:t>
            </w:r>
          </w:p>
        </w:tc>
        <w:tc>
          <w:tcPr>
            <w:tcW w:w="923" w:type="pct"/>
            <w:tcMar>
              <w:top w:w="57" w:type="dxa"/>
              <w:bottom w:w="57" w:type="dxa"/>
            </w:tcMar>
            <w:vAlign w:val="center"/>
          </w:tcPr>
          <w:p w14:paraId="446F83D7" w14:textId="046801F9" w:rsidR="00284790" w:rsidRPr="006F1C57" w:rsidRDefault="00EE5A47" w:rsidP="00284790">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w:t>
            </w:r>
          </w:p>
        </w:tc>
        <w:tc>
          <w:tcPr>
            <w:tcW w:w="923" w:type="pct"/>
            <w:tcMar>
              <w:top w:w="57" w:type="dxa"/>
              <w:bottom w:w="57" w:type="dxa"/>
            </w:tcMar>
            <w:vAlign w:val="center"/>
          </w:tcPr>
          <w:p w14:paraId="0521A08E" w14:textId="19A0105B" w:rsidR="00284790" w:rsidRPr="009A526B" w:rsidRDefault="00284790" w:rsidP="00BD690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r w:rsidR="00BD690E">
              <w:rPr>
                <w:rFonts w:ascii="Arial" w:hAnsi="Arial" w:cs="Arial"/>
                <w:sz w:val="20"/>
                <w:szCs w:val="20"/>
              </w:rPr>
              <w:t>0</w:t>
            </w:r>
            <w:r w:rsidRPr="009A526B">
              <w:rPr>
                <w:rFonts w:ascii="Arial" w:hAnsi="Arial" w:cs="Arial"/>
                <w:sz w:val="20"/>
                <w:szCs w:val="20"/>
              </w:rPr>
              <w:t xml:space="preserve"> </w:t>
            </w:r>
          </w:p>
        </w:tc>
      </w:tr>
      <w:tr w:rsidR="00284790" w:rsidRPr="00051034" w14:paraId="5D9C3969" w14:textId="77777777" w:rsidTr="009A526B">
        <w:tc>
          <w:tcPr>
            <w:cnfStyle w:val="001000000000" w:firstRow="0" w:lastRow="0" w:firstColumn="1" w:lastColumn="0" w:oddVBand="0" w:evenVBand="0" w:oddHBand="0" w:evenHBand="0" w:firstRowFirstColumn="0" w:firstRowLastColumn="0" w:lastRowFirstColumn="0" w:lastRowLastColumn="0"/>
            <w:tcW w:w="3154" w:type="pct"/>
            <w:tcMar>
              <w:top w:w="57" w:type="dxa"/>
              <w:bottom w:w="57" w:type="dxa"/>
            </w:tcMar>
            <w:vAlign w:val="bottom"/>
          </w:tcPr>
          <w:p w14:paraId="3EBC8921" w14:textId="77777777" w:rsidR="00284790" w:rsidRPr="00051034" w:rsidRDefault="00284790" w:rsidP="00284790">
            <w:pPr>
              <w:rPr>
                <w:rFonts w:ascii="Arial" w:hAnsi="Arial" w:cs="Arial"/>
                <w:sz w:val="20"/>
                <w:szCs w:val="20"/>
              </w:rPr>
            </w:pPr>
            <w:r w:rsidRPr="00051034">
              <w:rPr>
                <w:rFonts w:ascii="Arial" w:hAnsi="Arial" w:cs="Arial"/>
                <w:sz w:val="20"/>
                <w:szCs w:val="20"/>
              </w:rPr>
              <w:t xml:space="preserve">General Partner’s performance allocation </w:t>
            </w:r>
          </w:p>
        </w:tc>
        <w:tc>
          <w:tcPr>
            <w:tcW w:w="923" w:type="pct"/>
            <w:tcMar>
              <w:top w:w="57" w:type="dxa"/>
              <w:bottom w:w="57" w:type="dxa"/>
            </w:tcMar>
            <w:vAlign w:val="center"/>
          </w:tcPr>
          <w:p w14:paraId="61E581B1" w14:textId="25205FBC" w:rsidR="00284790" w:rsidRPr="006F1C57" w:rsidRDefault="00EE5A47" w:rsidP="00284790">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w:t>
            </w:r>
          </w:p>
        </w:tc>
        <w:tc>
          <w:tcPr>
            <w:tcW w:w="923" w:type="pct"/>
            <w:tcMar>
              <w:top w:w="57" w:type="dxa"/>
              <w:bottom w:w="57" w:type="dxa"/>
            </w:tcMar>
            <w:vAlign w:val="center"/>
          </w:tcPr>
          <w:p w14:paraId="3CAD40D0" w14:textId="22D5DDA6" w:rsidR="00284790" w:rsidRPr="009A526B" w:rsidRDefault="00BD690E" w:rsidP="00BD690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30,931</w:t>
            </w:r>
          </w:p>
        </w:tc>
      </w:tr>
      <w:tr w:rsidR="00284790" w:rsidRPr="00051034" w14:paraId="07A0B28E" w14:textId="77777777" w:rsidTr="00AE7818">
        <w:tc>
          <w:tcPr>
            <w:cnfStyle w:val="001000000000" w:firstRow="0" w:lastRow="0" w:firstColumn="1" w:lastColumn="0" w:oddVBand="0" w:evenVBand="0" w:oddHBand="0" w:evenHBand="0" w:firstRowFirstColumn="0" w:firstRowLastColumn="0" w:lastRowFirstColumn="0" w:lastRowLastColumn="0"/>
            <w:tcW w:w="3154" w:type="pct"/>
            <w:tcBorders>
              <w:top w:val="single" w:sz="4" w:space="0" w:color="auto"/>
              <w:bottom w:val="single" w:sz="18" w:space="0" w:color="auto"/>
            </w:tcBorders>
            <w:tcMar>
              <w:top w:w="57" w:type="dxa"/>
              <w:bottom w:w="57" w:type="dxa"/>
            </w:tcMar>
            <w:vAlign w:val="bottom"/>
          </w:tcPr>
          <w:p w14:paraId="5D180854" w14:textId="38CB20CD" w:rsidR="00284790" w:rsidRPr="00051034" w:rsidRDefault="00284790" w:rsidP="0020549A">
            <w:pPr>
              <w:rPr>
                <w:rFonts w:ascii="Arial" w:hAnsi="Arial" w:cs="Arial"/>
                <w:b/>
                <w:sz w:val="20"/>
                <w:szCs w:val="20"/>
              </w:rPr>
            </w:pPr>
            <w:r w:rsidRPr="00051034">
              <w:rPr>
                <w:rFonts w:ascii="Arial" w:hAnsi="Arial" w:cs="Arial"/>
                <w:b/>
                <w:sz w:val="20"/>
                <w:szCs w:val="20"/>
              </w:rPr>
              <w:t>Unrealised and realised</w:t>
            </w:r>
            <w:r w:rsidR="0020549A">
              <w:rPr>
                <w:rFonts w:ascii="Arial" w:hAnsi="Arial" w:cs="Arial"/>
                <w:b/>
                <w:sz w:val="20"/>
                <w:szCs w:val="20"/>
              </w:rPr>
              <w:t xml:space="preserve"> </w:t>
            </w:r>
            <w:r>
              <w:rPr>
                <w:rFonts w:ascii="Arial" w:hAnsi="Arial" w:cs="Arial"/>
                <w:b/>
                <w:sz w:val="20"/>
                <w:szCs w:val="20"/>
              </w:rPr>
              <w:t>loss</w:t>
            </w:r>
            <w:r w:rsidRPr="00051034">
              <w:rPr>
                <w:rFonts w:ascii="Arial" w:hAnsi="Arial" w:cs="Arial"/>
                <w:b/>
                <w:sz w:val="20"/>
                <w:szCs w:val="20"/>
              </w:rPr>
              <w:t xml:space="preserve"> on Partnership’s investments (net)</w:t>
            </w:r>
          </w:p>
        </w:tc>
        <w:tc>
          <w:tcPr>
            <w:tcW w:w="923" w:type="pct"/>
            <w:tcBorders>
              <w:top w:val="single" w:sz="4" w:space="0" w:color="auto"/>
              <w:bottom w:val="single" w:sz="18" w:space="0" w:color="auto"/>
            </w:tcBorders>
            <w:tcMar>
              <w:top w:w="57" w:type="dxa"/>
              <w:bottom w:w="57" w:type="dxa"/>
            </w:tcMar>
            <w:vAlign w:val="bottom"/>
          </w:tcPr>
          <w:p w14:paraId="7E046696" w14:textId="6830843B" w:rsidR="00284790" w:rsidRPr="006F1C57" w:rsidRDefault="00EE5A47" w:rsidP="00DD62B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w:t>
            </w:r>
            <w:r w:rsidR="00DD62BE">
              <w:rPr>
                <w:rFonts w:ascii="Arial" w:hAnsi="Arial" w:cs="Arial"/>
                <w:b/>
                <w:sz w:val="20"/>
                <w:szCs w:val="20"/>
              </w:rPr>
              <w:t>351</w:t>
            </w:r>
            <w:r>
              <w:rPr>
                <w:rFonts w:ascii="Arial" w:hAnsi="Arial" w:cs="Arial"/>
                <w:b/>
                <w:sz w:val="20"/>
                <w:szCs w:val="20"/>
              </w:rPr>
              <w:t>,</w:t>
            </w:r>
            <w:r w:rsidR="00BE04E5">
              <w:rPr>
                <w:rFonts w:ascii="Arial" w:hAnsi="Arial" w:cs="Arial"/>
                <w:b/>
                <w:sz w:val="20"/>
                <w:szCs w:val="20"/>
              </w:rPr>
              <w:t>007</w:t>
            </w:r>
            <w:r>
              <w:rPr>
                <w:rFonts w:ascii="Arial" w:hAnsi="Arial" w:cs="Arial"/>
                <w:b/>
                <w:sz w:val="20"/>
                <w:szCs w:val="20"/>
              </w:rPr>
              <w:t>)</w:t>
            </w:r>
          </w:p>
        </w:tc>
        <w:tc>
          <w:tcPr>
            <w:tcW w:w="923" w:type="pct"/>
            <w:tcBorders>
              <w:top w:val="single" w:sz="4" w:space="0" w:color="auto"/>
              <w:bottom w:val="single" w:sz="18" w:space="0" w:color="auto"/>
            </w:tcBorders>
            <w:tcMar>
              <w:top w:w="57" w:type="dxa"/>
              <w:bottom w:w="57" w:type="dxa"/>
            </w:tcMar>
            <w:vAlign w:val="bottom"/>
          </w:tcPr>
          <w:p w14:paraId="09E0942A" w14:textId="24AE557E" w:rsidR="00284790" w:rsidRPr="009A526B" w:rsidRDefault="00284790" w:rsidP="00BD690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BD690E">
              <w:rPr>
                <w:rFonts w:ascii="Arial" w:hAnsi="Arial" w:cs="Arial"/>
                <w:sz w:val="20"/>
                <w:szCs w:val="20"/>
              </w:rPr>
              <w:t>(364,899)</w:t>
            </w:r>
          </w:p>
        </w:tc>
      </w:tr>
    </w:tbl>
    <w:p w14:paraId="3AEE93E7" w14:textId="77777777" w:rsidR="00B33F82" w:rsidRDefault="00B33F82">
      <w:pPr>
        <w:tabs>
          <w:tab w:val="left" w:pos="6903"/>
        </w:tabs>
        <w:ind w:left="567"/>
        <w:rPr>
          <w:rFonts w:ascii="Arial" w:hAnsi="Arial" w:cs="Arial"/>
          <w:sz w:val="20"/>
          <w:szCs w:val="20"/>
        </w:rPr>
      </w:pPr>
    </w:p>
    <w:p w14:paraId="6DACE619" w14:textId="77777777" w:rsidR="00E41A2E" w:rsidRPr="002D1A2F" w:rsidRDefault="00E41A2E">
      <w:pPr>
        <w:tabs>
          <w:tab w:val="left" w:pos="6903"/>
        </w:tabs>
        <w:ind w:left="567"/>
        <w:rPr>
          <w:rFonts w:ascii="Arial" w:hAnsi="Arial" w:cs="Arial"/>
        </w:rPr>
      </w:pPr>
    </w:p>
    <w:p w14:paraId="1D043D7A" w14:textId="77777777" w:rsidR="00E41A2E" w:rsidRPr="002D1A2F" w:rsidRDefault="00E41A2E">
      <w:pPr>
        <w:ind w:left="567" w:hanging="567"/>
        <w:outlineLvl w:val="1"/>
        <w:rPr>
          <w:rFonts w:ascii="Arial" w:hAnsi="Arial" w:cs="Arial"/>
          <w:b/>
          <w:sz w:val="28"/>
          <w:szCs w:val="28"/>
        </w:rPr>
      </w:pPr>
      <w:r w:rsidRPr="002D1A2F">
        <w:rPr>
          <w:rFonts w:ascii="Arial" w:hAnsi="Arial" w:cs="Arial"/>
          <w:b/>
          <w:sz w:val="28"/>
          <w:szCs w:val="28"/>
        </w:rPr>
        <w:t>7.</w:t>
      </w:r>
      <w:r w:rsidRPr="002D1A2F">
        <w:rPr>
          <w:rFonts w:ascii="Arial" w:hAnsi="Arial" w:cs="Arial"/>
          <w:b/>
          <w:sz w:val="28"/>
          <w:szCs w:val="28"/>
        </w:rPr>
        <w:tab/>
        <w:t>Contingent liabilities</w:t>
      </w:r>
    </w:p>
    <w:p w14:paraId="53057B26" w14:textId="77777777" w:rsidR="00F31F74" w:rsidRPr="00811BA1" w:rsidRDefault="00F31F74" w:rsidP="00F31F74">
      <w:pPr>
        <w:pStyle w:val="Bodytext"/>
        <w:ind w:left="567"/>
      </w:pPr>
      <w:r w:rsidRPr="00811BA1">
        <w:t>Contingent liabilities are potential future cash outflows where the likelihood of payment is considered more than remote but is not considered probable or cannot be measured reliably.</w:t>
      </w:r>
    </w:p>
    <w:p w14:paraId="14523CF8" w14:textId="77777777" w:rsidR="00F31F74" w:rsidRPr="00811BA1" w:rsidRDefault="00F31F74" w:rsidP="00F31F74">
      <w:pPr>
        <w:pStyle w:val="Bodytext"/>
        <w:ind w:left="567"/>
      </w:pPr>
    </w:p>
    <w:p w14:paraId="31F9B99B" w14:textId="77777777" w:rsidR="00F31F74" w:rsidRPr="00811BA1" w:rsidRDefault="00F31F74" w:rsidP="00F31F74">
      <w:pPr>
        <w:pStyle w:val="Heading3"/>
        <w:ind w:left="567"/>
      </w:pPr>
      <w:r w:rsidRPr="00485255">
        <w:t>Formation and initial expenses</w:t>
      </w:r>
    </w:p>
    <w:p w14:paraId="54523C09" w14:textId="77777777" w:rsidR="00F31F74" w:rsidRDefault="00F31F74" w:rsidP="00F31F74">
      <w:pPr>
        <w:pStyle w:val="Bodytext"/>
        <w:ind w:left="567"/>
      </w:pPr>
      <w:r w:rsidRPr="00811BA1">
        <w:t xml:space="preserve">The formation and initial expenses of the Company </w:t>
      </w:r>
      <w:r w:rsidRPr="00293002">
        <w:t>totalling $22.5 million</w:t>
      </w:r>
      <w:r w:rsidRPr="00811BA1">
        <w:t xml:space="preserve"> have been paid in full by the Investment Manager. </w:t>
      </w:r>
      <w:r w:rsidRPr="00EE08EA">
        <w:t>However, if the Investment Management Agreement is terminated by the Company on or before the seventh anniversary</w:t>
      </w:r>
      <w:r w:rsidRPr="00811BA1">
        <w:t xml:space="preserve"> of Admission (other than for a material breach by the Investment Manager attributable to its fraud)</w:t>
      </w:r>
      <w:r>
        <w:t>,</w:t>
      </w:r>
      <w:r w:rsidRPr="00811BA1">
        <w:t xml:space="preserve"> the Company will be required to reimburse the Investment Manager in respect of the formation and initial expenses of the Company and the costs and the expenses of the Issue to the full extent that such costs and expenses were borne by the Investment </w:t>
      </w:r>
      <w:r w:rsidRPr="00811BA1">
        <w:lastRenderedPageBreak/>
        <w:t>Manager. At this time</w:t>
      </w:r>
      <w:r>
        <w:t>,</w:t>
      </w:r>
      <w:r w:rsidRPr="00811BA1">
        <w:t xml:space="preserve"> the Directors consider the likelihood of the Investment Management Agreement being terminated by the Company </w:t>
      </w:r>
      <w:r>
        <w:t xml:space="preserve">on or before 27 October 2020 </w:t>
      </w:r>
      <w:r w:rsidRPr="00811BA1">
        <w:t>to be remote.</w:t>
      </w:r>
    </w:p>
    <w:p w14:paraId="71D5FF1B" w14:textId="77777777" w:rsidR="00F31F74" w:rsidRDefault="00F31F74" w:rsidP="00F31F74">
      <w:pPr>
        <w:pStyle w:val="Bodytext"/>
        <w:ind w:left="567"/>
      </w:pPr>
    </w:p>
    <w:p w14:paraId="39A8A6D8" w14:textId="77777777" w:rsidR="00F31F74" w:rsidRPr="00811BA1" w:rsidRDefault="00F31F74" w:rsidP="00F31F74">
      <w:pPr>
        <w:pStyle w:val="Heading3"/>
        <w:ind w:left="567"/>
      </w:pPr>
      <w:r>
        <w:t>Discontinuation Resolution payment to General Partner</w:t>
      </w:r>
    </w:p>
    <w:p w14:paraId="16158603" w14:textId="1E47781D" w:rsidR="00F31F74" w:rsidRPr="00811BA1" w:rsidRDefault="00F31F74" w:rsidP="00F31F74">
      <w:pPr>
        <w:pStyle w:val="Bodytext"/>
        <w:ind w:left="567"/>
      </w:pPr>
      <w:r w:rsidRPr="00293002">
        <w:t>If the required votes are received in favour of the Discontinuation Resolution (see Note 8), the General Partner will be entitled to receive a payment equal to twenty times the quarterly Management Fee payable to the Investment Manager on the basis of the Company's most recent Net Asset Value (approximately $</w:t>
      </w:r>
      <w:r w:rsidR="00293002" w:rsidRPr="00293002">
        <w:rPr>
          <w:rFonts w:cs="Arial"/>
          <w:szCs w:val="20"/>
        </w:rPr>
        <w:t xml:space="preserve">28.4 </w:t>
      </w:r>
      <w:r w:rsidRPr="00293002">
        <w:t xml:space="preserve">million as at 30 June 2020) and an amount equal to the Performance Allocation due on the Company's investments on the basis, at the General Partner's option, of the latest quarterly valuation or the actual realisation value for each investment </w:t>
      </w:r>
      <w:r w:rsidR="00293002" w:rsidRPr="00293002">
        <w:t>($</w:t>
      </w:r>
      <w:r w:rsidR="00293002">
        <w:rPr>
          <w:rFonts w:cs="Arial"/>
          <w:szCs w:val="20"/>
        </w:rPr>
        <w:t>nil</w:t>
      </w:r>
      <w:r w:rsidR="00293002" w:rsidRPr="00293002">
        <w:t xml:space="preserve"> </w:t>
      </w:r>
      <w:r w:rsidRPr="00293002">
        <w:t>as at 30 June 2020). At this time, even though there is a material uncertainty in respect of the Discontinuation Resolution</w:t>
      </w:r>
      <w:r>
        <w:t xml:space="preserve"> Vote, </w:t>
      </w:r>
      <w:r w:rsidRPr="00811BA1">
        <w:t xml:space="preserve">the Directors consider the likelihood of the </w:t>
      </w:r>
      <w:r>
        <w:t>Discontinuation Resolution being passed</w:t>
      </w:r>
      <w:r w:rsidRPr="00811BA1">
        <w:t xml:space="preserve"> to be </w:t>
      </w:r>
      <w:r>
        <w:t>possible</w:t>
      </w:r>
      <w:r w:rsidRPr="00811BA1">
        <w:t>.</w:t>
      </w:r>
    </w:p>
    <w:p w14:paraId="4770D833" w14:textId="77777777" w:rsidR="00E41A2E" w:rsidRPr="002D1A2F" w:rsidRDefault="00E41A2E">
      <w:pPr>
        <w:tabs>
          <w:tab w:val="left" w:pos="6903"/>
        </w:tabs>
        <w:ind w:left="567"/>
        <w:rPr>
          <w:rFonts w:ascii="Arial" w:hAnsi="Arial" w:cs="Arial"/>
        </w:rPr>
      </w:pPr>
    </w:p>
    <w:p w14:paraId="4F22EDAD" w14:textId="77777777" w:rsidR="00E41A2E" w:rsidRPr="002D1A2F" w:rsidRDefault="00E41A2E">
      <w:pPr>
        <w:tabs>
          <w:tab w:val="left" w:pos="6903"/>
        </w:tabs>
        <w:ind w:left="567"/>
        <w:rPr>
          <w:rFonts w:ascii="Arial" w:hAnsi="Arial" w:cs="Arial"/>
        </w:rPr>
      </w:pPr>
    </w:p>
    <w:p w14:paraId="0A04D4D3" w14:textId="77777777" w:rsidR="00E41A2E" w:rsidRPr="002D1A2F" w:rsidRDefault="00E41A2E">
      <w:pPr>
        <w:ind w:left="567" w:hanging="567"/>
        <w:outlineLvl w:val="1"/>
        <w:rPr>
          <w:rFonts w:ascii="Arial" w:hAnsi="Arial" w:cs="Arial"/>
          <w:b/>
          <w:sz w:val="28"/>
          <w:szCs w:val="28"/>
        </w:rPr>
      </w:pPr>
      <w:r w:rsidRPr="002D1A2F">
        <w:rPr>
          <w:rFonts w:ascii="Arial" w:hAnsi="Arial" w:cs="Arial"/>
          <w:b/>
          <w:sz w:val="28"/>
          <w:szCs w:val="28"/>
        </w:rPr>
        <w:t>8.</w:t>
      </w:r>
      <w:r w:rsidRPr="002D1A2F">
        <w:rPr>
          <w:rFonts w:ascii="Arial" w:hAnsi="Arial" w:cs="Arial"/>
          <w:b/>
          <w:sz w:val="28"/>
          <w:szCs w:val="28"/>
        </w:rPr>
        <w:tab/>
        <w:t>Related party transactions</w:t>
      </w:r>
    </w:p>
    <w:p w14:paraId="7665675C" w14:textId="77777777" w:rsidR="00E41A2E" w:rsidRPr="002D1A2F" w:rsidRDefault="00E41A2E">
      <w:pPr>
        <w:ind w:left="567"/>
        <w:rPr>
          <w:rFonts w:ascii="Arial" w:hAnsi="Arial" w:cs="Arial"/>
          <w:sz w:val="20"/>
          <w:szCs w:val="20"/>
        </w:rPr>
      </w:pPr>
      <w:r w:rsidRPr="002D1A2F">
        <w:rPr>
          <w:rFonts w:ascii="Arial" w:hAnsi="Arial" w:cs="Arial"/>
          <w:sz w:val="20"/>
          <w:szCs w:val="20"/>
        </w:rPr>
        <w:t>Parties are considered to be related if one party has the ability to control the other party or exercise significant influence over the party in making financial or operational decisions.</w:t>
      </w:r>
    </w:p>
    <w:p w14:paraId="2B3B23EB" w14:textId="77777777" w:rsidR="00E41A2E" w:rsidRPr="002D1A2F" w:rsidRDefault="00E41A2E">
      <w:pPr>
        <w:tabs>
          <w:tab w:val="left" w:pos="6903"/>
        </w:tabs>
        <w:ind w:left="567"/>
        <w:rPr>
          <w:rFonts w:ascii="Arial" w:hAnsi="Arial" w:cs="Arial"/>
        </w:rPr>
      </w:pPr>
    </w:p>
    <w:p w14:paraId="16DDACA4" w14:textId="77777777" w:rsidR="00E41A2E" w:rsidRPr="002D1A2F" w:rsidRDefault="00E41A2E">
      <w:pPr>
        <w:ind w:left="1134" w:hanging="567"/>
        <w:outlineLvl w:val="2"/>
        <w:rPr>
          <w:rFonts w:ascii="Arial" w:hAnsi="Arial" w:cs="Arial"/>
          <w:sz w:val="26"/>
          <w:szCs w:val="26"/>
        </w:rPr>
      </w:pPr>
      <w:r w:rsidRPr="002D1A2F">
        <w:rPr>
          <w:rFonts w:ascii="Arial" w:hAnsi="Arial" w:cs="Arial"/>
          <w:sz w:val="26"/>
          <w:szCs w:val="26"/>
        </w:rPr>
        <w:t>Directors</w:t>
      </w:r>
    </w:p>
    <w:p w14:paraId="5134C0E1" w14:textId="577162F7" w:rsidR="00E41A2E" w:rsidRPr="002D1A2F" w:rsidRDefault="00E41A2E">
      <w:pPr>
        <w:tabs>
          <w:tab w:val="left" w:pos="6903"/>
        </w:tabs>
        <w:ind w:left="567"/>
        <w:rPr>
          <w:rFonts w:ascii="Arial" w:hAnsi="Arial" w:cs="Arial"/>
          <w:sz w:val="20"/>
          <w:szCs w:val="20"/>
        </w:rPr>
      </w:pPr>
      <w:r w:rsidRPr="002D1A2F">
        <w:rPr>
          <w:rFonts w:ascii="Arial" w:hAnsi="Arial" w:cs="Arial"/>
          <w:sz w:val="20"/>
          <w:szCs w:val="20"/>
        </w:rPr>
        <w:t xml:space="preserve">The Company has </w:t>
      </w:r>
      <w:r w:rsidR="00293002">
        <w:rPr>
          <w:rFonts w:ascii="Arial" w:eastAsia="Calibri" w:hAnsi="Arial" w:cs="Arial"/>
          <w:sz w:val="20"/>
          <w:szCs w:val="20"/>
        </w:rPr>
        <w:t>eight</w:t>
      </w:r>
      <w:r w:rsidR="00293002" w:rsidRPr="002D1A2F">
        <w:rPr>
          <w:rFonts w:ascii="Arial" w:hAnsi="Arial" w:cs="Arial"/>
          <w:sz w:val="20"/>
          <w:szCs w:val="20"/>
        </w:rPr>
        <w:t xml:space="preserve"> </w:t>
      </w:r>
      <w:r w:rsidRPr="002D1A2F">
        <w:rPr>
          <w:rFonts w:ascii="Arial" w:hAnsi="Arial" w:cs="Arial"/>
          <w:sz w:val="20"/>
          <w:szCs w:val="20"/>
        </w:rPr>
        <w:t>non-executive Directors (31 December 201</w:t>
      </w:r>
      <w:r w:rsidR="00BD690E">
        <w:rPr>
          <w:rFonts w:ascii="Arial" w:hAnsi="Arial" w:cs="Arial"/>
          <w:sz w:val="20"/>
          <w:szCs w:val="20"/>
        </w:rPr>
        <w:t>9</w:t>
      </w:r>
      <w:r w:rsidRPr="002D1A2F">
        <w:rPr>
          <w:rFonts w:ascii="Arial" w:hAnsi="Arial" w:cs="Arial"/>
          <w:sz w:val="20"/>
          <w:szCs w:val="20"/>
        </w:rPr>
        <w:t>: eight).</w:t>
      </w:r>
    </w:p>
    <w:p w14:paraId="6FD86581" w14:textId="77777777" w:rsidR="00E41A2E" w:rsidRPr="002D1A2F" w:rsidRDefault="00E41A2E">
      <w:pPr>
        <w:tabs>
          <w:tab w:val="left" w:pos="6903"/>
        </w:tabs>
        <w:ind w:left="567"/>
        <w:rPr>
          <w:rFonts w:ascii="Arial" w:hAnsi="Arial" w:cs="Arial"/>
          <w:sz w:val="20"/>
          <w:szCs w:val="20"/>
        </w:rPr>
      </w:pPr>
    </w:p>
    <w:p w14:paraId="5BBB0A09" w14:textId="326A9E29" w:rsidR="00E41A2E" w:rsidRPr="002D1A2F" w:rsidRDefault="00E41A2E">
      <w:pPr>
        <w:ind w:left="567"/>
        <w:rPr>
          <w:rFonts w:ascii="Arial" w:hAnsi="Arial" w:cs="Arial"/>
          <w:sz w:val="20"/>
        </w:rPr>
      </w:pPr>
      <w:r w:rsidRPr="00CE6DCF">
        <w:rPr>
          <w:rFonts w:ascii="Arial" w:hAnsi="Arial" w:cs="Arial"/>
          <w:sz w:val="20"/>
        </w:rPr>
        <w:t xml:space="preserve">Directors’ fees and expenses </w:t>
      </w:r>
      <w:r w:rsidR="00BD690E">
        <w:rPr>
          <w:rFonts w:ascii="Arial" w:hAnsi="Arial" w:cs="Arial"/>
          <w:sz w:val="20"/>
        </w:rPr>
        <w:t>for the period ended 30 June 2020</w:t>
      </w:r>
      <w:r w:rsidRPr="00CE6DCF">
        <w:rPr>
          <w:rFonts w:ascii="Arial" w:hAnsi="Arial" w:cs="Arial"/>
          <w:sz w:val="20"/>
        </w:rPr>
        <w:t xml:space="preserve"> amounted </w:t>
      </w:r>
      <w:r w:rsidRPr="00C37C84">
        <w:rPr>
          <w:rFonts w:ascii="Arial" w:hAnsi="Arial" w:cs="Arial"/>
          <w:sz w:val="20"/>
        </w:rPr>
        <w:t xml:space="preserve">to </w:t>
      </w:r>
      <w:r w:rsidR="00EE5A47" w:rsidRPr="00C37C84">
        <w:rPr>
          <w:rFonts w:ascii="Arial" w:hAnsi="Arial" w:cs="Arial"/>
          <w:sz w:val="20"/>
        </w:rPr>
        <w:t>$</w:t>
      </w:r>
      <w:r w:rsidR="00EE5A47">
        <w:rPr>
          <w:rFonts w:ascii="Arial" w:eastAsia="Calibri" w:hAnsi="Arial" w:cs="Arial"/>
          <w:sz w:val="20"/>
          <w:szCs w:val="20"/>
        </w:rPr>
        <w:t>408,992</w:t>
      </w:r>
      <w:r w:rsidR="00EE5A47" w:rsidRPr="00C37C84">
        <w:rPr>
          <w:rFonts w:ascii="Arial" w:hAnsi="Arial" w:cs="Arial"/>
          <w:sz w:val="20"/>
        </w:rPr>
        <w:t>,</w:t>
      </w:r>
      <w:r w:rsidR="00EE5A47">
        <w:rPr>
          <w:rFonts w:ascii="Arial" w:hAnsi="Arial" w:cs="Arial"/>
          <w:sz w:val="20"/>
        </w:rPr>
        <w:t xml:space="preserve"> </w:t>
      </w:r>
      <w:r w:rsidRPr="00C37C84">
        <w:rPr>
          <w:rFonts w:ascii="Arial" w:hAnsi="Arial" w:cs="Arial"/>
          <w:sz w:val="20"/>
        </w:rPr>
        <w:t>(</w:t>
      </w:r>
      <w:r w:rsidRPr="00CE6DCF">
        <w:rPr>
          <w:rFonts w:ascii="Arial" w:hAnsi="Arial" w:cs="Arial"/>
          <w:sz w:val="20"/>
        </w:rPr>
        <w:t>30 June 201</w:t>
      </w:r>
      <w:r w:rsidR="00BD690E">
        <w:rPr>
          <w:rFonts w:ascii="Arial" w:hAnsi="Arial" w:cs="Arial"/>
          <w:sz w:val="20"/>
        </w:rPr>
        <w:t>9</w:t>
      </w:r>
      <w:r w:rsidRPr="00CE6DCF">
        <w:rPr>
          <w:rFonts w:ascii="Arial" w:hAnsi="Arial" w:cs="Arial"/>
          <w:sz w:val="20"/>
        </w:rPr>
        <w:t>: $</w:t>
      </w:r>
      <w:r w:rsidR="00BD690E">
        <w:rPr>
          <w:rFonts w:ascii="Arial" w:hAnsi="Arial" w:cs="Arial"/>
          <w:sz w:val="20"/>
        </w:rPr>
        <w:t>618,936</w:t>
      </w:r>
      <w:r w:rsidRPr="00C37C84">
        <w:rPr>
          <w:rFonts w:ascii="Arial" w:hAnsi="Arial" w:cs="Arial"/>
          <w:sz w:val="20"/>
        </w:rPr>
        <w:t xml:space="preserve">), </w:t>
      </w:r>
      <w:r w:rsidR="00EE5A47" w:rsidRPr="00C37C84">
        <w:rPr>
          <w:rFonts w:ascii="Arial" w:eastAsia="Calibri" w:hAnsi="Arial" w:cs="Arial"/>
          <w:sz w:val="20"/>
          <w:szCs w:val="20"/>
        </w:rPr>
        <w:t>$</w:t>
      </w:r>
      <w:r w:rsidR="00EE5A47">
        <w:rPr>
          <w:rFonts w:ascii="Arial" w:eastAsia="Calibri" w:hAnsi="Arial" w:cs="Arial"/>
          <w:sz w:val="20"/>
          <w:szCs w:val="20"/>
        </w:rPr>
        <w:t>Nil</w:t>
      </w:r>
      <w:r w:rsidR="00EE5A47" w:rsidRPr="00C37C84">
        <w:rPr>
          <w:rFonts w:ascii="Arial" w:hAnsi="Arial" w:cs="Arial"/>
          <w:sz w:val="20"/>
        </w:rPr>
        <w:t xml:space="preserve"> </w:t>
      </w:r>
      <w:r w:rsidRPr="00C37C84">
        <w:rPr>
          <w:rFonts w:ascii="Arial" w:hAnsi="Arial" w:cs="Arial"/>
          <w:sz w:val="20"/>
        </w:rPr>
        <w:t>of</w:t>
      </w:r>
      <w:r w:rsidRPr="00DC2064">
        <w:rPr>
          <w:rFonts w:ascii="Arial" w:hAnsi="Arial" w:cs="Arial"/>
          <w:sz w:val="20"/>
        </w:rPr>
        <w:t xml:space="preserve"> which was outstanding at period end (31 December 201</w:t>
      </w:r>
      <w:r w:rsidR="00BD690E">
        <w:rPr>
          <w:rFonts w:ascii="Arial" w:hAnsi="Arial" w:cs="Arial"/>
          <w:sz w:val="20"/>
        </w:rPr>
        <w:t>9</w:t>
      </w:r>
      <w:r w:rsidRPr="002D1A2F">
        <w:rPr>
          <w:rFonts w:ascii="Arial" w:hAnsi="Arial" w:cs="Arial"/>
          <w:sz w:val="20"/>
        </w:rPr>
        <w:t xml:space="preserve">: </w:t>
      </w:r>
      <w:r w:rsidR="003F7338">
        <w:rPr>
          <w:rFonts w:ascii="Arial" w:hAnsi="Arial" w:cs="Arial"/>
          <w:sz w:val="20"/>
        </w:rPr>
        <w:t>$</w:t>
      </w:r>
      <w:r w:rsidR="00F31F74">
        <w:rPr>
          <w:rFonts w:ascii="Arial" w:hAnsi="Arial" w:cs="Arial"/>
          <w:sz w:val="20"/>
        </w:rPr>
        <w:t>Nil</w:t>
      </w:r>
      <w:r w:rsidRPr="002D1A2F">
        <w:rPr>
          <w:rFonts w:ascii="Arial" w:hAnsi="Arial" w:cs="Arial"/>
          <w:sz w:val="20"/>
        </w:rPr>
        <w:t>).</w:t>
      </w:r>
    </w:p>
    <w:p w14:paraId="317CE4FF" w14:textId="77777777" w:rsidR="00E41A2E" w:rsidRPr="002D1A2F" w:rsidRDefault="00E41A2E">
      <w:pPr>
        <w:ind w:left="567"/>
        <w:rPr>
          <w:rFonts w:ascii="Arial" w:hAnsi="Arial" w:cs="Arial"/>
          <w:sz w:val="20"/>
        </w:rPr>
      </w:pPr>
    </w:p>
    <w:p w14:paraId="1F69C96E" w14:textId="77777777" w:rsidR="00E41A2E" w:rsidRPr="002D1A2F" w:rsidRDefault="00E41A2E">
      <w:pPr>
        <w:ind w:left="1134" w:hanging="567"/>
        <w:outlineLvl w:val="2"/>
        <w:rPr>
          <w:rFonts w:ascii="Arial" w:hAnsi="Arial" w:cs="Arial"/>
          <w:sz w:val="26"/>
          <w:szCs w:val="26"/>
        </w:rPr>
      </w:pPr>
      <w:r w:rsidRPr="002D1A2F">
        <w:rPr>
          <w:rFonts w:ascii="Arial" w:hAnsi="Arial" w:cs="Arial"/>
          <w:sz w:val="26"/>
          <w:szCs w:val="26"/>
        </w:rPr>
        <w:t>Partnership</w:t>
      </w:r>
    </w:p>
    <w:p w14:paraId="18BB0799" w14:textId="5C1AE615" w:rsidR="00271236" w:rsidRDefault="00E41A2E">
      <w:pPr>
        <w:ind w:left="567"/>
        <w:rPr>
          <w:rFonts w:ascii="Arial" w:hAnsi="Arial" w:cs="Arial"/>
          <w:sz w:val="20"/>
          <w:szCs w:val="20"/>
        </w:rPr>
      </w:pPr>
      <w:r w:rsidRPr="00132986">
        <w:rPr>
          <w:rFonts w:ascii="Arial" w:hAnsi="Arial" w:cs="Arial"/>
          <w:sz w:val="20"/>
          <w:szCs w:val="20"/>
        </w:rPr>
        <w:t>In accordance with section 4.1(a) of the Partnership Agreement, the Company received distribution</w:t>
      </w:r>
      <w:r w:rsidR="00D23EE0" w:rsidRPr="00132986">
        <w:rPr>
          <w:rFonts w:ascii="Arial" w:hAnsi="Arial" w:cs="Arial"/>
          <w:sz w:val="20"/>
          <w:szCs w:val="20"/>
        </w:rPr>
        <w:t>s</w:t>
      </w:r>
      <w:r w:rsidRPr="00132986">
        <w:rPr>
          <w:rFonts w:ascii="Arial" w:hAnsi="Arial" w:cs="Arial"/>
          <w:sz w:val="20"/>
          <w:szCs w:val="20"/>
        </w:rPr>
        <w:t xml:space="preserve"> </w:t>
      </w:r>
      <w:r w:rsidR="003B4576">
        <w:rPr>
          <w:rFonts w:ascii="Arial" w:hAnsi="Arial" w:cs="Arial"/>
          <w:sz w:val="20"/>
        </w:rPr>
        <w:t>in aggregate of</w:t>
      </w:r>
      <w:r w:rsidR="003B4576" w:rsidRPr="00BC678F">
        <w:rPr>
          <w:rFonts w:ascii="Arial" w:hAnsi="Arial" w:cs="Arial"/>
          <w:sz w:val="20"/>
        </w:rPr>
        <w:t xml:space="preserve"> </w:t>
      </w:r>
      <w:r w:rsidR="00EE5A47" w:rsidRPr="00BC678F">
        <w:rPr>
          <w:rFonts w:ascii="Arial" w:hAnsi="Arial" w:cs="Arial"/>
          <w:sz w:val="20"/>
        </w:rPr>
        <w:t>$</w:t>
      </w:r>
      <w:r w:rsidR="00EE5A47">
        <w:rPr>
          <w:rFonts w:ascii="Arial" w:eastAsia="Calibri" w:hAnsi="Arial" w:cs="Arial"/>
          <w:sz w:val="20"/>
          <w:szCs w:val="20"/>
        </w:rPr>
        <w:t xml:space="preserve">42 </w:t>
      </w:r>
      <w:r w:rsidR="003B4576" w:rsidRPr="00BC678F">
        <w:rPr>
          <w:rFonts w:ascii="Arial" w:hAnsi="Arial" w:cs="Arial"/>
          <w:sz w:val="20"/>
        </w:rPr>
        <w:t xml:space="preserve">million </w:t>
      </w:r>
      <w:r w:rsidR="00BD690E">
        <w:rPr>
          <w:rFonts w:ascii="Arial" w:hAnsi="Arial" w:cs="Arial"/>
          <w:sz w:val="20"/>
        </w:rPr>
        <w:t>(30 June 2019</w:t>
      </w:r>
      <w:r w:rsidR="00E65824">
        <w:rPr>
          <w:rFonts w:ascii="Arial" w:hAnsi="Arial" w:cs="Arial"/>
          <w:sz w:val="20"/>
        </w:rPr>
        <w:t>: $</w:t>
      </w:r>
      <w:r w:rsidR="00BD690E">
        <w:rPr>
          <w:rFonts w:ascii="Arial" w:hAnsi="Arial" w:cs="Arial"/>
          <w:sz w:val="20"/>
        </w:rPr>
        <w:t>2.1</w:t>
      </w:r>
      <w:r w:rsidR="00E65824">
        <w:rPr>
          <w:rFonts w:ascii="Arial" w:hAnsi="Arial" w:cs="Arial"/>
          <w:sz w:val="20"/>
        </w:rPr>
        <w:t xml:space="preserve"> million) </w:t>
      </w:r>
      <w:r w:rsidR="003B4576" w:rsidRPr="00BC678F">
        <w:rPr>
          <w:rFonts w:ascii="Arial" w:hAnsi="Arial" w:cs="Arial"/>
          <w:sz w:val="20"/>
        </w:rPr>
        <w:t xml:space="preserve">from the Partnership </w:t>
      </w:r>
      <w:r w:rsidR="003B4576">
        <w:rPr>
          <w:rFonts w:ascii="Arial" w:hAnsi="Arial" w:cs="Arial"/>
          <w:sz w:val="20"/>
        </w:rPr>
        <w:t xml:space="preserve">through Q2 </w:t>
      </w:r>
      <w:r w:rsidR="00BD690E">
        <w:rPr>
          <w:rFonts w:ascii="Arial" w:hAnsi="Arial" w:cs="Arial"/>
          <w:sz w:val="20"/>
        </w:rPr>
        <w:t>2020</w:t>
      </w:r>
      <w:r w:rsidR="00686C52" w:rsidRPr="0013685B">
        <w:rPr>
          <w:rFonts w:ascii="Arial" w:hAnsi="Arial" w:cs="Arial"/>
          <w:sz w:val="20"/>
        </w:rPr>
        <w:t>.</w:t>
      </w:r>
      <w:r w:rsidR="003B4576" w:rsidRPr="0013685B">
        <w:rPr>
          <w:rFonts w:ascii="Arial" w:hAnsi="Arial" w:cs="Arial"/>
          <w:sz w:val="20"/>
          <w:szCs w:val="20"/>
        </w:rPr>
        <w:t xml:space="preserve"> </w:t>
      </w:r>
      <w:r w:rsidR="0069040D" w:rsidRPr="0013685B">
        <w:rPr>
          <w:rFonts w:ascii="Arial" w:hAnsi="Arial" w:cs="Arial"/>
          <w:sz w:val="20"/>
          <w:szCs w:val="20"/>
        </w:rPr>
        <w:t>In accordance with section 4.1(a) of the Partnership Agreement, in the event of the Company requiring additional funds for working capital, it is entitled to receive another distribution from the Partnership.</w:t>
      </w:r>
    </w:p>
    <w:p w14:paraId="0561B023" w14:textId="77777777" w:rsidR="00E41A2E" w:rsidRPr="002D1A2F" w:rsidRDefault="00E41A2E">
      <w:pPr>
        <w:rPr>
          <w:rFonts w:ascii="Arial" w:hAnsi="Arial" w:cs="Arial"/>
        </w:rPr>
      </w:pPr>
    </w:p>
    <w:p w14:paraId="0FAEE8CA" w14:textId="77777777" w:rsidR="00E41A2E" w:rsidRPr="002D1A2F" w:rsidRDefault="00E41A2E">
      <w:pPr>
        <w:ind w:left="1134" w:hanging="567"/>
        <w:outlineLvl w:val="2"/>
        <w:rPr>
          <w:rFonts w:ascii="Arial" w:hAnsi="Arial" w:cs="Arial"/>
          <w:sz w:val="26"/>
          <w:szCs w:val="26"/>
        </w:rPr>
      </w:pPr>
      <w:r w:rsidRPr="002D1A2F">
        <w:rPr>
          <w:rFonts w:ascii="Arial" w:hAnsi="Arial" w:cs="Arial"/>
          <w:sz w:val="26"/>
          <w:szCs w:val="26"/>
        </w:rPr>
        <w:t>Investment Manager</w:t>
      </w:r>
    </w:p>
    <w:p w14:paraId="65A83D54" w14:textId="05DEA9F3" w:rsidR="00451C6E" w:rsidRPr="00727C1F" w:rsidRDefault="00E41A2E" w:rsidP="00727C1F">
      <w:pPr>
        <w:ind w:left="567"/>
        <w:rPr>
          <w:rFonts w:ascii="Arial" w:hAnsi="Arial" w:cs="Arial"/>
          <w:sz w:val="20"/>
          <w:szCs w:val="20"/>
        </w:rPr>
      </w:pPr>
      <w:r w:rsidRPr="002D1A2F">
        <w:rPr>
          <w:rFonts w:ascii="Arial" w:hAnsi="Arial" w:cs="Arial"/>
          <w:sz w:val="20"/>
          <w:szCs w:val="20"/>
        </w:rPr>
        <w:t>For the provision of services under the Investment Management Agreement, the Investment Manager is paid in cash out of the assets of the Partnership an annual Management Fee equal to 1.5 per cent. per annum of the Company’s Net Asset Value</w:t>
      </w:r>
      <w:r w:rsidR="006E727F">
        <w:rPr>
          <w:rFonts w:ascii="Arial" w:hAnsi="Arial" w:cs="Arial"/>
          <w:sz w:val="20"/>
          <w:szCs w:val="20"/>
        </w:rPr>
        <w:t xml:space="preserve"> </w:t>
      </w:r>
      <w:r w:rsidR="00A314AD">
        <w:rPr>
          <w:rFonts w:ascii="Arial" w:hAnsi="Arial" w:cs="Arial"/>
          <w:sz w:val="20"/>
          <w:szCs w:val="20"/>
        </w:rPr>
        <w:t>(</w:t>
      </w:r>
      <w:r w:rsidR="006E727F">
        <w:rPr>
          <w:rFonts w:ascii="Arial" w:hAnsi="Arial" w:cs="Arial"/>
          <w:sz w:val="20"/>
          <w:szCs w:val="20"/>
        </w:rPr>
        <w:t>including cash</w:t>
      </w:r>
      <w:r w:rsidR="00A314AD">
        <w:rPr>
          <w:rFonts w:ascii="Arial" w:hAnsi="Arial" w:cs="Arial"/>
          <w:sz w:val="20"/>
          <w:szCs w:val="20"/>
        </w:rPr>
        <w:t>)</w:t>
      </w:r>
      <w:r w:rsidRPr="002D1A2F">
        <w:rPr>
          <w:rFonts w:ascii="Arial" w:hAnsi="Arial" w:cs="Arial"/>
          <w:sz w:val="20"/>
          <w:szCs w:val="20"/>
        </w:rPr>
        <w:t xml:space="preserve">. The fee is payable quarterly in arrears and each </w:t>
      </w:r>
      <w:r w:rsidRPr="0013685B">
        <w:rPr>
          <w:rFonts w:ascii="Arial" w:hAnsi="Arial" w:cs="Arial"/>
          <w:sz w:val="20"/>
          <w:szCs w:val="20"/>
        </w:rPr>
        <w:t xml:space="preserve">payment is calculated using the quarterly Net Asset Value as at the relevant quarter end as further outlined on </w:t>
      </w:r>
      <w:r w:rsidRPr="006544C5">
        <w:rPr>
          <w:rFonts w:ascii="Arial" w:hAnsi="Arial" w:cs="Arial"/>
          <w:sz w:val="20"/>
          <w:szCs w:val="20"/>
        </w:rPr>
        <w:t>page</w:t>
      </w:r>
      <w:r w:rsidR="00F31F74" w:rsidRPr="006544C5">
        <w:rPr>
          <w:rFonts w:ascii="Arial" w:hAnsi="Arial" w:cs="Arial"/>
          <w:sz w:val="20"/>
          <w:szCs w:val="20"/>
        </w:rPr>
        <w:t xml:space="preserve"> 78</w:t>
      </w:r>
      <w:r w:rsidRPr="006544C5">
        <w:rPr>
          <w:rFonts w:ascii="Arial" w:hAnsi="Arial" w:cs="Arial"/>
          <w:sz w:val="20"/>
          <w:szCs w:val="20"/>
        </w:rPr>
        <w:t xml:space="preserve"> in the</w:t>
      </w:r>
      <w:r w:rsidRPr="002D1A2F">
        <w:rPr>
          <w:rFonts w:ascii="Arial" w:hAnsi="Arial" w:cs="Arial"/>
          <w:sz w:val="20"/>
          <w:szCs w:val="20"/>
        </w:rPr>
        <w:t xml:space="preserve"> Financial Statements </w:t>
      </w:r>
      <w:r w:rsidRPr="00CE6DCF">
        <w:rPr>
          <w:rFonts w:ascii="Arial" w:hAnsi="Arial" w:cs="Arial"/>
          <w:sz w:val="20"/>
          <w:szCs w:val="20"/>
        </w:rPr>
        <w:t>to 31 December 201</w:t>
      </w:r>
      <w:r w:rsidR="00BD690E">
        <w:rPr>
          <w:rFonts w:ascii="Arial" w:hAnsi="Arial" w:cs="Arial"/>
          <w:sz w:val="20"/>
          <w:szCs w:val="20"/>
        </w:rPr>
        <w:t>9</w:t>
      </w:r>
      <w:r w:rsidRPr="00CE6DCF">
        <w:rPr>
          <w:rFonts w:ascii="Arial" w:hAnsi="Arial" w:cs="Arial"/>
          <w:sz w:val="20"/>
          <w:szCs w:val="20"/>
        </w:rPr>
        <w:t xml:space="preserve">. </w:t>
      </w:r>
      <w:r w:rsidR="00BD690E">
        <w:rPr>
          <w:rFonts w:ascii="Arial" w:hAnsi="Arial" w:cs="Arial"/>
          <w:sz w:val="20"/>
          <w:szCs w:val="20"/>
        </w:rPr>
        <w:t>During the period to 30 June 2020</w:t>
      </w:r>
      <w:r w:rsidRPr="00CE6DCF">
        <w:rPr>
          <w:rFonts w:ascii="Arial" w:hAnsi="Arial" w:cs="Arial"/>
          <w:sz w:val="20"/>
          <w:szCs w:val="20"/>
        </w:rPr>
        <w:t xml:space="preserve">, </w:t>
      </w:r>
      <w:r w:rsidRPr="00CE6DCF">
        <w:rPr>
          <w:rFonts w:ascii="Arial" w:hAnsi="Arial" w:cs="Arial"/>
          <w:sz w:val="20"/>
        </w:rPr>
        <w:t xml:space="preserve">the Partnership incurred Management Fees of </w:t>
      </w:r>
      <w:r w:rsidR="00EE5A47" w:rsidRPr="00CE6DCF">
        <w:rPr>
          <w:rFonts w:ascii="Arial" w:hAnsi="Arial" w:cs="Arial"/>
          <w:sz w:val="20"/>
        </w:rPr>
        <w:t>$</w:t>
      </w:r>
      <w:r w:rsidR="00EE5A47">
        <w:rPr>
          <w:rFonts w:ascii="Arial" w:hAnsi="Arial" w:cs="Arial"/>
          <w:sz w:val="20"/>
        </w:rPr>
        <w:t>3</w:t>
      </w:r>
      <w:r w:rsidR="00E548D6">
        <w:rPr>
          <w:rFonts w:ascii="Arial" w:hAnsi="Arial" w:cs="Arial"/>
          <w:sz w:val="20"/>
        </w:rPr>
        <w:t>,</w:t>
      </w:r>
      <w:r w:rsidR="00075FC3">
        <w:rPr>
          <w:rFonts w:ascii="Arial" w:hAnsi="Arial" w:cs="Arial"/>
          <w:sz w:val="20"/>
        </w:rPr>
        <w:t>010,359</w:t>
      </w:r>
      <w:r w:rsidR="00EE5A47">
        <w:rPr>
          <w:rFonts w:ascii="Arial" w:eastAsia="Calibri" w:hAnsi="Arial" w:cs="Arial"/>
          <w:sz w:val="20"/>
          <w:szCs w:val="20"/>
        </w:rPr>
        <w:t xml:space="preserve"> </w:t>
      </w:r>
      <w:r w:rsidRPr="00CE6DCF">
        <w:rPr>
          <w:rFonts w:ascii="Arial" w:hAnsi="Arial" w:cs="Arial"/>
          <w:sz w:val="20"/>
        </w:rPr>
        <w:t>(30 June 201</w:t>
      </w:r>
      <w:r w:rsidR="00BD690E">
        <w:rPr>
          <w:rFonts w:ascii="Arial" w:hAnsi="Arial" w:cs="Arial"/>
          <w:sz w:val="20"/>
        </w:rPr>
        <w:t>9</w:t>
      </w:r>
      <w:r w:rsidRPr="00CE6DCF">
        <w:rPr>
          <w:rFonts w:ascii="Arial" w:hAnsi="Arial" w:cs="Arial"/>
          <w:sz w:val="20"/>
        </w:rPr>
        <w:t>: $</w:t>
      </w:r>
      <w:r w:rsidR="00BD690E">
        <w:rPr>
          <w:rFonts w:ascii="Arial" w:hAnsi="Arial" w:cs="Arial"/>
          <w:sz w:val="20"/>
        </w:rPr>
        <w:t>8,546,633</w:t>
      </w:r>
      <w:r w:rsidRPr="005E31F6">
        <w:rPr>
          <w:rFonts w:ascii="Arial" w:hAnsi="Arial" w:cs="Arial"/>
          <w:sz w:val="20"/>
        </w:rPr>
        <w:t xml:space="preserve">) of which </w:t>
      </w:r>
      <w:r w:rsidR="006544C5" w:rsidRPr="005E31F6">
        <w:rPr>
          <w:rFonts w:ascii="Arial" w:hAnsi="Arial" w:cs="Arial"/>
          <w:sz w:val="20"/>
          <w:szCs w:val="20"/>
        </w:rPr>
        <w:t>$</w:t>
      </w:r>
      <w:r w:rsidR="006544C5">
        <w:rPr>
          <w:rFonts w:ascii="Arial" w:eastAsia="Calibri" w:hAnsi="Arial" w:cs="Arial"/>
          <w:sz w:val="20"/>
          <w:szCs w:val="20"/>
        </w:rPr>
        <w:t>1,4</w:t>
      </w:r>
      <w:r w:rsidR="00075FC3">
        <w:rPr>
          <w:rFonts w:ascii="Arial" w:eastAsia="Calibri" w:hAnsi="Arial" w:cs="Arial"/>
          <w:sz w:val="20"/>
          <w:szCs w:val="20"/>
        </w:rPr>
        <w:t xml:space="preserve">20,390 </w:t>
      </w:r>
      <w:r w:rsidRPr="00587702">
        <w:rPr>
          <w:rFonts w:ascii="Arial" w:hAnsi="Arial" w:cs="Arial"/>
          <w:sz w:val="20"/>
        </w:rPr>
        <w:t>remained</w:t>
      </w:r>
      <w:r w:rsidRPr="005E31F6">
        <w:rPr>
          <w:rFonts w:ascii="Arial" w:hAnsi="Arial" w:cs="Arial"/>
          <w:sz w:val="20"/>
        </w:rPr>
        <w:t xml:space="preserve"> outstanding as at the period end (31 December 201</w:t>
      </w:r>
      <w:r w:rsidR="00BD690E">
        <w:rPr>
          <w:rFonts w:ascii="Arial" w:hAnsi="Arial" w:cs="Arial"/>
          <w:sz w:val="20"/>
        </w:rPr>
        <w:t>9</w:t>
      </w:r>
      <w:r w:rsidRPr="005E31F6">
        <w:rPr>
          <w:rFonts w:ascii="Arial" w:hAnsi="Arial" w:cs="Arial"/>
          <w:sz w:val="20"/>
        </w:rPr>
        <w:t>: $</w:t>
      </w:r>
      <w:r w:rsidR="00F31F74">
        <w:rPr>
          <w:rFonts w:ascii="Arial" w:eastAsia="Calibri" w:hAnsi="Arial" w:cs="Arial"/>
          <w:sz w:val="20"/>
          <w:szCs w:val="20"/>
        </w:rPr>
        <w:t>2,442,998</w:t>
      </w:r>
      <w:r w:rsidRPr="005E31F6">
        <w:rPr>
          <w:rFonts w:ascii="Arial" w:hAnsi="Arial" w:cs="Arial"/>
          <w:sz w:val="20"/>
        </w:rPr>
        <w:t xml:space="preserve">). </w:t>
      </w:r>
      <w:bookmarkStart w:id="12" w:name="_Hlk15656917"/>
      <w:r w:rsidR="00451C6E" w:rsidRPr="00233789">
        <w:rPr>
          <w:rFonts w:ascii="Arial" w:hAnsi="Arial" w:cs="Arial"/>
          <w:sz w:val="20"/>
          <w:szCs w:val="20"/>
        </w:rPr>
        <w:t xml:space="preserve">In addition, the Company and Partnership, in aggregate, reimbursed the Investment </w:t>
      </w:r>
      <w:r w:rsidR="00451C6E" w:rsidRPr="006544C5">
        <w:rPr>
          <w:rFonts w:ascii="Arial" w:hAnsi="Arial" w:cs="Arial"/>
          <w:sz w:val="20"/>
          <w:szCs w:val="20"/>
        </w:rPr>
        <w:t>Manager $</w:t>
      </w:r>
      <w:r w:rsidR="00CC401A">
        <w:rPr>
          <w:rFonts w:ascii="Arial" w:hAnsi="Arial" w:cs="Arial"/>
          <w:sz w:val="20"/>
          <w:szCs w:val="20"/>
        </w:rPr>
        <w:t>1,055,203</w:t>
      </w:r>
      <w:r w:rsidR="00451C6E" w:rsidRPr="006544C5">
        <w:rPr>
          <w:rFonts w:ascii="Arial" w:hAnsi="Arial" w:cs="Arial"/>
          <w:sz w:val="20"/>
          <w:szCs w:val="20"/>
        </w:rPr>
        <w:t xml:space="preserve"> in respect of</w:t>
      </w:r>
      <w:r w:rsidR="00A96033" w:rsidRPr="006544C5">
        <w:rPr>
          <w:rFonts w:ascii="Arial" w:hAnsi="Arial" w:cs="Arial"/>
          <w:sz w:val="20"/>
          <w:szCs w:val="20"/>
        </w:rPr>
        <w:t xml:space="preserve"> </w:t>
      </w:r>
      <w:r w:rsidR="00FD7D09" w:rsidRPr="006544C5">
        <w:rPr>
          <w:rFonts w:ascii="Arial" w:hAnsi="Arial" w:cs="Arial"/>
          <w:sz w:val="20"/>
          <w:szCs w:val="20"/>
        </w:rPr>
        <w:t>amounts paid on their behalf</w:t>
      </w:r>
      <w:r w:rsidR="00451C6E" w:rsidRPr="006544C5">
        <w:rPr>
          <w:rFonts w:ascii="Arial" w:hAnsi="Arial" w:cs="Arial"/>
          <w:sz w:val="20"/>
          <w:szCs w:val="20"/>
        </w:rPr>
        <w:t xml:space="preserve"> for the </w:t>
      </w:r>
      <w:r w:rsidR="00727C1F" w:rsidRPr="006544C5">
        <w:rPr>
          <w:rFonts w:ascii="Arial" w:hAnsi="Arial" w:cs="Arial"/>
          <w:sz w:val="20"/>
          <w:szCs w:val="20"/>
        </w:rPr>
        <w:t>period</w:t>
      </w:r>
      <w:r w:rsidR="00BD690E" w:rsidRPr="006544C5">
        <w:rPr>
          <w:rFonts w:ascii="Arial" w:hAnsi="Arial" w:cs="Arial"/>
          <w:sz w:val="20"/>
          <w:szCs w:val="20"/>
        </w:rPr>
        <w:t xml:space="preserve"> (</w:t>
      </w:r>
      <w:r w:rsidR="00F31F74" w:rsidRPr="006544C5">
        <w:rPr>
          <w:rFonts w:ascii="Arial" w:hAnsi="Arial" w:cs="Arial"/>
          <w:sz w:val="20"/>
          <w:szCs w:val="20"/>
        </w:rPr>
        <w:t>30 June 2019</w:t>
      </w:r>
      <w:r w:rsidR="00451C6E" w:rsidRPr="006544C5">
        <w:rPr>
          <w:rFonts w:ascii="Arial" w:hAnsi="Arial" w:cs="Arial"/>
          <w:sz w:val="20"/>
          <w:szCs w:val="20"/>
        </w:rPr>
        <w:t>: $</w:t>
      </w:r>
      <w:r w:rsidR="00BD690E" w:rsidRPr="006544C5">
        <w:rPr>
          <w:rFonts w:ascii="Arial" w:hAnsi="Arial" w:cs="Arial"/>
          <w:sz w:val="20"/>
          <w:szCs w:val="20"/>
        </w:rPr>
        <w:t>901,002</w:t>
      </w:r>
      <w:r w:rsidR="00451C6E" w:rsidRPr="006544C5">
        <w:rPr>
          <w:rFonts w:ascii="Arial" w:hAnsi="Arial" w:cs="Arial"/>
          <w:sz w:val="20"/>
          <w:szCs w:val="20"/>
        </w:rPr>
        <w:t>)</w:t>
      </w:r>
      <w:r w:rsidR="00FD7D09" w:rsidRPr="006544C5">
        <w:rPr>
          <w:rFonts w:ascii="Arial" w:hAnsi="Arial" w:cs="Arial"/>
          <w:sz w:val="20"/>
          <w:szCs w:val="20"/>
        </w:rPr>
        <w:t xml:space="preserve">, of which </w:t>
      </w:r>
      <w:r w:rsidR="00CC401A" w:rsidRPr="006544C5">
        <w:rPr>
          <w:rFonts w:ascii="Arial" w:hAnsi="Arial" w:cs="Arial"/>
          <w:sz w:val="20"/>
          <w:szCs w:val="20"/>
        </w:rPr>
        <w:t>$</w:t>
      </w:r>
      <w:r w:rsidR="00CC401A">
        <w:rPr>
          <w:rFonts w:ascii="Arial" w:hAnsi="Arial" w:cs="Arial"/>
          <w:sz w:val="20"/>
          <w:szCs w:val="20"/>
        </w:rPr>
        <w:t>28,887</w:t>
      </w:r>
      <w:r w:rsidR="00CC401A" w:rsidRPr="006544C5">
        <w:rPr>
          <w:rFonts w:ascii="Arial" w:hAnsi="Arial" w:cs="Arial"/>
          <w:sz w:val="20"/>
          <w:szCs w:val="20"/>
        </w:rPr>
        <w:t xml:space="preserve"> </w:t>
      </w:r>
      <w:r w:rsidR="00FD7D09" w:rsidRPr="006544C5">
        <w:rPr>
          <w:rFonts w:ascii="Arial" w:hAnsi="Arial" w:cs="Arial"/>
          <w:sz w:val="20"/>
          <w:szCs w:val="20"/>
        </w:rPr>
        <w:t>related to</w:t>
      </w:r>
      <w:r w:rsidR="00B14EE9" w:rsidRPr="006544C5">
        <w:rPr>
          <w:rFonts w:ascii="Arial" w:hAnsi="Arial" w:cs="Arial"/>
          <w:sz w:val="20"/>
          <w:szCs w:val="20"/>
        </w:rPr>
        <w:t xml:space="preserve"> travel and other </w:t>
      </w:r>
      <w:r w:rsidR="004B51C2" w:rsidRPr="006544C5">
        <w:rPr>
          <w:rFonts w:ascii="Arial" w:hAnsi="Arial" w:cs="Arial"/>
          <w:sz w:val="20"/>
          <w:szCs w:val="20"/>
        </w:rPr>
        <w:t>operating</w:t>
      </w:r>
      <w:r w:rsidR="00FD7D09" w:rsidRPr="006544C5">
        <w:rPr>
          <w:rFonts w:ascii="Arial" w:hAnsi="Arial" w:cs="Arial"/>
          <w:sz w:val="20"/>
          <w:szCs w:val="20"/>
        </w:rPr>
        <w:t xml:space="preserve"> expenses of the Inv</w:t>
      </w:r>
      <w:r w:rsidR="00BD690E" w:rsidRPr="006544C5">
        <w:rPr>
          <w:rFonts w:ascii="Arial" w:hAnsi="Arial" w:cs="Arial"/>
          <w:sz w:val="20"/>
          <w:szCs w:val="20"/>
        </w:rPr>
        <w:t>estment Manager (</w:t>
      </w:r>
      <w:r w:rsidR="00C30E0A" w:rsidRPr="006544C5">
        <w:rPr>
          <w:rFonts w:ascii="Arial" w:hAnsi="Arial" w:cs="Arial"/>
          <w:sz w:val="20"/>
          <w:szCs w:val="20"/>
        </w:rPr>
        <w:t>30 June 2019</w:t>
      </w:r>
      <w:r w:rsidR="00FD7D09" w:rsidRPr="006544C5">
        <w:rPr>
          <w:rFonts w:ascii="Arial" w:hAnsi="Arial" w:cs="Arial"/>
          <w:sz w:val="20"/>
          <w:szCs w:val="20"/>
        </w:rPr>
        <w:t>: $</w:t>
      </w:r>
      <w:r w:rsidR="00BD690E" w:rsidRPr="006544C5">
        <w:rPr>
          <w:rFonts w:ascii="Arial" w:hAnsi="Arial" w:cs="Arial"/>
          <w:sz w:val="20"/>
          <w:szCs w:val="20"/>
        </w:rPr>
        <w:t>58,817</w:t>
      </w:r>
      <w:r w:rsidR="00FD7D09" w:rsidRPr="006544C5">
        <w:rPr>
          <w:rFonts w:ascii="Arial" w:hAnsi="Arial" w:cs="Arial"/>
          <w:sz w:val="20"/>
          <w:szCs w:val="20"/>
        </w:rPr>
        <w:t>)</w:t>
      </w:r>
      <w:r w:rsidR="00451C6E" w:rsidRPr="006544C5">
        <w:rPr>
          <w:rFonts w:ascii="Arial" w:hAnsi="Arial" w:cs="Arial"/>
          <w:sz w:val="20"/>
          <w:szCs w:val="20"/>
        </w:rPr>
        <w:t>.</w:t>
      </w:r>
      <w:bookmarkEnd w:id="12"/>
    </w:p>
    <w:p w14:paraId="32F06876" w14:textId="4BE445EB" w:rsidR="00E44F6C" w:rsidRDefault="00E44F6C" w:rsidP="00E44F6C">
      <w:pPr>
        <w:rPr>
          <w:rFonts w:ascii="Arial" w:hAnsi="Arial" w:cs="Arial"/>
        </w:rPr>
      </w:pPr>
    </w:p>
    <w:p w14:paraId="4A92ABD9" w14:textId="77777777" w:rsidR="001F0384" w:rsidRPr="001F0384" w:rsidRDefault="001F0384" w:rsidP="001F0384">
      <w:pPr>
        <w:pStyle w:val="Body1"/>
        <w:ind w:left="567"/>
        <w:jc w:val="left"/>
        <w:rPr>
          <w:rFonts w:eastAsia="Times New Roman" w:cs="Arial"/>
          <w:sz w:val="20"/>
          <w:szCs w:val="20"/>
          <w:lang w:eastAsia="en-US"/>
        </w:rPr>
      </w:pPr>
      <w:r w:rsidRPr="001F0384">
        <w:rPr>
          <w:rFonts w:eastAsia="Times New Roman" w:cs="Arial"/>
          <w:sz w:val="20"/>
          <w:szCs w:val="20"/>
          <w:lang w:eastAsia="en-US"/>
        </w:rPr>
        <w:t>The circumstances in which the Company and the Investment Manager may terminate the Investment Management Agreement are as follows:</w:t>
      </w:r>
    </w:p>
    <w:tbl>
      <w:tblPr>
        <w:tblStyle w:val="TableGrid"/>
        <w:tblW w:w="4712" w:type="pct"/>
        <w:tblInd w:w="562" w:type="dxa"/>
        <w:tblLook w:val="04A0" w:firstRow="1" w:lastRow="0" w:firstColumn="1" w:lastColumn="0" w:noHBand="0" w:noVBand="1"/>
      </w:tblPr>
      <w:tblGrid>
        <w:gridCol w:w="3131"/>
        <w:gridCol w:w="2088"/>
        <w:gridCol w:w="3989"/>
      </w:tblGrid>
      <w:tr w:rsidR="001F0384" w:rsidRPr="001F0384" w14:paraId="3384D389" w14:textId="77777777" w:rsidTr="0048637A">
        <w:tc>
          <w:tcPr>
            <w:tcW w:w="1700" w:type="pct"/>
          </w:tcPr>
          <w:p w14:paraId="77D775A7" w14:textId="77777777" w:rsidR="001F0384" w:rsidRPr="001F0384" w:rsidRDefault="001F0384" w:rsidP="001D7CD4">
            <w:pPr>
              <w:pStyle w:val="Body1"/>
              <w:jc w:val="left"/>
              <w:rPr>
                <w:rFonts w:eastAsia="Times New Roman" w:cs="Arial"/>
                <w:sz w:val="20"/>
                <w:szCs w:val="20"/>
                <w:lang w:eastAsia="en-US"/>
              </w:rPr>
            </w:pPr>
            <w:r w:rsidRPr="001F0384">
              <w:rPr>
                <w:rFonts w:eastAsia="Times New Roman" w:cs="Arial"/>
                <w:sz w:val="20"/>
                <w:szCs w:val="20"/>
                <w:lang w:eastAsia="en-US"/>
              </w:rPr>
              <w:t>Event</w:t>
            </w:r>
          </w:p>
        </w:tc>
        <w:tc>
          <w:tcPr>
            <w:tcW w:w="1134" w:type="pct"/>
          </w:tcPr>
          <w:p w14:paraId="1FC97A76" w14:textId="77777777" w:rsidR="001F0384" w:rsidRPr="001F0384" w:rsidRDefault="001F0384" w:rsidP="001D7CD4">
            <w:pPr>
              <w:pStyle w:val="Body1"/>
              <w:jc w:val="left"/>
              <w:rPr>
                <w:rFonts w:eastAsia="Times New Roman" w:cs="Arial"/>
                <w:sz w:val="20"/>
                <w:szCs w:val="20"/>
                <w:lang w:eastAsia="en-US"/>
              </w:rPr>
            </w:pPr>
            <w:r w:rsidRPr="001F0384">
              <w:rPr>
                <w:rFonts w:eastAsia="Times New Roman" w:cs="Arial"/>
                <w:sz w:val="20"/>
                <w:szCs w:val="20"/>
                <w:lang w:eastAsia="en-US"/>
              </w:rPr>
              <w:t>Notice period</w:t>
            </w:r>
          </w:p>
        </w:tc>
        <w:tc>
          <w:tcPr>
            <w:tcW w:w="2166" w:type="pct"/>
          </w:tcPr>
          <w:p w14:paraId="0F6BBED6" w14:textId="77777777" w:rsidR="001F0384" w:rsidRPr="001F0384" w:rsidRDefault="001F0384" w:rsidP="001D7CD4">
            <w:pPr>
              <w:pStyle w:val="Body1"/>
              <w:jc w:val="left"/>
              <w:rPr>
                <w:rFonts w:eastAsia="Times New Roman" w:cs="Arial"/>
                <w:sz w:val="20"/>
                <w:szCs w:val="20"/>
                <w:lang w:eastAsia="en-US"/>
              </w:rPr>
            </w:pPr>
            <w:r w:rsidRPr="001F0384">
              <w:rPr>
                <w:rFonts w:eastAsia="Times New Roman" w:cs="Arial"/>
                <w:sz w:val="20"/>
                <w:szCs w:val="20"/>
                <w:lang w:eastAsia="en-US"/>
              </w:rPr>
              <w:t>Consequences of termination</w:t>
            </w:r>
            <w:r w:rsidRPr="00FB4704">
              <w:rPr>
                <w:rFonts w:eastAsia="Times New Roman" w:cs="Arial"/>
                <w:sz w:val="20"/>
                <w:szCs w:val="20"/>
                <w:vertAlign w:val="superscript"/>
                <w:lang w:eastAsia="en-US"/>
              </w:rPr>
              <w:t>(2)</w:t>
            </w:r>
          </w:p>
        </w:tc>
      </w:tr>
      <w:tr w:rsidR="001F0384" w14:paraId="403F2160" w14:textId="77777777" w:rsidTr="0048637A">
        <w:tc>
          <w:tcPr>
            <w:tcW w:w="1700" w:type="pct"/>
          </w:tcPr>
          <w:p w14:paraId="09B406AA" w14:textId="77777777" w:rsidR="001F0384" w:rsidRPr="001F0384" w:rsidRDefault="001F0384" w:rsidP="001D7CD4">
            <w:pPr>
              <w:pStyle w:val="Body1"/>
              <w:jc w:val="left"/>
              <w:rPr>
                <w:rFonts w:eastAsia="Times New Roman" w:cs="Arial"/>
                <w:sz w:val="20"/>
                <w:szCs w:val="20"/>
                <w:lang w:eastAsia="en-US"/>
              </w:rPr>
            </w:pPr>
            <w:r w:rsidRPr="001F0384">
              <w:rPr>
                <w:rFonts w:eastAsia="Times New Roman" w:cs="Arial"/>
                <w:sz w:val="20"/>
                <w:szCs w:val="20"/>
                <w:lang w:eastAsia="en-US"/>
              </w:rPr>
              <w:t>By the Company if the Investment Manager is in material breach which has not been rectified</w:t>
            </w:r>
          </w:p>
        </w:tc>
        <w:tc>
          <w:tcPr>
            <w:tcW w:w="1134" w:type="pct"/>
          </w:tcPr>
          <w:p w14:paraId="5A705DB4" w14:textId="77777777" w:rsidR="001F0384" w:rsidRPr="001F0384" w:rsidRDefault="001F0384" w:rsidP="001D7CD4">
            <w:pPr>
              <w:pStyle w:val="Body1"/>
              <w:jc w:val="left"/>
              <w:rPr>
                <w:rFonts w:eastAsia="Times New Roman" w:cs="Arial"/>
                <w:sz w:val="20"/>
                <w:szCs w:val="20"/>
                <w:lang w:eastAsia="en-US"/>
              </w:rPr>
            </w:pPr>
            <w:r w:rsidRPr="001F0384">
              <w:rPr>
                <w:rFonts w:eastAsia="Times New Roman" w:cs="Arial"/>
                <w:sz w:val="20"/>
                <w:szCs w:val="20"/>
                <w:lang w:eastAsia="en-US"/>
              </w:rPr>
              <w:t>12 months</w:t>
            </w:r>
          </w:p>
        </w:tc>
        <w:tc>
          <w:tcPr>
            <w:tcW w:w="2166" w:type="pct"/>
          </w:tcPr>
          <w:p w14:paraId="23C7BA34" w14:textId="77777777" w:rsidR="001F0384" w:rsidRPr="001F0384" w:rsidRDefault="001F0384" w:rsidP="001D7CD4">
            <w:pPr>
              <w:pStyle w:val="Body1"/>
              <w:jc w:val="left"/>
              <w:rPr>
                <w:rFonts w:eastAsia="Times New Roman" w:cs="Arial"/>
                <w:sz w:val="20"/>
                <w:szCs w:val="20"/>
                <w:lang w:eastAsia="en-US"/>
              </w:rPr>
            </w:pPr>
            <w:r w:rsidRPr="001F0384">
              <w:rPr>
                <w:rFonts w:eastAsia="Times New Roman" w:cs="Arial"/>
                <w:sz w:val="20"/>
                <w:szCs w:val="20"/>
                <w:lang w:eastAsia="en-US"/>
              </w:rPr>
              <w:t>The General Partner is entitled to receive a payment equal to four times the quarterly Management Fee payable to the Investment Manager on the basis of the Company's most recent Net Asset Value and an amount equal to the Performance Allocation due on the Company's investments on the basis, at the Company's option, of the latest quarterly valuation or the actual realisation value for each investment.</w:t>
            </w:r>
          </w:p>
        </w:tc>
      </w:tr>
      <w:tr w:rsidR="001F0384" w14:paraId="5EC57633" w14:textId="77777777" w:rsidTr="0048637A">
        <w:tc>
          <w:tcPr>
            <w:tcW w:w="1700" w:type="pct"/>
          </w:tcPr>
          <w:p w14:paraId="50F03A76" w14:textId="77777777" w:rsidR="001F0384" w:rsidRPr="001F0384" w:rsidRDefault="001F0384" w:rsidP="001D7CD4">
            <w:pPr>
              <w:pStyle w:val="Body1"/>
              <w:jc w:val="left"/>
              <w:rPr>
                <w:rFonts w:eastAsia="Times New Roman" w:cs="Arial"/>
                <w:sz w:val="20"/>
                <w:szCs w:val="20"/>
                <w:lang w:eastAsia="en-US"/>
              </w:rPr>
            </w:pPr>
            <w:r w:rsidRPr="001F0384">
              <w:rPr>
                <w:rFonts w:eastAsia="Times New Roman" w:cs="Arial"/>
                <w:sz w:val="20"/>
                <w:szCs w:val="20"/>
                <w:lang w:eastAsia="en-US"/>
              </w:rPr>
              <w:t xml:space="preserve">By the Investment Manager if the Company is in material </w:t>
            </w:r>
            <w:r w:rsidRPr="001F0384">
              <w:rPr>
                <w:rFonts w:eastAsia="Times New Roman" w:cs="Arial"/>
                <w:sz w:val="20"/>
                <w:szCs w:val="20"/>
                <w:lang w:eastAsia="en-US"/>
              </w:rPr>
              <w:lastRenderedPageBreak/>
              <w:t>breach which has not been rectified</w:t>
            </w:r>
          </w:p>
        </w:tc>
        <w:tc>
          <w:tcPr>
            <w:tcW w:w="1134" w:type="pct"/>
          </w:tcPr>
          <w:p w14:paraId="2AFFB1DC" w14:textId="77777777" w:rsidR="001F0384" w:rsidRPr="001F0384" w:rsidRDefault="001F0384" w:rsidP="001D7CD4">
            <w:pPr>
              <w:pStyle w:val="Body1"/>
              <w:jc w:val="left"/>
              <w:rPr>
                <w:rFonts w:eastAsia="Times New Roman" w:cs="Arial"/>
                <w:sz w:val="20"/>
                <w:szCs w:val="20"/>
                <w:lang w:eastAsia="en-US"/>
              </w:rPr>
            </w:pPr>
            <w:r w:rsidRPr="001F0384">
              <w:rPr>
                <w:rFonts w:eastAsia="Times New Roman" w:cs="Arial"/>
                <w:sz w:val="20"/>
                <w:szCs w:val="20"/>
                <w:lang w:eastAsia="en-US"/>
              </w:rPr>
              <w:lastRenderedPageBreak/>
              <w:t>12 months</w:t>
            </w:r>
          </w:p>
        </w:tc>
        <w:tc>
          <w:tcPr>
            <w:tcW w:w="2166" w:type="pct"/>
          </w:tcPr>
          <w:p w14:paraId="2E571B77" w14:textId="77777777" w:rsidR="001F0384" w:rsidRPr="001F0384" w:rsidRDefault="001F0384" w:rsidP="001D7CD4">
            <w:pPr>
              <w:pStyle w:val="Body1"/>
              <w:jc w:val="left"/>
              <w:rPr>
                <w:rFonts w:eastAsia="Times New Roman" w:cs="Arial"/>
                <w:sz w:val="20"/>
                <w:szCs w:val="20"/>
                <w:lang w:eastAsia="en-US"/>
              </w:rPr>
            </w:pPr>
            <w:r w:rsidRPr="001F0384">
              <w:rPr>
                <w:rFonts w:eastAsia="Times New Roman" w:cs="Arial"/>
                <w:sz w:val="20"/>
                <w:szCs w:val="20"/>
                <w:lang w:eastAsia="en-US"/>
              </w:rPr>
              <w:t xml:space="preserve">The General Partner is entitled to receive a payment equal to twenty times the quarterly Management Fee payable to the </w:t>
            </w:r>
            <w:r w:rsidRPr="001F0384">
              <w:rPr>
                <w:rFonts w:eastAsia="Times New Roman" w:cs="Arial"/>
                <w:sz w:val="20"/>
                <w:szCs w:val="20"/>
                <w:lang w:eastAsia="en-US"/>
              </w:rPr>
              <w:lastRenderedPageBreak/>
              <w:t xml:space="preserve">Investment Manager on the basis of the Company's most recent Net Asset Value and an amount equal to the Performance Allocation due on the Company's investments on the basis, at the General Partner's option, of the latest quarterly valuation or the actual realisation value for each investment.  </w:t>
            </w:r>
          </w:p>
        </w:tc>
      </w:tr>
      <w:tr w:rsidR="001F0384" w14:paraId="389123A6" w14:textId="77777777" w:rsidTr="0048637A">
        <w:tc>
          <w:tcPr>
            <w:tcW w:w="1700" w:type="pct"/>
          </w:tcPr>
          <w:p w14:paraId="585477CA" w14:textId="77777777" w:rsidR="001F0384" w:rsidRPr="001F0384" w:rsidRDefault="001F0384" w:rsidP="001D7CD4">
            <w:pPr>
              <w:pStyle w:val="Body1"/>
              <w:jc w:val="left"/>
              <w:rPr>
                <w:rFonts w:eastAsia="Times New Roman" w:cs="Arial"/>
                <w:sz w:val="20"/>
                <w:szCs w:val="20"/>
                <w:lang w:eastAsia="en-US"/>
              </w:rPr>
            </w:pPr>
            <w:r w:rsidRPr="001F0384">
              <w:rPr>
                <w:rFonts w:eastAsia="Times New Roman" w:cs="Arial"/>
                <w:sz w:val="20"/>
                <w:szCs w:val="20"/>
                <w:lang w:eastAsia="en-US"/>
              </w:rPr>
              <w:lastRenderedPageBreak/>
              <w:t xml:space="preserve">By the Company if the Investment Manager becomes insolvent or resolves to wind up or if the Investment Manager commits an act of fraud or wilful default in relation to the Company which results in material harm to the Company </w:t>
            </w:r>
          </w:p>
        </w:tc>
        <w:tc>
          <w:tcPr>
            <w:tcW w:w="1134" w:type="pct"/>
          </w:tcPr>
          <w:p w14:paraId="3B84647D" w14:textId="77777777" w:rsidR="001F0384" w:rsidRPr="001F0384" w:rsidRDefault="001F0384" w:rsidP="001D7CD4">
            <w:pPr>
              <w:pStyle w:val="Body1"/>
              <w:jc w:val="left"/>
              <w:rPr>
                <w:rFonts w:eastAsia="Times New Roman" w:cs="Arial"/>
                <w:sz w:val="20"/>
                <w:szCs w:val="20"/>
                <w:lang w:eastAsia="en-US"/>
              </w:rPr>
            </w:pPr>
            <w:r w:rsidRPr="001F0384">
              <w:rPr>
                <w:rFonts w:eastAsia="Times New Roman" w:cs="Arial"/>
                <w:sz w:val="20"/>
                <w:szCs w:val="20"/>
                <w:lang w:eastAsia="en-US"/>
              </w:rPr>
              <w:t>Immediate</w:t>
            </w:r>
          </w:p>
        </w:tc>
        <w:tc>
          <w:tcPr>
            <w:tcW w:w="2166" w:type="pct"/>
          </w:tcPr>
          <w:p w14:paraId="610FDCA9" w14:textId="77777777" w:rsidR="001F0384" w:rsidRPr="001F0384" w:rsidRDefault="001F0384" w:rsidP="001D7CD4">
            <w:pPr>
              <w:pStyle w:val="Body1"/>
              <w:jc w:val="left"/>
              <w:rPr>
                <w:rFonts w:eastAsia="Times New Roman" w:cs="Arial"/>
                <w:sz w:val="20"/>
                <w:szCs w:val="20"/>
                <w:lang w:eastAsia="en-US"/>
              </w:rPr>
            </w:pPr>
            <w:r w:rsidRPr="001F0384">
              <w:rPr>
                <w:rFonts w:eastAsia="Times New Roman" w:cs="Arial"/>
                <w:sz w:val="20"/>
                <w:szCs w:val="20"/>
                <w:lang w:eastAsia="en-US"/>
              </w:rPr>
              <w:t>No payment to be made to the Investment Manager or the General Partner.</w:t>
            </w:r>
          </w:p>
        </w:tc>
      </w:tr>
      <w:tr w:rsidR="001F0384" w14:paraId="2EC5FCF9" w14:textId="77777777" w:rsidTr="0048637A">
        <w:tc>
          <w:tcPr>
            <w:tcW w:w="1700" w:type="pct"/>
          </w:tcPr>
          <w:p w14:paraId="3311727E" w14:textId="77777777" w:rsidR="001F0384" w:rsidRPr="001F0384" w:rsidRDefault="001F0384" w:rsidP="001D7CD4">
            <w:pPr>
              <w:pStyle w:val="Body1"/>
              <w:jc w:val="left"/>
              <w:rPr>
                <w:rFonts w:eastAsia="Times New Roman" w:cs="Arial"/>
                <w:sz w:val="20"/>
                <w:szCs w:val="20"/>
                <w:lang w:eastAsia="en-US"/>
              </w:rPr>
            </w:pPr>
            <w:r w:rsidRPr="001F0384">
              <w:rPr>
                <w:rFonts w:eastAsia="Times New Roman" w:cs="Arial"/>
                <w:sz w:val="20"/>
                <w:szCs w:val="20"/>
                <w:lang w:eastAsia="en-US"/>
              </w:rPr>
              <w:t>By the Investment Manager if the Company becomes insolvent or resolves to wind up, undergoes a change of control and delists, ceases to maintain its Guernsey regulatory approval or, if in each case if the consent of the Investment Manager is not obtained, the Company materially changes its investment policy, raises new equity, makes a distribution or acquires or disposes of an investment</w:t>
            </w:r>
          </w:p>
        </w:tc>
        <w:tc>
          <w:tcPr>
            <w:tcW w:w="1134" w:type="pct"/>
          </w:tcPr>
          <w:p w14:paraId="3F6227C9" w14:textId="77777777" w:rsidR="001F0384" w:rsidRPr="001F0384" w:rsidRDefault="001F0384" w:rsidP="001D7CD4">
            <w:pPr>
              <w:pStyle w:val="Body1"/>
              <w:jc w:val="left"/>
              <w:rPr>
                <w:rFonts w:eastAsia="Times New Roman" w:cs="Arial"/>
                <w:sz w:val="20"/>
                <w:szCs w:val="20"/>
                <w:lang w:eastAsia="en-US"/>
              </w:rPr>
            </w:pPr>
            <w:r w:rsidRPr="001F0384">
              <w:rPr>
                <w:rFonts w:eastAsia="Times New Roman" w:cs="Arial"/>
                <w:sz w:val="20"/>
                <w:szCs w:val="20"/>
                <w:lang w:eastAsia="en-US"/>
              </w:rPr>
              <w:t>Immediate</w:t>
            </w:r>
          </w:p>
        </w:tc>
        <w:tc>
          <w:tcPr>
            <w:tcW w:w="2166" w:type="pct"/>
          </w:tcPr>
          <w:p w14:paraId="339D25F5" w14:textId="77777777" w:rsidR="001F0384" w:rsidRPr="001F0384" w:rsidRDefault="001F0384" w:rsidP="001D7CD4">
            <w:pPr>
              <w:pStyle w:val="Body1"/>
              <w:jc w:val="left"/>
              <w:rPr>
                <w:rFonts w:eastAsia="Times New Roman" w:cs="Arial"/>
                <w:sz w:val="20"/>
                <w:szCs w:val="20"/>
                <w:lang w:eastAsia="en-US"/>
              </w:rPr>
            </w:pPr>
            <w:r w:rsidRPr="001F0384">
              <w:rPr>
                <w:rFonts w:eastAsia="Times New Roman" w:cs="Arial"/>
                <w:sz w:val="20"/>
                <w:szCs w:val="20"/>
                <w:lang w:eastAsia="en-US"/>
              </w:rPr>
              <w:t xml:space="preserve">The General Partner is entitled to receive a payment equal to twenty times the quarterly Management Fee payable to the Investment Manager on the basis of the Company's most recent Net Asset Value and an amount equal to the Performance Allocation due on the Company's investments on the basis, at the General Partner's option, of the latest quarterly valuation or the actual realisation value for each investment.  </w:t>
            </w:r>
          </w:p>
        </w:tc>
      </w:tr>
      <w:tr w:rsidR="001F0384" w14:paraId="32E3090F" w14:textId="77777777" w:rsidTr="0048637A">
        <w:tc>
          <w:tcPr>
            <w:tcW w:w="1700" w:type="pct"/>
          </w:tcPr>
          <w:p w14:paraId="7C86B58B" w14:textId="77777777" w:rsidR="001F0384" w:rsidRPr="001F0384" w:rsidRDefault="001F0384" w:rsidP="001D7CD4">
            <w:pPr>
              <w:pStyle w:val="Body1"/>
              <w:jc w:val="left"/>
              <w:rPr>
                <w:rFonts w:eastAsia="Times New Roman" w:cs="Arial"/>
                <w:sz w:val="20"/>
                <w:szCs w:val="20"/>
                <w:lang w:eastAsia="en-US"/>
              </w:rPr>
            </w:pPr>
            <w:r w:rsidRPr="001F0384">
              <w:rPr>
                <w:rFonts w:eastAsia="Times New Roman" w:cs="Arial"/>
                <w:sz w:val="20"/>
                <w:szCs w:val="20"/>
                <w:lang w:eastAsia="en-US"/>
              </w:rPr>
              <w:t>If a Discontinuation Resolution(1) is passed</w:t>
            </w:r>
          </w:p>
        </w:tc>
        <w:tc>
          <w:tcPr>
            <w:tcW w:w="1134" w:type="pct"/>
          </w:tcPr>
          <w:p w14:paraId="56EF9493" w14:textId="77777777" w:rsidR="001F0384" w:rsidRPr="001F0384" w:rsidRDefault="001F0384" w:rsidP="001D7CD4">
            <w:pPr>
              <w:pStyle w:val="Body1"/>
              <w:jc w:val="left"/>
              <w:rPr>
                <w:rFonts w:eastAsia="Times New Roman" w:cs="Arial"/>
                <w:sz w:val="20"/>
                <w:szCs w:val="20"/>
                <w:lang w:eastAsia="en-US"/>
              </w:rPr>
            </w:pPr>
            <w:r w:rsidRPr="001F0384">
              <w:rPr>
                <w:rFonts w:eastAsia="Times New Roman" w:cs="Arial"/>
                <w:sz w:val="20"/>
                <w:szCs w:val="20"/>
                <w:lang w:eastAsia="en-US"/>
              </w:rPr>
              <w:t>Immediate</w:t>
            </w:r>
          </w:p>
        </w:tc>
        <w:tc>
          <w:tcPr>
            <w:tcW w:w="2166" w:type="pct"/>
          </w:tcPr>
          <w:p w14:paraId="4023A7A4" w14:textId="77777777" w:rsidR="001F0384" w:rsidRPr="001F0384" w:rsidRDefault="001F0384" w:rsidP="001D7CD4">
            <w:pPr>
              <w:pStyle w:val="Body1"/>
              <w:jc w:val="left"/>
              <w:rPr>
                <w:rFonts w:eastAsia="Times New Roman" w:cs="Arial"/>
                <w:sz w:val="20"/>
                <w:szCs w:val="20"/>
                <w:lang w:eastAsia="en-US"/>
              </w:rPr>
            </w:pPr>
            <w:r w:rsidRPr="001F0384">
              <w:rPr>
                <w:rFonts w:eastAsia="Times New Roman" w:cs="Arial"/>
                <w:sz w:val="20"/>
                <w:szCs w:val="20"/>
                <w:lang w:eastAsia="en-US"/>
              </w:rPr>
              <w:t>The General Partner will be entitled to receive a payment equal to twenty times the quarterly Management Fee payable to the Investment Manager on the basis of the Company's most recent Net Asset Value and an amount equal to the Performance Allocation due on the Company's investments on the basis, at the General Partner's option, of the latest quarterly valuation or the actual realisation value for each investment.</w:t>
            </w:r>
          </w:p>
        </w:tc>
      </w:tr>
    </w:tbl>
    <w:p w14:paraId="4ADF4D0E" w14:textId="77777777" w:rsidR="001F0384" w:rsidRPr="002B35C5" w:rsidRDefault="001F0384" w:rsidP="001F0384">
      <w:pPr>
        <w:pStyle w:val="Body1"/>
        <w:numPr>
          <w:ilvl w:val="0"/>
          <w:numId w:val="16"/>
        </w:numPr>
        <w:jc w:val="left"/>
        <w:rPr>
          <w:sz w:val="16"/>
        </w:rPr>
      </w:pPr>
      <w:r w:rsidRPr="00C86C24">
        <w:rPr>
          <w:sz w:val="16"/>
          <w:szCs w:val="16"/>
        </w:rPr>
        <w:t>If, on 29 October 2020 (</w:t>
      </w:r>
      <w:r w:rsidRPr="002B35C5">
        <w:rPr>
          <w:sz w:val="16"/>
        </w:rPr>
        <w:t xml:space="preserve">the seventh anniversary of the </w:t>
      </w:r>
      <w:r w:rsidRPr="00C86C24">
        <w:rPr>
          <w:sz w:val="16"/>
          <w:szCs w:val="16"/>
        </w:rPr>
        <w:t>Company's London listing</w:t>
      </w:r>
      <w:r w:rsidRPr="002B35C5">
        <w:rPr>
          <w:sz w:val="16"/>
        </w:rPr>
        <w:t>), both</w:t>
      </w:r>
      <w:r w:rsidRPr="00C86C24">
        <w:rPr>
          <w:sz w:val="16"/>
          <w:szCs w:val="16"/>
        </w:rPr>
        <w:t xml:space="preserve"> of the following are true</w:t>
      </w:r>
      <w:r w:rsidRPr="002B35C5">
        <w:rPr>
          <w:sz w:val="16"/>
        </w:rPr>
        <w:t>:</w:t>
      </w:r>
    </w:p>
    <w:p w14:paraId="739BEC4C" w14:textId="62959FEC" w:rsidR="001F0384" w:rsidRPr="002B35C5" w:rsidRDefault="001F0384" w:rsidP="001F0384">
      <w:pPr>
        <w:pStyle w:val="Body1"/>
        <w:numPr>
          <w:ilvl w:val="0"/>
          <w:numId w:val="15"/>
        </w:numPr>
        <w:ind w:left="1260"/>
        <w:jc w:val="left"/>
        <w:rPr>
          <w:sz w:val="16"/>
        </w:rPr>
      </w:pPr>
      <w:r w:rsidRPr="002B35C5">
        <w:rPr>
          <w:sz w:val="16"/>
        </w:rPr>
        <w:t xml:space="preserve">the trading price for the </w:t>
      </w:r>
      <w:r w:rsidRPr="00C86C24">
        <w:rPr>
          <w:sz w:val="16"/>
          <w:szCs w:val="16"/>
        </w:rPr>
        <w:t xml:space="preserve">Company's </w:t>
      </w:r>
      <w:r w:rsidR="00DE4F2B">
        <w:rPr>
          <w:sz w:val="16"/>
          <w:szCs w:val="16"/>
        </w:rPr>
        <w:t>O</w:t>
      </w:r>
      <w:r w:rsidRPr="00C86C24">
        <w:rPr>
          <w:sz w:val="16"/>
          <w:szCs w:val="16"/>
        </w:rPr>
        <w:t xml:space="preserve">rdinary </w:t>
      </w:r>
      <w:r w:rsidR="00DE4F2B">
        <w:rPr>
          <w:sz w:val="16"/>
          <w:szCs w:val="16"/>
        </w:rPr>
        <w:t>S</w:t>
      </w:r>
      <w:r w:rsidRPr="00C86C24">
        <w:rPr>
          <w:sz w:val="16"/>
          <w:szCs w:val="16"/>
        </w:rPr>
        <w:t>hares</w:t>
      </w:r>
      <w:r w:rsidRPr="002B35C5">
        <w:rPr>
          <w:sz w:val="16"/>
        </w:rPr>
        <w:t xml:space="preserve"> has not </w:t>
      </w:r>
      <w:r w:rsidRPr="00C86C24">
        <w:rPr>
          <w:sz w:val="16"/>
          <w:szCs w:val="16"/>
        </w:rPr>
        <w:t>at any time</w:t>
      </w:r>
      <w:r w:rsidRPr="002B35C5">
        <w:rPr>
          <w:sz w:val="16"/>
        </w:rPr>
        <w:t xml:space="preserve"> exceeded </w:t>
      </w:r>
      <w:r w:rsidRPr="00C86C24">
        <w:rPr>
          <w:sz w:val="16"/>
          <w:szCs w:val="16"/>
        </w:rPr>
        <w:t>£</w:t>
      </w:r>
      <w:r w:rsidRPr="002B35C5">
        <w:rPr>
          <w:sz w:val="16"/>
        </w:rPr>
        <w:t xml:space="preserve">14.70 </w:t>
      </w:r>
      <w:r w:rsidRPr="00C86C24">
        <w:rPr>
          <w:sz w:val="16"/>
          <w:szCs w:val="16"/>
        </w:rPr>
        <w:t>(initially £15.00, subject to adjustments for dividends, stock splits or consolidations and below NAV equity issuances</w:t>
      </w:r>
      <w:r w:rsidRPr="002B35C5">
        <w:rPr>
          <w:sz w:val="16"/>
        </w:rPr>
        <w:t>); and</w:t>
      </w:r>
    </w:p>
    <w:p w14:paraId="3FC51420" w14:textId="77777777" w:rsidR="001F0384" w:rsidRPr="00C86C24" w:rsidRDefault="001F0384" w:rsidP="001F0384">
      <w:pPr>
        <w:pStyle w:val="Body1"/>
        <w:numPr>
          <w:ilvl w:val="0"/>
          <w:numId w:val="15"/>
        </w:numPr>
        <w:ind w:left="1260"/>
        <w:jc w:val="left"/>
        <w:rPr>
          <w:sz w:val="16"/>
          <w:szCs w:val="16"/>
        </w:rPr>
      </w:pPr>
      <w:r w:rsidRPr="00C86C24">
        <w:rPr>
          <w:sz w:val="16"/>
          <w:szCs w:val="16"/>
        </w:rPr>
        <w:t xml:space="preserve">a gross IRR of 8 per cent. has not been achieved on the Company's capital, calculated by reference to the prevailing valuation or sale proceeds achieved on each of the Company's investments from the date of the initial investment or commitment of capital to that investment and prior to the deduction of fees or taxes, </w:t>
      </w:r>
    </w:p>
    <w:p w14:paraId="06A1D47D" w14:textId="77777777" w:rsidR="001F0384" w:rsidRPr="00C86C24" w:rsidRDefault="001F0384" w:rsidP="001F0384">
      <w:pPr>
        <w:pStyle w:val="Body1"/>
        <w:ind w:left="1260" w:hanging="720"/>
        <w:jc w:val="left"/>
        <w:rPr>
          <w:sz w:val="16"/>
          <w:szCs w:val="16"/>
        </w:rPr>
      </w:pPr>
      <w:r>
        <w:rPr>
          <w:sz w:val="16"/>
          <w:szCs w:val="16"/>
        </w:rPr>
        <w:tab/>
      </w:r>
      <w:r w:rsidRPr="002B35C5">
        <w:rPr>
          <w:sz w:val="16"/>
        </w:rPr>
        <w:t xml:space="preserve">then a special resolution must be proposed to the </w:t>
      </w:r>
      <w:r w:rsidRPr="00C86C24">
        <w:rPr>
          <w:sz w:val="16"/>
          <w:szCs w:val="16"/>
        </w:rPr>
        <w:t xml:space="preserve">Company's </w:t>
      </w:r>
      <w:r>
        <w:rPr>
          <w:sz w:val="16"/>
          <w:szCs w:val="16"/>
        </w:rPr>
        <w:t>S</w:t>
      </w:r>
      <w:r w:rsidRPr="00C86C24">
        <w:rPr>
          <w:sz w:val="16"/>
          <w:szCs w:val="16"/>
        </w:rPr>
        <w:t>hareholders</w:t>
      </w:r>
      <w:r w:rsidRPr="002B35C5">
        <w:rPr>
          <w:sz w:val="16"/>
        </w:rPr>
        <w:t xml:space="preserve"> to discontinue the Company </w:t>
      </w:r>
      <w:r w:rsidRPr="00A53241">
        <w:rPr>
          <w:sz w:val="16"/>
          <w:szCs w:val="16"/>
        </w:rPr>
        <w:t>("</w:t>
      </w:r>
      <w:r w:rsidRPr="00A53241">
        <w:rPr>
          <w:sz w:val="16"/>
        </w:rPr>
        <w:t>Discontinuation Resolution</w:t>
      </w:r>
      <w:r w:rsidRPr="00A53241">
        <w:rPr>
          <w:sz w:val="16"/>
          <w:szCs w:val="16"/>
        </w:rPr>
        <w:t>").</w:t>
      </w:r>
      <w:r w:rsidRPr="00C86C24">
        <w:rPr>
          <w:sz w:val="16"/>
          <w:szCs w:val="16"/>
        </w:rPr>
        <w:t xml:space="preserve">  Both tests must be triggered for the requirement to propose a Discontinuation Resolution to apply.  </w:t>
      </w:r>
    </w:p>
    <w:p w14:paraId="0961701E" w14:textId="77777777" w:rsidR="001F0384" w:rsidRPr="00D478FE" w:rsidRDefault="001F0384" w:rsidP="001F0384">
      <w:pPr>
        <w:pStyle w:val="Body1"/>
        <w:numPr>
          <w:ilvl w:val="0"/>
          <w:numId w:val="16"/>
        </w:numPr>
        <w:jc w:val="left"/>
        <w:rPr>
          <w:sz w:val="16"/>
          <w:szCs w:val="16"/>
        </w:rPr>
      </w:pPr>
      <w:r w:rsidRPr="00D478FE">
        <w:rPr>
          <w:sz w:val="16"/>
          <w:szCs w:val="16"/>
        </w:rPr>
        <w:t>In addition, if the Investment Management Agreement is terminated on or before 29 October 2020 other than for a material breach by the Investment Manager attributable to its fraud), the Company is required to reimburse the Investment Manager (or its associates) in full in respect of all expenses relating to the formation and initial listing of the Company incurred by the Investment Manager and its associates.</w:t>
      </w:r>
    </w:p>
    <w:p w14:paraId="7A16E4EB" w14:textId="77777777" w:rsidR="001F0384" w:rsidRPr="001F0384" w:rsidRDefault="001F0384" w:rsidP="001F0384">
      <w:pPr>
        <w:pStyle w:val="Body1"/>
        <w:ind w:left="540"/>
        <w:jc w:val="left"/>
        <w:rPr>
          <w:rFonts w:eastAsia="Times New Roman" w:cs="Arial"/>
          <w:sz w:val="20"/>
          <w:szCs w:val="20"/>
          <w:lang w:eastAsia="en-US"/>
        </w:rPr>
      </w:pPr>
      <w:r w:rsidRPr="001F0384">
        <w:rPr>
          <w:rFonts w:eastAsia="Times New Roman" w:cs="Arial"/>
          <w:sz w:val="20"/>
          <w:szCs w:val="20"/>
          <w:lang w:eastAsia="en-US"/>
        </w:rPr>
        <w:lastRenderedPageBreak/>
        <w:t xml:space="preserve">The Investment Management Agreement cannot be terminated by either the Company or the Investment Manager without cause. </w:t>
      </w:r>
    </w:p>
    <w:p w14:paraId="122741B3" w14:textId="01E73A89" w:rsidR="001F0384" w:rsidRPr="001F0384" w:rsidRDefault="001F0384" w:rsidP="001F0384">
      <w:pPr>
        <w:pStyle w:val="Body1"/>
        <w:ind w:left="540"/>
        <w:jc w:val="left"/>
        <w:rPr>
          <w:rFonts w:eastAsia="Times New Roman" w:cs="Arial"/>
          <w:sz w:val="20"/>
          <w:szCs w:val="20"/>
          <w:lang w:eastAsia="en-US"/>
        </w:rPr>
      </w:pPr>
      <w:r w:rsidRPr="001F0384">
        <w:rPr>
          <w:rFonts w:eastAsia="Times New Roman" w:cs="Arial"/>
          <w:sz w:val="20"/>
          <w:szCs w:val="20"/>
          <w:lang w:eastAsia="en-US"/>
        </w:rPr>
        <w:t>If a Discontinuation Resolution is proposed and not passed, or if, on 29 October 2020, the tests requiring a Discontinuation Resolution are not triggered, the Investment Management Agreement will thereafter continue in perpetuity subject to the termination for cause provisions described above.</w:t>
      </w:r>
    </w:p>
    <w:p w14:paraId="6DB34628" w14:textId="77777777" w:rsidR="00213F9C" w:rsidRPr="002D1A2F" w:rsidRDefault="00213F9C" w:rsidP="001F0384">
      <w:pPr>
        <w:ind w:left="567"/>
        <w:rPr>
          <w:rFonts w:ascii="Arial" w:hAnsi="Arial" w:cs="Arial"/>
        </w:rPr>
      </w:pPr>
    </w:p>
    <w:p w14:paraId="21EC8067" w14:textId="77777777" w:rsidR="00E41A2E" w:rsidRPr="002D1A2F" w:rsidRDefault="00E41A2E">
      <w:pPr>
        <w:tabs>
          <w:tab w:val="left" w:pos="6903"/>
        </w:tabs>
        <w:ind w:left="567"/>
        <w:rPr>
          <w:rFonts w:ascii="Arial" w:hAnsi="Arial" w:cs="Arial"/>
          <w:sz w:val="26"/>
          <w:szCs w:val="26"/>
        </w:rPr>
      </w:pPr>
      <w:r w:rsidRPr="002D1A2F">
        <w:rPr>
          <w:rFonts w:ascii="Arial" w:hAnsi="Arial" w:cs="Arial"/>
          <w:sz w:val="26"/>
          <w:szCs w:val="26"/>
        </w:rPr>
        <w:t>General Partner</w:t>
      </w:r>
    </w:p>
    <w:p w14:paraId="2F3780E5" w14:textId="68FD3AE0" w:rsidR="00596FBB" w:rsidRPr="00811BA1" w:rsidRDefault="00596FBB" w:rsidP="00596FBB">
      <w:pPr>
        <w:pStyle w:val="Bodytext"/>
        <w:ind w:left="567"/>
      </w:pPr>
      <w:r w:rsidRPr="00811BA1">
        <w:t xml:space="preserve">The General Partner makes all management decisions, other than investment management decisions, in relation to the Partnership and controls all other actions by the Partnership and is entitled to receive a Performance Allocation, calculated and payable at the underlying investment holding subsidiary level, equal </w:t>
      </w:r>
      <w:r w:rsidRPr="00992C62">
        <w:t xml:space="preserve">to 20 per cent. of the </w:t>
      </w:r>
      <w:r>
        <w:t xml:space="preserve">gross </w:t>
      </w:r>
      <w:r w:rsidRPr="00992C62">
        <w:t xml:space="preserve">realised profits (if any) in respect of a disposal, in whole or in part, of any underlying asset of the </w:t>
      </w:r>
      <w:r w:rsidRPr="00A53241">
        <w:t>Company</w:t>
      </w:r>
      <w:r w:rsidR="00865EF6">
        <w:t>.</w:t>
      </w:r>
    </w:p>
    <w:p w14:paraId="7F588B8F" w14:textId="77777777" w:rsidR="00596FBB" w:rsidRPr="00811BA1" w:rsidRDefault="00596FBB" w:rsidP="00596FBB">
      <w:pPr>
        <w:pStyle w:val="Bodytext"/>
        <w:ind w:left="567"/>
      </w:pPr>
    </w:p>
    <w:p w14:paraId="02EED9E6" w14:textId="77777777" w:rsidR="00596FBB" w:rsidRDefault="00596FBB" w:rsidP="00596FBB">
      <w:pPr>
        <w:pStyle w:val="Bodytext"/>
        <w:ind w:left="567"/>
      </w:pPr>
      <w:r w:rsidRPr="00811BA1">
        <w:t xml:space="preserve">The General Partner is entitled to receive its Performance Allocation in cash, </w:t>
      </w:r>
      <w:r>
        <w:t xml:space="preserve">all of which, after tax, </w:t>
      </w:r>
      <w:r w:rsidRPr="00811BA1">
        <w:t>Riverstone, through its affiliate RELCP, reinvest</w:t>
      </w:r>
      <w:r>
        <w:t>s</w:t>
      </w:r>
      <w:r w:rsidRPr="00811BA1">
        <w:t xml:space="preserve"> in Ordinary Shares of the Company on the terms summarised in Part I and Part VIII of the </w:t>
      </w:r>
      <w:r>
        <w:t xml:space="preserve">IPO </w:t>
      </w:r>
      <w:r w:rsidRPr="00811BA1">
        <w:t>Prospectus.</w:t>
      </w:r>
    </w:p>
    <w:p w14:paraId="202A043B" w14:textId="77777777" w:rsidR="00596FBB" w:rsidRDefault="00596FBB" w:rsidP="00596FBB">
      <w:pPr>
        <w:pStyle w:val="Bodytext"/>
        <w:ind w:left="567"/>
      </w:pPr>
    </w:p>
    <w:p w14:paraId="06F0FD58" w14:textId="7AED960A" w:rsidR="00596FBB" w:rsidRDefault="00596FBB" w:rsidP="00596FBB">
      <w:pPr>
        <w:pStyle w:val="Bodytext"/>
        <w:ind w:left="567"/>
      </w:pPr>
      <w:r w:rsidRPr="004C3145">
        <w:t xml:space="preserve">During the </w:t>
      </w:r>
      <w:r>
        <w:t>period</w:t>
      </w:r>
      <w:r w:rsidRPr="004C3145">
        <w:t xml:space="preserve"> </w:t>
      </w:r>
      <w:r w:rsidR="00BD690E">
        <w:t>to 30 June 2020</w:t>
      </w:r>
      <w:r w:rsidRPr="004C3145">
        <w:t xml:space="preserve">, the Partnership paid Performance Allocations of </w:t>
      </w:r>
      <w:r w:rsidR="006544C5" w:rsidRPr="004C3145">
        <w:t>$</w:t>
      </w:r>
      <w:r w:rsidR="006544C5">
        <w:t>nil</w:t>
      </w:r>
      <w:r w:rsidR="006544C5" w:rsidRPr="004C3145">
        <w:t xml:space="preserve"> </w:t>
      </w:r>
      <w:r w:rsidRPr="004C3145">
        <w:t>(3</w:t>
      </w:r>
      <w:r w:rsidR="00C30E0A">
        <w:t>0 June 2019</w:t>
      </w:r>
      <w:r w:rsidRPr="004C3145">
        <w:t>: $</w:t>
      </w:r>
      <w:r w:rsidR="003C423C">
        <w:t>13,</w:t>
      </w:r>
      <w:r w:rsidR="00C30E0A">
        <w:t>208,875</w:t>
      </w:r>
      <w:r w:rsidRPr="00A53241">
        <w:t xml:space="preserve">) of which </w:t>
      </w:r>
      <w:r w:rsidR="006544C5" w:rsidRPr="00A53241">
        <w:t>$</w:t>
      </w:r>
      <w:r w:rsidR="006544C5">
        <w:t>nil</w:t>
      </w:r>
      <w:r w:rsidR="006544C5" w:rsidRPr="00A53241">
        <w:t xml:space="preserve"> </w:t>
      </w:r>
      <w:r w:rsidRPr="00A53241">
        <w:t xml:space="preserve">remained outstanding as at the </w:t>
      </w:r>
      <w:r>
        <w:t>pe</w:t>
      </w:r>
      <w:r w:rsidRPr="00A53241">
        <w:t>r</w:t>
      </w:r>
      <w:r>
        <w:t>iod</w:t>
      </w:r>
      <w:r w:rsidR="003C423C">
        <w:t xml:space="preserve"> end (31 December 2019</w:t>
      </w:r>
      <w:r w:rsidRPr="00A53241">
        <w:t>: $</w:t>
      </w:r>
      <w:r w:rsidR="003C423C">
        <w:t>nil</w:t>
      </w:r>
      <w:r w:rsidRPr="00A53241">
        <w:t>).</w:t>
      </w:r>
    </w:p>
    <w:p w14:paraId="77B5260E" w14:textId="7B81DED1" w:rsidR="00C30E0A" w:rsidRDefault="00C30E0A" w:rsidP="00596FBB">
      <w:pPr>
        <w:pStyle w:val="Bodytext"/>
        <w:ind w:left="567"/>
      </w:pPr>
    </w:p>
    <w:p w14:paraId="61D45822" w14:textId="55C89830" w:rsidR="00745617" w:rsidRDefault="00C30E0A">
      <w:pPr>
        <w:pStyle w:val="Bodytext"/>
        <w:ind w:left="567"/>
        <w:rPr>
          <w:rFonts w:cs="Arial"/>
          <w:szCs w:val="20"/>
        </w:rPr>
      </w:pPr>
      <w:r>
        <w:t xml:space="preserve">On 3 January 2020, the Company announced amendments to Performance Allocation arrangements under the Investment Management Agreement that are effective from 30 June 2019. The amended terms on which the Company is required to pay a Performance Allocation in respect of its investment are </w:t>
      </w:r>
      <w:r w:rsidRPr="0013685B">
        <w:rPr>
          <w:rFonts w:cs="Arial"/>
          <w:szCs w:val="20"/>
        </w:rPr>
        <w:t xml:space="preserve">further outlined </w:t>
      </w:r>
      <w:r w:rsidRPr="006544C5">
        <w:rPr>
          <w:rFonts w:cs="Arial"/>
          <w:szCs w:val="20"/>
        </w:rPr>
        <w:t>on page 80 in</w:t>
      </w:r>
      <w:r w:rsidRPr="0013685B">
        <w:rPr>
          <w:rFonts w:cs="Arial"/>
          <w:szCs w:val="20"/>
        </w:rPr>
        <w:t xml:space="preserve"> the</w:t>
      </w:r>
      <w:r w:rsidRPr="002D1A2F">
        <w:rPr>
          <w:rFonts w:cs="Arial"/>
          <w:szCs w:val="20"/>
        </w:rPr>
        <w:t xml:space="preserve"> Financial Statements </w:t>
      </w:r>
      <w:r w:rsidR="00634326">
        <w:rPr>
          <w:rFonts w:cs="Arial"/>
          <w:szCs w:val="20"/>
        </w:rPr>
        <w:t>for the year ended</w:t>
      </w:r>
      <w:r w:rsidRPr="00CE6DCF">
        <w:rPr>
          <w:rFonts w:cs="Arial"/>
          <w:szCs w:val="20"/>
        </w:rPr>
        <w:t xml:space="preserve"> 31 December 201</w:t>
      </w:r>
      <w:r>
        <w:rPr>
          <w:rFonts w:cs="Arial"/>
          <w:szCs w:val="20"/>
        </w:rPr>
        <w:t>9</w:t>
      </w:r>
      <w:r w:rsidRPr="00CE6DCF">
        <w:rPr>
          <w:rFonts w:cs="Arial"/>
          <w:szCs w:val="20"/>
        </w:rPr>
        <w:t>.</w:t>
      </w:r>
    </w:p>
    <w:p w14:paraId="060DACCF" w14:textId="77777777" w:rsidR="00C30E0A" w:rsidRPr="002D1A2F" w:rsidRDefault="00C30E0A">
      <w:pPr>
        <w:pStyle w:val="Bodytext"/>
        <w:ind w:left="567"/>
        <w:rPr>
          <w:rFonts w:cs="Arial"/>
        </w:rPr>
      </w:pPr>
    </w:p>
    <w:p w14:paraId="4BD85B73" w14:textId="77777777" w:rsidR="00E41A2E" w:rsidRPr="002D1A2F" w:rsidRDefault="00E41A2E">
      <w:pPr>
        <w:tabs>
          <w:tab w:val="left" w:pos="6903"/>
        </w:tabs>
        <w:ind w:left="567"/>
        <w:rPr>
          <w:rFonts w:ascii="Arial" w:hAnsi="Arial" w:cs="Arial"/>
          <w:sz w:val="26"/>
          <w:szCs w:val="26"/>
        </w:rPr>
      </w:pPr>
      <w:r w:rsidRPr="002D1A2F">
        <w:rPr>
          <w:rFonts w:ascii="Arial" w:hAnsi="Arial" w:cs="Arial"/>
          <w:sz w:val="26"/>
          <w:szCs w:val="26"/>
        </w:rPr>
        <w:t>Cornerstone Investors</w:t>
      </w:r>
    </w:p>
    <w:p w14:paraId="46392870" w14:textId="77777777" w:rsidR="00E41A2E" w:rsidRPr="002D1A2F" w:rsidRDefault="00E41A2E">
      <w:pPr>
        <w:tabs>
          <w:tab w:val="left" w:pos="6903"/>
        </w:tabs>
        <w:ind w:left="567"/>
        <w:rPr>
          <w:rFonts w:ascii="Arial" w:hAnsi="Arial" w:cs="Arial"/>
          <w:sz w:val="20"/>
          <w:szCs w:val="20"/>
        </w:rPr>
      </w:pPr>
      <w:r w:rsidRPr="002D1A2F">
        <w:rPr>
          <w:rFonts w:ascii="Arial" w:hAnsi="Arial" w:cs="Arial"/>
          <w:sz w:val="20"/>
          <w:szCs w:val="20"/>
        </w:rPr>
        <w:t>Each of the Cornerstone Investors has acquired an indirect economic interest in each of the General Partner and the Investment Manager depending on the size of their commitment and the total issue size, up to an aggregate maximum indirect economic interest of 20 per cent. in each, for nominal consideration. These interests entitle the Cornerstone Investors to participate in the economic returns generated by the General Partner, including from the Performance Allocation, and the Investment Manager, which receives the Management Fee.</w:t>
      </w:r>
    </w:p>
    <w:p w14:paraId="08A40B5B" w14:textId="77777777" w:rsidR="00E41A2E" w:rsidRPr="002D1A2F" w:rsidRDefault="00E41A2E">
      <w:pPr>
        <w:tabs>
          <w:tab w:val="left" w:pos="6903"/>
        </w:tabs>
        <w:ind w:left="567"/>
        <w:rPr>
          <w:rFonts w:ascii="Arial" w:hAnsi="Arial" w:cs="Arial"/>
        </w:rPr>
      </w:pPr>
      <w:r w:rsidRPr="002D1A2F">
        <w:rPr>
          <w:rFonts w:ascii="Arial" w:hAnsi="Arial" w:cs="Arial"/>
        </w:rPr>
        <w:br/>
      </w:r>
    </w:p>
    <w:p w14:paraId="18545D08" w14:textId="77777777" w:rsidR="00E41A2E" w:rsidRPr="002D1A2F" w:rsidRDefault="00E41A2E">
      <w:pPr>
        <w:ind w:left="567" w:hanging="567"/>
        <w:outlineLvl w:val="1"/>
        <w:rPr>
          <w:rFonts w:ascii="Arial" w:hAnsi="Arial" w:cs="Arial"/>
          <w:b/>
          <w:sz w:val="28"/>
          <w:szCs w:val="28"/>
        </w:rPr>
      </w:pPr>
      <w:r w:rsidRPr="002D1A2F">
        <w:rPr>
          <w:rFonts w:ascii="Arial" w:hAnsi="Arial" w:cs="Arial"/>
          <w:b/>
          <w:sz w:val="28"/>
          <w:szCs w:val="28"/>
        </w:rPr>
        <w:t>9.</w:t>
      </w:r>
      <w:r w:rsidRPr="002D1A2F">
        <w:rPr>
          <w:rFonts w:ascii="Arial" w:hAnsi="Arial" w:cs="Arial"/>
          <w:b/>
          <w:sz w:val="28"/>
          <w:szCs w:val="28"/>
        </w:rPr>
        <w:tab/>
        <w:t>Segmental reporting</w:t>
      </w:r>
    </w:p>
    <w:p w14:paraId="7781AD81" w14:textId="0A38E5D8" w:rsidR="00E41A2E" w:rsidRPr="002D1A2F" w:rsidRDefault="00E41A2E">
      <w:pPr>
        <w:ind w:left="567"/>
        <w:rPr>
          <w:rFonts w:ascii="Arial" w:hAnsi="Arial" w:cs="Arial"/>
          <w:sz w:val="20"/>
          <w:szCs w:val="20"/>
        </w:rPr>
      </w:pPr>
      <w:r w:rsidRPr="002D1A2F">
        <w:rPr>
          <w:rFonts w:ascii="Arial" w:hAnsi="Arial" w:cs="Arial"/>
          <w:sz w:val="20"/>
          <w:szCs w:val="20"/>
        </w:rPr>
        <w:t xml:space="preserve">Operating segments are reported in a manner consistent with the internal reporting provided to the chief operating decision-maker. The chief operating decision-maker, who is responsible for allocating resources and assessing performance of the operating segments, has been identified as the Board of Directors, as a whole. The key measure of performance used by the Board to assess the Company’s performance and to allocate resources is the </w:t>
      </w:r>
      <w:r w:rsidR="008376DE">
        <w:rPr>
          <w:rFonts w:ascii="Arial" w:hAnsi="Arial" w:cs="Arial"/>
          <w:sz w:val="20"/>
          <w:szCs w:val="20"/>
        </w:rPr>
        <w:t>T</w:t>
      </w:r>
      <w:r w:rsidRPr="002D1A2F">
        <w:rPr>
          <w:rFonts w:ascii="Arial" w:hAnsi="Arial" w:cs="Arial"/>
          <w:sz w:val="20"/>
          <w:szCs w:val="20"/>
        </w:rPr>
        <w:t xml:space="preserve">otal </w:t>
      </w:r>
      <w:r w:rsidR="008376DE">
        <w:rPr>
          <w:rFonts w:ascii="Arial" w:hAnsi="Arial" w:cs="Arial"/>
          <w:sz w:val="20"/>
          <w:szCs w:val="20"/>
        </w:rPr>
        <w:t>R</w:t>
      </w:r>
      <w:r w:rsidRPr="002D1A2F">
        <w:rPr>
          <w:rFonts w:ascii="Arial" w:hAnsi="Arial" w:cs="Arial"/>
          <w:sz w:val="20"/>
          <w:szCs w:val="20"/>
        </w:rPr>
        <w:t>eturn on the Company’s Net Asset Value, as calculated under IFRS, and therefore no reconciliation is required between the measure of profit or loss used by the Board and that contained in the Financial Statements and Interim Report.</w:t>
      </w:r>
    </w:p>
    <w:p w14:paraId="44EA3782" w14:textId="77777777" w:rsidR="00E41A2E" w:rsidRPr="002D1A2F" w:rsidRDefault="00E41A2E">
      <w:pPr>
        <w:ind w:left="567"/>
        <w:rPr>
          <w:rFonts w:ascii="Arial" w:hAnsi="Arial" w:cs="Arial"/>
          <w:sz w:val="20"/>
          <w:szCs w:val="20"/>
        </w:rPr>
      </w:pPr>
    </w:p>
    <w:p w14:paraId="686043A0" w14:textId="77777777" w:rsidR="00E41A2E" w:rsidRPr="002D1A2F" w:rsidRDefault="00E41A2E">
      <w:pPr>
        <w:ind w:left="567"/>
        <w:rPr>
          <w:rFonts w:ascii="Arial" w:hAnsi="Arial" w:cs="Arial"/>
          <w:sz w:val="20"/>
          <w:szCs w:val="20"/>
        </w:rPr>
      </w:pPr>
      <w:r w:rsidRPr="002D1A2F">
        <w:rPr>
          <w:rFonts w:ascii="Arial" w:hAnsi="Arial" w:cs="Arial"/>
          <w:sz w:val="20"/>
          <w:szCs w:val="20"/>
        </w:rPr>
        <w:t>For management purposes, the Company is organised into one main operating segment, which invests in one limited partnership.</w:t>
      </w:r>
    </w:p>
    <w:p w14:paraId="500F4351" w14:textId="77777777" w:rsidR="00E41A2E" w:rsidRPr="002D1A2F" w:rsidRDefault="00E41A2E">
      <w:pPr>
        <w:ind w:left="567"/>
        <w:rPr>
          <w:rFonts w:ascii="Arial" w:hAnsi="Arial" w:cs="Arial"/>
          <w:sz w:val="20"/>
          <w:szCs w:val="20"/>
        </w:rPr>
      </w:pPr>
    </w:p>
    <w:p w14:paraId="74964D5E" w14:textId="77777777" w:rsidR="00E41A2E" w:rsidRPr="002D1A2F" w:rsidRDefault="00E41A2E">
      <w:pPr>
        <w:ind w:left="567"/>
        <w:rPr>
          <w:rFonts w:ascii="Arial" w:hAnsi="Arial" w:cs="Arial"/>
          <w:sz w:val="20"/>
          <w:szCs w:val="20"/>
        </w:rPr>
      </w:pPr>
      <w:r w:rsidRPr="002D1A2F">
        <w:rPr>
          <w:rFonts w:ascii="Arial" w:hAnsi="Arial" w:cs="Arial"/>
          <w:sz w:val="20"/>
          <w:szCs w:val="20"/>
        </w:rPr>
        <w:t>All of the Company’s income is derived from within Guernsey and the Cayman Islands.</w:t>
      </w:r>
    </w:p>
    <w:p w14:paraId="45231246" w14:textId="77777777" w:rsidR="00E41A2E" w:rsidRPr="002D1A2F" w:rsidRDefault="00E41A2E">
      <w:pPr>
        <w:ind w:left="567"/>
        <w:rPr>
          <w:rFonts w:ascii="Arial" w:hAnsi="Arial" w:cs="Arial"/>
          <w:sz w:val="20"/>
          <w:szCs w:val="20"/>
        </w:rPr>
      </w:pPr>
    </w:p>
    <w:p w14:paraId="6D80DC52" w14:textId="77777777" w:rsidR="00E41A2E" w:rsidRPr="002D1A2F" w:rsidRDefault="00E41A2E">
      <w:pPr>
        <w:ind w:left="567"/>
        <w:rPr>
          <w:rFonts w:ascii="Arial" w:hAnsi="Arial" w:cs="Arial"/>
          <w:sz w:val="20"/>
          <w:szCs w:val="20"/>
        </w:rPr>
      </w:pPr>
      <w:r w:rsidRPr="002D1A2F">
        <w:rPr>
          <w:rFonts w:ascii="Arial" w:hAnsi="Arial" w:cs="Arial"/>
          <w:sz w:val="20"/>
          <w:szCs w:val="20"/>
        </w:rPr>
        <w:t>All of the Company’s non-current assets are located in the Cayman Islands.</w:t>
      </w:r>
    </w:p>
    <w:p w14:paraId="03912E47" w14:textId="77777777" w:rsidR="00E41A2E" w:rsidRPr="002D1A2F" w:rsidRDefault="00E41A2E">
      <w:pPr>
        <w:ind w:left="567"/>
        <w:rPr>
          <w:rFonts w:ascii="Arial" w:hAnsi="Arial" w:cs="Arial"/>
          <w:sz w:val="20"/>
          <w:szCs w:val="20"/>
        </w:rPr>
      </w:pPr>
    </w:p>
    <w:p w14:paraId="73A91043" w14:textId="77777777" w:rsidR="00E41A2E" w:rsidRPr="002D1A2F" w:rsidRDefault="00E41A2E">
      <w:pPr>
        <w:ind w:left="567"/>
        <w:rPr>
          <w:rFonts w:ascii="Arial" w:hAnsi="Arial" w:cs="Arial"/>
        </w:rPr>
      </w:pPr>
      <w:r w:rsidRPr="002D1A2F">
        <w:rPr>
          <w:rFonts w:ascii="Arial" w:hAnsi="Arial" w:cs="Arial"/>
          <w:sz w:val="20"/>
          <w:szCs w:val="20"/>
        </w:rPr>
        <w:t>Due to the Company’s nature, it has no customers.</w:t>
      </w:r>
    </w:p>
    <w:p w14:paraId="6ED774AC" w14:textId="3989E8E5" w:rsidR="00E41A2E" w:rsidRPr="002D1A2F" w:rsidRDefault="00E41A2E" w:rsidP="00EF2C3C">
      <w:pPr>
        <w:tabs>
          <w:tab w:val="left" w:pos="6903"/>
        </w:tabs>
        <w:rPr>
          <w:rFonts w:ascii="Arial" w:hAnsi="Arial" w:cs="Arial"/>
        </w:rPr>
      </w:pPr>
    </w:p>
    <w:p w14:paraId="5AA3EE0F" w14:textId="77777777" w:rsidR="00E41A2E" w:rsidRPr="002D1A2F" w:rsidRDefault="00E41A2E">
      <w:pPr>
        <w:tabs>
          <w:tab w:val="left" w:pos="6903"/>
        </w:tabs>
        <w:ind w:left="567"/>
        <w:rPr>
          <w:rFonts w:ascii="Arial" w:hAnsi="Arial" w:cs="Arial"/>
        </w:rPr>
      </w:pPr>
    </w:p>
    <w:p w14:paraId="5DF08DCA" w14:textId="107572F0" w:rsidR="00E41A2E" w:rsidRPr="002D1A2F" w:rsidRDefault="00E41A2E">
      <w:pPr>
        <w:ind w:left="567" w:hanging="567"/>
        <w:outlineLvl w:val="1"/>
        <w:rPr>
          <w:rFonts w:ascii="Arial" w:hAnsi="Arial" w:cs="Arial"/>
          <w:b/>
          <w:sz w:val="28"/>
          <w:szCs w:val="28"/>
        </w:rPr>
      </w:pPr>
      <w:r w:rsidRPr="002D1A2F">
        <w:rPr>
          <w:rFonts w:ascii="Arial" w:hAnsi="Arial" w:cs="Arial"/>
          <w:b/>
          <w:sz w:val="28"/>
          <w:szCs w:val="28"/>
        </w:rPr>
        <w:t>10.</w:t>
      </w:r>
      <w:r w:rsidRPr="002D1A2F">
        <w:rPr>
          <w:rFonts w:ascii="Arial" w:hAnsi="Arial" w:cs="Arial"/>
          <w:b/>
          <w:sz w:val="28"/>
          <w:szCs w:val="28"/>
        </w:rPr>
        <w:tab/>
      </w:r>
      <w:r w:rsidR="00E65824">
        <w:rPr>
          <w:rFonts w:ascii="Arial" w:hAnsi="Arial" w:cs="Arial"/>
          <w:b/>
          <w:sz w:val="28"/>
          <w:szCs w:val="28"/>
        </w:rPr>
        <w:t>Loss</w:t>
      </w:r>
      <w:r w:rsidR="00C23946">
        <w:rPr>
          <w:rFonts w:ascii="Arial" w:hAnsi="Arial" w:cs="Arial"/>
          <w:b/>
          <w:sz w:val="28"/>
          <w:szCs w:val="28"/>
        </w:rPr>
        <w:t xml:space="preserve"> per</w:t>
      </w:r>
      <w:r w:rsidRPr="002D1A2F">
        <w:rPr>
          <w:rFonts w:ascii="Arial" w:hAnsi="Arial" w:cs="Arial"/>
          <w:b/>
          <w:sz w:val="28"/>
          <w:szCs w:val="28"/>
        </w:rPr>
        <w:t xml:space="preserve"> Share and Net Asset Value per Share</w:t>
      </w:r>
    </w:p>
    <w:p w14:paraId="707C5E23" w14:textId="77777777" w:rsidR="00E41A2E" w:rsidRPr="002D1A2F" w:rsidRDefault="00E41A2E">
      <w:pPr>
        <w:rPr>
          <w:rFonts w:ascii="Arial" w:hAnsi="Arial" w:cs="Arial"/>
        </w:rPr>
      </w:pPr>
    </w:p>
    <w:p w14:paraId="6E346A29" w14:textId="723CF96D" w:rsidR="00E41A2E" w:rsidRPr="002D1A2F" w:rsidRDefault="00E65824">
      <w:pPr>
        <w:tabs>
          <w:tab w:val="left" w:pos="6903"/>
        </w:tabs>
        <w:ind w:left="567"/>
        <w:rPr>
          <w:rFonts w:ascii="Arial" w:hAnsi="Arial" w:cs="Arial"/>
        </w:rPr>
      </w:pPr>
      <w:r>
        <w:rPr>
          <w:rFonts w:ascii="Arial" w:hAnsi="Arial" w:cs="Arial"/>
          <w:sz w:val="26"/>
          <w:szCs w:val="26"/>
        </w:rPr>
        <w:t>Loss</w:t>
      </w:r>
      <w:r w:rsidR="00DD0E9B">
        <w:rPr>
          <w:rFonts w:ascii="Arial" w:hAnsi="Arial" w:cs="Arial"/>
          <w:sz w:val="26"/>
          <w:szCs w:val="26"/>
        </w:rPr>
        <w:t xml:space="preserve"> </w:t>
      </w:r>
      <w:r w:rsidR="00E41A2E" w:rsidRPr="002D1A2F">
        <w:rPr>
          <w:rFonts w:ascii="Arial" w:hAnsi="Arial" w:cs="Arial"/>
          <w:sz w:val="26"/>
          <w:szCs w:val="26"/>
        </w:rPr>
        <w:t>per Share</w:t>
      </w:r>
    </w:p>
    <w:tbl>
      <w:tblPr>
        <w:tblStyle w:val="TableGrid3"/>
        <w:tblW w:w="4710" w:type="pct"/>
        <w:tblInd w:w="567" w:type="dxa"/>
        <w:tblLook w:val="04A0" w:firstRow="1" w:lastRow="0" w:firstColumn="1" w:lastColumn="0" w:noHBand="0" w:noVBand="1"/>
      </w:tblPr>
      <w:tblGrid>
        <w:gridCol w:w="3497"/>
        <w:gridCol w:w="1506"/>
        <w:gridCol w:w="1504"/>
        <w:gridCol w:w="1354"/>
        <w:gridCol w:w="1353"/>
      </w:tblGrid>
      <w:tr w:rsidR="00E41A2E" w:rsidRPr="00BC678F" w14:paraId="2D06C87D" w14:textId="77777777" w:rsidTr="0048637A">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1898" w:type="pct"/>
            <w:tcMar>
              <w:top w:w="57" w:type="dxa"/>
              <w:bottom w:w="57" w:type="dxa"/>
            </w:tcMar>
            <w:vAlign w:val="bottom"/>
          </w:tcPr>
          <w:p w14:paraId="6BD99410" w14:textId="77777777" w:rsidR="00E41A2E" w:rsidRPr="002D1A2F" w:rsidRDefault="00E41A2E">
            <w:pPr>
              <w:rPr>
                <w:rFonts w:ascii="Arial" w:hAnsi="Arial" w:cs="Arial"/>
                <w:b/>
                <w:sz w:val="20"/>
                <w:szCs w:val="20"/>
              </w:rPr>
            </w:pPr>
          </w:p>
        </w:tc>
        <w:tc>
          <w:tcPr>
            <w:tcW w:w="1633" w:type="pct"/>
            <w:gridSpan w:val="2"/>
            <w:tcMar>
              <w:top w:w="57" w:type="dxa"/>
              <w:bottom w:w="57" w:type="dxa"/>
            </w:tcMar>
            <w:vAlign w:val="bottom"/>
          </w:tcPr>
          <w:p w14:paraId="15121CAE" w14:textId="5937A0A5" w:rsidR="00E41A2E" w:rsidRPr="002D1A2F" w:rsidRDefault="003C423C">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 January 2020</w:t>
            </w:r>
            <w:r w:rsidR="00E41A2E" w:rsidRPr="002D1A2F">
              <w:rPr>
                <w:rFonts w:ascii="Arial" w:hAnsi="Arial" w:cs="Arial"/>
                <w:b/>
                <w:sz w:val="20"/>
                <w:szCs w:val="20"/>
              </w:rPr>
              <w:t xml:space="preserve"> to</w:t>
            </w:r>
          </w:p>
          <w:p w14:paraId="72E30438" w14:textId="7F7C1BA7" w:rsidR="00E41A2E" w:rsidRPr="002D1A2F" w:rsidRDefault="003C423C" w:rsidP="00780C20">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30 June 2020</w:t>
            </w:r>
          </w:p>
        </w:tc>
        <w:tc>
          <w:tcPr>
            <w:tcW w:w="1470" w:type="pct"/>
            <w:gridSpan w:val="2"/>
            <w:tcMar>
              <w:top w:w="57" w:type="dxa"/>
              <w:bottom w:w="57" w:type="dxa"/>
            </w:tcMar>
            <w:vAlign w:val="bottom"/>
          </w:tcPr>
          <w:p w14:paraId="0A25BD5A" w14:textId="3FC15DA3" w:rsidR="00E41A2E" w:rsidRPr="002D1A2F" w:rsidRDefault="00E41A2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1 January 201</w:t>
            </w:r>
            <w:r w:rsidR="003C423C">
              <w:rPr>
                <w:rFonts w:ascii="Arial" w:hAnsi="Arial" w:cs="Arial"/>
                <w:sz w:val="20"/>
                <w:szCs w:val="20"/>
              </w:rPr>
              <w:t>9</w:t>
            </w:r>
            <w:r w:rsidRPr="002D1A2F">
              <w:rPr>
                <w:rFonts w:ascii="Arial" w:hAnsi="Arial" w:cs="Arial"/>
                <w:sz w:val="20"/>
                <w:szCs w:val="20"/>
              </w:rPr>
              <w:t xml:space="preserve"> to</w:t>
            </w:r>
          </w:p>
          <w:p w14:paraId="64DDD379" w14:textId="2C24B5D6" w:rsidR="00E41A2E" w:rsidRPr="002D1A2F" w:rsidRDefault="00E41A2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30 June 201</w:t>
            </w:r>
            <w:r w:rsidR="003C423C">
              <w:rPr>
                <w:rFonts w:ascii="Arial" w:hAnsi="Arial" w:cs="Arial"/>
                <w:sz w:val="20"/>
                <w:szCs w:val="20"/>
              </w:rPr>
              <w:t>9</w:t>
            </w:r>
          </w:p>
        </w:tc>
      </w:tr>
      <w:tr w:rsidR="00E41A2E" w:rsidRPr="00BC678F" w14:paraId="6F803BEF" w14:textId="77777777" w:rsidTr="0048637A">
        <w:tc>
          <w:tcPr>
            <w:cnfStyle w:val="001000000000" w:firstRow="0" w:lastRow="0" w:firstColumn="1" w:lastColumn="0" w:oddVBand="0" w:evenVBand="0" w:oddHBand="0" w:evenHBand="0" w:firstRowFirstColumn="0" w:firstRowLastColumn="0" w:lastRowFirstColumn="0" w:lastRowLastColumn="0"/>
            <w:tcW w:w="1898" w:type="pct"/>
            <w:tcBorders>
              <w:bottom w:val="single" w:sz="4" w:space="0" w:color="auto"/>
            </w:tcBorders>
            <w:tcMar>
              <w:top w:w="57" w:type="dxa"/>
              <w:bottom w:w="57" w:type="dxa"/>
            </w:tcMar>
            <w:vAlign w:val="bottom"/>
          </w:tcPr>
          <w:p w14:paraId="78461CBA" w14:textId="77777777" w:rsidR="00E41A2E" w:rsidRPr="00DC2064" w:rsidRDefault="00E41A2E">
            <w:pPr>
              <w:rPr>
                <w:rFonts w:ascii="Arial" w:hAnsi="Arial" w:cs="Arial"/>
                <w:sz w:val="20"/>
                <w:szCs w:val="20"/>
              </w:rPr>
            </w:pPr>
          </w:p>
        </w:tc>
        <w:tc>
          <w:tcPr>
            <w:tcW w:w="817" w:type="pct"/>
            <w:tcBorders>
              <w:bottom w:val="single" w:sz="4" w:space="0" w:color="auto"/>
            </w:tcBorders>
            <w:tcMar>
              <w:top w:w="57" w:type="dxa"/>
              <w:bottom w:w="57" w:type="dxa"/>
            </w:tcMar>
            <w:vAlign w:val="bottom"/>
          </w:tcPr>
          <w:p w14:paraId="34C90A0D" w14:textId="77777777" w:rsidR="00E41A2E" w:rsidRPr="002D1A2F" w:rsidRDefault="00E41A2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Basic</w:t>
            </w:r>
          </w:p>
        </w:tc>
        <w:tc>
          <w:tcPr>
            <w:tcW w:w="816" w:type="pct"/>
            <w:tcBorders>
              <w:bottom w:val="single" w:sz="4" w:space="0" w:color="auto"/>
            </w:tcBorders>
            <w:tcMar>
              <w:top w:w="57" w:type="dxa"/>
              <w:bottom w:w="57" w:type="dxa"/>
            </w:tcMar>
            <w:vAlign w:val="bottom"/>
          </w:tcPr>
          <w:p w14:paraId="1F935F94" w14:textId="77777777" w:rsidR="00E41A2E" w:rsidRPr="002D1A2F" w:rsidRDefault="00E41A2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Diluted</w:t>
            </w:r>
          </w:p>
        </w:tc>
        <w:tc>
          <w:tcPr>
            <w:tcW w:w="735" w:type="pct"/>
            <w:tcBorders>
              <w:bottom w:val="single" w:sz="4" w:space="0" w:color="auto"/>
            </w:tcBorders>
            <w:tcMar>
              <w:top w:w="57" w:type="dxa"/>
              <w:bottom w:w="57" w:type="dxa"/>
            </w:tcMar>
            <w:vAlign w:val="bottom"/>
          </w:tcPr>
          <w:p w14:paraId="73C675D9" w14:textId="77777777" w:rsidR="00E41A2E" w:rsidRPr="002D1A2F" w:rsidRDefault="00E41A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Basic</w:t>
            </w:r>
          </w:p>
        </w:tc>
        <w:tc>
          <w:tcPr>
            <w:tcW w:w="735" w:type="pct"/>
            <w:tcBorders>
              <w:bottom w:val="single" w:sz="4" w:space="0" w:color="auto"/>
            </w:tcBorders>
            <w:tcMar>
              <w:top w:w="57" w:type="dxa"/>
              <w:bottom w:w="57" w:type="dxa"/>
            </w:tcMar>
            <w:vAlign w:val="bottom"/>
          </w:tcPr>
          <w:p w14:paraId="1FA3F1CE" w14:textId="77777777" w:rsidR="00E41A2E" w:rsidRPr="002D1A2F" w:rsidRDefault="00E41A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Diluted</w:t>
            </w:r>
          </w:p>
        </w:tc>
      </w:tr>
      <w:tr w:rsidR="00934B3C" w:rsidRPr="00BC678F" w14:paraId="564DD20F" w14:textId="77777777" w:rsidTr="0048637A">
        <w:tc>
          <w:tcPr>
            <w:cnfStyle w:val="001000000000" w:firstRow="0" w:lastRow="0" w:firstColumn="1" w:lastColumn="0" w:oddVBand="0" w:evenVBand="0" w:oddHBand="0" w:evenHBand="0" w:firstRowFirstColumn="0" w:firstRowLastColumn="0" w:lastRowFirstColumn="0" w:lastRowLastColumn="0"/>
            <w:tcW w:w="1898" w:type="pct"/>
            <w:tcBorders>
              <w:top w:val="single" w:sz="4" w:space="0" w:color="auto"/>
            </w:tcBorders>
            <w:tcMar>
              <w:top w:w="57" w:type="dxa"/>
              <w:bottom w:w="57" w:type="dxa"/>
            </w:tcMar>
            <w:vAlign w:val="bottom"/>
          </w:tcPr>
          <w:p w14:paraId="25882055" w14:textId="5FAA318A" w:rsidR="00934B3C" w:rsidRPr="002D1A2F" w:rsidRDefault="00934B3C" w:rsidP="00F47977">
            <w:pPr>
              <w:rPr>
                <w:rFonts w:ascii="Arial" w:hAnsi="Arial" w:cs="Arial"/>
                <w:sz w:val="20"/>
                <w:szCs w:val="20"/>
              </w:rPr>
            </w:pPr>
            <w:r>
              <w:rPr>
                <w:rFonts w:ascii="Arial" w:hAnsi="Arial" w:cs="Arial"/>
                <w:sz w:val="20"/>
                <w:szCs w:val="20"/>
              </w:rPr>
              <w:lastRenderedPageBreak/>
              <w:t>Loss</w:t>
            </w:r>
            <w:r w:rsidRPr="00DC2064">
              <w:rPr>
                <w:rFonts w:ascii="Arial" w:hAnsi="Arial" w:cs="Arial"/>
                <w:sz w:val="20"/>
                <w:szCs w:val="20"/>
              </w:rPr>
              <w:t xml:space="preserve"> for the period ($’000)</w:t>
            </w:r>
          </w:p>
        </w:tc>
        <w:tc>
          <w:tcPr>
            <w:tcW w:w="817" w:type="pct"/>
            <w:tcBorders>
              <w:top w:val="single" w:sz="4" w:space="0" w:color="auto"/>
            </w:tcBorders>
            <w:tcMar>
              <w:top w:w="57" w:type="dxa"/>
              <w:bottom w:w="57" w:type="dxa"/>
            </w:tcMar>
            <w:vAlign w:val="bottom"/>
          </w:tcPr>
          <w:p w14:paraId="724D34EB" w14:textId="549EDD5D" w:rsidR="00934B3C" w:rsidRPr="002D1A2F" w:rsidRDefault="003424A7" w:rsidP="00BE04E5">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(355,</w:t>
            </w:r>
            <w:r w:rsidR="00BE04E5">
              <w:rPr>
                <w:rFonts w:ascii="Arial" w:hAnsi="Arial" w:cs="Arial"/>
                <w:b/>
                <w:sz w:val="20"/>
                <w:szCs w:val="20"/>
              </w:rPr>
              <w:t>180</w:t>
            </w:r>
            <w:r>
              <w:rPr>
                <w:rFonts w:ascii="Arial" w:hAnsi="Arial" w:cs="Arial"/>
                <w:b/>
                <w:sz w:val="20"/>
                <w:szCs w:val="20"/>
              </w:rPr>
              <w:t>)</w:t>
            </w:r>
          </w:p>
        </w:tc>
        <w:tc>
          <w:tcPr>
            <w:tcW w:w="816" w:type="pct"/>
            <w:tcBorders>
              <w:top w:val="single" w:sz="4" w:space="0" w:color="auto"/>
            </w:tcBorders>
            <w:tcMar>
              <w:top w:w="57" w:type="dxa"/>
              <w:bottom w:w="57" w:type="dxa"/>
            </w:tcMar>
            <w:vAlign w:val="bottom"/>
          </w:tcPr>
          <w:p w14:paraId="16F4059F" w14:textId="6D9F0AFB" w:rsidR="00934B3C" w:rsidRPr="002D1A2F" w:rsidRDefault="003424A7" w:rsidP="00BE04E5">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(355,</w:t>
            </w:r>
            <w:r w:rsidR="00BE04E5">
              <w:rPr>
                <w:rFonts w:ascii="Arial" w:hAnsi="Arial" w:cs="Arial"/>
                <w:b/>
                <w:sz w:val="20"/>
                <w:szCs w:val="20"/>
              </w:rPr>
              <w:t>180</w:t>
            </w:r>
            <w:r>
              <w:rPr>
                <w:rFonts w:ascii="Arial" w:hAnsi="Arial" w:cs="Arial"/>
                <w:b/>
                <w:sz w:val="20"/>
                <w:szCs w:val="20"/>
              </w:rPr>
              <w:t>)</w:t>
            </w:r>
          </w:p>
        </w:tc>
        <w:tc>
          <w:tcPr>
            <w:tcW w:w="735" w:type="pct"/>
            <w:tcBorders>
              <w:top w:val="single" w:sz="4" w:space="0" w:color="auto"/>
            </w:tcBorders>
            <w:tcMar>
              <w:top w:w="57" w:type="dxa"/>
              <w:bottom w:w="57" w:type="dxa"/>
            </w:tcMar>
            <w:vAlign w:val="bottom"/>
          </w:tcPr>
          <w:p w14:paraId="2A886DF8" w14:textId="79AC0D78" w:rsidR="00934B3C" w:rsidRPr="00934B3C" w:rsidRDefault="003C423C" w:rsidP="00934B3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C423C">
              <w:rPr>
                <w:rFonts w:ascii="Arial" w:hAnsi="Arial" w:cs="Arial"/>
                <w:sz w:val="20"/>
                <w:szCs w:val="20"/>
              </w:rPr>
              <w:t>(373,124)</w:t>
            </w:r>
          </w:p>
        </w:tc>
        <w:tc>
          <w:tcPr>
            <w:tcW w:w="735" w:type="pct"/>
            <w:tcBorders>
              <w:top w:val="single" w:sz="4" w:space="0" w:color="auto"/>
            </w:tcBorders>
            <w:tcMar>
              <w:top w:w="57" w:type="dxa"/>
              <w:bottom w:w="57" w:type="dxa"/>
            </w:tcMar>
            <w:vAlign w:val="bottom"/>
          </w:tcPr>
          <w:p w14:paraId="4EEF8854" w14:textId="748684FB" w:rsidR="00934B3C" w:rsidRPr="00934B3C" w:rsidRDefault="003C423C" w:rsidP="00934B3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C423C">
              <w:rPr>
                <w:rFonts w:ascii="Arial" w:hAnsi="Arial" w:cs="Arial"/>
                <w:sz w:val="20"/>
                <w:szCs w:val="20"/>
              </w:rPr>
              <w:t>(373,124)</w:t>
            </w:r>
          </w:p>
        </w:tc>
      </w:tr>
      <w:tr w:rsidR="00934B3C" w:rsidRPr="00BC678F" w14:paraId="202008AB" w14:textId="77777777" w:rsidTr="0048637A">
        <w:tc>
          <w:tcPr>
            <w:cnfStyle w:val="001000000000" w:firstRow="0" w:lastRow="0" w:firstColumn="1" w:lastColumn="0" w:oddVBand="0" w:evenVBand="0" w:oddHBand="0" w:evenHBand="0" w:firstRowFirstColumn="0" w:firstRowLastColumn="0" w:lastRowFirstColumn="0" w:lastRowLastColumn="0"/>
            <w:tcW w:w="1898" w:type="pct"/>
            <w:tcMar>
              <w:top w:w="57" w:type="dxa"/>
              <w:bottom w:w="57" w:type="dxa"/>
            </w:tcMar>
            <w:vAlign w:val="bottom"/>
          </w:tcPr>
          <w:p w14:paraId="02807799" w14:textId="77777777" w:rsidR="00934B3C" w:rsidRPr="002D1A2F" w:rsidRDefault="00934B3C" w:rsidP="00934B3C">
            <w:pPr>
              <w:rPr>
                <w:rFonts w:ascii="Arial" w:hAnsi="Arial" w:cs="Arial"/>
                <w:sz w:val="20"/>
                <w:szCs w:val="20"/>
              </w:rPr>
            </w:pPr>
            <w:r w:rsidRPr="00DC2064">
              <w:rPr>
                <w:rFonts w:ascii="Arial" w:hAnsi="Arial" w:cs="Arial"/>
                <w:sz w:val="20"/>
                <w:szCs w:val="20"/>
              </w:rPr>
              <w:t xml:space="preserve">Weighted average numbers of Shares in </w:t>
            </w:r>
            <w:r w:rsidRPr="002D1A2F">
              <w:rPr>
                <w:rFonts w:ascii="Arial" w:hAnsi="Arial" w:cs="Arial"/>
                <w:sz w:val="20"/>
                <w:szCs w:val="20"/>
              </w:rPr>
              <w:t>issue</w:t>
            </w:r>
          </w:p>
        </w:tc>
        <w:tc>
          <w:tcPr>
            <w:tcW w:w="817" w:type="pct"/>
            <w:tcMar>
              <w:top w:w="57" w:type="dxa"/>
              <w:bottom w:w="57" w:type="dxa"/>
            </w:tcMar>
            <w:vAlign w:val="bottom"/>
          </w:tcPr>
          <w:p w14:paraId="1578DC83" w14:textId="35F3F199" w:rsidR="00934B3C" w:rsidRPr="002D1A2F" w:rsidRDefault="003424A7" w:rsidP="00934B3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77,619,083</w:t>
            </w:r>
          </w:p>
        </w:tc>
        <w:tc>
          <w:tcPr>
            <w:tcW w:w="816" w:type="pct"/>
            <w:tcMar>
              <w:top w:w="57" w:type="dxa"/>
              <w:bottom w:w="57" w:type="dxa"/>
            </w:tcMar>
            <w:vAlign w:val="bottom"/>
          </w:tcPr>
          <w:p w14:paraId="58B03C59" w14:textId="6A883819" w:rsidR="00934B3C" w:rsidRPr="002D1A2F" w:rsidRDefault="003424A7" w:rsidP="00934B3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77,619,083</w:t>
            </w:r>
          </w:p>
        </w:tc>
        <w:tc>
          <w:tcPr>
            <w:tcW w:w="735" w:type="pct"/>
            <w:tcMar>
              <w:top w:w="57" w:type="dxa"/>
              <w:bottom w:w="57" w:type="dxa"/>
            </w:tcMar>
            <w:vAlign w:val="bottom"/>
          </w:tcPr>
          <w:p w14:paraId="7C07F9FF" w14:textId="1E0F245E" w:rsidR="00934B3C" w:rsidRPr="00934B3C" w:rsidRDefault="003C423C" w:rsidP="00934B3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C423C">
              <w:rPr>
                <w:rFonts w:ascii="Arial" w:hAnsi="Arial" w:cs="Arial"/>
                <w:sz w:val="20"/>
                <w:szCs w:val="20"/>
              </w:rPr>
              <w:t>79,896,731</w:t>
            </w:r>
          </w:p>
        </w:tc>
        <w:tc>
          <w:tcPr>
            <w:tcW w:w="735" w:type="pct"/>
            <w:tcMar>
              <w:top w:w="57" w:type="dxa"/>
              <w:bottom w:w="57" w:type="dxa"/>
            </w:tcMar>
            <w:vAlign w:val="bottom"/>
          </w:tcPr>
          <w:p w14:paraId="590E9968" w14:textId="5E309A5C" w:rsidR="00934B3C" w:rsidRPr="00934B3C" w:rsidRDefault="003C423C" w:rsidP="00934B3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C423C">
              <w:rPr>
                <w:rFonts w:ascii="Arial" w:hAnsi="Arial" w:cs="Arial"/>
                <w:sz w:val="20"/>
                <w:szCs w:val="20"/>
              </w:rPr>
              <w:t>79,896,731</w:t>
            </w:r>
          </w:p>
        </w:tc>
      </w:tr>
      <w:tr w:rsidR="00934B3C" w:rsidRPr="00BC678F" w14:paraId="6722AC7C" w14:textId="77777777" w:rsidTr="0048637A">
        <w:tc>
          <w:tcPr>
            <w:cnfStyle w:val="001000000000" w:firstRow="0" w:lastRow="0" w:firstColumn="1" w:lastColumn="0" w:oddVBand="0" w:evenVBand="0" w:oddHBand="0" w:evenHBand="0" w:firstRowFirstColumn="0" w:firstRowLastColumn="0" w:lastRowFirstColumn="0" w:lastRowLastColumn="0"/>
            <w:tcW w:w="1898" w:type="pct"/>
            <w:tcBorders>
              <w:bottom w:val="single" w:sz="18" w:space="0" w:color="auto"/>
            </w:tcBorders>
            <w:tcMar>
              <w:top w:w="57" w:type="dxa"/>
              <w:bottom w:w="57" w:type="dxa"/>
            </w:tcMar>
            <w:vAlign w:val="bottom"/>
          </w:tcPr>
          <w:p w14:paraId="07F95274" w14:textId="4442CE97" w:rsidR="00934B3C" w:rsidRPr="002D1A2F" w:rsidRDefault="00E65824" w:rsidP="00F47977">
            <w:pPr>
              <w:rPr>
                <w:rFonts w:ascii="Arial" w:hAnsi="Arial" w:cs="Arial"/>
                <w:sz w:val="20"/>
                <w:szCs w:val="20"/>
              </w:rPr>
            </w:pPr>
            <w:r>
              <w:rPr>
                <w:rFonts w:ascii="Arial" w:hAnsi="Arial" w:cs="Arial"/>
                <w:sz w:val="20"/>
                <w:szCs w:val="20"/>
              </w:rPr>
              <w:t xml:space="preserve">Loss </w:t>
            </w:r>
            <w:r w:rsidR="006C1562">
              <w:rPr>
                <w:rFonts w:ascii="Arial" w:hAnsi="Arial" w:cs="Arial"/>
                <w:sz w:val="20"/>
                <w:szCs w:val="20"/>
              </w:rPr>
              <w:t>P</w:t>
            </w:r>
            <w:r>
              <w:rPr>
                <w:rFonts w:ascii="Arial" w:hAnsi="Arial" w:cs="Arial"/>
                <w:sz w:val="20"/>
                <w:szCs w:val="20"/>
              </w:rPr>
              <w:t xml:space="preserve">er </w:t>
            </w:r>
            <w:r w:rsidR="006C1562">
              <w:rPr>
                <w:rFonts w:ascii="Arial" w:hAnsi="Arial" w:cs="Arial"/>
                <w:sz w:val="20"/>
                <w:szCs w:val="20"/>
              </w:rPr>
              <w:t>S</w:t>
            </w:r>
            <w:r>
              <w:rPr>
                <w:rFonts w:ascii="Arial" w:hAnsi="Arial" w:cs="Arial"/>
                <w:sz w:val="20"/>
                <w:szCs w:val="20"/>
              </w:rPr>
              <w:t>hare</w:t>
            </w:r>
            <w:r w:rsidR="00934B3C" w:rsidRPr="00DC2064">
              <w:rPr>
                <w:rFonts w:ascii="Arial" w:hAnsi="Arial" w:cs="Arial"/>
                <w:sz w:val="20"/>
                <w:szCs w:val="20"/>
              </w:rPr>
              <w:t xml:space="preserve"> (cents)</w:t>
            </w:r>
          </w:p>
        </w:tc>
        <w:tc>
          <w:tcPr>
            <w:tcW w:w="817" w:type="pct"/>
            <w:tcBorders>
              <w:bottom w:val="single" w:sz="18" w:space="0" w:color="auto"/>
            </w:tcBorders>
            <w:tcMar>
              <w:top w:w="57" w:type="dxa"/>
              <w:bottom w:w="57" w:type="dxa"/>
            </w:tcMar>
            <w:vAlign w:val="bottom"/>
          </w:tcPr>
          <w:p w14:paraId="02DCE6D0" w14:textId="6DCC1BA6" w:rsidR="00934B3C" w:rsidRPr="002D1A2F" w:rsidRDefault="003424A7" w:rsidP="00BE04E5">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(45</w:t>
            </w:r>
            <w:r w:rsidR="00BE04E5">
              <w:rPr>
                <w:rFonts w:ascii="Arial" w:hAnsi="Arial" w:cs="Arial"/>
                <w:b/>
                <w:sz w:val="20"/>
                <w:szCs w:val="20"/>
              </w:rPr>
              <w:t>7</w:t>
            </w:r>
            <w:r>
              <w:rPr>
                <w:rFonts w:ascii="Arial" w:hAnsi="Arial" w:cs="Arial"/>
                <w:b/>
                <w:sz w:val="20"/>
                <w:szCs w:val="20"/>
              </w:rPr>
              <w:t>.</w:t>
            </w:r>
            <w:r w:rsidR="00BE04E5">
              <w:rPr>
                <w:rFonts w:ascii="Arial" w:hAnsi="Arial" w:cs="Arial"/>
                <w:b/>
                <w:sz w:val="20"/>
                <w:szCs w:val="20"/>
              </w:rPr>
              <w:t>59</w:t>
            </w:r>
            <w:r>
              <w:rPr>
                <w:rFonts w:ascii="Arial" w:hAnsi="Arial" w:cs="Arial"/>
                <w:b/>
                <w:sz w:val="20"/>
                <w:szCs w:val="20"/>
              </w:rPr>
              <w:t>)</w:t>
            </w:r>
          </w:p>
        </w:tc>
        <w:tc>
          <w:tcPr>
            <w:tcW w:w="816" w:type="pct"/>
            <w:tcBorders>
              <w:bottom w:val="single" w:sz="18" w:space="0" w:color="auto"/>
            </w:tcBorders>
            <w:tcMar>
              <w:top w:w="57" w:type="dxa"/>
              <w:bottom w:w="57" w:type="dxa"/>
            </w:tcMar>
            <w:vAlign w:val="bottom"/>
          </w:tcPr>
          <w:p w14:paraId="6F8F75A7" w14:textId="4A4DA40B" w:rsidR="00934B3C" w:rsidRPr="002D1A2F" w:rsidRDefault="003424A7" w:rsidP="00934B3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w:t>
            </w:r>
            <w:r w:rsidR="00BE04E5">
              <w:rPr>
                <w:rFonts w:ascii="Arial" w:hAnsi="Arial" w:cs="Arial"/>
                <w:b/>
                <w:sz w:val="20"/>
                <w:szCs w:val="20"/>
              </w:rPr>
              <w:t>457.59</w:t>
            </w:r>
            <w:r>
              <w:rPr>
                <w:rFonts w:ascii="Arial" w:hAnsi="Arial" w:cs="Arial"/>
                <w:b/>
                <w:sz w:val="20"/>
                <w:szCs w:val="20"/>
              </w:rPr>
              <w:t>)</w:t>
            </w:r>
          </w:p>
        </w:tc>
        <w:tc>
          <w:tcPr>
            <w:tcW w:w="735" w:type="pct"/>
            <w:tcBorders>
              <w:bottom w:val="single" w:sz="18" w:space="0" w:color="auto"/>
            </w:tcBorders>
            <w:tcMar>
              <w:top w:w="57" w:type="dxa"/>
              <w:bottom w:w="57" w:type="dxa"/>
            </w:tcMar>
            <w:vAlign w:val="bottom"/>
          </w:tcPr>
          <w:p w14:paraId="6DA17B6F" w14:textId="046FE3A0" w:rsidR="00934B3C" w:rsidRPr="00934B3C" w:rsidRDefault="003C423C" w:rsidP="00934B3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C423C">
              <w:rPr>
                <w:rFonts w:ascii="Arial" w:hAnsi="Arial" w:cs="Arial"/>
                <w:sz w:val="20"/>
                <w:szCs w:val="20"/>
              </w:rPr>
              <w:t>(467.01)</w:t>
            </w:r>
          </w:p>
        </w:tc>
        <w:tc>
          <w:tcPr>
            <w:tcW w:w="735" w:type="pct"/>
            <w:tcBorders>
              <w:bottom w:val="single" w:sz="18" w:space="0" w:color="auto"/>
            </w:tcBorders>
            <w:tcMar>
              <w:top w:w="57" w:type="dxa"/>
              <w:bottom w:w="57" w:type="dxa"/>
            </w:tcMar>
            <w:vAlign w:val="bottom"/>
          </w:tcPr>
          <w:p w14:paraId="67093427" w14:textId="6ADB5CCA" w:rsidR="00934B3C" w:rsidRPr="00934B3C" w:rsidRDefault="003C423C" w:rsidP="00934B3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C423C">
              <w:rPr>
                <w:rFonts w:ascii="Arial" w:hAnsi="Arial" w:cs="Arial"/>
                <w:sz w:val="20"/>
                <w:szCs w:val="20"/>
              </w:rPr>
              <w:t>(467.01)</w:t>
            </w:r>
          </w:p>
        </w:tc>
      </w:tr>
    </w:tbl>
    <w:p w14:paraId="383FF59A" w14:textId="77777777" w:rsidR="00E41A2E" w:rsidRPr="00DC2064" w:rsidRDefault="00E41A2E">
      <w:pPr>
        <w:tabs>
          <w:tab w:val="left" w:pos="6903"/>
        </w:tabs>
        <w:ind w:left="567"/>
        <w:rPr>
          <w:rFonts w:ascii="Arial" w:hAnsi="Arial" w:cs="Arial"/>
          <w:sz w:val="20"/>
          <w:szCs w:val="20"/>
        </w:rPr>
      </w:pPr>
    </w:p>
    <w:p w14:paraId="08BDE5A6" w14:textId="28EDFA24" w:rsidR="00E41A2E" w:rsidRPr="002D1A2F" w:rsidRDefault="00E41A2E">
      <w:pPr>
        <w:tabs>
          <w:tab w:val="left" w:pos="6903"/>
        </w:tabs>
        <w:ind w:left="567"/>
        <w:rPr>
          <w:rFonts w:ascii="Arial" w:hAnsi="Arial" w:cs="Arial"/>
          <w:sz w:val="20"/>
          <w:szCs w:val="20"/>
        </w:rPr>
      </w:pPr>
      <w:r w:rsidRPr="002D1A2F">
        <w:rPr>
          <w:rFonts w:ascii="Arial" w:hAnsi="Arial" w:cs="Arial"/>
          <w:sz w:val="20"/>
          <w:szCs w:val="20"/>
        </w:rPr>
        <w:t xml:space="preserve">The </w:t>
      </w:r>
      <w:r w:rsidR="00E65824">
        <w:rPr>
          <w:rFonts w:ascii="Arial" w:hAnsi="Arial" w:cs="Arial"/>
          <w:sz w:val="20"/>
          <w:szCs w:val="20"/>
        </w:rPr>
        <w:t>Loss</w:t>
      </w:r>
      <w:r w:rsidR="00A729E8">
        <w:rPr>
          <w:rFonts w:ascii="Arial" w:hAnsi="Arial" w:cs="Arial"/>
          <w:sz w:val="20"/>
          <w:szCs w:val="20"/>
        </w:rPr>
        <w:t xml:space="preserve"> </w:t>
      </w:r>
      <w:r w:rsidRPr="002D1A2F">
        <w:rPr>
          <w:rFonts w:ascii="Arial" w:hAnsi="Arial" w:cs="Arial"/>
          <w:sz w:val="20"/>
          <w:szCs w:val="20"/>
        </w:rPr>
        <w:t>per Share is based on the profit or loss of the Company for the period and on the weighted average number of Shares the Company had in issue for the period.</w:t>
      </w:r>
    </w:p>
    <w:p w14:paraId="781FB677" w14:textId="77777777" w:rsidR="00E41A2E" w:rsidRPr="002D1A2F" w:rsidRDefault="00E41A2E">
      <w:pPr>
        <w:tabs>
          <w:tab w:val="left" w:pos="6903"/>
        </w:tabs>
        <w:ind w:left="567"/>
        <w:rPr>
          <w:rFonts w:ascii="Arial" w:hAnsi="Arial" w:cs="Arial"/>
          <w:sz w:val="20"/>
          <w:szCs w:val="20"/>
        </w:rPr>
      </w:pPr>
    </w:p>
    <w:p w14:paraId="73A7F707" w14:textId="56419DD2" w:rsidR="00E41A2E" w:rsidRPr="002D1A2F" w:rsidRDefault="00E41A2E">
      <w:pPr>
        <w:tabs>
          <w:tab w:val="left" w:pos="6903"/>
        </w:tabs>
        <w:ind w:left="567"/>
        <w:rPr>
          <w:rFonts w:ascii="Arial" w:hAnsi="Arial" w:cs="Arial"/>
          <w:sz w:val="20"/>
          <w:szCs w:val="20"/>
        </w:rPr>
      </w:pPr>
      <w:r w:rsidRPr="002D1A2F">
        <w:rPr>
          <w:rFonts w:ascii="Arial" w:hAnsi="Arial" w:cs="Arial"/>
          <w:sz w:val="20"/>
          <w:szCs w:val="20"/>
        </w:rPr>
        <w:t xml:space="preserve">There are </w:t>
      </w:r>
      <w:r w:rsidR="004E2760">
        <w:rPr>
          <w:rFonts w:ascii="Arial" w:eastAsia="Calibri" w:hAnsi="Arial" w:cs="Arial"/>
          <w:sz w:val="20"/>
          <w:szCs w:val="20"/>
        </w:rPr>
        <w:t>no</w:t>
      </w:r>
      <w:r w:rsidRPr="002D1A2F">
        <w:rPr>
          <w:rFonts w:ascii="Arial" w:hAnsi="Arial" w:cs="Arial"/>
          <w:sz w:val="20"/>
          <w:szCs w:val="20"/>
        </w:rPr>
        <w:t xml:space="preserve"> dilutive S</w:t>
      </w:r>
      <w:r w:rsidR="00BC03D9">
        <w:rPr>
          <w:rFonts w:ascii="Arial" w:hAnsi="Arial" w:cs="Arial"/>
          <w:sz w:val="20"/>
          <w:szCs w:val="20"/>
        </w:rPr>
        <w:t>hares in issue as at 30 June 2020 (30 June 2019</w:t>
      </w:r>
      <w:r w:rsidRPr="002D1A2F">
        <w:rPr>
          <w:rFonts w:ascii="Arial" w:hAnsi="Arial" w:cs="Arial"/>
          <w:sz w:val="20"/>
          <w:szCs w:val="20"/>
        </w:rPr>
        <w:t>: none).</w:t>
      </w:r>
    </w:p>
    <w:p w14:paraId="1B735CBA" w14:textId="77777777" w:rsidR="00E41A2E" w:rsidRPr="002D1A2F" w:rsidRDefault="00E41A2E">
      <w:pPr>
        <w:tabs>
          <w:tab w:val="left" w:pos="6903"/>
        </w:tabs>
        <w:ind w:left="567"/>
        <w:rPr>
          <w:rFonts w:ascii="Arial" w:hAnsi="Arial" w:cs="Arial"/>
        </w:rPr>
      </w:pPr>
    </w:p>
    <w:p w14:paraId="33B90843" w14:textId="77777777" w:rsidR="00E41A2E" w:rsidRPr="002D1A2F" w:rsidRDefault="00E41A2E">
      <w:pPr>
        <w:ind w:left="1134" w:hanging="567"/>
        <w:outlineLvl w:val="2"/>
        <w:rPr>
          <w:rFonts w:ascii="Arial" w:hAnsi="Arial" w:cs="Arial"/>
          <w:sz w:val="26"/>
          <w:szCs w:val="26"/>
        </w:rPr>
      </w:pPr>
      <w:r w:rsidRPr="002D1A2F">
        <w:rPr>
          <w:rFonts w:ascii="Arial" w:hAnsi="Arial" w:cs="Arial"/>
          <w:sz w:val="26"/>
          <w:szCs w:val="26"/>
        </w:rPr>
        <w:t>Net Asset Value per Share</w:t>
      </w:r>
    </w:p>
    <w:tbl>
      <w:tblPr>
        <w:tblStyle w:val="TableGrid3"/>
        <w:tblW w:w="4710" w:type="pct"/>
        <w:tblInd w:w="567" w:type="dxa"/>
        <w:tblLook w:val="04A0" w:firstRow="1" w:lastRow="0" w:firstColumn="1" w:lastColumn="0" w:noHBand="0" w:noVBand="1"/>
      </w:tblPr>
      <w:tblGrid>
        <w:gridCol w:w="4109"/>
        <w:gridCol w:w="1659"/>
        <w:gridCol w:w="1810"/>
        <w:gridCol w:w="1636"/>
      </w:tblGrid>
      <w:tr w:rsidR="00E41A2E" w:rsidRPr="00BC678F" w14:paraId="4EAA1DFF" w14:textId="77777777" w:rsidTr="0048637A">
        <w:trPr>
          <w:cnfStyle w:val="100000000000" w:firstRow="1" w:lastRow="0" w:firstColumn="0" w:lastColumn="0" w:oddVBand="0" w:evenVBand="0" w:oddHBand="0"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2230" w:type="pct"/>
            <w:tcBorders>
              <w:bottom w:val="single" w:sz="4" w:space="0" w:color="auto"/>
            </w:tcBorders>
            <w:tcMar>
              <w:top w:w="57" w:type="dxa"/>
              <w:bottom w:w="57" w:type="dxa"/>
            </w:tcMar>
            <w:vAlign w:val="bottom"/>
          </w:tcPr>
          <w:p w14:paraId="5C7ED11F" w14:textId="77777777" w:rsidR="00E41A2E" w:rsidRPr="002D1A2F" w:rsidRDefault="00E41A2E">
            <w:pPr>
              <w:rPr>
                <w:rFonts w:ascii="Arial" w:hAnsi="Arial" w:cs="Arial"/>
                <w:sz w:val="20"/>
                <w:szCs w:val="20"/>
              </w:rPr>
            </w:pPr>
          </w:p>
        </w:tc>
        <w:tc>
          <w:tcPr>
            <w:tcW w:w="900" w:type="pct"/>
            <w:tcBorders>
              <w:bottom w:val="single" w:sz="4" w:space="0" w:color="auto"/>
            </w:tcBorders>
            <w:tcMar>
              <w:top w:w="57" w:type="dxa"/>
              <w:bottom w:w="57" w:type="dxa"/>
            </w:tcMar>
            <w:vAlign w:val="bottom"/>
          </w:tcPr>
          <w:p w14:paraId="082989DA"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2D1A2F">
              <w:rPr>
                <w:rFonts w:ascii="Arial" w:hAnsi="Arial" w:cs="Arial"/>
                <w:b/>
                <w:sz w:val="20"/>
                <w:szCs w:val="20"/>
              </w:rPr>
              <w:t>30 June</w:t>
            </w:r>
          </w:p>
          <w:p w14:paraId="3C9A1FC6" w14:textId="77A81211" w:rsidR="00E41A2E" w:rsidRPr="002D1A2F" w:rsidRDefault="00BC03D9" w:rsidP="00780C20">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2020</w:t>
            </w:r>
          </w:p>
        </w:tc>
        <w:tc>
          <w:tcPr>
            <w:tcW w:w="982" w:type="pct"/>
            <w:tcBorders>
              <w:bottom w:val="single" w:sz="4" w:space="0" w:color="auto"/>
            </w:tcBorders>
            <w:tcMar>
              <w:top w:w="57" w:type="dxa"/>
              <w:bottom w:w="57" w:type="dxa"/>
            </w:tcMar>
            <w:vAlign w:val="bottom"/>
          </w:tcPr>
          <w:p w14:paraId="7FC1D5E1"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31 December</w:t>
            </w:r>
          </w:p>
          <w:p w14:paraId="4A37089B" w14:textId="0B22875F" w:rsidR="00E41A2E" w:rsidRPr="002D1A2F" w:rsidRDefault="00E41A2E" w:rsidP="00780C2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201</w:t>
            </w:r>
            <w:r w:rsidR="00BC03D9">
              <w:rPr>
                <w:rFonts w:ascii="Arial" w:hAnsi="Arial" w:cs="Arial"/>
                <w:sz w:val="20"/>
                <w:szCs w:val="20"/>
              </w:rPr>
              <w:t>9</w:t>
            </w:r>
          </w:p>
        </w:tc>
        <w:tc>
          <w:tcPr>
            <w:tcW w:w="888" w:type="pct"/>
            <w:tcBorders>
              <w:bottom w:val="single" w:sz="4" w:space="0" w:color="auto"/>
            </w:tcBorders>
            <w:tcMar>
              <w:top w:w="57" w:type="dxa"/>
              <w:bottom w:w="57" w:type="dxa"/>
            </w:tcMar>
            <w:vAlign w:val="bottom"/>
          </w:tcPr>
          <w:p w14:paraId="3C52037E" w14:textId="77777777" w:rsidR="00E41A2E" w:rsidRPr="002D1A2F" w:rsidRDefault="00E41A2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30 June</w:t>
            </w:r>
          </w:p>
          <w:p w14:paraId="315CC2CE" w14:textId="5976C257" w:rsidR="00E41A2E" w:rsidRPr="002D1A2F" w:rsidRDefault="00E41A2E" w:rsidP="00780C2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A2F">
              <w:rPr>
                <w:rFonts w:ascii="Arial" w:hAnsi="Arial" w:cs="Arial"/>
                <w:sz w:val="20"/>
                <w:szCs w:val="20"/>
              </w:rPr>
              <w:t>201</w:t>
            </w:r>
            <w:r w:rsidR="00BC03D9">
              <w:rPr>
                <w:rFonts w:ascii="Arial" w:hAnsi="Arial" w:cs="Arial"/>
                <w:sz w:val="20"/>
                <w:szCs w:val="20"/>
              </w:rPr>
              <w:t>9</w:t>
            </w:r>
          </w:p>
        </w:tc>
      </w:tr>
      <w:tr w:rsidR="00934B3C" w:rsidRPr="00BC678F" w14:paraId="6CC032E0" w14:textId="77777777" w:rsidTr="0048637A">
        <w:tc>
          <w:tcPr>
            <w:cnfStyle w:val="001000000000" w:firstRow="0" w:lastRow="0" w:firstColumn="1" w:lastColumn="0" w:oddVBand="0" w:evenVBand="0" w:oddHBand="0" w:evenHBand="0" w:firstRowFirstColumn="0" w:firstRowLastColumn="0" w:lastRowFirstColumn="0" w:lastRowLastColumn="0"/>
            <w:tcW w:w="2230" w:type="pct"/>
            <w:tcBorders>
              <w:top w:val="single" w:sz="4" w:space="0" w:color="auto"/>
            </w:tcBorders>
            <w:tcMar>
              <w:top w:w="57" w:type="dxa"/>
              <w:bottom w:w="57" w:type="dxa"/>
            </w:tcMar>
            <w:vAlign w:val="bottom"/>
          </w:tcPr>
          <w:p w14:paraId="6F4D8C36" w14:textId="77777777" w:rsidR="00934B3C" w:rsidRPr="002D1A2F" w:rsidRDefault="00934B3C" w:rsidP="00934B3C">
            <w:pPr>
              <w:rPr>
                <w:rFonts w:ascii="Arial" w:hAnsi="Arial" w:cs="Arial"/>
                <w:sz w:val="20"/>
                <w:szCs w:val="20"/>
              </w:rPr>
            </w:pPr>
            <w:r w:rsidRPr="00DC2064">
              <w:rPr>
                <w:rFonts w:ascii="Arial" w:hAnsi="Arial" w:cs="Arial"/>
                <w:sz w:val="20"/>
                <w:szCs w:val="20"/>
              </w:rPr>
              <w:t>NAV ($’000)</w:t>
            </w:r>
          </w:p>
        </w:tc>
        <w:tc>
          <w:tcPr>
            <w:tcW w:w="900" w:type="pct"/>
            <w:tcBorders>
              <w:top w:val="single" w:sz="4" w:space="0" w:color="auto"/>
            </w:tcBorders>
            <w:tcMar>
              <w:top w:w="57" w:type="dxa"/>
              <w:bottom w:w="57" w:type="dxa"/>
            </w:tcMar>
            <w:vAlign w:val="bottom"/>
          </w:tcPr>
          <w:p w14:paraId="0D08E5E3" w14:textId="1F9B13D6" w:rsidR="00934B3C" w:rsidRPr="00E66D2E" w:rsidRDefault="00881C13" w:rsidP="00BE04E5">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378,</w:t>
            </w:r>
            <w:r w:rsidR="00BE04E5">
              <w:rPr>
                <w:rFonts w:ascii="Arial" w:hAnsi="Arial" w:cs="Arial"/>
                <w:b/>
                <w:sz w:val="20"/>
                <w:szCs w:val="20"/>
              </w:rPr>
              <w:t>771</w:t>
            </w:r>
          </w:p>
        </w:tc>
        <w:tc>
          <w:tcPr>
            <w:tcW w:w="982" w:type="pct"/>
            <w:tcBorders>
              <w:top w:val="single" w:sz="4" w:space="0" w:color="auto"/>
            </w:tcBorders>
            <w:tcMar>
              <w:top w:w="57" w:type="dxa"/>
              <w:bottom w:w="57" w:type="dxa"/>
            </w:tcMar>
            <w:vAlign w:val="bottom"/>
          </w:tcPr>
          <w:p w14:paraId="2967E918" w14:textId="00054C5C" w:rsidR="00934B3C" w:rsidRPr="002D1A2F" w:rsidRDefault="00BC03D9" w:rsidP="00934B3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rial" w:hAnsi="Arial" w:cs="Arial"/>
                <w:sz w:val="20"/>
                <w:szCs w:val="20"/>
              </w:rPr>
              <w:t>771,692</w:t>
            </w:r>
          </w:p>
        </w:tc>
        <w:tc>
          <w:tcPr>
            <w:tcW w:w="888" w:type="pct"/>
            <w:tcBorders>
              <w:top w:val="single" w:sz="4" w:space="0" w:color="auto"/>
            </w:tcBorders>
            <w:tcMar>
              <w:top w:w="57" w:type="dxa"/>
              <w:bottom w:w="57" w:type="dxa"/>
            </w:tcMar>
            <w:vAlign w:val="bottom"/>
          </w:tcPr>
          <w:p w14:paraId="1265F6F8" w14:textId="17805AD4" w:rsidR="00934B3C" w:rsidRPr="00934B3C" w:rsidRDefault="00934B3C" w:rsidP="00BC03D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4B3C">
              <w:rPr>
                <w:rFonts w:ascii="Arial" w:hAnsi="Arial" w:cs="Arial"/>
                <w:sz w:val="20"/>
                <w:szCs w:val="20"/>
              </w:rPr>
              <w:t>1,</w:t>
            </w:r>
            <w:r w:rsidR="00BC03D9">
              <w:rPr>
                <w:rFonts w:ascii="Arial" w:hAnsi="Arial" w:cs="Arial"/>
                <w:sz w:val="20"/>
                <w:szCs w:val="20"/>
              </w:rPr>
              <w:t>058,095</w:t>
            </w:r>
          </w:p>
        </w:tc>
      </w:tr>
      <w:tr w:rsidR="00934B3C" w:rsidRPr="00BC678F" w14:paraId="77F80205" w14:textId="77777777" w:rsidTr="0048637A">
        <w:tc>
          <w:tcPr>
            <w:cnfStyle w:val="001000000000" w:firstRow="0" w:lastRow="0" w:firstColumn="1" w:lastColumn="0" w:oddVBand="0" w:evenVBand="0" w:oddHBand="0" w:evenHBand="0" w:firstRowFirstColumn="0" w:firstRowLastColumn="0" w:lastRowFirstColumn="0" w:lastRowLastColumn="0"/>
            <w:tcW w:w="2230" w:type="pct"/>
            <w:tcMar>
              <w:top w:w="57" w:type="dxa"/>
              <w:bottom w:w="57" w:type="dxa"/>
            </w:tcMar>
            <w:vAlign w:val="bottom"/>
          </w:tcPr>
          <w:p w14:paraId="246CB0B7" w14:textId="77777777" w:rsidR="00934B3C" w:rsidRPr="002D1A2F" w:rsidRDefault="00934B3C" w:rsidP="00934B3C">
            <w:pPr>
              <w:rPr>
                <w:rFonts w:ascii="Arial" w:hAnsi="Arial" w:cs="Arial"/>
                <w:sz w:val="20"/>
                <w:szCs w:val="20"/>
              </w:rPr>
            </w:pPr>
            <w:r w:rsidRPr="00DC2064">
              <w:rPr>
                <w:rFonts w:ascii="Arial" w:hAnsi="Arial" w:cs="Arial"/>
                <w:sz w:val="20"/>
                <w:szCs w:val="20"/>
              </w:rPr>
              <w:t>Number of Shares in issue</w:t>
            </w:r>
          </w:p>
        </w:tc>
        <w:tc>
          <w:tcPr>
            <w:tcW w:w="900" w:type="pct"/>
            <w:tcMar>
              <w:top w:w="57" w:type="dxa"/>
              <w:bottom w:w="57" w:type="dxa"/>
            </w:tcMar>
            <w:vAlign w:val="bottom"/>
          </w:tcPr>
          <w:p w14:paraId="78C42130" w14:textId="6C2C5124" w:rsidR="00934B3C" w:rsidRPr="00E66D2E" w:rsidRDefault="00683A8A" w:rsidP="00934B3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683A8A">
              <w:rPr>
                <w:rFonts w:ascii="Arial" w:hAnsi="Arial" w:cs="Arial"/>
                <w:b/>
                <w:sz w:val="20"/>
                <w:szCs w:val="20"/>
              </w:rPr>
              <w:t>69,085,590</w:t>
            </w:r>
          </w:p>
        </w:tc>
        <w:tc>
          <w:tcPr>
            <w:tcW w:w="982" w:type="pct"/>
            <w:tcMar>
              <w:top w:w="57" w:type="dxa"/>
              <w:bottom w:w="57" w:type="dxa"/>
            </w:tcMar>
            <w:vAlign w:val="bottom"/>
          </w:tcPr>
          <w:p w14:paraId="173A1DEF" w14:textId="1B46E042" w:rsidR="00934B3C" w:rsidRPr="002D1A2F" w:rsidRDefault="00934B3C" w:rsidP="00934B3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rial" w:hAnsi="Arial" w:cs="Arial"/>
                <w:sz w:val="20"/>
                <w:szCs w:val="20"/>
              </w:rPr>
              <w:t>79,896,731</w:t>
            </w:r>
          </w:p>
        </w:tc>
        <w:tc>
          <w:tcPr>
            <w:tcW w:w="888" w:type="pct"/>
            <w:tcMar>
              <w:top w:w="57" w:type="dxa"/>
              <w:bottom w:w="57" w:type="dxa"/>
            </w:tcMar>
            <w:vAlign w:val="bottom"/>
          </w:tcPr>
          <w:p w14:paraId="2B9B1817" w14:textId="3D10EEA7" w:rsidR="00934B3C" w:rsidRPr="00934B3C" w:rsidRDefault="00BC03D9" w:rsidP="00934B3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79,896,731</w:t>
            </w:r>
          </w:p>
        </w:tc>
      </w:tr>
      <w:tr w:rsidR="00934B3C" w:rsidRPr="00BC678F" w14:paraId="6E77176C" w14:textId="77777777" w:rsidTr="0048637A">
        <w:tc>
          <w:tcPr>
            <w:cnfStyle w:val="001000000000" w:firstRow="0" w:lastRow="0" w:firstColumn="1" w:lastColumn="0" w:oddVBand="0" w:evenVBand="0" w:oddHBand="0" w:evenHBand="0" w:firstRowFirstColumn="0" w:firstRowLastColumn="0" w:lastRowFirstColumn="0" w:lastRowLastColumn="0"/>
            <w:tcW w:w="2230" w:type="pct"/>
            <w:tcMar>
              <w:top w:w="57" w:type="dxa"/>
              <w:bottom w:w="57" w:type="dxa"/>
            </w:tcMar>
            <w:vAlign w:val="bottom"/>
          </w:tcPr>
          <w:p w14:paraId="00726797" w14:textId="77777777" w:rsidR="00934B3C" w:rsidRPr="002D1A2F" w:rsidRDefault="00934B3C" w:rsidP="00934B3C">
            <w:pPr>
              <w:rPr>
                <w:rFonts w:ascii="Arial" w:hAnsi="Arial" w:cs="Arial"/>
                <w:b/>
                <w:sz w:val="20"/>
                <w:szCs w:val="20"/>
              </w:rPr>
            </w:pPr>
            <w:r w:rsidRPr="00DC2064">
              <w:rPr>
                <w:rFonts w:ascii="Arial" w:hAnsi="Arial" w:cs="Arial"/>
                <w:b/>
                <w:sz w:val="20"/>
                <w:szCs w:val="20"/>
              </w:rPr>
              <w:t>Net Asset Value per Share ($)</w:t>
            </w:r>
          </w:p>
        </w:tc>
        <w:tc>
          <w:tcPr>
            <w:tcW w:w="900" w:type="pct"/>
            <w:tcMar>
              <w:top w:w="57" w:type="dxa"/>
              <w:bottom w:w="57" w:type="dxa"/>
            </w:tcMar>
            <w:vAlign w:val="bottom"/>
          </w:tcPr>
          <w:p w14:paraId="3FFCC361" w14:textId="1B54CA6B" w:rsidR="00934B3C" w:rsidRPr="00E66D2E" w:rsidRDefault="00683A8A" w:rsidP="00934B3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683A8A">
              <w:rPr>
                <w:rFonts w:ascii="Arial" w:hAnsi="Arial" w:cs="Arial"/>
                <w:b/>
                <w:sz w:val="20"/>
                <w:szCs w:val="20"/>
              </w:rPr>
              <w:t>5.4</w:t>
            </w:r>
            <w:r w:rsidR="00BE04E5">
              <w:rPr>
                <w:rFonts w:ascii="Arial" w:hAnsi="Arial" w:cs="Arial"/>
                <w:b/>
                <w:sz w:val="20"/>
                <w:szCs w:val="20"/>
              </w:rPr>
              <w:t>8</w:t>
            </w:r>
          </w:p>
        </w:tc>
        <w:tc>
          <w:tcPr>
            <w:tcW w:w="982" w:type="pct"/>
            <w:tcMar>
              <w:top w:w="57" w:type="dxa"/>
              <w:bottom w:w="57" w:type="dxa"/>
            </w:tcMar>
            <w:vAlign w:val="bottom"/>
          </w:tcPr>
          <w:p w14:paraId="5EE02A91" w14:textId="24D9C106" w:rsidR="00934B3C" w:rsidRPr="002D1A2F" w:rsidRDefault="00BC03D9" w:rsidP="00934B3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rial" w:hAnsi="Arial" w:cs="Arial"/>
                <w:sz w:val="20"/>
                <w:szCs w:val="20"/>
              </w:rPr>
              <w:t>9.66</w:t>
            </w:r>
          </w:p>
        </w:tc>
        <w:tc>
          <w:tcPr>
            <w:tcW w:w="888" w:type="pct"/>
            <w:tcMar>
              <w:top w:w="57" w:type="dxa"/>
              <w:bottom w:w="57" w:type="dxa"/>
            </w:tcMar>
            <w:vAlign w:val="bottom"/>
          </w:tcPr>
          <w:p w14:paraId="58CDE92C" w14:textId="3D8B4976" w:rsidR="00934B3C" w:rsidRPr="00934B3C" w:rsidRDefault="00BC03D9" w:rsidP="00934B3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13.24</w:t>
            </w:r>
          </w:p>
        </w:tc>
      </w:tr>
      <w:tr w:rsidR="00934B3C" w:rsidRPr="00BC678F" w14:paraId="6FFB2198" w14:textId="77777777" w:rsidTr="0048637A">
        <w:tc>
          <w:tcPr>
            <w:cnfStyle w:val="001000000000" w:firstRow="0" w:lastRow="0" w:firstColumn="1" w:lastColumn="0" w:oddVBand="0" w:evenVBand="0" w:oddHBand="0" w:evenHBand="0" w:firstRowFirstColumn="0" w:firstRowLastColumn="0" w:lastRowFirstColumn="0" w:lastRowLastColumn="0"/>
            <w:tcW w:w="2230" w:type="pct"/>
            <w:tcMar>
              <w:top w:w="57" w:type="dxa"/>
              <w:bottom w:w="57" w:type="dxa"/>
            </w:tcMar>
            <w:vAlign w:val="bottom"/>
          </w:tcPr>
          <w:p w14:paraId="69CA6D4A" w14:textId="77777777" w:rsidR="00934B3C" w:rsidRPr="002D1A2F" w:rsidRDefault="00934B3C" w:rsidP="00934B3C">
            <w:pPr>
              <w:rPr>
                <w:rFonts w:ascii="Arial" w:hAnsi="Arial" w:cs="Arial"/>
                <w:b/>
                <w:sz w:val="20"/>
                <w:szCs w:val="20"/>
                <w:vertAlign w:val="superscript"/>
              </w:rPr>
            </w:pPr>
            <w:r w:rsidRPr="00DC2064">
              <w:rPr>
                <w:rFonts w:ascii="Arial" w:hAnsi="Arial" w:cs="Arial"/>
                <w:b/>
                <w:sz w:val="20"/>
                <w:szCs w:val="20"/>
              </w:rPr>
              <w:t>Net Asset Value per Share (£)</w:t>
            </w:r>
          </w:p>
        </w:tc>
        <w:tc>
          <w:tcPr>
            <w:tcW w:w="900" w:type="pct"/>
            <w:tcMar>
              <w:top w:w="57" w:type="dxa"/>
              <w:bottom w:w="57" w:type="dxa"/>
            </w:tcMar>
            <w:vAlign w:val="bottom"/>
          </w:tcPr>
          <w:p w14:paraId="15CF8EAC" w14:textId="1EE61DE6" w:rsidR="00934B3C" w:rsidRPr="00E66D2E" w:rsidRDefault="00683A8A" w:rsidP="00BE04E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683A8A">
              <w:rPr>
                <w:rFonts w:ascii="Arial" w:hAnsi="Arial" w:cs="Arial"/>
                <w:b/>
                <w:bCs/>
                <w:color w:val="000000"/>
                <w:sz w:val="20"/>
                <w:szCs w:val="20"/>
              </w:rPr>
              <w:t>4.</w:t>
            </w:r>
            <w:r w:rsidR="00BE04E5">
              <w:rPr>
                <w:rFonts w:ascii="Arial" w:hAnsi="Arial" w:cs="Arial"/>
                <w:b/>
                <w:bCs/>
                <w:color w:val="000000"/>
                <w:sz w:val="20"/>
                <w:szCs w:val="20"/>
              </w:rPr>
              <w:t>45</w:t>
            </w:r>
          </w:p>
        </w:tc>
        <w:tc>
          <w:tcPr>
            <w:tcW w:w="982" w:type="pct"/>
            <w:tcMar>
              <w:top w:w="57" w:type="dxa"/>
              <w:bottom w:w="57" w:type="dxa"/>
            </w:tcMar>
            <w:vAlign w:val="bottom"/>
          </w:tcPr>
          <w:p w14:paraId="56A10758" w14:textId="1E674826" w:rsidR="00934B3C" w:rsidRPr="002D1A2F" w:rsidRDefault="00BC03D9" w:rsidP="00934B3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rial" w:hAnsi="Arial" w:cs="Arial"/>
                <w:sz w:val="20"/>
                <w:szCs w:val="20"/>
              </w:rPr>
              <w:t>7.36</w:t>
            </w:r>
          </w:p>
        </w:tc>
        <w:tc>
          <w:tcPr>
            <w:tcW w:w="888" w:type="pct"/>
            <w:tcMar>
              <w:top w:w="57" w:type="dxa"/>
              <w:bottom w:w="57" w:type="dxa"/>
            </w:tcMar>
            <w:vAlign w:val="bottom"/>
          </w:tcPr>
          <w:p w14:paraId="7AA390E9" w14:textId="344C4E3C" w:rsidR="00934B3C" w:rsidRPr="00934B3C" w:rsidRDefault="00934B3C" w:rsidP="00BC03D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4B3C">
              <w:rPr>
                <w:rFonts w:ascii="Arial" w:hAnsi="Arial" w:cs="Arial"/>
                <w:bCs/>
                <w:color w:val="000000"/>
                <w:sz w:val="20"/>
                <w:szCs w:val="20"/>
              </w:rPr>
              <w:t>1</w:t>
            </w:r>
            <w:r w:rsidR="00BC03D9">
              <w:rPr>
                <w:rFonts w:ascii="Arial" w:hAnsi="Arial" w:cs="Arial"/>
                <w:bCs/>
                <w:color w:val="000000"/>
                <w:sz w:val="20"/>
                <w:szCs w:val="20"/>
              </w:rPr>
              <w:t>0.43</w:t>
            </w:r>
          </w:p>
        </w:tc>
      </w:tr>
      <w:tr w:rsidR="00934B3C" w:rsidRPr="00BC678F" w14:paraId="555508A1" w14:textId="77777777" w:rsidTr="0048637A">
        <w:tc>
          <w:tcPr>
            <w:cnfStyle w:val="001000000000" w:firstRow="0" w:lastRow="0" w:firstColumn="1" w:lastColumn="0" w:oddVBand="0" w:evenVBand="0" w:oddHBand="0" w:evenHBand="0" w:firstRowFirstColumn="0" w:firstRowLastColumn="0" w:lastRowFirstColumn="0" w:lastRowLastColumn="0"/>
            <w:tcW w:w="2230" w:type="pct"/>
            <w:tcBorders>
              <w:bottom w:val="single" w:sz="18" w:space="0" w:color="auto"/>
            </w:tcBorders>
            <w:tcMar>
              <w:top w:w="57" w:type="dxa"/>
              <w:bottom w:w="57" w:type="dxa"/>
            </w:tcMar>
            <w:vAlign w:val="bottom"/>
          </w:tcPr>
          <w:p w14:paraId="1044B417" w14:textId="77777777" w:rsidR="00934B3C" w:rsidRPr="00DC2064" w:rsidRDefault="00934B3C" w:rsidP="00934B3C">
            <w:pPr>
              <w:rPr>
                <w:rFonts w:ascii="Arial" w:hAnsi="Arial" w:cs="Arial"/>
                <w:b/>
                <w:sz w:val="20"/>
                <w:szCs w:val="20"/>
              </w:rPr>
            </w:pPr>
            <w:r>
              <w:rPr>
                <w:rFonts w:ascii="Arial" w:hAnsi="Arial" w:cs="Arial"/>
                <w:b/>
                <w:sz w:val="20"/>
                <w:szCs w:val="20"/>
              </w:rPr>
              <w:t>Discount to NAV (per cent.)</w:t>
            </w:r>
          </w:p>
        </w:tc>
        <w:tc>
          <w:tcPr>
            <w:tcW w:w="900" w:type="pct"/>
            <w:tcBorders>
              <w:bottom w:val="single" w:sz="18" w:space="0" w:color="auto"/>
            </w:tcBorders>
            <w:tcMar>
              <w:top w:w="57" w:type="dxa"/>
              <w:bottom w:w="57" w:type="dxa"/>
            </w:tcMar>
            <w:vAlign w:val="bottom"/>
          </w:tcPr>
          <w:p w14:paraId="36BD912D" w14:textId="0152D2EA" w:rsidR="00934B3C" w:rsidRPr="00E66D2E" w:rsidRDefault="00683A8A" w:rsidP="00075FC3">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683A8A">
              <w:rPr>
                <w:rFonts w:ascii="Arial" w:hAnsi="Arial" w:cs="Arial"/>
                <w:b/>
                <w:bCs/>
                <w:color w:val="000000"/>
                <w:sz w:val="20"/>
                <w:szCs w:val="20"/>
              </w:rPr>
              <w:t>15.</w:t>
            </w:r>
            <w:r w:rsidR="00075FC3">
              <w:rPr>
                <w:rFonts w:ascii="Arial" w:hAnsi="Arial" w:cs="Arial"/>
                <w:b/>
                <w:bCs/>
                <w:color w:val="000000"/>
                <w:sz w:val="20"/>
                <w:szCs w:val="20"/>
              </w:rPr>
              <w:t>69</w:t>
            </w:r>
          </w:p>
        </w:tc>
        <w:tc>
          <w:tcPr>
            <w:tcW w:w="982" w:type="pct"/>
            <w:tcBorders>
              <w:bottom w:val="single" w:sz="18" w:space="0" w:color="auto"/>
            </w:tcBorders>
            <w:tcMar>
              <w:top w:w="57" w:type="dxa"/>
              <w:bottom w:w="57" w:type="dxa"/>
            </w:tcMar>
            <w:vAlign w:val="bottom"/>
          </w:tcPr>
          <w:p w14:paraId="21773561" w14:textId="333D55F3" w:rsidR="00934B3C" w:rsidRPr="002D1A2F" w:rsidRDefault="00BC03D9" w:rsidP="00934B3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rial" w:hAnsi="Arial" w:cs="Arial"/>
                <w:sz w:val="20"/>
                <w:szCs w:val="20"/>
              </w:rPr>
              <w:t>43.75</w:t>
            </w:r>
          </w:p>
        </w:tc>
        <w:tc>
          <w:tcPr>
            <w:tcW w:w="888" w:type="pct"/>
            <w:tcBorders>
              <w:bottom w:val="single" w:sz="18" w:space="0" w:color="auto"/>
            </w:tcBorders>
            <w:tcMar>
              <w:top w:w="57" w:type="dxa"/>
              <w:bottom w:w="57" w:type="dxa"/>
            </w:tcMar>
            <w:vAlign w:val="bottom"/>
          </w:tcPr>
          <w:p w14:paraId="75478F65" w14:textId="52A4C307" w:rsidR="00934B3C" w:rsidRPr="00934B3C" w:rsidRDefault="00934B3C" w:rsidP="00BC03D9">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r w:rsidRPr="00934B3C">
              <w:rPr>
                <w:rFonts w:ascii="Arial" w:hAnsi="Arial" w:cs="Arial"/>
                <w:bCs/>
                <w:color w:val="000000"/>
                <w:sz w:val="20"/>
                <w:szCs w:val="20"/>
              </w:rPr>
              <w:t>1</w:t>
            </w:r>
            <w:r w:rsidR="00BC03D9">
              <w:rPr>
                <w:rFonts w:ascii="Arial" w:hAnsi="Arial" w:cs="Arial"/>
                <w:bCs/>
                <w:color w:val="000000"/>
                <w:sz w:val="20"/>
                <w:szCs w:val="20"/>
              </w:rPr>
              <w:t>7.44</w:t>
            </w:r>
          </w:p>
        </w:tc>
      </w:tr>
    </w:tbl>
    <w:p w14:paraId="3A38FAC1" w14:textId="77777777" w:rsidR="00E41A2E" w:rsidRPr="00DC2064" w:rsidRDefault="00E41A2E">
      <w:pPr>
        <w:tabs>
          <w:tab w:val="left" w:pos="6903"/>
        </w:tabs>
        <w:ind w:left="567"/>
        <w:rPr>
          <w:rFonts w:ascii="Arial" w:hAnsi="Arial" w:cs="Arial"/>
          <w:sz w:val="20"/>
          <w:szCs w:val="20"/>
        </w:rPr>
      </w:pPr>
    </w:p>
    <w:p w14:paraId="36F89807" w14:textId="0B513C7C" w:rsidR="00E41A2E" w:rsidRPr="002D1A2F" w:rsidRDefault="00E41A2E">
      <w:pPr>
        <w:tabs>
          <w:tab w:val="left" w:pos="6903"/>
        </w:tabs>
        <w:ind w:left="567"/>
        <w:rPr>
          <w:rFonts w:ascii="Arial" w:hAnsi="Arial" w:cs="Arial"/>
          <w:sz w:val="20"/>
          <w:szCs w:val="20"/>
        </w:rPr>
      </w:pPr>
      <w:r w:rsidRPr="002D1A2F">
        <w:rPr>
          <w:rFonts w:ascii="Arial" w:hAnsi="Arial" w:cs="Arial"/>
          <w:sz w:val="20"/>
          <w:szCs w:val="20"/>
        </w:rPr>
        <w:t>The Net Asset Value per Share is arrived at by dividing the net assets as at the date of the Statement of Financial Position by the number of Ordinary Shares in issue at that date.</w:t>
      </w:r>
      <w:r w:rsidR="00F47977">
        <w:rPr>
          <w:rFonts w:ascii="Arial" w:hAnsi="Arial" w:cs="Arial"/>
          <w:sz w:val="20"/>
          <w:szCs w:val="20"/>
        </w:rPr>
        <w:t xml:space="preserve"> </w:t>
      </w:r>
      <w:r w:rsidR="00F47977" w:rsidRPr="00F47977">
        <w:rPr>
          <w:rFonts w:ascii="Arial" w:hAnsi="Arial" w:cs="Arial"/>
          <w:sz w:val="20"/>
          <w:szCs w:val="20"/>
        </w:rPr>
        <w:t>The Discount to NAV is arrived at by calculating the percentage discount of the Company’s Net Asset Value per Share to the Company’s closing Share price as at the date of the</w:t>
      </w:r>
      <w:r w:rsidR="00F47977">
        <w:rPr>
          <w:rFonts w:ascii="Arial" w:hAnsi="Arial" w:cs="Arial"/>
          <w:sz w:val="20"/>
          <w:szCs w:val="20"/>
        </w:rPr>
        <w:t xml:space="preserve"> Condensed</w:t>
      </w:r>
      <w:r w:rsidR="00F47977" w:rsidRPr="00F47977">
        <w:rPr>
          <w:rFonts w:ascii="Arial" w:hAnsi="Arial" w:cs="Arial"/>
          <w:sz w:val="20"/>
          <w:szCs w:val="20"/>
        </w:rPr>
        <w:t xml:space="preserve"> Statement of Financial Position.</w:t>
      </w:r>
    </w:p>
    <w:p w14:paraId="18856958" w14:textId="77777777" w:rsidR="00E41A2E" w:rsidRPr="002D1A2F" w:rsidRDefault="00E41A2E">
      <w:pPr>
        <w:tabs>
          <w:tab w:val="left" w:pos="6903"/>
        </w:tabs>
        <w:ind w:left="567"/>
        <w:rPr>
          <w:rFonts w:ascii="Arial" w:hAnsi="Arial" w:cs="Arial"/>
          <w:sz w:val="20"/>
          <w:szCs w:val="20"/>
        </w:rPr>
      </w:pPr>
    </w:p>
    <w:p w14:paraId="51272391" w14:textId="77777777" w:rsidR="00E34D07" w:rsidRPr="002D1A2F" w:rsidRDefault="00E34D07">
      <w:pPr>
        <w:tabs>
          <w:tab w:val="left" w:pos="6903"/>
        </w:tabs>
        <w:ind w:left="567"/>
        <w:rPr>
          <w:rFonts w:ascii="Arial" w:hAnsi="Arial" w:cs="Arial"/>
          <w:sz w:val="20"/>
          <w:szCs w:val="20"/>
        </w:rPr>
      </w:pPr>
    </w:p>
    <w:p w14:paraId="658C6045" w14:textId="77777777" w:rsidR="00E41A2E" w:rsidRPr="002D1A2F" w:rsidRDefault="00E41A2E">
      <w:pPr>
        <w:ind w:left="567" w:hanging="567"/>
        <w:outlineLvl w:val="1"/>
        <w:rPr>
          <w:rFonts w:ascii="Arial" w:hAnsi="Arial" w:cs="Arial"/>
          <w:b/>
          <w:sz w:val="28"/>
          <w:szCs w:val="28"/>
        </w:rPr>
      </w:pPr>
      <w:r w:rsidRPr="002D1A2F">
        <w:rPr>
          <w:rFonts w:ascii="Arial" w:hAnsi="Arial" w:cs="Arial"/>
          <w:b/>
          <w:sz w:val="28"/>
          <w:szCs w:val="28"/>
        </w:rPr>
        <w:t>11.</w:t>
      </w:r>
      <w:r w:rsidRPr="002D1A2F">
        <w:rPr>
          <w:rFonts w:ascii="Arial" w:hAnsi="Arial" w:cs="Arial"/>
          <w:b/>
          <w:sz w:val="28"/>
          <w:szCs w:val="28"/>
        </w:rPr>
        <w:tab/>
        <w:t xml:space="preserve">Subsequent </w:t>
      </w:r>
      <w:r w:rsidR="00651D41">
        <w:rPr>
          <w:rFonts w:ascii="Arial" w:hAnsi="Arial" w:cs="Arial"/>
          <w:b/>
          <w:sz w:val="28"/>
          <w:szCs w:val="28"/>
        </w:rPr>
        <w:t>e</w:t>
      </w:r>
      <w:r w:rsidR="001424ED" w:rsidRPr="002D1A2F">
        <w:rPr>
          <w:rFonts w:ascii="Arial" w:hAnsi="Arial" w:cs="Arial"/>
          <w:b/>
          <w:sz w:val="28"/>
          <w:szCs w:val="28"/>
        </w:rPr>
        <w:t>vents</w:t>
      </w:r>
    </w:p>
    <w:p w14:paraId="7176EA6A" w14:textId="1FF81D74" w:rsidR="00417251" w:rsidRDefault="00530287" w:rsidP="00417251">
      <w:r w:rsidRPr="00530287">
        <w:rPr>
          <w:rFonts w:ascii="Arial" w:hAnsi="Arial" w:cs="Arial"/>
          <w:sz w:val="20"/>
          <w:szCs w:val="20"/>
        </w:rPr>
        <w:t>In July 2020, REL, through the Partnership, funded $18 million of its $25 million commitment to Enviva in conjunction with the closing of the transaction on 2</w:t>
      </w:r>
      <w:r w:rsidR="009D4BA1">
        <w:rPr>
          <w:rFonts w:ascii="Arial" w:hAnsi="Arial" w:cs="Arial"/>
          <w:sz w:val="20"/>
          <w:szCs w:val="20"/>
        </w:rPr>
        <w:t>2</w:t>
      </w:r>
      <w:r w:rsidRPr="00530287">
        <w:rPr>
          <w:rFonts w:ascii="Arial" w:hAnsi="Arial" w:cs="Arial"/>
          <w:sz w:val="20"/>
          <w:szCs w:val="20"/>
        </w:rPr>
        <w:t xml:space="preserve"> July 2020</w:t>
      </w:r>
      <w:r w:rsidR="00C23946">
        <w:rPr>
          <w:rFonts w:ascii="Arial" w:hAnsi="Arial" w:cs="Arial"/>
          <w:sz w:val="20"/>
          <w:szCs w:val="20"/>
        </w:rPr>
        <w:t>, bringing the Partnership’s uninvested funds down to $135.5 million and potential unfunded commitments up to $103.3 million.</w:t>
      </w:r>
      <w:r w:rsidRPr="00530287">
        <w:rPr>
          <w:rFonts w:ascii="Arial" w:hAnsi="Arial" w:cs="Arial"/>
          <w:sz w:val="20"/>
          <w:szCs w:val="20"/>
        </w:rPr>
        <w:t xml:space="preserve"> Enviva is a leading global energy company speciali</w:t>
      </w:r>
      <w:r w:rsidR="001A20FF">
        <w:rPr>
          <w:rFonts w:ascii="Arial" w:hAnsi="Arial" w:cs="Arial"/>
          <w:sz w:val="20"/>
          <w:szCs w:val="20"/>
        </w:rPr>
        <w:t>s</w:t>
      </w:r>
      <w:r w:rsidRPr="00530287">
        <w:rPr>
          <w:rFonts w:ascii="Arial" w:hAnsi="Arial" w:cs="Arial"/>
          <w:sz w:val="20"/>
          <w:szCs w:val="20"/>
        </w:rPr>
        <w:t>ing in sustainable wood bioenergy. The company is one of the world’s largest producers of sustainable wood pellets, which provide a low-carbon alternative to fossil fuels. REL’s investment in Enviva supports its commitment to diversifying its portfolio away from commodity driven companies such as oil and gas operators.</w:t>
      </w:r>
    </w:p>
    <w:p w14:paraId="4CBB7162" w14:textId="5B56A61B" w:rsidR="00213F9C" w:rsidRDefault="00167135" w:rsidP="00417251">
      <w:r>
        <w:tab/>
      </w:r>
    </w:p>
    <w:p w14:paraId="7CC32EA1" w14:textId="77777777" w:rsidR="00527D71" w:rsidRPr="00D86780" w:rsidRDefault="00527D71" w:rsidP="00527D71">
      <w:pPr>
        <w:rPr>
          <w:rFonts w:ascii="Arial" w:hAnsi="Arial" w:cs="Arial"/>
          <w:sz w:val="20"/>
          <w:szCs w:val="20"/>
        </w:rPr>
      </w:pPr>
      <w:r>
        <w:rPr>
          <w:rFonts w:ascii="Arial" w:hAnsi="Arial" w:cs="Arial"/>
          <w:sz w:val="20"/>
          <w:szCs w:val="20"/>
        </w:rPr>
        <w:t>Subsequent to 30 June 2020</w:t>
      </w:r>
      <w:r w:rsidRPr="00D86780">
        <w:rPr>
          <w:rFonts w:ascii="Arial" w:hAnsi="Arial" w:cs="Arial"/>
          <w:sz w:val="20"/>
          <w:szCs w:val="20"/>
        </w:rPr>
        <w:t xml:space="preserve">, in compliance with the laws of the Cayman Islands, the Company and its existing </w:t>
      </w:r>
      <w:r>
        <w:rPr>
          <w:rFonts w:ascii="Arial" w:hAnsi="Arial" w:cs="Arial"/>
          <w:sz w:val="20"/>
          <w:szCs w:val="20"/>
        </w:rPr>
        <w:t>I</w:t>
      </w:r>
      <w:r w:rsidRPr="00D86780">
        <w:rPr>
          <w:rFonts w:ascii="Arial" w:hAnsi="Arial" w:cs="Arial"/>
          <w:sz w:val="20"/>
          <w:szCs w:val="20"/>
        </w:rPr>
        <w:t xml:space="preserve">nvestment </w:t>
      </w:r>
      <w:r>
        <w:rPr>
          <w:rFonts w:ascii="Arial" w:hAnsi="Arial" w:cs="Arial"/>
          <w:sz w:val="20"/>
          <w:szCs w:val="20"/>
        </w:rPr>
        <w:t>M</w:t>
      </w:r>
      <w:r w:rsidRPr="00D86780">
        <w:rPr>
          <w:rFonts w:ascii="Arial" w:hAnsi="Arial" w:cs="Arial"/>
          <w:sz w:val="20"/>
          <w:szCs w:val="20"/>
        </w:rPr>
        <w:t xml:space="preserve">anager, Riverstone International Limited, a Cayman Islands exempted company, have agreed that RIL will assign its investment advisory rights and obligations under the Company’s </w:t>
      </w:r>
      <w:r>
        <w:rPr>
          <w:rFonts w:ascii="Arial" w:hAnsi="Arial" w:cs="Arial"/>
          <w:sz w:val="20"/>
          <w:szCs w:val="20"/>
        </w:rPr>
        <w:t>I</w:t>
      </w:r>
      <w:r w:rsidRPr="00D86780">
        <w:rPr>
          <w:rFonts w:ascii="Arial" w:hAnsi="Arial" w:cs="Arial"/>
          <w:sz w:val="20"/>
          <w:szCs w:val="20"/>
        </w:rPr>
        <w:t xml:space="preserve">nvestment </w:t>
      </w:r>
      <w:r>
        <w:rPr>
          <w:rFonts w:ascii="Arial" w:hAnsi="Arial" w:cs="Arial"/>
          <w:sz w:val="20"/>
          <w:szCs w:val="20"/>
        </w:rPr>
        <w:t>M</w:t>
      </w:r>
      <w:r w:rsidRPr="00D86780">
        <w:rPr>
          <w:rFonts w:ascii="Arial" w:hAnsi="Arial" w:cs="Arial"/>
          <w:sz w:val="20"/>
          <w:szCs w:val="20"/>
        </w:rPr>
        <w:t xml:space="preserve">anagement </w:t>
      </w:r>
      <w:r>
        <w:rPr>
          <w:rFonts w:ascii="Arial" w:hAnsi="Arial" w:cs="Arial"/>
          <w:sz w:val="20"/>
          <w:szCs w:val="20"/>
        </w:rPr>
        <w:t>A</w:t>
      </w:r>
      <w:r w:rsidRPr="00D86780">
        <w:rPr>
          <w:rFonts w:ascii="Arial" w:hAnsi="Arial" w:cs="Arial"/>
          <w:sz w:val="20"/>
          <w:szCs w:val="20"/>
        </w:rPr>
        <w:t>greement with immediate effect to RIL’s immediate parent entity, RIGL Holdings, LP, a Cayman Islands exempted limited partnership.</w:t>
      </w:r>
    </w:p>
    <w:p w14:paraId="262F39A5" w14:textId="77777777" w:rsidR="00527D71" w:rsidRDefault="00527D71" w:rsidP="00417251"/>
    <w:p w14:paraId="3CE3DC61" w14:textId="0C8A4FFB" w:rsidR="00213F9C" w:rsidRDefault="00213F9C" w:rsidP="00417251"/>
    <w:p w14:paraId="7A0BE53B" w14:textId="77777777" w:rsidR="004A13D3" w:rsidRPr="002D1A2F" w:rsidRDefault="004A13D3">
      <w:pPr>
        <w:pStyle w:val="Heading1"/>
        <w:keepNext w:val="0"/>
        <w:keepLines w:val="0"/>
        <w:widowControl w:val="0"/>
        <w:spacing w:before="0"/>
        <w:ind w:left="561"/>
        <w:contextualSpacing/>
        <w:rPr>
          <w:rFonts w:cs="Arial"/>
        </w:rPr>
      </w:pPr>
      <w:r w:rsidRPr="002D1A2F">
        <w:rPr>
          <w:rFonts w:cs="Arial"/>
        </w:rPr>
        <w:t>Glossary of Capitalised Defined Terms</w:t>
      </w:r>
    </w:p>
    <w:p w14:paraId="35660AE2" w14:textId="77777777" w:rsidR="004A13D3" w:rsidRPr="002D1A2F" w:rsidRDefault="004A13D3">
      <w:pPr>
        <w:pStyle w:val="Bodytext"/>
        <w:rPr>
          <w:rFonts w:cs="Arial"/>
        </w:rPr>
      </w:pPr>
    </w:p>
    <w:p w14:paraId="26BC6315" w14:textId="77777777" w:rsidR="00780C20" w:rsidRPr="002D1A2F" w:rsidRDefault="00780C20" w:rsidP="00780C20">
      <w:pPr>
        <w:pStyle w:val="Bodytext"/>
        <w:spacing w:after="80"/>
      </w:pPr>
      <w:r w:rsidRPr="002D1A2F">
        <w:t>“</w:t>
      </w:r>
      <w:r w:rsidRPr="002D1A2F">
        <w:rPr>
          <w:b/>
        </w:rPr>
        <w:t>1P reserve</w:t>
      </w:r>
      <w:r w:rsidRPr="002D1A2F">
        <w:t>” means proven reserves;</w:t>
      </w:r>
    </w:p>
    <w:p w14:paraId="2431F472" w14:textId="77777777" w:rsidR="00780C20" w:rsidRPr="002D1A2F" w:rsidRDefault="00780C20" w:rsidP="00780C20">
      <w:pPr>
        <w:pStyle w:val="Bodytext"/>
        <w:spacing w:after="80"/>
      </w:pPr>
      <w:r w:rsidRPr="002D1A2F">
        <w:t>“</w:t>
      </w:r>
      <w:r w:rsidRPr="002D1A2F">
        <w:rPr>
          <w:b/>
        </w:rPr>
        <w:t>2P reserve</w:t>
      </w:r>
      <w:r w:rsidRPr="002D1A2F">
        <w:t>” means proven and probable reserves;</w:t>
      </w:r>
    </w:p>
    <w:p w14:paraId="2B7B8EC2" w14:textId="6E87688F" w:rsidR="00780C20" w:rsidRPr="002D1A2F" w:rsidRDefault="00780C20" w:rsidP="00780C20">
      <w:pPr>
        <w:pStyle w:val="Bodytext"/>
        <w:spacing w:after="80"/>
      </w:pPr>
      <w:r w:rsidRPr="002D1A2F">
        <w:t>“</w:t>
      </w:r>
      <w:r w:rsidRPr="002D1A2F">
        <w:rPr>
          <w:b/>
        </w:rPr>
        <w:t>Administrator</w:t>
      </w:r>
      <w:r w:rsidRPr="002D1A2F">
        <w:t xml:space="preserve">” means </w:t>
      </w:r>
      <w:r w:rsidR="00F47977" w:rsidRPr="00F47977">
        <w:t>Ocorian Administration (Guernsey) Limited (formerly</w:t>
      </w:r>
      <w:r w:rsidR="00F47977">
        <w:t xml:space="preserve"> </w:t>
      </w:r>
      <w:r w:rsidRPr="007506DC">
        <w:t>Estera International Fund Managers</w:t>
      </w:r>
      <w:r>
        <w:t xml:space="preserve"> (Guernsey)</w:t>
      </w:r>
      <w:r w:rsidR="00A073D9">
        <w:t xml:space="preserve"> Limited</w:t>
      </w:r>
      <w:r w:rsidR="00F47977">
        <w:t>)</w:t>
      </w:r>
      <w:r w:rsidR="00A073D9">
        <w:t>;</w:t>
      </w:r>
    </w:p>
    <w:p w14:paraId="3E207E0C" w14:textId="77777777" w:rsidR="00780C20" w:rsidRPr="002D1A2F" w:rsidRDefault="00780C20" w:rsidP="00780C20">
      <w:pPr>
        <w:pStyle w:val="Bodytext"/>
        <w:spacing w:after="80"/>
      </w:pPr>
      <w:r w:rsidRPr="002D1A2F">
        <w:t>“</w:t>
      </w:r>
      <w:r w:rsidRPr="002D1A2F">
        <w:rPr>
          <w:b/>
        </w:rPr>
        <w:t>Admission</w:t>
      </w:r>
      <w:r w:rsidRPr="002D1A2F">
        <w:t>” means admission, on 29 October 2013, to the Official List and/or admission to trading on the London Stock Exchange, as the context may require, of the Ordinary Shares becoming effective in accordance with the Listing Rules and/or the LSE Admission Standards as the context may require;</w:t>
      </w:r>
    </w:p>
    <w:p w14:paraId="7F905677" w14:textId="3E432B9A" w:rsidR="00780C20" w:rsidRPr="002D1A2F" w:rsidRDefault="00780C20" w:rsidP="00780C20">
      <w:pPr>
        <w:pStyle w:val="Bodytext"/>
        <w:spacing w:after="80"/>
      </w:pPr>
      <w:r w:rsidRPr="002D1A2F">
        <w:t>“</w:t>
      </w:r>
      <w:r w:rsidRPr="002D1A2F">
        <w:rPr>
          <w:b/>
        </w:rPr>
        <w:t>AEOI Rules</w:t>
      </w:r>
      <w:r w:rsidRPr="002D1A2F">
        <w:t>” means Automatic Exchange of Information;</w:t>
      </w:r>
    </w:p>
    <w:p w14:paraId="5F5217B4" w14:textId="77777777" w:rsidR="00780C20" w:rsidRPr="002D1A2F" w:rsidRDefault="00780C20" w:rsidP="00780C20">
      <w:pPr>
        <w:pStyle w:val="Bodytext"/>
        <w:spacing w:after="80"/>
      </w:pPr>
      <w:r w:rsidRPr="002D1A2F">
        <w:t>“</w:t>
      </w:r>
      <w:r w:rsidRPr="002D1A2F">
        <w:rPr>
          <w:b/>
        </w:rPr>
        <w:t>AIC</w:t>
      </w:r>
      <w:r w:rsidRPr="002D1A2F">
        <w:t>” means the Association of Investment Companies;</w:t>
      </w:r>
    </w:p>
    <w:p w14:paraId="6B64339F" w14:textId="77777777" w:rsidR="00780C20" w:rsidRPr="002D1A2F" w:rsidRDefault="00780C20" w:rsidP="00780C20">
      <w:pPr>
        <w:pStyle w:val="Bodytext"/>
        <w:spacing w:after="80"/>
      </w:pPr>
      <w:r w:rsidRPr="002D1A2F">
        <w:t>“</w:t>
      </w:r>
      <w:r w:rsidRPr="002D1A2F">
        <w:rPr>
          <w:b/>
        </w:rPr>
        <w:t>AIC Code</w:t>
      </w:r>
      <w:r w:rsidRPr="002D1A2F">
        <w:t>” means the AIC Code of Corporate Governance;</w:t>
      </w:r>
    </w:p>
    <w:p w14:paraId="46713053" w14:textId="69E79496" w:rsidR="00780C20" w:rsidRPr="002D1A2F" w:rsidRDefault="00780C20" w:rsidP="00780C20">
      <w:pPr>
        <w:pStyle w:val="Bodytext"/>
        <w:spacing w:after="80"/>
      </w:pPr>
      <w:r w:rsidRPr="002D1A2F">
        <w:t>“</w:t>
      </w:r>
      <w:r w:rsidRPr="002D1A2F">
        <w:rPr>
          <w:b/>
        </w:rPr>
        <w:t>AIF</w:t>
      </w:r>
      <w:r w:rsidRPr="002D1A2F">
        <w:t>” means Alternative Investment Funds;</w:t>
      </w:r>
    </w:p>
    <w:p w14:paraId="7F57C96C" w14:textId="77777777" w:rsidR="00780C20" w:rsidRPr="002D1A2F" w:rsidRDefault="00780C20" w:rsidP="00780C20">
      <w:pPr>
        <w:pStyle w:val="Bodytext"/>
        <w:spacing w:after="80"/>
      </w:pPr>
      <w:r w:rsidRPr="002D1A2F">
        <w:t>“</w:t>
      </w:r>
      <w:r w:rsidRPr="002D1A2F">
        <w:rPr>
          <w:b/>
        </w:rPr>
        <w:t>AIFM</w:t>
      </w:r>
      <w:r w:rsidRPr="002D1A2F">
        <w:t>” means AIF Manager;</w:t>
      </w:r>
    </w:p>
    <w:p w14:paraId="65D73C4D" w14:textId="70B76574" w:rsidR="00780C20" w:rsidRDefault="00780C20" w:rsidP="00780C20">
      <w:pPr>
        <w:pStyle w:val="Bodytext"/>
        <w:spacing w:after="80"/>
      </w:pPr>
      <w:r w:rsidRPr="002D1A2F">
        <w:lastRenderedPageBreak/>
        <w:t>“</w:t>
      </w:r>
      <w:r w:rsidRPr="002D1A2F">
        <w:rPr>
          <w:b/>
        </w:rPr>
        <w:t>AIFMD</w:t>
      </w:r>
      <w:r w:rsidRPr="002D1A2F">
        <w:t>” means EU Alternative Investment Fund Managers Directive (No. 2011/61EU);</w:t>
      </w:r>
    </w:p>
    <w:p w14:paraId="46BBF5F9" w14:textId="37D27C2D" w:rsidR="00AD57E5" w:rsidRPr="002D1A2F" w:rsidRDefault="00AD57E5" w:rsidP="00780C20">
      <w:pPr>
        <w:pStyle w:val="Bodytext"/>
        <w:spacing w:after="80"/>
      </w:pPr>
      <w:r>
        <w:rPr>
          <w:b/>
        </w:rPr>
        <w:t>“</w:t>
      </w:r>
      <w:r w:rsidRPr="00D23F93">
        <w:rPr>
          <w:b/>
        </w:rPr>
        <w:t>Aleph</w:t>
      </w:r>
      <w:r w:rsidR="00324DD1">
        <w:rPr>
          <w:b/>
        </w:rPr>
        <w:t xml:space="preserve"> Midstream</w:t>
      </w:r>
      <w:r>
        <w:rPr>
          <w:b/>
        </w:rPr>
        <w:t xml:space="preserve">” </w:t>
      </w:r>
      <w:r w:rsidRPr="007A53ED">
        <w:t>means</w:t>
      </w:r>
      <w:r>
        <w:t xml:space="preserve"> Aleph Midstream S.A;</w:t>
      </w:r>
    </w:p>
    <w:p w14:paraId="0D3150C9" w14:textId="77777777" w:rsidR="00780C20" w:rsidRPr="002D1A2F" w:rsidRDefault="00780C20" w:rsidP="00780C20">
      <w:pPr>
        <w:pStyle w:val="Bodytext"/>
        <w:spacing w:after="80"/>
      </w:pPr>
      <w:r w:rsidRPr="002D1A2F">
        <w:t>“</w:t>
      </w:r>
      <w:r w:rsidRPr="002D1A2F">
        <w:rPr>
          <w:b/>
        </w:rPr>
        <w:t>Annual General Meeting</w:t>
      </w:r>
      <w:r w:rsidRPr="002D1A2F">
        <w:t>” or “</w:t>
      </w:r>
      <w:r w:rsidRPr="002D1A2F">
        <w:rPr>
          <w:b/>
        </w:rPr>
        <w:t>AGM</w:t>
      </w:r>
      <w:r w:rsidRPr="002D1A2F">
        <w:t>” means the general meeting of the Company;</w:t>
      </w:r>
    </w:p>
    <w:p w14:paraId="37F4D755" w14:textId="77777777" w:rsidR="00780C20" w:rsidRPr="002D1A2F" w:rsidRDefault="00780C20" w:rsidP="00780C20">
      <w:pPr>
        <w:pStyle w:val="Bodytext"/>
        <w:spacing w:after="80"/>
      </w:pPr>
      <w:r w:rsidRPr="002D1A2F">
        <w:t>“</w:t>
      </w:r>
      <w:r w:rsidRPr="002D1A2F">
        <w:rPr>
          <w:b/>
        </w:rPr>
        <w:t>Annual Report and Financial Statements</w:t>
      </w:r>
      <w:r w:rsidRPr="002D1A2F">
        <w:t>” means the annual publication of the Company provided to the Shareholders to describe their operations and financial conditions, together with their Financial Statements;</w:t>
      </w:r>
    </w:p>
    <w:p w14:paraId="46F5A714" w14:textId="77777777" w:rsidR="00780C20" w:rsidRPr="002D1A2F" w:rsidRDefault="00780C20" w:rsidP="00780C20">
      <w:pPr>
        <w:pStyle w:val="Bodytext"/>
        <w:spacing w:after="80"/>
      </w:pPr>
      <w:r w:rsidRPr="002D1A2F">
        <w:t>“</w:t>
      </w:r>
      <w:r w:rsidRPr="002D1A2F">
        <w:rPr>
          <w:b/>
        </w:rPr>
        <w:t>Articles of Incorporation</w:t>
      </w:r>
      <w:r w:rsidRPr="002D1A2F">
        <w:t>” or “</w:t>
      </w:r>
      <w:r w:rsidRPr="002D1A2F">
        <w:rPr>
          <w:b/>
        </w:rPr>
        <w:t>Articles</w:t>
      </w:r>
      <w:r w:rsidRPr="002D1A2F">
        <w:t>” means the articles of incorporation of the Company;</w:t>
      </w:r>
    </w:p>
    <w:p w14:paraId="591783E1" w14:textId="77777777" w:rsidR="00780C20" w:rsidRPr="002D1A2F" w:rsidRDefault="00780C20" w:rsidP="00780C20">
      <w:pPr>
        <w:pStyle w:val="Bodytext"/>
        <w:spacing w:after="80"/>
      </w:pPr>
      <w:r w:rsidRPr="002D1A2F">
        <w:t>“</w:t>
      </w:r>
      <w:r w:rsidRPr="002D1A2F">
        <w:rPr>
          <w:b/>
        </w:rPr>
        <w:t>Audit Committee</w:t>
      </w:r>
      <w:r w:rsidRPr="002D1A2F">
        <w:t>” means a formal committee of the Board with defined terms of reference;</w:t>
      </w:r>
    </w:p>
    <w:p w14:paraId="762B31DE" w14:textId="77777777" w:rsidR="00780C20" w:rsidRPr="002D1A2F" w:rsidRDefault="00780C20" w:rsidP="00780C20">
      <w:pPr>
        <w:pStyle w:val="Bodytext"/>
        <w:spacing w:after="80"/>
      </w:pPr>
      <w:r w:rsidRPr="002D1A2F">
        <w:t>“</w:t>
      </w:r>
      <w:r w:rsidRPr="002D1A2F">
        <w:rPr>
          <w:b/>
        </w:rPr>
        <w:t>bbl</w:t>
      </w:r>
      <w:r w:rsidRPr="002D1A2F">
        <w:t>” means barrel of crude oil;</w:t>
      </w:r>
    </w:p>
    <w:p w14:paraId="7224F766" w14:textId="77777777" w:rsidR="00780C20" w:rsidRPr="002D1A2F" w:rsidRDefault="00780C20" w:rsidP="00780C20">
      <w:pPr>
        <w:pStyle w:val="Bodytext"/>
        <w:spacing w:after="80"/>
      </w:pPr>
      <w:r w:rsidRPr="002D1A2F">
        <w:t>“</w:t>
      </w:r>
      <w:r w:rsidRPr="002D1A2F">
        <w:rPr>
          <w:b/>
        </w:rPr>
        <w:t>Board</w:t>
      </w:r>
      <w:r w:rsidRPr="002D1A2F">
        <w:t>” or “</w:t>
      </w:r>
      <w:r w:rsidRPr="002D1A2F">
        <w:rPr>
          <w:b/>
        </w:rPr>
        <w:t>Directors</w:t>
      </w:r>
      <w:r w:rsidRPr="002D1A2F">
        <w:t>” means the directors of the Company;</w:t>
      </w:r>
    </w:p>
    <w:p w14:paraId="0F33F786" w14:textId="77777777" w:rsidR="00780C20" w:rsidRDefault="00780C20" w:rsidP="00780C20">
      <w:pPr>
        <w:pStyle w:val="Bodytext"/>
        <w:spacing w:after="80"/>
      </w:pPr>
      <w:r w:rsidRPr="002D1A2F">
        <w:t>“</w:t>
      </w:r>
      <w:r w:rsidRPr="002D1A2F">
        <w:rPr>
          <w:b/>
        </w:rPr>
        <w:t>boepd</w:t>
      </w:r>
      <w:r w:rsidRPr="002D1A2F">
        <w:t>” means barrels of equivalent oil per day;</w:t>
      </w:r>
    </w:p>
    <w:p w14:paraId="57AB7FB5" w14:textId="4759BEB2" w:rsidR="00780C20" w:rsidRDefault="00780C20" w:rsidP="00780C20">
      <w:pPr>
        <w:pStyle w:val="Bodytext"/>
        <w:spacing w:after="80"/>
      </w:pPr>
      <w:r>
        <w:t>“</w:t>
      </w:r>
      <w:r>
        <w:rPr>
          <w:b/>
        </w:rPr>
        <w:t>bopd</w:t>
      </w:r>
      <w:r>
        <w:t>” means barrels of oil per day;</w:t>
      </w:r>
    </w:p>
    <w:p w14:paraId="58F599B0" w14:textId="0787E5CF" w:rsidR="00AD57E5" w:rsidRPr="004B388D" w:rsidRDefault="00AD57E5" w:rsidP="00780C20">
      <w:pPr>
        <w:pStyle w:val="Bodytext"/>
        <w:spacing w:after="80"/>
      </w:pPr>
      <w:r>
        <w:t>“</w:t>
      </w:r>
      <w:r w:rsidRPr="00EA2741">
        <w:rPr>
          <w:b/>
        </w:rPr>
        <w:t>bw/d</w:t>
      </w:r>
      <w:r>
        <w:t>” means barrels of water per day;</w:t>
      </w:r>
    </w:p>
    <w:p w14:paraId="694F2D26" w14:textId="77777777" w:rsidR="00780C20" w:rsidRPr="002D1A2F" w:rsidRDefault="00780C20" w:rsidP="00780C20">
      <w:pPr>
        <w:pStyle w:val="Bodytext"/>
        <w:spacing w:after="80"/>
      </w:pPr>
      <w:r w:rsidRPr="002D1A2F">
        <w:t>“</w:t>
      </w:r>
      <w:r w:rsidRPr="002D1A2F">
        <w:rPr>
          <w:b/>
        </w:rPr>
        <w:t>CAD</w:t>
      </w:r>
      <w:r w:rsidRPr="002D1A2F">
        <w:t xml:space="preserve">” </w:t>
      </w:r>
      <w:r>
        <w:t>or “</w:t>
      </w:r>
      <w:r w:rsidRPr="00306224">
        <w:rPr>
          <w:b/>
        </w:rPr>
        <w:t>C$</w:t>
      </w:r>
      <w:r>
        <w:t xml:space="preserve">” </w:t>
      </w:r>
      <w:r w:rsidRPr="002D1A2F">
        <w:t>means Canadian dollar;</w:t>
      </w:r>
    </w:p>
    <w:p w14:paraId="1D840850" w14:textId="77777777" w:rsidR="00780C20" w:rsidRPr="002D1A2F" w:rsidRDefault="00780C20" w:rsidP="00780C20">
      <w:pPr>
        <w:pStyle w:val="Bodytext"/>
        <w:spacing w:after="80"/>
      </w:pPr>
      <w:r w:rsidRPr="002D1A2F">
        <w:t>“</w:t>
      </w:r>
      <w:r w:rsidRPr="002D1A2F">
        <w:rPr>
          <w:b/>
        </w:rPr>
        <w:t>CanEra III</w:t>
      </w:r>
      <w:r w:rsidRPr="002D1A2F">
        <w:t>” means CanEra Inc.;</w:t>
      </w:r>
    </w:p>
    <w:p w14:paraId="6D3FA20D" w14:textId="77777777" w:rsidR="00780C20" w:rsidRPr="002D1A2F" w:rsidRDefault="00780C20" w:rsidP="00780C20">
      <w:pPr>
        <w:pStyle w:val="Bodytext"/>
        <w:spacing w:after="80"/>
      </w:pPr>
      <w:r w:rsidRPr="002D1A2F">
        <w:t>“</w:t>
      </w:r>
      <w:r w:rsidRPr="002D1A2F">
        <w:rPr>
          <w:b/>
        </w:rPr>
        <w:t>CAR</w:t>
      </w:r>
      <w:r w:rsidRPr="002D1A2F">
        <w:t>” means Capital Adequacy Ratio;</w:t>
      </w:r>
    </w:p>
    <w:p w14:paraId="3D38C761" w14:textId="77777777" w:rsidR="00780C20" w:rsidRPr="002D1A2F" w:rsidRDefault="00780C20" w:rsidP="00780C20">
      <w:pPr>
        <w:pStyle w:val="Bodytext"/>
        <w:spacing w:after="80"/>
      </w:pPr>
      <w:r w:rsidRPr="002D1A2F">
        <w:t>“</w:t>
      </w:r>
      <w:r w:rsidRPr="002D1A2F">
        <w:rPr>
          <w:b/>
        </w:rPr>
        <w:t>Carrier II</w:t>
      </w:r>
      <w:r w:rsidRPr="002D1A2F">
        <w:t>” means Carrier Energy Partners II LLC;</w:t>
      </w:r>
    </w:p>
    <w:p w14:paraId="4645BB6A" w14:textId="77777777" w:rsidR="00780C20" w:rsidRPr="002D1A2F" w:rsidRDefault="00780C20" w:rsidP="00780C20">
      <w:pPr>
        <w:pStyle w:val="Bodytext"/>
        <w:spacing w:after="80"/>
      </w:pPr>
      <w:r w:rsidRPr="002D1A2F">
        <w:t>“</w:t>
      </w:r>
      <w:r w:rsidRPr="002D1A2F">
        <w:rPr>
          <w:b/>
        </w:rPr>
        <w:t>Castex 2005</w:t>
      </w:r>
      <w:r w:rsidRPr="002D1A2F">
        <w:t>” means Castex Energy 2005 LLC;</w:t>
      </w:r>
    </w:p>
    <w:p w14:paraId="7C33AFEA" w14:textId="77777777" w:rsidR="00780C20" w:rsidRPr="002D1A2F" w:rsidRDefault="00780C20" w:rsidP="00780C20">
      <w:pPr>
        <w:pStyle w:val="Bodytext"/>
        <w:spacing w:after="80"/>
      </w:pPr>
      <w:r w:rsidRPr="002D1A2F">
        <w:t>“</w:t>
      </w:r>
      <w:r w:rsidRPr="002D1A2F">
        <w:rPr>
          <w:b/>
        </w:rPr>
        <w:t>Castex 2014</w:t>
      </w:r>
      <w:r w:rsidRPr="002D1A2F">
        <w:t>” means Castex Energy 2014 LLC;</w:t>
      </w:r>
    </w:p>
    <w:p w14:paraId="65F09F1D" w14:textId="77777777" w:rsidR="00780C20" w:rsidRPr="002D1A2F" w:rsidRDefault="00780C20" w:rsidP="00780C20">
      <w:pPr>
        <w:pStyle w:val="Bodytext"/>
        <w:spacing w:after="80"/>
      </w:pPr>
      <w:r w:rsidRPr="002D1A2F">
        <w:t>“</w:t>
      </w:r>
      <w:r w:rsidRPr="002D1A2F">
        <w:rPr>
          <w:b/>
        </w:rPr>
        <w:t>Centennial</w:t>
      </w:r>
      <w:r w:rsidRPr="002D1A2F">
        <w:t>” means Centennial Resource Development, Inc.;</w:t>
      </w:r>
    </w:p>
    <w:p w14:paraId="5B150628" w14:textId="77777777" w:rsidR="00780C20" w:rsidRPr="002D1A2F" w:rsidRDefault="00780C20" w:rsidP="00780C20">
      <w:pPr>
        <w:pStyle w:val="Bodytext"/>
        <w:spacing w:after="80"/>
      </w:pPr>
      <w:r w:rsidRPr="002D1A2F">
        <w:t>“</w:t>
      </w:r>
      <w:r w:rsidRPr="002D1A2F">
        <w:rPr>
          <w:b/>
        </w:rPr>
        <w:t>CNOR</w:t>
      </w:r>
      <w:r w:rsidRPr="002D1A2F">
        <w:t>” means the Canadian Non-Operated Resources LP;</w:t>
      </w:r>
    </w:p>
    <w:p w14:paraId="509A1894" w14:textId="77777777" w:rsidR="00780C20" w:rsidRPr="002D1A2F" w:rsidRDefault="00780C20" w:rsidP="00780C20">
      <w:pPr>
        <w:pStyle w:val="Bodytext"/>
        <w:spacing w:after="80"/>
      </w:pPr>
      <w:r w:rsidRPr="002D1A2F">
        <w:t>“</w:t>
      </w:r>
      <w:r w:rsidRPr="002D1A2F">
        <w:rPr>
          <w:b/>
        </w:rPr>
        <w:t>Companies Law</w:t>
      </w:r>
      <w:r w:rsidRPr="002D1A2F">
        <w:t>” means the Companies (Guernsey) Law, 2008, (as amended);</w:t>
      </w:r>
    </w:p>
    <w:p w14:paraId="42ADBCC2" w14:textId="77777777" w:rsidR="00780C20" w:rsidRPr="002D1A2F" w:rsidRDefault="00780C20" w:rsidP="00780C20">
      <w:pPr>
        <w:pStyle w:val="Bodytext"/>
        <w:spacing w:after="80"/>
      </w:pPr>
      <w:r w:rsidRPr="002D1A2F">
        <w:t>“</w:t>
      </w:r>
      <w:r w:rsidRPr="002D1A2F">
        <w:rPr>
          <w:b/>
        </w:rPr>
        <w:t>Company</w:t>
      </w:r>
      <w:r w:rsidRPr="002D1A2F">
        <w:t>” or “</w:t>
      </w:r>
      <w:r w:rsidRPr="002D1A2F">
        <w:rPr>
          <w:b/>
        </w:rPr>
        <w:t>REL</w:t>
      </w:r>
      <w:r w:rsidRPr="002D1A2F">
        <w:t>” means Riverstone Energy Limited;</w:t>
      </w:r>
    </w:p>
    <w:p w14:paraId="1E2F33E6" w14:textId="6430470E" w:rsidR="00780C20" w:rsidRPr="002D1A2F" w:rsidRDefault="00780C20" w:rsidP="00780C20">
      <w:pPr>
        <w:pStyle w:val="Bodytext"/>
        <w:spacing w:after="80"/>
      </w:pPr>
      <w:r w:rsidRPr="002D1A2F">
        <w:t>“</w:t>
      </w:r>
      <w:r w:rsidRPr="002D1A2F">
        <w:rPr>
          <w:b/>
        </w:rPr>
        <w:t>Company Secretary</w:t>
      </w:r>
      <w:r w:rsidRPr="002D1A2F">
        <w:t xml:space="preserve">” means </w:t>
      </w:r>
      <w:r w:rsidR="00F47977" w:rsidRPr="00F47977">
        <w:t>Ocorian Administration (Guernsey) Limited (formerly</w:t>
      </w:r>
      <w:r w:rsidR="00F47977">
        <w:t xml:space="preserve"> </w:t>
      </w:r>
      <w:r w:rsidR="00F47977" w:rsidRPr="007506DC">
        <w:t>Estera International Fund Managers</w:t>
      </w:r>
      <w:r w:rsidR="00F47977">
        <w:t xml:space="preserve"> (Guernsey) Limited);</w:t>
      </w:r>
    </w:p>
    <w:p w14:paraId="13E6B4BB" w14:textId="1B8B3558" w:rsidR="00780C20" w:rsidRPr="002D1A2F" w:rsidRDefault="00780C20" w:rsidP="00780C20">
      <w:pPr>
        <w:pStyle w:val="Bodytext"/>
        <w:spacing w:after="80"/>
      </w:pPr>
      <w:r w:rsidRPr="002D1A2F">
        <w:t>“</w:t>
      </w:r>
      <w:r w:rsidRPr="002D1A2F">
        <w:rPr>
          <w:b/>
        </w:rPr>
        <w:t>Cornerstone Investors</w:t>
      </w:r>
      <w:r w:rsidRPr="002D1A2F">
        <w:t xml:space="preserve">” </w:t>
      </w:r>
      <w:r w:rsidR="00F47977" w:rsidRPr="002D1A2F">
        <w:t>means those investors who have acquired Ordinary Shares and acquired a minority economic interest in the General Partner and in the Investment Manager, being AKRC Investments LLC, Casita, L.P., KFI and McNair;</w:t>
      </w:r>
    </w:p>
    <w:p w14:paraId="318F3296" w14:textId="77777777" w:rsidR="00F47977" w:rsidRPr="002D1A2F" w:rsidRDefault="00F47977" w:rsidP="00F47977">
      <w:pPr>
        <w:pStyle w:val="Bodytext"/>
        <w:spacing w:after="80"/>
      </w:pPr>
      <w:r w:rsidRPr="00D22603">
        <w:t>“</w:t>
      </w:r>
      <w:r w:rsidRPr="00D22603">
        <w:rPr>
          <w:b/>
        </w:rPr>
        <w:t>Corporate Brokers</w:t>
      </w:r>
      <w:r w:rsidRPr="00D22603">
        <w:t>” means JP Morgan Cazenove and Numis Securities Limited;</w:t>
      </w:r>
    </w:p>
    <w:p w14:paraId="08183D0F" w14:textId="346B0223" w:rsidR="00780C20" w:rsidRPr="004E028B" w:rsidRDefault="00780C20" w:rsidP="00780C20">
      <w:pPr>
        <w:pStyle w:val="Bodytext"/>
        <w:spacing w:after="80"/>
      </w:pPr>
      <w:r>
        <w:t>“</w:t>
      </w:r>
      <w:r>
        <w:rPr>
          <w:b/>
        </w:rPr>
        <w:t>C Corporations</w:t>
      </w:r>
      <w:r>
        <w:t xml:space="preserve">” means a C Corporation, under U.S. federal income tax law, being a corporation that is taxed separately from its owners; </w:t>
      </w:r>
    </w:p>
    <w:p w14:paraId="24EB2884" w14:textId="77777777" w:rsidR="00780C20" w:rsidRPr="002D1A2F" w:rsidRDefault="00780C20" w:rsidP="00780C20">
      <w:pPr>
        <w:pStyle w:val="Bodytext"/>
        <w:spacing w:after="80"/>
      </w:pPr>
      <w:r w:rsidRPr="002D1A2F">
        <w:t>“</w:t>
      </w:r>
      <w:r w:rsidRPr="002D1A2F">
        <w:rPr>
          <w:b/>
        </w:rPr>
        <w:t>CRAR</w:t>
      </w:r>
      <w:r w:rsidRPr="002D1A2F">
        <w:t>” means Capital to Risk (Weighted) Assets Ratio;</w:t>
      </w:r>
    </w:p>
    <w:p w14:paraId="6C7E0F0A" w14:textId="7C4789E4" w:rsidR="00780C20" w:rsidRDefault="00780C20" w:rsidP="00780C20">
      <w:pPr>
        <w:pStyle w:val="Bodytext"/>
        <w:spacing w:after="80"/>
      </w:pPr>
      <w:r w:rsidRPr="002D1A2F">
        <w:t>“</w:t>
      </w:r>
      <w:r w:rsidRPr="002D1A2F">
        <w:rPr>
          <w:b/>
        </w:rPr>
        <w:t>CRS</w:t>
      </w:r>
      <w:r w:rsidRPr="002D1A2F">
        <w:t>” means Common Reporting Standard;</w:t>
      </w:r>
    </w:p>
    <w:p w14:paraId="5F81DDF9" w14:textId="2F8A7EAC" w:rsidR="00AD57E5" w:rsidRPr="002D1A2F" w:rsidRDefault="00AD57E5" w:rsidP="00780C20">
      <w:pPr>
        <w:pStyle w:val="Bodytext"/>
        <w:spacing w:after="80"/>
      </w:pPr>
      <w:r>
        <w:t>“</w:t>
      </w:r>
      <w:r w:rsidRPr="007A53ED">
        <w:rPr>
          <w:b/>
        </w:rPr>
        <w:t>DEA</w:t>
      </w:r>
      <w:r>
        <w:t>” means</w:t>
      </w:r>
      <w:r w:rsidRPr="007A53ED">
        <w:t xml:space="preserve"> Deutsche Erdoel AG, an international independent exploration and production company headquartered in Germany</w:t>
      </w:r>
      <w:r>
        <w:t>;</w:t>
      </w:r>
    </w:p>
    <w:p w14:paraId="3B13F097" w14:textId="70E6BCD8" w:rsidR="00780C20" w:rsidRDefault="00780C20" w:rsidP="00780C20">
      <w:pPr>
        <w:pStyle w:val="Bodytext"/>
        <w:spacing w:after="80"/>
      </w:pPr>
      <w:r w:rsidRPr="002D1A2F">
        <w:t>“</w:t>
      </w:r>
      <w:r w:rsidRPr="002D1A2F">
        <w:rPr>
          <w:b/>
        </w:rPr>
        <w:t>Depositary</w:t>
      </w:r>
      <w:r w:rsidRPr="002D1A2F">
        <w:t xml:space="preserve">” </w:t>
      </w:r>
      <w:r w:rsidRPr="00C50AB9">
        <w:t xml:space="preserve">means </w:t>
      </w:r>
      <w:r w:rsidR="00F47977">
        <w:t xml:space="preserve">Ocorian Depositary Company (UK) Limited (formerly </w:t>
      </w:r>
      <w:r w:rsidRPr="00C50AB9">
        <w:t xml:space="preserve">Estera </w:t>
      </w:r>
      <w:r w:rsidR="00A073D9">
        <w:t>Depositary Company (UK) Limited</w:t>
      </w:r>
      <w:r w:rsidR="00F47977">
        <w:t>)</w:t>
      </w:r>
      <w:r w:rsidR="00A073D9">
        <w:t>;</w:t>
      </w:r>
    </w:p>
    <w:p w14:paraId="1CF1EF88" w14:textId="724ACFA3" w:rsidR="00244F65" w:rsidRPr="002D1A2F" w:rsidRDefault="00244F65" w:rsidP="00780C20">
      <w:pPr>
        <w:pStyle w:val="Bodytext"/>
        <w:spacing w:after="80"/>
      </w:pPr>
      <w:r>
        <w:t>“</w:t>
      </w:r>
      <w:r w:rsidRPr="00175CCC">
        <w:rPr>
          <w:b/>
        </w:rPr>
        <w:t>Discontinuation Resolution</w:t>
      </w:r>
      <w:r>
        <w:t>” means a special resolution that must be proposed to the Company’s Shareholders to discontinue the Company within six weeks of the seventh anniversary of the Company’s first Admission if the trading price has not met the Target Price, and the Invested Capital Target Return has not been met;</w:t>
      </w:r>
    </w:p>
    <w:p w14:paraId="0701915F" w14:textId="77777777" w:rsidR="00780C20" w:rsidRPr="00C63C73" w:rsidRDefault="00780C20" w:rsidP="00780C20">
      <w:pPr>
        <w:pStyle w:val="Bodytext"/>
        <w:spacing w:after="80"/>
      </w:pPr>
      <w:r>
        <w:t>“</w:t>
      </w:r>
      <w:r>
        <w:rPr>
          <w:b/>
        </w:rPr>
        <w:t>Discount to NAV</w:t>
      </w:r>
      <w:r>
        <w:t>” means the situation where the Ordinary shares of the Company are trading at a price lower than the Company’s Net Asset Value;</w:t>
      </w:r>
    </w:p>
    <w:p w14:paraId="41D9EB6B" w14:textId="77777777" w:rsidR="00F47977" w:rsidRPr="00C63C73" w:rsidRDefault="00F47977" w:rsidP="00F47977">
      <w:pPr>
        <w:pStyle w:val="Bodytext"/>
        <w:spacing w:after="80"/>
      </w:pPr>
      <w:r w:rsidRPr="003C2192">
        <w:t>“</w:t>
      </w:r>
      <w:r w:rsidRPr="003C2192">
        <w:rPr>
          <w:b/>
        </w:rPr>
        <w:t>Disclosure Guidance and Transparency Rules</w:t>
      </w:r>
      <w:r w:rsidRPr="003C2192">
        <w:t>” or “</w:t>
      </w:r>
      <w:r w:rsidRPr="003C2192">
        <w:rPr>
          <w:b/>
        </w:rPr>
        <w:t>DTRs</w:t>
      </w:r>
      <w:r w:rsidRPr="003C2192">
        <w:t>” mean the disclosure guidance published by the FCA and the transparency rules made by the FCA under section 73A of FSMA;</w:t>
      </w:r>
    </w:p>
    <w:p w14:paraId="6232AC0C" w14:textId="452B5B3D" w:rsidR="00780C20" w:rsidRPr="002D1A2F" w:rsidRDefault="00780C20" w:rsidP="00F47977">
      <w:pPr>
        <w:pStyle w:val="Bodytext"/>
        <w:spacing w:after="80"/>
      </w:pPr>
      <w:r w:rsidRPr="002D1A2F">
        <w:t>“</w:t>
      </w:r>
      <w:r w:rsidRPr="002D1A2F">
        <w:rPr>
          <w:b/>
        </w:rPr>
        <w:t>E&amp;P</w:t>
      </w:r>
      <w:r w:rsidRPr="002D1A2F">
        <w:t>” means exploration and production;</w:t>
      </w:r>
    </w:p>
    <w:p w14:paraId="4CFF2D96" w14:textId="77777777" w:rsidR="00780C20" w:rsidRPr="002D1A2F" w:rsidRDefault="00780C20" w:rsidP="00780C20">
      <w:pPr>
        <w:pStyle w:val="Bodytext"/>
        <w:spacing w:after="80"/>
      </w:pPr>
      <w:r w:rsidRPr="002D1A2F">
        <w:t>“</w:t>
      </w:r>
      <w:r w:rsidRPr="002D1A2F">
        <w:rPr>
          <w:b/>
        </w:rPr>
        <w:t>Eagle II</w:t>
      </w:r>
      <w:r w:rsidRPr="002D1A2F">
        <w:t>” means Eagle Energy Exploration, LLC;</w:t>
      </w:r>
    </w:p>
    <w:p w14:paraId="7484BC8A" w14:textId="77777777" w:rsidR="00780C20" w:rsidRPr="002D1A2F" w:rsidRDefault="00780C20" w:rsidP="00780C20">
      <w:pPr>
        <w:pStyle w:val="Bodytext"/>
        <w:spacing w:after="80"/>
      </w:pPr>
      <w:r w:rsidRPr="002D1A2F">
        <w:t>“</w:t>
      </w:r>
      <w:r w:rsidRPr="002D1A2F">
        <w:rPr>
          <w:b/>
        </w:rPr>
        <w:t>Earnings per Share</w:t>
      </w:r>
      <w:r w:rsidRPr="002D1A2F">
        <w:t>” or “</w:t>
      </w:r>
      <w:r w:rsidRPr="002D1A2F">
        <w:rPr>
          <w:b/>
        </w:rPr>
        <w:t>EPS</w:t>
      </w:r>
      <w:r w:rsidRPr="002D1A2F">
        <w:t>” means the Earnings per Ordinary Share and is expressed in U.S. dollars</w:t>
      </w:r>
      <w:r>
        <w:t>;</w:t>
      </w:r>
    </w:p>
    <w:p w14:paraId="0C9EBA1B" w14:textId="77777777" w:rsidR="00F47977" w:rsidRDefault="00780C20" w:rsidP="00780C20">
      <w:pPr>
        <w:pStyle w:val="Bodytext"/>
        <w:spacing w:after="80"/>
      </w:pPr>
      <w:r w:rsidRPr="002D1A2F">
        <w:t>“</w:t>
      </w:r>
      <w:r w:rsidRPr="002D1A2F">
        <w:rPr>
          <w:b/>
        </w:rPr>
        <w:t>EBITDA</w:t>
      </w:r>
      <w:r w:rsidRPr="002D1A2F">
        <w:t>” means earnings before interest, taxes, depreciation and</w:t>
      </w:r>
      <w:r w:rsidR="00F47977">
        <w:t xml:space="preserve"> amortisation;</w:t>
      </w:r>
    </w:p>
    <w:p w14:paraId="3AC47F4B" w14:textId="072B4C16" w:rsidR="00780C20" w:rsidRDefault="00780C20" w:rsidP="00780C20">
      <w:pPr>
        <w:pStyle w:val="Bodytext"/>
        <w:spacing w:after="80"/>
      </w:pPr>
      <w:r w:rsidRPr="002D1A2F">
        <w:t>“</w:t>
      </w:r>
      <w:r w:rsidRPr="002D1A2F">
        <w:rPr>
          <w:b/>
        </w:rPr>
        <w:t>ECI</w:t>
      </w:r>
      <w:r w:rsidRPr="002D1A2F">
        <w:t>” means effectively connected income</w:t>
      </w:r>
      <w:r>
        <w:t>, which refers to all income from sources within the United States connected with the conduct of a trade or business</w:t>
      </w:r>
      <w:r w:rsidRPr="002D1A2F">
        <w:t>;</w:t>
      </w:r>
    </w:p>
    <w:p w14:paraId="1B00067C" w14:textId="77777777" w:rsidR="00F47977" w:rsidRPr="006C0E66" w:rsidRDefault="00F47977" w:rsidP="00F47977">
      <w:pPr>
        <w:pStyle w:val="Bodytext"/>
        <w:spacing w:after="80"/>
      </w:pPr>
      <w:r>
        <w:t>“</w:t>
      </w:r>
      <w:r w:rsidRPr="002174F2">
        <w:rPr>
          <w:b/>
        </w:rPr>
        <w:t>ECL</w:t>
      </w:r>
      <w:r>
        <w:t>” means expected credit loss;</w:t>
      </w:r>
    </w:p>
    <w:p w14:paraId="1F5435E4" w14:textId="77777777" w:rsidR="00780C20" w:rsidRPr="002D1A2F" w:rsidRDefault="00780C20" w:rsidP="00780C20">
      <w:pPr>
        <w:pStyle w:val="Bodytext"/>
        <w:spacing w:after="80"/>
      </w:pPr>
      <w:r w:rsidRPr="002D1A2F">
        <w:t>“</w:t>
      </w:r>
      <w:r w:rsidRPr="002D1A2F">
        <w:rPr>
          <w:b/>
        </w:rPr>
        <w:t>EEA</w:t>
      </w:r>
      <w:r w:rsidRPr="002D1A2F">
        <w:t>” means European Economic Area;</w:t>
      </w:r>
    </w:p>
    <w:p w14:paraId="7CA436E7" w14:textId="0DCE1955" w:rsidR="00780C20" w:rsidRDefault="00780C20" w:rsidP="00780C20">
      <w:pPr>
        <w:pStyle w:val="Bodytext"/>
        <w:spacing w:after="80"/>
      </w:pPr>
      <w:r w:rsidRPr="002D1A2F">
        <w:lastRenderedPageBreak/>
        <w:t>“</w:t>
      </w:r>
      <w:r w:rsidRPr="002D1A2F">
        <w:rPr>
          <w:b/>
        </w:rPr>
        <w:t>EGM</w:t>
      </w:r>
      <w:r w:rsidRPr="002D1A2F">
        <w:t xml:space="preserve">” means an Extraordinary General Meeting of the Company; </w:t>
      </w:r>
    </w:p>
    <w:p w14:paraId="6F7D6536" w14:textId="77777777" w:rsidR="00C23946" w:rsidRPr="00C23946" w:rsidRDefault="00C23946" w:rsidP="00C23946">
      <w:pPr>
        <w:pStyle w:val="Bodytext"/>
      </w:pPr>
      <w:r w:rsidRPr="00C23946">
        <w:t>“</w:t>
      </w:r>
      <w:r w:rsidRPr="00C23946">
        <w:rPr>
          <w:b/>
        </w:rPr>
        <w:t>EIA</w:t>
      </w:r>
      <w:r w:rsidRPr="00C23946">
        <w:t>” means the U.S. Energy Information Administration;</w:t>
      </w:r>
    </w:p>
    <w:p w14:paraId="05DDBA07" w14:textId="6167CB00" w:rsidR="00C94C65" w:rsidRDefault="00C94C65" w:rsidP="00780C20">
      <w:pPr>
        <w:pStyle w:val="Bodytext"/>
        <w:spacing w:after="80"/>
      </w:pPr>
      <w:r>
        <w:t>“</w:t>
      </w:r>
      <w:r w:rsidRPr="00C94C65">
        <w:rPr>
          <w:b/>
          <w:bCs/>
        </w:rPr>
        <w:t>Enviva</w:t>
      </w:r>
      <w:r>
        <w:t>” means Enviva Holdings, L.P.;</w:t>
      </w:r>
    </w:p>
    <w:p w14:paraId="42DB3C45" w14:textId="40BF4C45" w:rsidR="00780C20" w:rsidRPr="002D1A2F" w:rsidRDefault="00780C20" w:rsidP="00780C20">
      <w:pPr>
        <w:pStyle w:val="Bodytext"/>
        <w:spacing w:after="80"/>
      </w:pPr>
      <w:r w:rsidRPr="002D1A2F">
        <w:t>“</w:t>
      </w:r>
      <w:r w:rsidRPr="002D1A2F">
        <w:rPr>
          <w:b/>
        </w:rPr>
        <w:t>EU</w:t>
      </w:r>
      <w:r w:rsidRPr="002D1A2F">
        <w:t>” means the European Union;</w:t>
      </w:r>
    </w:p>
    <w:p w14:paraId="6FA402BF" w14:textId="77777777" w:rsidR="00780C20" w:rsidRPr="002D1A2F" w:rsidRDefault="00780C20" w:rsidP="00780C20">
      <w:pPr>
        <w:pStyle w:val="Bodytext"/>
        <w:spacing w:after="80"/>
      </w:pPr>
      <w:r w:rsidRPr="002D1A2F">
        <w:t>“</w:t>
      </w:r>
      <w:r w:rsidRPr="002D1A2F">
        <w:rPr>
          <w:b/>
        </w:rPr>
        <w:t>EV</w:t>
      </w:r>
      <w:r w:rsidRPr="002D1A2F">
        <w:t>” means enterprise value;</w:t>
      </w:r>
    </w:p>
    <w:p w14:paraId="020A57DF" w14:textId="77777777" w:rsidR="00780C20" w:rsidRPr="002D1A2F" w:rsidRDefault="00780C20" w:rsidP="00780C20">
      <w:pPr>
        <w:pStyle w:val="Bodytext"/>
        <w:spacing w:after="80"/>
      </w:pPr>
      <w:r>
        <w:t>“</w:t>
      </w:r>
      <w:r w:rsidRPr="00C14AAA">
        <w:rPr>
          <w:b/>
        </w:rPr>
        <w:t>FATCA</w:t>
      </w:r>
      <w:r>
        <w:t>” means Foreign Account Tax Compliance Act;</w:t>
      </w:r>
    </w:p>
    <w:p w14:paraId="61D9AA80" w14:textId="77777777" w:rsidR="00780C20" w:rsidRPr="002D1A2F" w:rsidRDefault="00780C20" w:rsidP="00780C20">
      <w:pPr>
        <w:pStyle w:val="Bodytext"/>
        <w:spacing w:after="80"/>
      </w:pPr>
      <w:r w:rsidRPr="002D1A2F">
        <w:t>“</w:t>
      </w:r>
      <w:r w:rsidRPr="002D1A2F">
        <w:rPr>
          <w:b/>
        </w:rPr>
        <w:t>FCA</w:t>
      </w:r>
      <w:r w:rsidRPr="002D1A2F">
        <w:t>” means the UK Financial Conduct Authority (or its successor bodies);</w:t>
      </w:r>
    </w:p>
    <w:p w14:paraId="766EDBF2" w14:textId="77777777" w:rsidR="00780C20" w:rsidRPr="002D1A2F" w:rsidRDefault="00780C20" w:rsidP="00780C20">
      <w:pPr>
        <w:pStyle w:val="Bodytext"/>
        <w:spacing w:after="80"/>
      </w:pPr>
      <w:r w:rsidRPr="002D1A2F">
        <w:t>“</w:t>
      </w:r>
      <w:r w:rsidRPr="002D1A2F">
        <w:rPr>
          <w:b/>
        </w:rPr>
        <w:t>Fieldwood</w:t>
      </w:r>
      <w:r w:rsidRPr="002D1A2F">
        <w:t>” means Fieldwood Energy LLC;</w:t>
      </w:r>
    </w:p>
    <w:p w14:paraId="15F8D5E4" w14:textId="77777777" w:rsidR="00780C20" w:rsidRPr="002D1A2F" w:rsidRDefault="00780C20" w:rsidP="00780C20">
      <w:pPr>
        <w:pStyle w:val="Bodytext"/>
        <w:spacing w:after="80"/>
      </w:pPr>
      <w:r w:rsidRPr="002D1A2F">
        <w:t>“</w:t>
      </w:r>
      <w:r w:rsidRPr="002D1A2F">
        <w:rPr>
          <w:b/>
        </w:rPr>
        <w:t>Financial Statements</w:t>
      </w:r>
      <w:r w:rsidRPr="002D1A2F">
        <w:t>” means the audited financial statements of the Company, including the Statement of Financial Position, the Statement of Comprehensive Income, the Statement of Cash Flows, the Statement of Changes in Equity and associated notes;</w:t>
      </w:r>
    </w:p>
    <w:p w14:paraId="063252CA" w14:textId="53B260B3" w:rsidR="00780C20" w:rsidRDefault="00780C20" w:rsidP="00780C20">
      <w:pPr>
        <w:pStyle w:val="Bodytext"/>
        <w:spacing w:after="80"/>
      </w:pPr>
      <w:r>
        <w:t>“</w:t>
      </w:r>
      <w:r w:rsidRPr="00C14AAA">
        <w:rPr>
          <w:b/>
        </w:rPr>
        <w:t>FRC</w:t>
      </w:r>
      <w:r>
        <w:t>” means Financial Reporting Council</w:t>
      </w:r>
      <w:r w:rsidR="008376DE">
        <w:t>;</w:t>
      </w:r>
    </w:p>
    <w:p w14:paraId="0CBA62B1" w14:textId="4E5B44ED" w:rsidR="00780C20" w:rsidRPr="002D1A2F" w:rsidRDefault="00780C20" w:rsidP="00780C20">
      <w:pPr>
        <w:pStyle w:val="Bodytext"/>
        <w:spacing w:after="80"/>
      </w:pPr>
      <w:r w:rsidRPr="002D1A2F">
        <w:t>“</w:t>
      </w:r>
      <w:r w:rsidRPr="002D1A2F">
        <w:rPr>
          <w:b/>
        </w:rPr>
        <w:t>Fund V</w:t>
      </w:r>
      <w:r w:rsidRPr="002D1A2F">
        <w:t>” means Riverstone Global Energy &amp; Power Fund V, L.P.;</w:t>
      </w:r>
    </w:p>
    <w:p w14:paraId="6568DCD7" w14:textId="123DA79F" w:rsidR="00780C20" w:rsidRDefault="00780C20" w:rsidP="00780C20">
      <w:pPr>
        <w:pStyle w:val="Bodytext"/>
        <w:spacing w:after="80"/>
      </w:pPr>
      <w:r w:rsidRPr="002D1A2F">
        <w:t>“</w:t>
      </w:r>
      <w:r w:rsidRPr="002D1A2F">
        <w:rPr>
          <w:b/>
        </w:rPr>
        <w:t>Fund VI</w:t>
      </w:r>
      <w:r w:rsidRPr="002D1A2F">
        <w:t>” means Riverstone Global Energy &amp; Power Fund VI, L.P.;</w:t>
      </w:r>
    </w:p>
    <w:p w14:paraId="551D888D" w14:textId="77777777" w:rsidR="00F47977" w:rsidRDefault="00F47977" w:rsidP="00F47977">
      <w:pPr>
        <w:pStyle w:val="Bodytext"/>
        <w:spacing w:after="80"/>
      </w:pPr>
      <w:r>
        <w:t>“</w:t>
      </w:r>
      <w:r w:rsidRPr="00057129">
        <w:rPr>
          <w:b/>
          <w:bCs/>
        </w:rPr>
        <w:t>FVTPL</w:t>
      </w:r>
      <w:r>
        <w:t>” means F</w:t>
      </w:r>
      <w:r w:rsidRPr="001D00C6">
        <w:t xml:space="preserve">air </w:t>
      </w:r>
      <w:r>
        <w:t>V</w:t>
      </w:r>
      <w:r w:rsidRPr="001D00C6">
        <w:t xml:space="preserve">alue through </w:t>
      </w:r>
      <w:r>
        <w:t xml:space="preserve">the </w:t>
      </w:r>
      <w:r w:rsidRPr="001D00C6">
        <w:t>profit or loss</w:t>
      </w:r>
      <w:r>
        <w:t>;</w:t>
      </w:r>
    </w:p>
    <w:p w14:paraId="02ED1B52" w14:textId="77777777" w:rsidR="00780C20" w:rsidRPr="002D1A2F" w:rsidRDefault="00780C20" w:rsidP="00780C20">
      <w:pPr>
        <w:pStyle w:val="Bodytext"/>
        <w:spacing w:after="80"/>
      </w:pPr>
      <w:r w:rsidRPr="002D1A2F">
        <w:t>“</w:t>
      </w:r>
      <w:r w:rsidRPr="002D1A2F">
        <w:rPr>
          <w:b/>
        </w:rPr>
        <w:t>General Partner</w:t>
      </w:r>
      <w:r w:rsidRPr="002D1A2F">
        <w:t>” means REL IP General Partner LP (acting through its general partner, REL IP General Partner Limited), the general partner of the Partnership and a member of the Riverstone group;</w:t>
      </w:r>
    </w:p>
    <w:p w14:paraId="5D3DCBE4" w14:textId="77777777" w:rsidR="00780C20" w:rsidRPr="002D1A2F" w:rsidRDefault="00780C20" w:rsidP="00780C20">
      <w:pPr>
        <w:pStyle w:val="Bodytext"/>
        <w:spacing w:after="80"/>
      </w:pPr>
      <w:r w:rsidRPr="002D1A2F">
        <w:t>“</w:t>
      </w:r>
      <w:r w:rsidRPr="002D1A2F">
        <w:rPr>
          <w:b/>
        </w:rPr>
        <w:t>GFSC</w:t>
      </w:r>
      <w:r w:rsidRPr="002D1A2F">
        <w:t>” or “</w:t>
      </w:r>
      <w:r w:rsidRPr="002D1A2F">
        <w:rPr>
          <w:b/>
        </w:rPr>
        <w:t>Commission</w:t>
      </w:r>
      <w:r w:rsidRPr="002D1A2F">
        <w:t>” means the Guernsey Financial Services Commission;</w:t>
      </w:r>
    </w:p>
    <w:p w14:paraId="26C3BF07" w14:textId="77777777" w:rsidR="00780C20" w:rsidRPr="002D1A2F" w:rsidRDefault="00780C20" w:rsidP="00780C20">
      <w:pPr>
        <w:pStyle w:val="Bodytext"/>
        <w:spacing w:after="80"/>
      </w:pPr>
      <w:r w:rsidRPr="002D1A2F">
        <w:t>“</w:t>
      </w:r>
      <w:r w:rsidRPr="002D1A2F">
        <w:rPr>
          <w:b/>
        </w:rPr>
        <w:t>GFSC Code</w:t>
      </w:r>
      <w:r w:rsidRPr="002D1A2F">
        <w:t>” means the GFSC Finance Sector Code of Corporate Governance;</w:t>
      </w:r>
    </w:p>
    <w:p w14:paraId="3E8427D1" w14:textId="77777777" w:rsidR="00780C20" w:rsidRPr="004553BB" w:rsidRDefault="00780C20" w:rsidP="00780C20">
      <w:pPr>
        <w:pStyle w:val="Bodytext"/>
        <w:spacing w:after="80"/>
      </w:pPr>
      <w:r>
        <w:t>“</w:t>
      </w:r>
      <w:r>
        <w:rPr>
          <w:b/>
        </w:rPr>
        <w:t>GoM</w:t>
      </w:r>
      <w:r>
        <w:t>” means the Gulf of Mexico;</w:t>
      </w:r>
    </w:p>
    <w:p w14:paraId="10DEB592" w14:textId="77777777" w:rsidR="00F47977" w:rsidRPr="002D1A2F" w:rsidRDefault="00F47977" w:rsidP="00F47977">
      <w:pPr>
        <w:pStyle w:val="Bodytext"/>
        <w:spacing w:after="80"/>
      </w:pPr>
      <w:r w:rsidRPr="002D1A2F">
        <w:t>“</w:t>
      </w:r>
      <w:r w:rsidRPr="002D1A2F">
        <w:rPr>
          <w:b/>
        </w:rPr>
        <w:t>Gross IRR</w:t>
      </w:r>
      <w:r w:rsidRPr="002D1A2F">
        <w:t>” means an aggregate, annual, compound, gross internal rate of return on investments. Gross IRR does not reflect expenses to be borne by the relevant investment vehicle or its investors including, without limitation, carried interest, management fees, taxes and organisational, partnership or transaction expenses;</w:t>
      </w:r>
    </w:p>
    <w:p w14:paraId="44C435CD" w14:textId="1C2E61F7" w:rsidR="00780C20" w:rsidRDefault="00780C20" w:rsidP="00F47977">
      <w:pPr>
        <w:pStyle w:val="Bodytext"/>
        <w:spacing w:after="80"/>
      </w:pPr>
      <w:r w:rsidRPr="002D1A2F">
        <w:t>“</w:t>
      </w:r>
      <w:r w:rsidRPr="002D1A2F">
        <w:rPr>
          <w:b/>
        </w:rPr>
        <w:t>Gross MOIC</w:t>
      </w:r>
      <w:r w:rsidRPr="002D1A2F">
        <w:t>” means gross multiple of invested capital;</w:t>
      </w:r>
    </w:p>
    <w:p w14:paraId="5F221035" w14:textId="451FCADE" w:rsidR="00AD57E5" w:rsidRDefault="00AD57E5" w:rsidP="00780C20">
      <w:pPr>
        <w:pStyle w:val="Bodytext"/>
        <w:spacing w:after="80"/>
      </w:pPr>
      <w:r>
        <w:t>“</w:t>
      </w:r>
      <w:r w:rsidRPr="00EA2741">
        <w:rPr>
          <w:b/>
        </w:rPr>
        <w:t>G20 Summit</w:t>
      </w:r>
      <w:r>
        <w:t xml:space="preserve">” means the </w:t>
      </w:r>
      <w:r w:rsidRPr="00EA2741">
        <w:rPr>
          <w:bCs/>
        </w:rPr>
        <w:t>2019 G20 Osaka summit</w:t>
      </w:r>
      <w:r w:rsidRPr="00EA2741">
        <w:t> </w:t>
      </w:r>
      <w:r>
        <w:t>which</w:t>
      </w:r>
      <w:r w:rsidRPr="00865EF6">
        <w:rPr>
          <w:bCs/>
        </w:rPr>
        <w:t xml:space="preserve"> was the </w:t>
      </w:r>
      <w:r w:rsidR="00865EF6" w:rsidRPr="00865EF6">
        <w:rPr>
          <w:bCs/>
        </w:rPr>
        <w:t>fourteenth</w:t>
      </w:r>
      <w:r w:rsidRPr="00865EF6">
        <w:rPr>
          <w:bCs/>
        </w:rPr>
        <w:t> meeting of the </w:t>
      </w:r>
      <w:r w:rsidR="00865EF6" w:rsidRPr="00865EF6">
        <w:rPr>
          <w:bCs/>
        </w:rPr>
        <w:t>G20</w:t>
      </w:r>
      <w:r w:rsidRPr="00865EF6">
        <w:rPr>
          <w:bCs/>
        </w:rPr>
        <w:t>, a forum of 19 countries and the </w:t>
      </w:r>
      <w:r w:rsidR="00865EF6" w:rsidRPr="00865EF6">
        <w:rPr>
          <w:bCs/>
        </w:rPr>
        <w:t>European U</w:t>
      </w:r>
      <w:r w:rsidRPr="00865EF6">
        <w:rPr>
          <w:bCs/>
        </w:rPr>
        <w:t>nion;</w:t>
      </w:r>
    </w:p>
    <w:p w14:paraId="3650DFC0" w14:textId="77777777" w:rsidR="00780C20" w:rsidRPr="002D1A2F" w:rsidRDefault="00780C20" w:rsidP="00780C20">
      <w:pPr>
        <w:pStyle w:val="Bodytext"/>
        <w:spacing w:after="80"/>
      </w:pPr>
      <w:r w:rsidRPr="00955678">
        <w:t>“</w:t>
      </w:r>
      <w:r w:rsidRPr="00955678">
        <w:rPr>
          <w:b/>
        </w:rPr>
        <w:t>Hammerhead</w:t>
      </w:r>
      <w:r w:rsidRPr="00955678">
        <w:t xml:space="preserve">” </w:t>
      </w:r>
      <w:r w:rsidR="002D07DB">
        <w:t>means Hammerhead Resources Inc.;</w:t>
      </w:r>
    </w:p>
    <w:p w14:paraId="57A4A044" w14:textId="77777777" w:rsidR="00780C20" w:rsidRPr="002D1A2F" w:rsidRDefault="00780C20" w:rsidP="00780C20">
      <w:pPr>
        <w:pStyle w:val="Bodytext"/>
        <w:spacing w:after="80"/>
      </w:pPr>
      <w:r w:rsidRPr="002D1A2F">
        <w:t>“</w:t>
      </w:r>
      <w:r w:rsidRPr="002D1A2F">
        <w:rPr>
          <w:b/>
        </w:rPr>
        <w:t>Hunt</w:t>
      </w:r>
      <w:r w:rsidRPr="002D1A2F">
        <w:t xml:space="preserve">” means Hunt REL Holdings LLC together with various members of Ray L. Hunt’s family and their </w:t>
      </w:r>
    </w:p>
    <w:p w14:paraId="61A53089" w14:textId="77777777" w:rsidR="00780C20" w:rsidRPr="002D1A2F" w:rsidRDefault="00780C20" w:rsidP="00780C20">
      <w:pPr>
        <w:pStyle w:val="Bodytext"/>
        <w:spacing w:after="80"/>
      </w:pPr>
      <w:r w:rsidRPr="002D1A2F">
        <w:t>related entities;</w:t>
      </w:r>
    </w:p>
    <w:p w14:paraId="1943DDD3" w14:textId="77777777" w:rsidR="00780C20" w:rsidRPr="002D1A2F" w:rsidRDefault="00780C20" w:rsidP="00780C20">
      <w:pPr>
        <w:pStyle w:val="Bodytext"/>
        <w:spacing w:after="80"/>
      </w:pPr>
      <w:r w:rsidRPr="002D1A2F">
        <w:t>“</w:t>
      </w:r>
      <w:r w:rsidRPr="002D1A2F">
        <w:rPr>
          <w:b/>
        </w:rPr>
        <w:t>IAS</w:t>
      </w:r>
      <w:r w:rsidRPr="002D1A2F">
        <w:t>” means international accounting standards as issued by the Board of the International Accounting Standards Committee;</w:t>
      </w:r>
    </w:p>
    <w:p w14:paraId="5BA1AA43" w14:textId="77777777" w:rsidR="00780C20" w:rsidRPr="002D1A2F" w:rsidRDefault="00780C20" w:rsidP="00780C20">
      <w:pPr>
        <w:pStyle w:val="Bodytext"/>
        <w:spacing w:after="80"/>
      </w:pPr>
      <w:r w:rsidRPr="002D1A2F">
        <w:t>“</w:t>
      </w:r>
      <w:r w:rsidRPr="002D1A2F">
        <w:rPr>
          <w:b/>
        </w:rPr>
        <w:t>IFRS</w:t>
      </w:r>
      <w:r w:rsidRPr="002D1A2F">
        <w:t>” means the International Financial Reporting Standards, being the principles-based accounting standards, interpretations and the framework by that name issued by the International Accounting Standards Board, as adopted by the EU;</w:t>
      </w:r>
    </w:p>
    <w:p w14:paraId="640DB889" w14:textId="712C6988" w:rsidR="00780C20" w:rsidRDefault="00780C20" w:rsidP="00780C20">
      <w:pPr>
        <w:pStyle w:val="Bodytext"/>
        <w:spacing w:after="80"/>
      </w:pPr>
      <w:r w:rsidRPr="002D1A2F">
        <w:t>“</w:t>
      </w:r>
      <w:r w:rsidRPr="002D1A2F">
        <w:rPr>
          <w:b/>
        </w:rPr>
        <w:t>ILX III</w:t>
      </w:r>
      <w:r w:rsidRPr="002D1A2F">
        <w:t>” means ILX Holdings III LLC;</w:t>
      </w:r>
    </w:p>
    <w:p w14:paraId="4FD9864F" w14:textId="507A3B73" w:rsidR="00C660C1" w:rsidRPr="002D1A2F" w:rsidRDefault="00C660C1" w:rsidP="00780C20">
      <w:pPr>
        <w:pStyle w:val="Bodytext"/>
        <w:spacing w:after="80"/>
      </w:pPr>
      <w:r>
        <w:t>“</w:t>
      </w:r>
      <w:r w:rsidRPr="00357314">
        <w:rPr>
          <w:b/>
        </w:rPr>
        <w:t>IMO</w:t>
      </w:r>
      <w:r>
        <w:t xml:space="preserve">” means the </w:t>
      </w:r>
      <w:r w:rsidRPr="00C660C1">
        <w:t>International</w:t>
      </w:r>
      <w:r>
        <w:t xml:space="preserve"> Maritime Organization (IMO), </w:t>
      </w:r>
      <w:r w:rsidRPr="00C660C1">
        <w:t>an agency of the United Nations which has been formed to promote maritime safety</w:t>
      </w:r>
      <w:r>
        <w:t>;</w:t>
      </w:r>
    </w:p>
    <w:p w14:paraId="7D6D44B2" w14:textId="43D64D23" w:rsidR="00780C20" w:rsidRPr="002D1A2F" w:rsidRDefault="00780C20" w:rsidP="00780C20">
      <w:pPr>
        <w:pStyle w:val="Bodytext"/>
        <w:spacing w:after="80"/>
      </w:pPr>
      <w:r w:rsidRPr="002D1A2F">
        <w:t>“</w:t>
      </w:r>
      <w:r w:rsidRPr="002D1A2F">
        <w:rPr>
          <w:b/>
        </w:rPr>
        <w:t>Interim Report</w:t>
      </w:r>
      <w:r w:rsidRPr="002D1A2F">
        <w:t>” means the Company’s half yearly report and unaudited interim condensed financial statements for the period ended 30 June;</w:t>
      </w:r>
    </w:p>
    <w:p w14:paraId="63F15434" w14:textId="6EAE47EF" w:rsidR="00780C20" w:rsidRPr="002D1A2F" w:rsidRDefault="00780C20" w:rsidP="00780C20">
      <w:pPr>
        <w:pStyle w:val="Bodytext"/>
        <w:spacing w:after="80"/>
      </w:pPr>
      <w:r w:rsidRPr="002D1A2F">
        <w:t>“</w:t>
      </w:r>
      <w:r w:rsidRPr="002D1A2F">
        <w:rPr>
          <w:b/>
        </w:rPr>
        <w:t>Investment Manager</w:t>
      </w:r>
      <w:r w:rsidRPr="002D1A2F">
        <w:t xml:space="preserve">” means </w:t>
      </w:r>
      <w:r w:rsidR="00527D71">
        <w:t xml:space="preserve">RIL (effective through 30 June 2020) and RIGL (effective after 30 June 2020) </w:t>
      </w:r>
      <w:r w:rsidRPr="002D1A2F">
        <w:t xml:space="preserve">which </w:t>
      </w:r>
      <w:r w:rsidR="00527D71">
        <w:t>are both</w:t>
      </w:r>
      <w:r w:rsidR="00527D71" w:rsidRPr="002D1A2F">
        <w:t xml:space="preserve"> </w:t>
      </w:r>
      <w:r w:rsidRPr="002D1A2F">
        <w:t>majority-owned and controlled by Riverstone;</w:t>
      </w:r>
    </w:p>
    <w:p w14:paraId="3C382C2D" w14:textId="3CA3CA22" w:rsidR="00780C20" w:rsidRPr="002D1A2F" w:rsidRDefault="00780C20" w:rsidP="00780C20">
      <w:pPr>
        <w:pStyle w:val="Bodytext"/>
        <w:spacing w:after="80"/>
      </w:pPr>
      <w:r w:rsidRPr="002D1A2F">
        <w:t>“</w:t>
      </w:r>
      <w:r w:rsidRPr="002D1A2F">
        <w:rPr>
          <w:b/>
        </w:rPr>
        <w:t>Investment Management Agreement</w:t>
      </w:r>
      <w:r w:rsidRPr="002D1A2F">
        <w:t>” means the investment management agreement dated 24 September 2013 between RIL, the Company and the Partnership (acting through its General Partner) under which RIL is appointed as the Investment Manager of both the Company and the Partnership</w:t>
      </w:r>
      <w:r w:rsidR="00527D71">
        <w:t xml:space="preserve"> (effective through 30 June 2020) and 2</w:t>
      </w:r>
      <w:r w:rsidR="00527D71" w:rsidRPr="00E7267B">
        <w:rPr>
          <w:vertAlign w:val="superscript"/>
        </w:rPr>
        <w:t>nd</w:t>
      </w:r>
      <w:r w:rsidR="00527D71">
        <w:t xml:space="preserve"> Amended &amp; Restated </w:t>
      </w:r>
      <w:r w:rsidR="00527D71" w:rsidRPr="002D1A2F">
        <w:t xml:space="preserve">investment management agreement </w:t>
      </w:r>
      <w:r w:rsidR="00527D71">
        <w:t>effective after 30 June 2020</w:t>
      </w:r>
      <w:r w:rsidR="00527D71" w:rsidRPr="002D1A2F">
        <w:t xml:space="preserve"> between RI</w:t>
      </w:r>
      <w:r w:rsidR="00527D71">
        <w:t>G</w:t>
      </w:r>
      <w:r w:rsidR="00527D71" w:rsidRPr="002D1A2F">
        <w:t>L, the Company and the Partnership (acting through its General Partner) under which RI</w:t>
      </w:r>
      <w:r w:rsidR="00527D71">
        <w:t>G</w:t>
      </w:r>
      <w:r w:rsidR="00527D71" w:rsidRPr="002D1A2F">
        <w:t>L is appointed as the Investment Manager of both the Company and the Partnership</w:t>
      </w:r>
      <w:r w:rsidRPr="002D1A2F">
        <w:t>;</w:t>
      </w:r>
    </w:p>
    <w:p w14:paraId="44A6217E" w14:textId="77777777" w:rsidR="00F47977" w:rsidRPr="002D1A2F" w:rsidRDefault="00F47977" w:rsidP="00F47977">
      <w:pPr>
        <w:pStyle w:val="Bodytext"/>
        <w:spacing w:after="80"/>
      </w:pPr>
      <w:r>
        <w:t>“</w:t>
      </w:r>
      <w:r w:rsidRPr="00C170F4">
        <w:rPr>
          <w:b/>
        </w:rPr>
        <w:t>Invested Capital Target Return</w:t>
      </w:r>
      <w:r>
        <w:t xml:space="preserve">” means, as defined in the Articles, the Gross IRR of 8 per cent. on the portion of the proceeds of the Issue (as such term is defined in the Company’s Prospectus) that have been invested or committed to an investment (“Invested Capital”) in respect of the period from the dates of investment or commitment of that Invested Capital (being the dates from which a Management Fee has been paid in respect of that Invested Capital) to the seventh anniversary of the first Admission, calculated by reference to the prevailing U.S. dollar valuations (as of the seventh anniversary of the first Admission (or earlier disposal)) of the investment acquired with that Invested Capital and sales proceeds of investments that </w:t>
      </w:r>
      <w:r>
        <w:lastRenderedPageBreak/>
        <w:t>have been disposed of prior to such seventh anniversary and taking account of any distributions made on those investments prior to the seventh anniversary of the first Admission;</w:t>
      </w:r>
    </w:p>
    <w:p w14:paraId="520399A8" w14:textId="72393145" w:rsidR="00780C20" w:rsidRPr="002D1A2F" w:rsidRDefault="00780C20" w:rsidP="00F47977">
      <w:pPr>
        <w:pStyle w:val="Bodytext"/>
        <w:spacing w:after="80"/>
      </w:pPr>
      <w:r w:rsidRPr="002D1A2F">
        <w:t>“</w:t>
      </w:r>
      <w:r w:rsidRPr="002D1A2F">
        <w:rPr>
          <w:b/>
        </w:rPr>
        <w:t>Investment Undertaking</w:t>
      </w:r>
      <w:r w:rsidRPr="002D1A2F">
        <w:t>” means the Partnership, any intermediate holding or investing entities that the Company or the Partnership may establish from time to time for the purposes of efficient portfolio management and to assist with tax planning generally and any subsidiary undertaking of the Company or the Partnership from time to time;</w:t>
      </w:r>
    </w:p>
    <w:p w14:paraId="6F2A9DAA" w14:textId="77777777" w:rsidR="00780C20" w:rsidRPr="002D1A2F" w:rsidRDefault="00780C20" w:rsidP="00780C20">
      <w:pPr>
        <w:pStyle w:val="Bodytext"/>
        <w:spacing w:after="80"/>
      </w:pPr>
      <w:r w:rsidRPr="002D1A2F">
        <w:t>“</w:t>
      </w:r>
      <w:r w:rsidRPr="002D1A2F">
        <w:rPr>
          <w:b/>
        </w:rPr>
        <w:t>IPEV Valuation Guidelines</w:t>
      </w:r>
      <w:r w:rsidRPr="002D1A2F">
        <w:t>” means the International Private Equity and Venture Capital Valuation Guidelines;</w:t>
      </w:r>
    </w:p>
    <w:p w14:paraId="50EF8894" w14:textId="77777777" w:rsidR="00780C20" w:rsidRDefault="00780C20" w:rsidP="00780C20">
      <w:pPr>
        <w:pStyle w:val="Bodytext"/>
        <w:spacing w:after="80"/>
      </w:pPr>
      <w:r w:rsidRPr="002D1A2F">
        <w:t>“</w:t>
      </w:r>
      <w:r w:rsidRPr="002D1A2F">
        <w:rPr>
          <w:b/>
        </w:rPr>
        <w:t>IPO</w:t>
      </w:r>
      <w:r w:rsidRPr="002D1A2F">
        <w:t>” means the initial public offering of shares by a private company to the public;</w:t>
      </w:r>
    </w:p>
    <w:p w14:paraId="10577F58" w14:textId="77777777" w:rsidR="00780C20" w:rsidRPr="002D1A2F" w:rsidRDefault="00780C20" w:rsidP="00780C20">
      <w:pPr>
        <w:pStyle w:val="Bodytext"/>
        <w:spacing w:after="80"/>
      </w:pPr>
      <w:r>
        <w:t>“</w:t>
      </w:r>
      <w:r w:rsidRPr="004E028B">
        <w:rPr>
          <w:b/>
        </w:rPr>
        <w:t>IRS</w:t>
      </w:r>
      <w:r>
        <w:t xml:space="preserve">” means the Internal Revenue Service, the revenue service of the U.S. federal government; </w:t>
      </w:r>
    </w:p>
    <w:p w14:paraId="07BD03D3" w14:textId="77777777" w:rsidR="00780C20" w:rsidRPr="002D1A2F" w:rsidRDefault="00780C20" w:rsidP="00780C20">
      <w:pPr>
        <w:pStyle w:val="Bodytext"/>
        <w:spacing w:after="80"/>
      </w:pPr>
      <w:r w:rsidRPr="002D1A2F">
        <w:t>“</w:t>
      </w:r>
      <w:r w:rsidRPr="002D1A2F">
        <w:rPr>
          <w:b/>
        </w:rPr>
        <w:t>ISAE 3402</w:t>
      </w:r>
      <w:r w:rsidRPr="002D1A2F">
        <w:t>” means International Standard on Assurance Engagements 3402, “Assurance Reports on Controls at a Service Organisation”;</w:t>
      </w:r>
    </w:p>
    <w:p w14:paraId="7948799C" w14:textId="77777777" w:rsidR="00780C20" w:rsidRPr="002D1A2F" w:rsidRDefault="00780C20" w:rsidP="00780C20">
      <w:pPr>
        <w:pStyle w:val="Bodytext"/>
        <w:spacing w:after="80"/>
      </w:pPr>
      <w:r w:rsidRPr="002D1A2F">
        <w:t>“</w:t>
      </w:r>
      <w:r w:rsidRPr="002D1A2F">
        <w:rPr>
          <w:b/>
        </w:rPr>
        <w:t>ISA</w:t>
      </w:r>
      <w:r w:rsidRPr="002D1A2F">
        <w:t xml:space="preserve">” means International Standards on Auditing (UK and Ireland);  </w:t>
      </w:r>
    </w:p>
    <w:p w14:paraId="6C6E4C35" w14:textId="1DC20BF5" w:rsidR="00780C20" w:rsidRDefault="00780C20" w:rsidP="00780C20">
      <w:pPr>
        <w:pStyle w:val="Bodytext"/>
        <w:spacing w:after="80"/>
      </w:pPr>
      <w:r w:rsidRPr="002D1A2F">
        <w:t>“</w:t>
      </w:r>
      <w:r w:rsidRPr="002D1A2F">
        <w:rPr>
          <w:b/>
        </w:rPr>
        <w:t>ISIN</w:t>
      </w:r>
      <w:r w:rsidRPr="002D1A2F">
        <w:t>” means an International Securities Identification Number;</w:t>
      </w:r>
    </w:p>
    <w:p w14:paraId="38517505" w14:textId="6746392B" w:rsidR="00357314" w:rsidRPr="002D1A2F" w:rsidRDefault="00357314" w:rsidP="00780C20">
      <w:pPr>
        <w:pStyle w:val="Bodytext"/>
        <w:spacing w:after="80"/>
      </w:pPr>
      <w:r>
        <w:t>“</w:t>
      </w:r>
      <w:r w:rsidRPr="00357314">
        <w:rPr>
          <w:b/>
        </w:rPr>
        <w:t>ISRE</w:t>
      </w:r>
      <w:r>
        <w:rPr>
          <w:b/>
        </w:rPr>
        <w:t xml:space="preserve"> 2410</w:t>
      </w:r>
      <w:r>
        <w:t>” means International Standard on Review Engagements 2410, “</w:t>
      </w:r>
      <w:r w:rsidRPr="00357314">
        <w:t>Review of Interim Financial Information Performed by the Independent Auditor of the Entity</w:t>
      </w:r>
      <w:r>
        <w:t>”;</w:t>
      </w:r>
    </w:p>
    <w:p w14:paraId="5E6E74BA" w14:textId="77777777" w:rsidR="00780C20" w:rsidRPr="002D1A2F" w:rsidRDefault="00780C20" w:rsidP="00780C20">
      <w:pPr>
        <w:pStyle w:val="Bodytext"/>
        <w:spacing w:after="80"/>
      </w:pPr>
      <w:r w:rsidRPr="002D1A2F">
        <w:t>“</w:t>
      </w:r>
      <w:r w:rsidRPr="002D1A2F">
        <w:rPr>
          <w:b/>
        </w:rPr>
        <w:t>KFI</w:t>
      </w:r>
      <w:r w:rsidRPr="002D1A2F">
        <w:t>” means Kendall Family Investments, LLC, a cornerstone investor in the Company;</w:t>
      </w:r>
    </w:p>
    <w:p w14:paraId="4E80FDED" w14:textId="77777777" w:rsidR="00780C20" w:rsidRPr="002D1A2F" w:rsidRDefault="00780C20" w:rsidP="00780C20">
      <w:pPr>
        <w:pStyle w:val="Bodytext"/>
        <w:spacing w:after="80"/>
      </w:pPr>
      <w:r w:rsidRPr="002D1A2F">
        <w:t>“</w:t>
      </w:r>
      <w:r w:rsidRPr="002D1A2F">
        <w:rPr>
          <w:b/>
        </w:rPr>
        <w:t>Liberty II</w:t>
      </w:r>
      <w:r w:rsidRPr="002D1A2F">
        <w:t>” means Liberty Resources II LLC;</w:t>
      </w:r>
    </w:p>
    <w:p w14:paraId="459A5EB0" w14:textId="77777777" w:rsidR="00780C20" w:rsidRPr="002D1A2F" w:rsidRDefault="00780C20" w:rsidP="00780C20">
      <w:pPr>
        <w:pStyle w:val="Bodytext"/>
        <w:spacing w:after="80"/>
      </w:pPr>
      <w:r w:rsidRPr="002D1A2F">
        <w:t>“</w:t>
      </w:r>
      <w:r w:rsidRPr="002D1A2F">
        <w:rPr>
          <w:b/>
        </w:rPr>
        <w:t>Listing Rules</w:t>
      </w:r>
      <w:r w:rsidRPr="002D1A2F">
        <w:t>” means the listing rules made by the UK Listing Authority under section 73A Financial Services and Markets Act 2000;</w:t>
      </w:r>
    </w:p>
    <w:p w14:paraId="4E2F6DDD" w14:textId="445DD4CC" w:rsidR="00780C20" w:rsidRPr="002D1A2F" w:rsidRDefault="00780C20" w:rsidP="00780C20">
      <w:pPr>
        <w:pStyle w:val="Bodytext"/>
        <w:spacing w:after="80"/>
      </w:pPr>
      <w:r w:rsidRPr="002D1A2F">
        <w:t>“</w:t>
      </w:r>
      <w:r w:rsidRPr="002D1A2F">
        <w:rPr>
          <w:b/>
        </w:rPr>
        <w:t>London Stock Exchange</w:t>
      </w:r>
      <w:r w:rsidRPr="002D1A2F">
        <w:t>” or “</w:t>
      </w:r>
      <w:r w:rsidRPr="002D1A2F">
        <w:rPr>
          <w:b/>
        </w:rPr>
        <w:t>LSE</w:t>
      </w:r>
      <w:r w:rsidRPr="002D1A2F">
        <w:t xml:space="preserve">” means London Stock Exchange </w:t>
      </w:r>
      <w:r w:rsidR="00BD5F24">
        <w:t>P</w:t>
      </w:r>
      <w:r w:rsidRPr="002D1A2F">
        <w:t>lc;</w:t>
      </w:r>
    </w:p>
    <w:p w14:paraId="0C968EA8" w14:textId="77777777" w:rsidR="00780C20" w:rsidRPr="002D1A2F" w:rsidRDefault="00780C20" w:rsidP="00780C20">
      <w:pPr>
        <w:pStyle w:val="Bodytext"/>
        <w:spacing w:after="80"/>
      </w:pPr>
      <w:r w:rsidRPr="002D1A2F">
        <w:t>“</w:t>
      </w:r>
      <w:r w:rsidRPr="002D1A2F">
        <w:rPr>
          <w:b/>
        </w:rPr>
        <w:t>LSE Admission Standards</w:t>
      </w:r>
      <w:r w:rsidRPr="002D1A2F">
        <w:t>” means the rules issued by the London Stock Exchange in relation to the admission to trading of, and continuing requirements for, securities admitted to the Official List;</w:t>
      </w:r>
    </w:p>
    <w:p w14:paraId="06EB6E92" w14:textId="77777777" w:rsidR="00780C20" w:rsidRPr="005C587D" w:rsidRDefault="00780C20" w:rsidP="00780C20">
      <w:pPr>
        <w:pStyle w:val="Bodytext"/>
        <w:spacing w:after="80"/>
      </w:pPr>
      <w:r>
        <w:t>“</w:t>
      </w:r>
      <w:r>
        <w:rPr>
          <w:b/>
        </w:rPr>
        <w:t>M&amp;A</w:t>
      </w:r>
      <w:r>
        <w:t xml:space="preserve">” means mergers and acquisitions; </w:t>
      </w:r>
    </w:p>
    <w:p w14:paraId="10FD789C" w14:textId="77777777" w:rsidR="00780C20" w:rsidRPr="002D1A2F" w:rsidRDefault="00780C20" w:rsidP="00780C20">
      <w:pPr>
        <w:pStyle w:val="Bodytext"/>
        <w:spacing w:after="80"/>
      </w:pPr>
      <w:r w:rsidRPr="002D1A2F">
        <w:t>“</w:t>
      </w:r>
      <w:r w:rsidRPr="002D1A2F">
        <w:rPr>
          <w:b/>
        </w:rPr>
        <w:t>Management Engagement Committee</w:t>
      </w:r>
      <w:r w:rsidRPr="002D1A2F">
        <w:t>” means a formal committee of the Board with defined terms of reference;</w:t>
      </w:r>
    </w:p>
    <w:p w14:paraId="6708BA88" w14:textId="77777777" w:rsidR="00780C20" w:rsidRPr="002D1A2F" w:rsidRDefault="00780C20" w:rsidP="00780C20">
      <w:pPr>
        <w:pStyle w:val="Bodytext"/>
        <w:spacing w:after="80"/>
      </w:pPr>
      <w:r w:rsidRPr="002D1A2F">
        <w:t>“</w:t>
      </w:r>
      <w:r w:rsidRPr="002D1A2F">
        <w:rPr>
          <w:b/>
        </w:rPr>
        <w:t>Management Fee</w:t>
      </w:r>
      <w:r w:rsidRPr="002D1A2F">
        <w:t>” means the management fee to which RIL is entitled;</w:t>
      </w:r>
    </w:p>
    <w:p w14:paraId="05E52FB9" w14:textId="77777777" w:rsidR="00780C20" w:rsidRPr="002D1A2F" w:rsidRDefault="00780C20" w:rsidP="00780C20">
      <w:pPr>
        <w:pStyle w:val="Bodytext"/>
        <w:spacing w:after="80"/>
      </w:pPr>
      <w:r w:rsidRPr="002D1A2F">
        <w:t>“</w:t>
      </w:r>
      <w:r w:rsidRPr="002D1A2F">
        <w:rPr>
          <w:b/>
        </w:rPr>
        <w:t>McNair</w:t>
      </w:r>
      <w:r w:rsidRPr="002D1A2F">
        <w:t>” means RCM Financial Services, L.P. for the purposes of acquiring Ordinary Shares and Palmetto for the purposes of acquiring a minority economic interest in the General Partner and the Investment Manager;</w:t>
      </w:r>
    </w:p>
    <w:p w14:paraId="44646F46" w14:textId="77777777" w:rsidR="00780C20" w:rsidRPr="002D1A2F" w:rsidRDefault="00780C20" w:rsidP="00780C20">
      <w:pPr>
        <w:pStyle w:val="Bodytext"/>
        <w:spacing w:after="80"/>
      </w:pPr>
      <w:r w:rsidRPr="002D1A2F">
        <w:t>“</w:t>
      </w:r>
      <w:r w:rsidRPr="002D1A2F">
        <w:rPr>
          <w:b/>
        </w:rPr>
        <w:t>Meritage III</w:t>
      </w:r>
      <w:r w:rsidRPr="002D1A2F">
        <w:t>” means Meritage Midstream Services III, L.P.;</w:t>
      </w:r>
    </w:p>
    <w:p w14:paraId="5C0DAA91" w14:textId="77777777" w:rsidR="00780C20" w:rsidRPr="002D1A2F" w:rsidRDefault="00780C20" w:rsidP="00780C20">
      <w:pPr>
        <w:pStyle w:val="Bodytext"/>
        <w:spacing w:after="80"/>
      </w:pPr>
      <w:r w:rsidRPr="002D1A2F">
        <w:t>“</w:t>
      </w:r>
      <w:r w:rsidRPr="002D1A2F">
        <w:rPr>
          <w:b/>
        </w:rPr>
        <w:t>mmboe</w:t>
      </w:r>
      <w:r w:rsidRPr="002D1A2F">
        <w:t>” means million barrels of oil equivalent;</w:t>
      </w:r>
    </w:p>
    <w:p w14:paraId="13556A39" w14:textId="77777777" w:rsidR="00780C20" w:rsidRPr="002D1A2F" w:rsidRDefault="00780C20" w:rsidP="00780C20">
      <w:pPr>
        <w:pStyle w:val="Bodytext"/>
        <w:spacing w:after="80"/>
      </w:pPr>
      <w:r w:rsidRPr="002D1A2F">
        <w:t>“</w:t>
      </w:r>
      <w:r w:rsidRPr="002D1A2F">
        <w:rPr>
          <w:b/>
        </w:rPr>
        <w:t>mcfe</w:t>
      </w:r>
      <w:r w:rsidRPr="002D1A2F">
        <w:t>” means thousand cubic feet equivalent (natural gas);</w:t>
      </w:r>
    </w:p>
    <w:p w14:paraId="4ED8D59D" w14:textId="77777777" w:rsidR="00780C20" w:rsidRPr="002D1A2F" w:rsidRDefault="00780C20" w:rsidP="00780C20">
      <w:pPr>
        <w:pStyle w:val="Bodytext"/>
        <w:spacing w:after="80"/>
      </w:pPr>
      <w:r w:rsidRPr="002D1A2F">
        <w:t>“</w:t>
      </w:r>
      <w:r w:rsidRPr="002D1A2F">
        <w:rPr>
          <w:b/>
        </w:rPr>
        <w:t>mmcfepd</w:t>
      </w:r>
      <w:r w:rsidRPr="002D1A2F">
        <w:t>” means million cubic feet equivalent (natural gas) per day;</w:t>
      </w:r>
    </w:p>
    <w:p w14:paraId="6F87B7C2" w14:textId="77777777" w:rsidR="00780C20" w:rsidRPr="002D1A2F" w:rsidRDefault="00780C20" w:rsidP="00780C20">
      <w:pPr>
        <w:pStyle w:val="Bodytext"/>
        <w:spacing w:after="80"/>
      </w:pPr>
      <w:r w:rsidRPr="002D1A2F">
        <w:t>“</w:t>
      </w:r>
      <w:r w:rsidRPr="002D1A2F">
        <w:rPr>
          <w:b/>
        </w:rPr>
        <w:t>NASDAQ</w:t>
      </w:r>
      <w:r w:rsidRPr="002D1A2F">
        <w:t>” means National Association of Securities Dealers Automated Quotations</w:t>
      </w:r>
    </w:p>
    <w:p w14:paraId="44A17182" w14:textId="77777777" w:rsidR="00780C20" w:rsidRPr="002D1A2F" w:rsidRDefault="00780C20" w:rsidP="00780C20">
      <w:pPr>
        <w:pStyle w:val="Bodytext"/>
        <w:spacing w:after="80"/>
      </w:pPr>
      <w:r w:rsidRPr="002D1A2F">
        <w:t xml:space="preserve">Stock Market; </w:t>
      </w:r>
    </w:p>
    <w:p w14:paraId="008C4E97" w14:textId="77777777" w:rsidR="00780C20" w:rsidRPr="002D1A2F" w:rsidRDefault="00780C20" w:rsidP="00780C20">
      <w:pPr>
        <w:pStyle w:val="Bodytext"/>
        <w:spacing w:after="80"/>
      </w:pPr>
      <w:r w:rsidRPr="002D1A2F">
        <w:t>“</w:t>
      </w:r>
      <w:r w:rsidRPr="002D1A2F">
        <w:rPr>
          <w:b/>
        </w:rPr>
        <w:t>NAV per Share</w:t>
      </w:r>
      <w:r w:rsidRPr="002D1A2F">
        <w:t>” means the Net Asset Value per Ordinary Share;</w:t>
      </w:r>
    </w:p>
    <w:p w14:paraId="21AF9979" w14:textId="77777777" w:rsidR="00780C20" w:rsidRPr="002D1A2F" w:rsidRDefault="00780C20" w:rsidP="00780C20">
      <w:pPr>
        <w:pStyle w:val="Bodytext"/>
        <w:spacing w:after="80"/>
      </w:pPr>
      <w:r w:rsidRPr="002D1A2F">
        <w:t>“</w:t>
      </w:r>
      <w:r w:rsidRPr="002D1A2F">
        <w:rPr>
          <w:b/>
        </w:rPr>
        <w:t>Net Asset Value</w:t>
      </w:r>
      <w:r w:rsidRPr="002D1A2F">
        <w:t>” or “</w:t>
      </w:r>
      <w:r w:rsidRPr="002D1A2F">
        <w:rPr>
          <w:b/>
        </w:rPr>
        <w:t>NAV</w:t>
      </w:r>
      <w:r w:rsidRPr="002D1A2F">
        <w:t>” means the value of the assets of the Company less its liabilities as calculated in accordance with the Company’s valuation policy and expressed in U.S. dollars;</w:t>
      </w:r>
    </w:p>
    <w:p w14:paraId="689F8DA6" w14:textId="77777777" w:rsidR="00780C20" w:rsidRPr="002D1A2F" w:rsidRDefault="00780C20" w:rsidP="00780C20">
      <w:pPr>
        <w:pStyle w:val="Bodytext"/>
        <w:spacing w:after="80"/>
      </w:pPr>
      <w:r w:rsidRPr="002D1A2F">
        <w:t>“</w:t>
      </w:r>
      <w:r w:rsidRPr="002D1A2F">
        <w:rPr>
          <w:b/>
        </w:rPr>
        <w:t>Net IRR</w:t>
      </w:r>
      <w:r w:rsidRPr="002D1A2F">
        <w:t>” means an aggregate, annual, compound, gross internal rate of return on investments, net of taxes and carried interest on gross profit;</w:t>
      </w:r>
    </w:p>
    <w:p w14:paraId="4C0A04B7" w14:textId="77777777" w:rsidR="00780C20" w:rsidRPr="002D1A2F" w:rsidRDefault="00780C20" w:rsidP="00780C20">
      <w:pPr>
        <w:pStyle w:val="Bodytext"/>
        <w:spacing w:after="80"/>
      </w:pPr>
      <w:r w:rsidRPr="002D1A2F">
        <w:t>“</w:t>
      </w:r>
      <w:r w:rsidRPr="002D1A2F">
        <w:rPr>
          <w:b/>
        </w:rPr>
        <w:t>Net MOIC</w:t>
      </w:r>
      <w:r w:rsidRPr="002D1A2F">
        <w:t>” means gross multiple of invested capital net of taxes and carried interest on gross profit;</w:t>
      </w:r>
    </w:p>
    <w:p w14:paraId="3763B5D3" w14:textId="77777777" w:rsidR="00780C20" w:rsidRPr="002D1A2F" w:rsidRDefault="00780C20" w:rsidP="00780C20">
      <w:pPr>
        <w:pStyle w:val="Bodytext"/>
        <w:spacing w:after="80"/>
      </w:pPr>
      <w:r w:rsidRPr="002D1A2F">
        <w:t>“</w:t>
      </w:r>
      <w:r w:rsidRPr="002D1A2F">
        <w:rPr>
          <w:b/>
        </w:rPr>
        <w:t>Nomination Committee</w:t>
      </w:r>
      <w:r w:rsidRPr="002D1A2F">
        <w:t>” means a formal committee of the Board with defined terms of reference;</w:t>
      </w:r>
    </w:p>
    <w:p w14:paraId="07433539" w14:textId="77777777" w:rsidR="00780C20" w:rsidRPr="002D1A2F" w:rsidRDefault="00780C20" w:rsidP="00780C20">
      <w:pPr>
        <w:pStyle w:val="Bodytext"/>
        <w:spacing w:after="80"/>
      </w:pPr>
      <w:r w:rsidRPr="002D1A2F">
        <w:t>“</w:t>
      </w:r>
      <w:r w:rsidRPr="002D1A2F">
        <w:rPr>
          <w:b/>
        </w:rPr>
        <w:t>NURS</w:t>
      </w:r>
      <w:r w:rsidRPr="002D1A2F">
        <w:t>” means non-UCITS retail schemes;</w:t>
      </w:r>
    </w:p>
    <w:p w14:paraId="385D8FD1" w14:textId="77777777" w:rsidR="00780C20" w:rsidRPr="002D1A2F" w:rsidRDefault="00780C20" w:rsidP="00780C20">
      <w:pPr>
        <w:pStyle w:val="Bodytext"/>
        <w:spacing w:after="80"/>
      </w:pPr>
      <w:r w:rsidRPr="002D1A2F">
        <w:t>“</w:t>
      </w:r>
      <w:r w:rsidRPr="002D1A2F">
        <w:rPr>
          <w:b/>
        </w:rPr>
        <w:t>NYSE</w:t>
      </w:r>
      <w:r w:rsidRPr="002D1A2F">
        <w:t xml:space="preserve">” means The New York Stock Exchange; </w:t>
      </w:r>
    </w:p>
    <w:p w14:paraId="78632308" w14:textId="7EC3BEFE" w:rsidR="00780C20" w:rsidRDefault="00780C20" w:rsidP="00780C20">
      <w:pPr>
        <w:pStyle w:val="Bodytext"/>
        <w:spacing w:after="80"/>
      </w:pPr>
      <w:r w:rsidRPr="002D1A2F">
        <w:t>“</w:t>
      </w:r>
      <w:r w:rsidRPr="002D1A2F">
        <w:rPr>
          <w:b/>
        </w:rPr>
        <w:t>Official List</w:t>
      </w:r>
      <w:r w:rsidRPr="002D1A2F">
        <w:t>” is the list maintained by the Financial Conduct Authority (acting in its capacity as the UK Listing Authority) in accordance with Section 74(1) of the Financial Services and Markets Act 2000;</w:t>
      </w:r>
    </w:p>
    <w:p w14:paraId="36831C2C" w14:textId="0F6DCC6B" w:rsidR="00AD57E5" w:rsidRPr="002D1A2F" w:rsidRDefault="00AD57E5" w:rsidP="00AD57E5">
      <w:pPr>
        <w:pStyle w:val="Bodytext"/>
        <w:spacing w:after="80"/>
      </w:pPr>
      <w:r>
        <w:t>“</w:t>
      </w:r>
      <w:r w:rsidRPr="007A53ED">
        <w:rPr>
          <w:b/>
        </w:rPr>
        <w:t>Onyx</w:t>
      </w:r>
      <w:r w:rsidR="00235D1D">
        <w:rPr>
          <w:b/>
        </w:rPr>
        <w:t xml:space="preserve"> Power</w:t>
      </w:r>
      <w:r>
        <w:t>” means Onyx Strategic Investment Management I BV;</w:t>
      </w:r>
    </w:p>
    <w:p w14:paraId="0E43EF82" w14:textId="77777777" w:rsidR="00780C20" w:rsidRPr="002D1A2F" w:rsidRDefault="00780C20" w:rsidP="00780C20">
      <w:pPr>
        <w:pStyle w:val="Bodytext"/>
        <w:spacing w:after="80"/>
      </w:pPr>
      <w:r w:rsidRPr="002D1A2F">
        <w:t>“</w:t>
      </w:r>
      <w:r w:rsidRPr="002D1A2F">
        <w:rPr>
          <w:b/>
        </w:rPr>
        <w:t>OPEC</w:t>
      </w:r>
      <w:r w:rsidRPr="002D1A2F">
        <w:t>” means Organisation of the Petroleum Exporting Countries;</w:t>
      </w:r>
    </w:p>
    <w:p w14:paraId="5F47FC9B" w14:textId="77777777" w:rsidR="00780C20" w:rsidRPr="002D1A2F" w:rsidRDefault="00780C20" w:rsidP="00780C20">
      <w:pPr>
        <w:pStyle w:val="Bodytext"/>
        <w:spacing w:after="80"/>
      </w:pPr>
      <w:r w:rsidRPr="002D1A2F">
        <w:t>“</w:t>
      </w:r>
      <w:r w:rsidRPr="002D1A2F">
        <w:rPr>
          <w:b/>
        </w:rPr>
        <w:t>Ordinary Shares</w:t>
      </w:r>
      <w:r w:rsidRPr="002D1A2F">
        <w:t>” means redeemable ordinary shares of no par value in the capital of the Company issued and designated as “Ordinary Shares” and having the rights, restrictions and entitlements set out in the Articles;</w:t>
      </w:r>
    </w:p>
    <w:p w14:paraId="67B2B0DB" w14:textId="77777777" w:rsidR="00780C20" w:rsidRDefault="00780C20" w:rsidP="00780C20">
      <w:pPr>
        <w:pStyle w:val="Bodytext"/>
        <w:spacing w:after="80"/>
      </w:pPr>
      <w:r w:rsidRPr="002D1A2F">
        <w:t>“</w:t>
      </w:r>
      <w:r w:rsidRPr="002D1A2F">
        <w:rPr>
          <w:b/>
        </w:rPr>
        <w:t>Origo</w:t>
      </w:r>
      <w:r w:rsidRPr="002D1A2F">
        <w:t>” means Origo Exploration Holding AS;</w:t>
      </w:r>
    </w:p>
    <w:p w14:paraId="6B009653" w14:textId="6046FE56" w:rsidR="00780C20" w:rsidRPr="002D1A2F" w:rsidRDefault="00EB7E8C" w:rsidP="00780C20">
      <w:pPr>
        <w:pStyle w:val="Bodytext"/>
        <w:spacing w:after="80"/>
      </w:pPr>
      <w:r w:rsidDel="00EB7E8C">
        <w:lastRenderedPageBreak/>
        <w:t xml:space="preserve"> </w:t>
      </w:r>
      <w:r w:rsidR="00780C20" w:rsidRPr="002D1A2F">
        <w:t>“</w:t>
      </w:r>
      <w:r w:rsidR="00780C20" w:rsidRPr="002D1A2F">
        <w:rPr>
          <w:b/>
        </w:rPr>
        <w:t>Other Riverstone Funds</w:t>
      </w:r>
      <w:r w:rsidR="00780C20" w:rsidRPr="002D1A2F">
        <w:t>” means other Riverstone-sponsored, controlled or managed entities, including Fund V/VI, which are or may in the future be managed or advised by the Investment Manager or one or more of its affiliates, excluding the Partnership;</w:t>
      </w:r>
    </w:p>
    <w:p w14:paraId="1093E990" w14:textId="77777777" w:rsidR="00780C20" w:rsidRPr="002D1A2F" w:rsidRDefault="00780C20" w:rsidP="00780C20">
      <w:pPr>
        <w:pStyle w:val="Bodytext"/>
        <w:spacing w:after="80"/>
      </w:pPr>
      <w:r w:rsidRPr="002D1A2F">
        <w:t>“</w:t>
      </w:r>
      <w:r w:rsidRPr="002D1A2F">
        <w:rPr>
          <w:b/>
        </w:rPr>
        <w:t>Partnership</w:t>
      </w:r>
      <w:r w:rsidRPr="002D1A2F">
        <w:t>” or “</w:t>
      </w:r>
      <w:r w:rsidRPr="002D1A2F">
        <w:rPr>
          <w:b/>
        </w:rPr>
        <w:t>RELIP</w:t>
      </w:r>
      <w:r w:rsidRPr="002D1A2F">
        <w:t>” means Riverstone Energy Investment Partnership, LP, the Investment Undertaking in which the Company is the sole limited partner;</w:t>
      </w:r>
    </w:p>
    <w:p w14:paraId="1573F316" w14:textId="77777777" w:rsidR="00780C20" w:rsidRPr="002D1A2F" w:rsidRDefault="00780C20" w:rsidP="00780C20">
      <w:pPr>
        <w:pStyle w:val="Bodytext"/>
        <w:spacing w:after="80"/>
      </w:pPr>
      <w:r w:rsidRPr="002D1A2F">
        <w:t>“</w:t>
      </w:r>
      <w:r w:rsidRPr="002D1A2F">
        <w:rPr>
          <w:b/>
        </w:rPr>
        <w:t>Partnership Agreement</w:t>
      </w:r>
      <w:r w:rsidRPr="002D1A2F">
        <w:t>” means the partnership agreement in respect of the Partnership between inter alios the Company as the sole limited partner and the General Partner as the sole general partner dated 23 September 2013;</w:t>
      </w:r>
    </w:p>
    <w:p w14:paraId="1C414832" w14:textId="77777777" w:rsidR="00780C20" w:rsidRPr="002D1A2F" w:rsidRDefault="00780C20" w:rsidP="00780C20">
      <w:pPr>
        <w:pStyle w:val="Bodytext"/>
        <w:spacing w:after="80"/>
      </w:pPr>
      <w:r w:rsidRPr="002D1A2F">
        <w:t>“</w:t>
      </w:r>
      <w:r w:rsidRPr="002D1A2F">
        <w:rPr>
          <w:b/>
        </w:rPr>
        <w:t>Performance Allocation</w:t>
      </w:r>
      <w:r w:rsidRPr="002D1A2F">
        <w:t>” means the Performance Allocation to which the General Partner is entitled;</w:t>
      </w:r>
    </w:p>
    <w:p w14:paraId="0F7B584B" w14:textId="77777777" w:rsidR="00780C20" w:rsidRPr="002D1A2F" w:rsidRDefault="00780C20" w:rsidP="00780C20">
      <w:pPr>
        <w:pStyle w:val="Bodytext"/>
        <w:spacing w:after="80"/>
      </w:pPr>
      <w:r w:rsidRPr="002D1A2F">
        <w:t>“</w:t>
      </w:r>
      <w:r w:rsidRPr="002D1A2F">
        <w:rPr>
          <w:b/>
        </w:rPr>
        <w:t>Placing and Open Offer</w:t>
      </w:r>
      <w:r w:rsidRPr="002D1A2F">
        <w:t>” means the issuance of 8,448,006 new Ordinary Shares at £8.00 per Ordinary Share on 11 December 2015</w:t>
      </w:r>
      <w:r>
        <w:t>;</w:t>
      </w:r>
    </w:p>
    <w:p w14:paraId="09F6FC95" w14:textId="5F136453" w:rsidR="00780C20" w:rsidRPr="002D1A2F" w:rsidRDefault="00780C20" w:rsidP="00780C20">
      <w:pPr>
        <w:pStyle w:val="Bodytext"/>
        <w:spacing w:after="80"/>
      </w:pPr>
      <w:r w:rsidRPr="002D1A2F">
        <w:t>“</w:t>
      </w:r>
      <w:r w:rsidRPr="002D1A2F">
        <w:rPr>
          <w:b/>
        </w:rPr>
        <w:t>POI Law</w:t>
      </w:r>
      <w:r w:rsidRPr="002D1A2F">
        <w:t>” means the Protection of Investors (Bailiwick of Guernsey) Law, 1987</w:t>
      </w:r>
      <w:r w:rsidR="00BD5F24">
        <w:t>, as amended</w:t>
      </w:r>
      <w:r w:rsidRPr="002D1A2F">
        <w:t>;</w:t>
      </w:r>
    </w:p>
    <w:p w14:paraId="6344909B" w14:textId="77777777" w:rsidR="00780C20" w:rsidRPr="002D1A2F" w:rsidRDefault="00780C20" w:rsidP="00780C20">
      <w:pPr>
        <w:pStyle w:val="Bodytext"/>
        <w:spacing w:after="80"/>
      </w:pPr>
      <w:r w:rsidRPr="002D1A2F">
        <w:t>“</w:t>
      </w:r>
      <w:r w:rsidRPr="002D1A2F">
        <w:rPr>
          <w:b/>
        </w:rPr>
        <w:t>Private Riverstone Funds</w:t>
      </w:r>
      <w:r w:rsidRPr="002D1A2F">
        <w:t>” means Fund V and all other private multi-investor, multi-investment funds that are launched after Admission and are managed or advised by the Investment Manager (or one or more of its affiliates) and excludes Riverstone employee co-investment vehicles and any Riverstone managed or advised private co-investment vehicles that invest alongside either Fund V or any multi-investor multi-investment funds that the Investment Manager (or one or more of its affiliates) launches after Admission;</w:t>
      </w:r>
    </w:p>
    <w:p w14:paraId="1725AEE8" w14:textId="18207CEA" w:rsidR="007949EB" w:rsidRDefault="00780C20" w:rsidP="00780C20">
      <w:pPr>
        <w:pStyle w:val="Bodytext"/>
        <w:spacing w:after="80"/>
      </w:pPr>
      <w:r w:rsidRPr="002D1A2F">
        <w:t>“</w:t>
      </w:r>
      <w:r w:rsidRPr="002D1A2F">
        <w:rPr>
          <w:b/>
        </w:rPr>
        <w:t>Prospectus</w:t>
      </w:r>
      <w:r w:rsidR="00235D1D">
        <w:rPr>
          <w:b/>
        </w:rPr>
        <w:t>es</w:t>
      </w:r>
      <w:r w:rsidRPr="002D1A2F">
        <w:t>” means the prospectus published on 24 September 2013 by the Company in connection with the IPO of Ordinary Shares and further prospectus published on 23 November 2015;</w:t>
      </w:r>
    </w:p>
    <w:p w14:paraId="7B1A3B55" w14:textId="487867BD" w:rsidR="00235D1D" w:rsidRDefault="00235D1D" w:rsidP="00235D1D">
      <w:pPr>
        <w:pStyle w:val="Bodytext"/>
        <w:spacing w:after="80"/>
      </w:pPr>
      <w:r>
        <w:t>“</w:t>
      </w:r>
      <w:r w:rsidRPr="00FE1D35">
        <w:rPr>
          <w:b/>
        </w:rPr>
        <w:t>PRT</w:t>
      </w:r>
      <w:r>
        <w:t>” means Riverstone Performance Review Team;</w:t>
      </w:r>
    </w:p>
    <w:p w14:paraId="1176B32F" w14:textId="3739D1CE" w:rsidR="00AD57E5" w:rsidRPr="002D1A2F" w:rsidRDefault="00235D1D" w:rsidP="00235D1D">
      <w:pPr>
        <w:pStyle w:val="Bodytext"/>
        <w:spacing w:after="80"/>
      </w:pPr>
      <w:r>
        <w:t>“</w:t>
      </w:r>
      <w:r w:rsidR="00AD57E5" w:rsidRPr="00482D3D">
        <w:rPr>
          <w:b/>
        </w:rPr>
        <w:t>PSA</w:t>
      </w:r>
      <w:r w:rsidR="00AD57E5">
        <w:rPr>
          <w:b/>
        </w:rPr>
        <w:t xml:space="preserve">” </w:t>
      </w:r>
      <w:r w:rsidR="00AD57E5" w:rsidRPr="00482D3D">
        <w:t xml:space="preserve">means </w:t>
      </w:r>
      <w:r w:rsidR="00AD57E5">
        <w:t>a public service announcement;</w:t>
      </w:r>
    </w:p>
    <w:p w14:paraId="42A9AD84" w14:textId="77777777" w:rsidR="00780C20" w:rsidRPr="002D1A2F" w:rsidRDefault="00780C20" w:rsidP="00780C20">
      <w:pPr>
        <w:pStyle w:val="Bodytext"/>
        <w:spacing w:after="80"/>
      </w:pPr>
      <w:r w:rsidRPr="002D1A2F">
        <w:t>“</w:t>
      </w:r>
      <w:r w:rsidRPr="002D1A2F">
        <w:rPr>
          <w:b/>
        </w:rPr>
        <w:t>Qualifying Investments</w:t>
      </w:r>
      <w:r w:rsidRPr="002D1A2F">
        <w:t>” means all investments in which Private Riverstone Funds participate which are consistent with the Company’s investment objective where the aggregate equity investment in each such investment (including equity committed for future investment) available to the relevant Private Riverstone Fund and the Company (and other co-investees, if any, procured by the Investment Manager or its affiliates) is $100 million or greater, but excluding any investments made by Private Riverstone Funds where both (a) a majority of the Company’s independent directors and (b) the Investment Manager have agreed that the Company should not participate;</w:t>
      </w:r>
    </w:p>
    <w:p w14:paraId="0272867C" w14:textId="77777777" w:rsidR="00780C20" w:rsidRDefault="00780C20" w:rsidP="00780C20">
      <w:pPr>
        <w:pStyle w:val="Bodytext"/>
        <w:spacing w:after="80"/>
      </w:pPr>
      <w:r w:rsidRPr="002D1A2F">
        <w:t>“</w:t>
      </w:r>
      <w:r w:rsidRPr="002D1A2F">
        <w:rPr>
          <w:b/>
        </w:rPr>
        <w:t>RCO</w:t>
      </w:r>
      <w:r w:rsidRPr="002D1A2F">
        <w:t>” means Riverstone Credit Opportunities, L.P.;</w:t>
      </w:r>
    </w:p>
    <w:p w14:paraId="7E9DFB3D" w14:textId="70D15D9D" w:rsidR="00780C20" w:rsidRDefault="00780C20" w:rsidP="00780C20">
      <w:pPr>
        <w:pStyle w:val="Bodytext"/>
        <w:spacing w:after="80"/>
      </w:pPr>
      <w:r w:rsidRPr="002D1A2F">
        <w:t>“</w:t>
      </w:r>
      <w:r w:rsidRPr="002D1A2F">
        <w:rPr>
          <w:b/>
        </w:rPr>
        <w:t>RELCP</w:t>
      </w:r>
      <w:r w:rsidRPr="002D1A2F">
        <w:t>” means Riverstone Energy Limited Capital Partners, LP (acting by its general partner Riverstone Holdings II (Cayman) Ltd.) a Cayman exempted limited partnership controlled by affiliates of Riverstone;</w:t>
      </w:r>
    </w:p>
    <w:p w14:paraId="6CE0E215" w14:textId="73A68625" w:rsidR="00527D71" w:rsidRDefault="009D7DFD" w:rsidP="00527D71">
      <w:pPr>
        <w:pStyle w:val="Bodytext"/>
        <w:spacing w:after="80"/>
      </w:pPr>
      <w:r>
        <w:t>“</w:t>
      </w:r>
      <w:r w:rsidRPr="009D7DFD">
        <w:rPr>
          <w:b/>
        </w:rPr>
        <w:t>Ridgebury H3</w:t>
      </w:r>
      <w:r>
        <w:t>” means Ridgebury H3, LLC;</w:t>
      </w:r>
      <w:r w:rsidR="00527D71" w:rsidRPr="00527D71">
        <w:t xml:space="preserve"> </w:t>
      </w:r>
    </w:p>
    <w:p w14:paraId="7A55B43B" w14:textId="77777777" w:rsidR="00D823E7" w:rsidRDefault="00527D71" w:rsidP="00780C20">
      <w:pPr>
        <w:pStyle w:val="Bodytext"/>
        <w:spacing w:after="80"/>
      </w:pPr>
      <w:r>
        <w:t>“</w:t>
      </w:r>
      <w:r w:rsidRPr="00C60FFF">
        <w:rPr>
          <w:b/>
          <w:bCs/>
        </w:rPr>
        <w:t>RIGL</w:t>
      </w:r>
      <w:r>
        <w:t>” means RIGL Holdings, LP;</w:t>
      </w:r>
    </w:p>
    <w:p w14:paraId="0DBC5C36" w14:textId="36085FF3" w:rsidR="00780C20" w:rsidRPr="002D1A2F" w:rsidRDefault="00780C20" w:rsidP="00780C20">
      <w:pPr>
        <w:pStyle w:val="Bodytext"/>
        <w:spacing w:after="80"/>
      </w:pPr>
      <w:r w:rsidRPr="002D1A2F">
        <w:t>“</w:t>
      </w:r>
      <w:r w:rsidRPr="002D1A2F">
        <w:rPr>
          <w:b/>
        </w:rPr>
        <w:t>RIL</w:t>
      </w:r>
      <w:r w:rsidRPr="002D1A2F">
        <w:t>” means Riverstone International Limited;</w:t>
      </w:r>
    </w:p>
    <w:p w14:paraId="0E2A3034" w14:textId="77777777" w:rsidR="00780C20" w:rsidRPr="002D1A2F" w:rsidRDefault="00780C20" w:rsidP="00780C20">
      <w:pPr>
        <w:pStyle w:val="Bodytext"/>
        <w:spacing w:after="80"/>
      </w:pPr>
      <w:r w:rsidRPr="002D1A2F">
        <w:t>“</w:t>
      </w:r>
      <w:r w:rsidRPr="002D1A2F">
        <w:rPr>
          <w:b/>
        </w:rPr>
        <w:t>Riverstone</w:t>
      </w:r>
      <w:r w:rsidRPr="002D1A2F">
        <w:t>” means Riverstone Holdings LLC and its affiliated entities (other than the Investment Manager and the General Partner), as the context may require;</w:t>
      </w:r>
    </w:p>
    <w:p w14:paraId="0387F14B" w14:textId="77777777" w:rsidR="00780C20" w:rsidRPr="002D1A2F" w:rsidRDefault="00780C20" w:rsidP="00780C20">
      <w:pPr>
        <w:pStyle w:val="Bodytext"/>
        <w:spacing w:after="80"/>
      </w:pPr>
      <w:r w:rsidRPr="002D1A2F">
        <w:t>“</w:t>
      </w:r>
      <w:r w:rsidRPr="002D1A2F">
        <w:rPr>
          <w:b/>
        </w:rPr>
        <w:t>Rock Oil</w:t>
      </w:r>
      <w:r w:rsidRPr="002D1A2F">
        <w:t>” means Rock Oil Holdings, LLC;</w:t>
      </w:r>
    </w:p>
    <w:p w14:paraId="114078C8" w14:textId="77777777" w:rsidR="00780C20" w:rsidRDefault="00780C20" w:rsidP="00780C20">
      <w:pPr>
        <w:pStyle w:val="Bodytext"/>
        <w:spacing w:after="80"/>
      </w:pPr>
      <w:r>
        <w:t>“</w:t>
      </w:r>
      <w:r>
        <w:rPr>
          <w:b/>
        </w:rPr>
        <w:t>S&amp;P Index</w:t>
      </w:r>
      <w:r>
        <w:t xml:space="preserve">” means the Standard &amp; Poor’s 500 Index; </w:t>
      </w:r>
    </w:p>
    <w:p w14:paraId="71663C69" w14:textId="77777777" w:rsidR="00780C20" w:rsidRPr="005E1FD7" w:rsidRDefault="00780C20" w:rsidP="00780C20">
      <w:pPr>
        <w:pStyle w:val="Bodytext"/>
        <w:spacing w:after="80"/>
      </w:pPr>
      <w:r>
        <w:t>“</w:t>
      </w:r>
      <w:r>
        <w:rPr>
          <w:b/>
        </w:rPr>
        <w:t>S&amp;P Oil &amp; Gas E&amp;P Index</w:t>
      </w:r>
      <w:r>
        <w:t xml:space="preserve">” means the Standard &amp; Poor’s Oil &amp; Gas Exploration &amp; Production Select Industry Index; </w:t>
      </w:r>
    </w:p>
    <w:p w14:paraId="7A288B57" w14:textId="77777777" w:rsidR="00780C20" w:rsidRPr="002D1A2F" w:rsidRDefault="00780C20" w:rsidP="00780C20">
      <w:pPr>
        <w:pStyle w:val="Bodytext"/>
        <w:spacing w:after="80"/>
      </w:pPr>
      <w:r w:rsidRPr="002D1A2F">
        <w:t>“</w:t>
      </w:r>
      <w:r w:rsidRPr="002D1A2F">
        <w:rPr>
          <w:b/>
        </w:rPr>
        <w:t>SCOOP</w:t>
      </w:r>
      <w:r w:rsidRPr="002D1A2F">
        <w:t>” means South Central Oklahoma Oil Province;</w:t>
      </w:r>
    </w:p>
    <w:p w14:paraId="00768AE9" w14:textId="77777777" w:rsidR="00780C20" w:rsidRPr="002D1A2F" w:rsidRDefault="00780C20" w:rsidP="00780C20">
      <w:pPr>
        <w:pStyle w:val="Bodytext"/>
        <w:spacing w:after="80"/>
      </w:pPr>
      <w:r w:rsidRPr="002D1A2F">
        <w:t>“</w:t>
      </w:r>
      <w:r w:rsidRPr="002D1A2F">
        <w:rPr>
          <w:b/>
        </w:rPr>
        <w:t>SEC</w:t>
      </w:r>
      <w:r w:rsidRPr="002D1A2F">
        <w:t>” means the U.S. Securities and Exchange Commission;</w:t>
      </w:r>
    </w:p>
    <w:p w14:paraId="5EBBBB53" w14:textId="77777777" w:rsidR="00780C20" w:rsidRPr="002D1A2F" w:rsidRDefault="00780C20" w:rsidP="00780C20">
      <w:pPr>
        <w:pStyle w:val="Bodytext"/>
        <w:spacing w:after="80"/>
      </w:pPr>
      <w:r w:rsidRPr="002D1A2F">
        <w:t>“</w:t>
      </w:r>
      <w:r w:rsidRPr="002D1A2F">
        <w:rPr>
          <w:b/>
        </w:rPr>
        <w:t>Sierra</w:t>
      </w:r>
      <w:r w:rsidRPr="002D1A2F">
        <w:t>” means Sierra Oil and Gas Holdings, L.P.;</w:t>
      </w:r>
    </w:p>
    <w:p w14:paraId="39D0E254" w14:textId="77777777" w:rsidR="00235D1D" w:rsidRPr="002D1A2F" w:rsidRDefault="00235D1D" w:rsidP="00235D1D">
      <w:pPr>
        <w:pStyle w:val="Bodytext"/>
        <w:spacing w:after="80"/>
      </w:pPr>
      <w:r w:rsidRPr="00343DAD">
        <w:t>“</w:t>
      </w:r>
      <w:r w:rsidRPr="00343DAD">
        <w:rPr>
          <w:b/>
        </w:rPr>
        <w:t>SIFI</w:t>
      </w:r>
      <w:r w:rsidRPr="00343DAD">
        <w:t xml:space="preserve">” means Systemically Important Financial Institutions; </w:t>
      </w:r>
    </w:p>
    <w:p w14:paraId="349BDAAD" w14:textId="427836E8" w:rsidR="00780C20" w:rsidRPr="002D1A2F" w:rsidRDefault="00780C20" w:rsidP="00235D1D">
      <w:pPr>
        <w:pStyle w:val="Bodytext"/>
        <w:spacing w:after="80"/>
      </w:pPr>
      <w:r w:rsidRPr="002D1A2F">
        <w:t>“</w:t>
      </w:r>
      <w:r w:rsidRPr="002D1A2F">
        <w:rPr>
          <w:b/>
        </w:rPr>
        <w:t>Shareholder</w:t>
      </w:r>
      <w:r w:rsidRPr="002D1A2F">
        <w:t>” means the holder of one or more Ordinary Shares;</w:t>
      </w:r>
    </w:p>
    <w:p w14:paraId="281FE25B" w14:textId="77777777" w:rsidR="00235D1D" w:rsidRDefault="00235D1D" w:rsidP="00235D1D">
      <w:pPr>
        <w:pStyle w:val="Bodytext"/>
        <w:spacing w:after="80"/>
      </w:pPr>
      <w:r>
        <w:t>“</w:t>
      </w:r>
      <w:r w:rsidRPr="0007340D">
        <w:rPr>
          <w:b/>
        </w:rPr>
        <w:t>SPPI</w:t>
      </w:r>
      <w:r>
        <w:t>” means solely payments of principal and interest;</w:t>
      </w:r>
    </w:p>
    <w:p w14:paraId="6A3B73E7" w14:textId="77777777" w:rsidR="00235D1D" w:rsidRPr="002D1A2F" w:rsidRDefault="00235D1D" w:rsidP="00235D1D">
      <w:pPr>
        <w:pStyle w:val="Bodytext"/>
        <w:spacing w:after="80"/>
      </w:pPr>
      <w:r>
        <w:t>“</w:t>
      </w:r>
      <w:r w:rsidRPr="0007340D">
        <w:rPr>
          <w:b/>
        </w:rPr>
        <w:t>Standing Committee</w:t>
      </w:r>
      <w:r>
        <w:t>” means a formal committee of the Board with defined terms of reference;</w:t>
      </w:r>
    </w:p>
    <w:p w14:paraId="05DA63A0" w14:textId="77777777" w:rsidR="00235D1D" w:rsidRDefault="00235D1D" w:rsidP="00235D1D">
      <w:pPr>
        <w:pStyle w:val="Bodytext"/>
        <w:spacing w:after="80"/>
      </w:pPr>
      <w:r w:rsidRPr="002D1A2F">
        <w:t>“</w:t>
      </w:r>
      <w:r w:rsidRPr="002D1A2F">
        <w:rPr>
          <w:b/>
        </w:rPr>
        <w:t>Stewardship Code</w:t>
      </w:r>
      <w:r w:rsidRPr="002D1A2F">
        <w:t>” means the UK Stewardship Code;</w:t>
      </w:r>
    </w:p>
    <w:p w14:paraId="262CAA86" w14:textId="77777777" w:rsidR="00235D1D" w:rsidRPr="002D1A2F" w:rsidRDefault="00235D1D" w:rsidP="00235D1D">
      <w:pPr>
        <w:pStyle w:val="Bodytext"/>
        <w:spacing w:after="80"/>
      </w:pPr>
      <w:r>
        <w:t>“</w:t>
      </w:r>
      <w:r w:rsidRPr="00C170F4">
        <w:rPr>
          <w:b/>
        </w:rPr>
        <w:t>Target Price</w:t>
      </w:r>
      <w:r>
        <w:t>” means, as defined in the Articles, £15.00, subject to (a) downward adjustment in respect of the amount of all dividends and other distributions, stock splits and equity issuances below the prevailing NAV per Ordinary Share made following the first Admission and (b) upward adjustment to take account of any share consolidations made following the first Admission;</w:t>
      </w:r>
    </w:p>
    <w:p w14:paraId="1A968F67" w14:textId="77777777" w:rsidR="00235D1D" w:rsidRPr="005C587D" w:rsidRDefault="00235D1D" w:rsidP="00235D1D">
      <w:pPr>
        <w:pStyle w:val="Bodytext"/>
        <w:spacing w:after="80"/>
      </w:pPr>
      <w:r>
        <w:t>“</w:t>
      </w:r>
      <w:r w:rsidRPr="009D6FFF">
        <w:rPr>
          <w:b/>
        </w:rPr>
        <w:t>Tender Offer</w:t>
      </w:r>
      <w:r>
        <w:t xml:space="preserve">” means </w:t>
      </w:r>
      <w:r w:rsidRPr="009D6FFF">
        <w:t xml:space="preserve">up to £55,000,000 in value of </w:t>
      </w:r>
      <w:r>
        <w:t>O</w:t>
      </w:r>
      <w:r w:rsidRPr="009D6FFF">
        <w:t xml:space="preserve">rdinary </w:t>
      </w:r>
      <w:r>
        <w:t>S</w:t>
      </w:r>
      <w:r w:rsidRPr="009D6FFF">
        <w:t>hares</w:t>
      </w:r>
      <w:r>
        <w:t xml:space="preserve"> made by the Company in 2018;</w:t>
      </w:r>
    </w:p>
    <w:p w14:paraId="4560CAB7" w14:textId="1CE31C94" w:rsidR="00780C20" w:rsidRPr="00CC1FB0" w:rsidRDefault="00780C20" w:rsidP="00235D1D">
      <w:pPr>
        <w:pStyle w:val="Bodytext"/>
        <w:spacing w:after="80"/>
      </w:pPr>
      <w:r w:rsidRPr="00CC1FB0">
        <w:t>“</w:t>
      </w:r>
      <w:r w:rsidRPr="00CC1FB0">
        <w:rPr>
          <w:b/>
        </w:rPr>
        <w:t>Three Rivers III</w:t>
      </w:r>
      <w:r w:rsidRPr="00CC1FB0">
        <w:t>” means Three Rivers Natural Resources Holdings III LLC;</w:t>
      </w:r>
    </w:p>
    <w:p w14:paraId="2D4DA8D8" w14:textId="061C7382" w:rsidR="00780C20" w:rsidRDefault="00780C20" w:rsidP="00780C20">
      <w:pPr>
        <w:pStyle w:val="Bodytext"/>
        <w:spacing w:after="80"/>
      </w:pPr>
      <w:r w:rsidRPr="00CC1FB0">
        <w:lastRenderedPageBreak/>
        <w:t>“</w:t>
      </w:r>
      <w:r w:rsidRPr="00CC1FB0">
        <w:rPr>
          <w:b/>
        </w:rPr>
        <w:t>Total Return o</w:t>
      </w:r>
      <w:r w:rsidR="008376DE">
        <w:rPr>
          <w:b/>
        </w:rPr>
        <w:t>n</w:t>
      </w:r>
      <w:r w:rsidRPr="00CC1FB0">
        <w:rPr>
          <w:b/>
        </w:rPr>
        <w:t xml:space="preserve"> the Company’s Net Asset Value</w:t>
      </w:r>
      <w:r w:rsidRPr="00CC1FB0">
        <w:t>” means the capital appreciation of the Company’s Net Asset Value plus the income received from the Company in the form of dividends;</w:t>
      </w:r>
      <w:r>
        <w:t xml:space="preserve"> </w:t>
      </w:r>
    </w:p>
    <w:p w14:paraId="4F79738F" w14:textId="77777777" w:rsidR="00235D1D" w:rsidRPr="008813E2" w:rsidRDefault="00235D1D" w:rsidP="00235D1D">
      <w:pPr>
        <w:pStyle w:val="Bodytext"/>
        <w:spacing w:after="80"/>
      </w:pPr>
      <w:r w:rsidRPr="00CC1FB0">
        <w:t>“</w:t>
      </w:r>
      <w:r w:rsidRPr="00CC1FB0">
        <w:rPr>
          <w:b/>
        </w:rPr>
        <w:t>T</w:t>
      </w:r>
      <w:r>
        <w:rPr>
          <w:b/>
        </w:rPr>
        <w:t>RIF</w:t>
      </w:r>
      <w:r w:rsidRPr="00CC1FB0">
        <w:t xml:space="preserve">” </w:t>
      </w:r>
      <w:r>
        <w:t>means Total Recordable Incident Frequency</w:t>
      </w:r>
      <w:r w:rsidRPr="008813E2">
        <w:t xml:space="preserve">; </w:t>
      </w:r>
    </w:p>
    <w:p w14:paraId="08D3A8E4" w14:textId="6D87693B" w:rsidR="00AD57E5" w:rsidRPr="00E90BA6" w:rsidRDefault="00AD57E5" w:rsidP="00235D1D">
      <w:pPr>
        <w:pStyle w:val="Bodytext"/>
        <w:spacing w:after="80"/>
        <w:rPr>
          <w:b/>
        </w:rPr>
      </w:pPr>
      <w:r>
        <w:t>“</w:t>
      </w:r>
      <w:r w:rsidRPr="00EA2741">
        <w:rPr>
          <w:b/>
        </w:rPr>
        <w:t>TSX</w:t>
      </w:r>
      <w:r>
        <w:t xml:space="preserve">” means Toronto Stock Exchange; </w:t>
      </w:r>
    </w:p>
    <w:p w14:paraId="1753428F" w14:textId="77777777" w:rsidR="00780C20" w:rsidRPr="002D1A2F" w:rsidRDefault="00780C20" w:rsidP="00780C20">
      <w:pPr>
        <w:pStyle w:val="Bodytext"/>
        <w:spacing w:after="80"/>
      </w:pPr>
      <w:r w:rsidRPr="002D1A2F">
        <w:t>“</w:t>
      </w:r>
      <w:r w:rsidRPr="002D1A2F">
        <w:rPr>
          <w:b/>
        </w:rPr>
        <w:t>UCITS</w:t>
      </w:r>
      <w:r w:rsidRPr="002D1A2F">
        <w:t xml:space="preserve">” means undertakings for collective investment in transferable securities; </w:t>
      </w:r>
    </w:p>
    <w:p w14:paraId="5437F884" w14:textId="77777777" w:rsidR="00235D1D" w:rsidRDefault="00235D1D" w:rsidP="00235D1D">
      <w:pPr>
        <w:pStyle w:val="Bodytext"/>
        <w:spacing w:after="80"/>
      </w:pPr>
      <w:r>
        <w:t>“</w:t>
      </w:r>
      <w:r w:rsidRPr="001500E2">
        <w:rPr>
          <w:b/>
        </w:rPr>
        <w:t>United States Bankruptcy Code</w:t>
      </w:r>
      <w:r>
        <w:t>” means the source of bankruptcy law in the United States Code;</w:t>
      </w:r>
    </w:p>
    <w:p w14:paraId="0245BF57" w14:textId="77777777" w:rsidR="00235D1D" w:rsidRPr="002D1A2F" w:rsidRDefault="00235D1D" w:rsidP="00235D1D">
      <w:pPr>
        <w:pStyle w:val="Bodytext"/>
        <w:spacing w:after="80"/>
      </w:pPr>
      <w:r>
        <w:t>“</w:t>
      </w:r>
      <w:r w:rsidRPr="001500E2">
        <w:rPr>
          <w:b/>
        </w:rPr>
        <w:t>United States Code</w:t>
      </w:r>
      <w:r>
        <w:t>” means the consolidation and codification by subject matter of the general and permanent laws of the United States;</w:t>
      </w:r>
    </w:p>
    <w:p w14:paraId="702D247D" w14:textId="7510BA92" w:rsidR="00780C20" w:rsidRPr="002D1A2F" w:rsidRDefault="00780C20" w:rsidP="00235D1D">
      <w:pPr>
        <w:pStyle w:val="Bodytext"/>
        <w:spacing w:after="80"/>
      </w:pPr>
      <w:r w:rsidRPr="002D1A2F">
        <w:t>“</w:t>
      </w:r>
      <w:r w:rsidRPr="002D1A2F">
        <w:rPr>
          <w:b/>
        </w:rPr>
        <w:t>UK</w:t>
      </w:r>
      <w:r w:rsidRPr="002D1A2F">
        <w:t>” or “</w:t>
      </w:r>
      <w:r w:rsidRPr="002D1A2F">
        <w:rPr>
          <w:b/>
        </w:rPr>
        <w:t>United Kingdom</w:t>
      </w:r>
      <w:r w:rsidRPr="002D1A2F">
        <w:t>” means the United Kingdom of Great Britain and Northern Ireland;</w:t>
      </w:r>
    </w:p>
    <w:p w14:paraId="0EDDC6A0" w14:textId="77777777" w:rsidR="00780C20" w:rsidRPr="002D1A2F" w:rsidRDefault="00780C20" w:rsidP="00780C20">
      <w:pPr>
        <w:pStyle w:val="Bodytext"/>
        <w:spacing w:after="80"/>
      </w:pPr>
      <w:r w:rsidRPr="002D1A2F">
        <w:t>“</w:t>
      </w:r>
      <w:r w:rsidRPr="002D1A2F">
        <w:rPr>
          <w:b/>
        </w:rPr>
        <w:t>UK Listing Authority</w:t>
      </w:r>
      <w:r w:rsidRPr="002D1A2F">
        <w:t>” or “</w:t>
      </w:r>
      <w:r w:rsidRPr="002D1A2F">
        <w:rPr>
          <w:b/>
        </w:rPr>
        <w:t>UKLA</w:t>
      </w:r>
      <w:r w:rsidRPr="002D1A2F">
        <w:t>” means the Financial Conduct Authority;</w:t>
      </w:r>
    </w:p>
    <w:p w14:paraId="6D199B4C" w14:textId="77777777" w:rsidR="00780C20" w:rsidRPr="002D1A2F" w:rsidRDefault="00780C20" w:rsidP="00780C20">
      <w:pPr>
        <w:pStyle w:val="Bodytext"/>
        <w:spacing w:after="80"/>
      </w:pPr>
      <w:r w:rsidRPr="002D1A2F">
        <w:t>“</w:t>
      </w:r>
      <w:r w:rsidRPr="002D1A2F">
        <w:rPr>
          <w:b/>
        </w:rPr>
        <w:t>U.S.</w:t>
      </w:r>
      <w:r w:rsidRPr="002D1A2F">
        <w:t>” or “</w:t>
      </w:r>
      <w:r w:rsidRPr="002D1A2F">
        <w:rPr>
          <w:b/>
        </w:rPr>
        <w:t>United States</w:t>
      </w:r>
      <w:r w:rsidRPr="002D1A2F">
        <w:t>” means the United States of America, its territories and possessions, any state of the United States and the District of Columbia;</w:t>
      </w:r>
    </w:p>
    <w:p w14:paraId="0A67B523" w14:textId="77777777" w:rsidR="00780C20" w:rsidRPr="002D1A2F" w:rsidRDefault="00780C20" w:rsidP="00780C20">
      <w:pPr>
        <w:pStyle w:val="Bodytext"/>
        <w:spacing w:after="80"/>
      </w:pPr>
      <w:r w:rsidRPr="002D1A2F">
        <w:t>“</w:t>
      </w:r>
      <w:r w:rsidRPr="002D1A2F">
        <w:rPr>
          <w:b/>
        </w:rPr>
        <w:t>WTI</w:t>
      </w:r>
      <w:r w:rsidRPr="002D1A2F">
        <w:t>” means West Texas Intermediate which is a grade of crude oil used as a benchmark in oil pricing;</w:t>
      </w:r>
    </w:p>
    <w:p w14:paraId="479CC33A" w14:textId="77777777" w:rsidR="00780C20" w:rsidRPr="002D1A2F" w:rsidRDefault="00780C20" w:rsidP="00780C20">
      <w:pPr>
        <w:pStyle w:val="Bodytext"/>
        <w:spacing w:after="80"/>
      </w:pPr>
      <w:r w:rsidRPr="002D1A2F">
        <w:t>“</w:t>
      </w:r>
      <w:r w:rsidRPr="002D1A2F">
        <w:rPr>
          <w:b/>
        </w:rPr>
        <w:t>£</w:t>
      </w:r>
      <w:r w:rsidRPr="002D1A2F">
        <w:t>” or “</w:t>
      </w:r>
      <w:r w:rsidRPr="0043087C">
        <w:rPr>
          <w:b/>
        </w:rPr>
        <w:t>Pounds Sterling</w:t>
      </w:r>
      <w:r w:rsidRPr="002D1A2F">
        <w:t>”</w:t>
      </w:r>
      <w:r>
        <w:t xml:space="preserve"> or “</w:t>
      </w:r>
      <w:r>
        <w:rPr>
          <w:b/>
        </w:rPr>
        <w:t>Sterling</w:t>
      </w:r>
      <w:r>
        <w:t>”</w:t>
      </w:r>
      <w:r w:rsidRPr="002D1A2F">
        <w:t xml:space="preserve"> means British pound sterling and “</w:t>
      </w:r>
      <w:r w:rsidRPr="0043087C">
        <w:rPr>
          <w:b/>
        </w:rPr>
        <w:t>pence</w:t>
      </w:r>
      <w:r w:rsidRPr="002D1A2F">
        <w:t>” means British pence; and</w:t>
      </w:r>
    </w:p>
    <w:p w14:paraId="7ECFC358" w14:textId="779177AA" w:rsidR="005D62F7" w:rsidRDefault="00780C20" w:rsidP="00213F9C">
      <w:pPr>
        <w:pStyle w:val="Bodytext"/>
        <w:spacing w:after="80"/>
      </w:pPr>
      <w:r w:rsidRPr="002D1A2F">
        <w:t>“</w:t>
      </w:r>
      <w:r w:rsidRPr="002D1A2F">
        <w:rPr>
          <w:b/>
        </w:rPr>
        <w:t>$</w:t>
      </w:r>
      <w:r w:rsidRPr="002D1A2F">
        <w:t>”</w:t>
      </w:r>
      <w:r>
        <w:t xml:space="preserve"> </w:t>
      </w:r>
      <w:r w:rsidRPr="002D1A2F">
        <w:t>means United States dollars and “</w:t>
      </w:r>
      <w:r w:rsidRPr="0043087C">
        <w:rPr>
          <w:b/>
        </w:rPr>
        <w:t>cents</w:t>
      </w:r>
      <w:r w:rsidRPr="002D1A2F">
        <w:t>” means United States cents.</w:t>
      </w:r>
    </w:p>
    <w:p w14:paraId="03FD5B56" w14:textId="4E89447B" w:rsidR="00683A8A" w:rsidRDefault="00683A8A" w:rsidP="003E2E13">
      <w:pPr>
        <w:pStyle w:val="Heading1"/>
        <w:keepNext w:val="0"/>
        <w:keepLines w:val="0"/>
        <w:widowControl w:val="0"/>
        <w:spacing w:before="0"/>
        <w:contextualSpacing/>
        <w:rPr>
          <w:rFonts w:cs="Arial"/>
        </w:rPr>
      </w:pPr>
    </w:p>
    <w:p w14:paraId="03151182" w14:textId="77777777" w:rsidR="00947447" w:rsidRPr="00947447" w:rsidRDefault="00947447" w:rsidP="00947447"/>
    <w:p w14:paraId="75249DB2" w14:textId="3BDC0D77" w:rsidR="00E345F2" w:rsidRDefault="00E345F2" w:rsidP="003E2E13">
      <w:pPr>
        <w:pStyle w:val="Heading1"/>
        <w:keepNext w:val="0"/>
        <w:keepLines w:val="0"/>
        <w:widowControl w:val="0"/>
        <w:spacing w:before="0"/>
        <w:contextualSpacing/>
        <w:rPr>
          <w:rFonts w:cs="Arial"/>
        </w:rPr>
      </w:pPr>
      <w:r>
        <w:rPr>
          <w:rFonts w:cs="Arial"/>
        </w:rPr>
        <w:t>DIRECTORS AND GENERAL INFORMATION</w:t>
      </w:r>
    </w:p>
    <w:p w14:paraId="7DB71A9F" w14:textId="77777777" w:rsidR="00780C20" w:rsidRPr="00780C20" w:rsidRDefault="00F57A8D" w:rsidP="00780C20">
      <w:pPr>
        <w:pStyle w:val="Bodytext"/>
        <w:rPr>
          <w:rFonts w:cs="Arial"/>
          <w:b/>
          <w:szCs w:val="20"/>
        </w:rPr>
      </w:pPr>
      <w:r w:rsidRPr="00780C20" w:rsidDel="00AE7384">
        <w:rPr>
          <w:rFonts w:cs="Arial"/>
          <w:b/>
          <w:szCs w:val="20"/>
        </w:rPr>
        <w:t xml:space="preserve"> </w:t>
      </w:r>
    </w:p>
    <w:tbl>
      <w:tblPr>
        <w:tblStyle w:val="TableGrid"/>
        <w:tblW w:w="0" w:type="auto"/>
        <w:tblLook w:val="00A0" w:firstRow="1" w:lastRow="0" w:firstColumn="1" w:lastColumn="0" w:noHBand="0" w:noVBand="0"/>
      </w:tblPr>
      <w:tblGrid>
        <w:gridCol w:w="3242"/>
        <w:gridCol w:w="3259"/>
        <w:gridCol w:w="3242"/>
      </w:tblGrid>
      <w:tr w:rsidR="00780C20" w:rsidRPr="00660677" w14:paraId="21674BFF" w14:textId="77777777" w:rsidTr="00660677">
        <w:trPr>
          <w:trHeight w:val="70"/>
        </w:trPr>
        <w:tc>
          <w:tcPr>
            <w:tcW w:w="3242" w:type="dxa"/>
          </w:tcPr>
          <w:p w14:paraId="74855206" w14:textId="08822F0E" w:rsidR="00780C20" w:rsidRPr="00660677" w:rsidRDefault="00780C20" w:rsidP="00BE4257">
            <w:pPr>
              <w:pStyle w:val="Bodytext"/>
              <w:rPr>
                <w:b/>
                <w:sz w:val="19"/>
                <w:szCs w:val="19"/>
              </w:rPr>
            </w:pPr>
            <w:r w:rsidRPr="00660677">
              <w:rPr>
                <w:b/>
                <w:sz w:val="19"/>
                <w:szCs w:val="19"/>
              </w:rPr>
              <w:t>Directors</w:t>
            </w:r>
          </w:p>
          <w:p w14:paraId="39A8B195" w14:textId="77777777" w:rsidR="00780C20" w:rsidRPr="00660677" w:rsidRDefault="00780C20" w:rsidP="00BE4257">
            <w:pPr>
              <w:rPr>
                <w:rFonts w:ascii="Arial" w:hAnsi="Arial" w:cs="Arial"/>
                <w:sz w:val="19"/>
                <w:szCs w:val="19"/>
              </w:rPr>
            </w:pPr>
            <w:r w:rsidRPr="00660677">
              <w:rPr>
                <w:rFonts w:ascii="Arial" w:hAnsi="Arial" w:cs="Arial"/>
                <w:sz w:val="19"/>
                <w:szCs w:val="19"/>
              </w:rPr>
              <w:t>Richard Hayden (Chairman)</w:t>
            </w:r>
          </w:p>
          <w:p w14:paraId="17B16F48" w14:textId="77777777" w:rsidR="00780C20" w:rsidRPr="00660677" w:rsidRDefault="00780C20" w:rsidP="00BE4257">
            <w:pPr>
              <w:rPr>
                <w:rFonts w:ascii="Arial" w:hAnsi="Arial" w:cs="Arial"/>
                <w:sz w:val="19"/>
                <w:szCs w:val="19"/>
              </w:rPr>
            </w:pPr>
            <w:r w:rsidRPr="00660677">
              <w:rPr>
                <w:rFonts w:ascii="Arial" w:hAnsi="Arial" w:cs="Arial"/>
                <w:sz w:val="19"/>
                <w:szCs w:val="19"/>
              </w:rPr>
              <w:t>Peter Barker</w:t>
            </w:r>
          </w:p>
          <w:p w14:paraId="0D06E1F2" w14:textId="77777777" w:rsidR="00780C20" w:rsidRPr="00660677" w:rsidRDefault="00780C20" w:rsidP="00BE4257">
            <w:pPr>
              <w:rPr>
                <w:rFonts w:ascii="Arial" w:hAnsi="Arial" w:cs="Arial"/>
                <w:sz w:val="19"/>
                <w:szCs w:val="19"/>
              </w:rPr>
            </w:pPr>
            <w:r w:rsidRPr="00660677">
              <w:rPr>
                <w:rFonts w:ascii="Arial" w:hAnsi="Arial" w:cs="Arial"/>
                <w:sz w:val="19"/>
                <w:szCs w:val="19"/>
              </w:rPr>
              <w:t>Patrick Firth</w:t>
            </w:r>
          </w:p>
          <w:p w14:paraId="5C16AAA6" w14:textId="77777777" w:rsidR="00780C20" w:rsidRPr="00660677" w:rsidRDefault="00780C20" w:rsidP="00BE4257">
            <w:pPr>
              <w:rPr>
                <w:rFonts w:ascii="Arial" w:hAnsi="Arial" w:cs="Arial"/>
                <w:sz w:val="19"/>
                <w:szCs w:val="19"/>
              </w:rPr>
            </w:pPr>
            <w:r w:rsidRPr="00660677">
              <w:rPr>
                <w:rFonts w:ascii="Arial" w:hAnsi="Arial" w:cs="Arial"/>
                <w:sz w:val="19"/>
                <w:szCs w:val="19"/>
              </w:rPr>
              <w:t>Pierre Lapeyre</w:t>
            </w:r>
          </w:p>
          <w:p w14:paraId="6C9D82CF" w14:textId="77777777" w:rsidR="00780C20" w:rsidRPr="00660677" w:rsidRDefault="00780C20" w:rsidP="00BE4257">
            <w:pPr>
              <w:rPr>
                <w:rFonts w:ascii="Arial" w:hAnsi="Arial" w:cs="Arial"/>
                <w:sz w:val="19"/>
                <w:szCs w:val="19"/>
              </w:rPr>
            </w:pPr>
            <w:r w:rsidRPr="00660677">
              <w:rPr>
                <w:rFonts w:ascii="Arial" w:hAnsi="Arial" w:cs="Arial"/>
                <w:sz w:val="19"/>
                <w:szCs w:val="19"/>
              </w:rPr>
              <w:t>David Leuschen</w:t>
            </w:r>
          </w:p>
          <w:p w14:paraId="71B03D9A" w14:textId="77777777" w:rsidR="00780C20" w:rsidRPr="00660677" w:rsidRDefault="00780C20" w:rsidP="00BE4257">
            <w:pPr>
              <w:rPr>
                <w:rFonts w:ascii="Arial" w:hAnsi="Arial" w:cs="Arial"/>
                <w:sz w:val="19"/>
                <w:szCs w:val="19"/>
              </w:rPr>
            </w:pPr>
            <w:r w:rsidRPr="00660677">
              <w:rPr>
                <w:rFonts w:ascii="Arial" w:hAnsi="Arial" w:cs="Arial"/>
                <w:sz w:val="19"/>
                <w:szCs w:val="19"/>
              </w:rPr>
              <w:t xml:space="preserve">Ken Ryan </w:t>
            </w:r>
          </w:p>
          <w:p w14:paraId="11382746" w14:textId="77777777" w:rsidR="00780C20" w:rsidRPr="00660677" w:rsidRDefault="00780C20" w:rsidP="00BE4257">
            <w:pPr>
              <w:rPr>
                <w:rFonts w:ascii="Arial" w:hAnsi="Arial" w:cs="Arial"/>
                <w:sz w:val="19"/>
                <w:szCs w:val="19"/>
              </w:rPr>
            </w:pPr>
            <w:r w:rsidRPr="00660677">
              <w:rPr>
                <w:rFonts w:ascii="Arial" w:hAnsi="Arial" w:cs="Arial"/>
                <w:sz w:val="19"/>
                <w:szCs w:val="19"/>
              </w:rPr>
              <w:t xml:space="preserve">Jeremy Thompson </w:t>
            </w:r>
          </w:p>
          <w:p w14:paraId="32475251" w14:textId="77777777" w:rsidR="00780C20" w:rsidRPr="00660677" w:rsidRDefault="00780C20" w:rsidP="00BE4257">
            <w:pPr>
              <w:rPr>
                <w:rFonts w:ascii="Arial" w:hAnsi="Arial" w:cs="Arial"/>
                <w:sz w:val="19"/>
                <w:szCs w:val="19"/>
              </w:rPr>
            </w:pPr>
            <w:r w:rsidRPr="00660677">
              <w:rPr>
                <w:rFonts w:ascii="Arial" w:hAnsi="Arial" w:cs="Arial"/>
                <w:sz w:val="19"/>
                <w:szCs w:val="19"/>
              </w:rPr>
              <w:t xml:space="preserve">Claire Whittet </w:t>
            </w:r>
          </w:p>
          <w:p w14:paraId="752DB581" w14:textId="77777777" w:rsidR="00780C20" w:rsidRPr="00660677" w:rsidRDefault="00780C20" w:rsidP="00BE4257">
            <w:pPr>
              <w:rPr>
                <w:sz w:val="19"/>
                <w:szCs w:val="19"/>
              </w:rPr>
            </w:pPr>
          </w:p>
          <w:p w14:paraId="0B6F2D41" w14:textId="77777777" w:rsidR="00780C20" w:rsidRPr="00660677" w:rsidRDefault="00780C20" w:rsidP="00BE4257">
            <w:pPr>
              <w:pStyle w:val="Bodytext"/>
              <w:rPr>
                <w:b/>
                <w:sz w:val="19"/>
                <w:szCs w:val="19"/>
              </w:rPr>
            </w:pPr>
            <w:r w:rsidRPr="00660677">
              <w:rPr>
                <w:b/>
                <w:sz w:val="19"/>
                <w:szCs w:val="19"/>
              </w:rPr>
              <w:t>Audit Committee</w:t>
            </w:r>
          </w:p>
          <w:p w14:paraId="4327DFD1" w14:textId="77777777" w:rsidR="00780C20" w:rsidRPr="00660677" w:rsidRDefault="00780C20" w:rsidP="00BE4257">
            <w:pPr>
              <w:rPr>
                <w:rFonts w:ascii="Arial" w:hAnsi="Arial" w:cs="Arial"/>
                <w:sz w:val="19"/>
                <w:szCs w:val="19"/>
              </w:rPr>
            </w:pPr>
            <w:r w:rsidRPr="00660677">
              <w:rPr>
                <w:rFonts w:ascii="Arial" w:hAnsi="Arial" w:cs="Arial"/>
                <w:sz w:val="19"/>
                <w:szCs w:val="19"/>
              </w:rPr>
              <w:t>Patrick Firth (Chairman)</w:t>
            </w:r>
          </w:p>
          <w:p w14:paraId="6BC24085" w14:textId="77777777" w:rsidR="00780C20" w:rsidRPr="00660677" w:rsidRDefault="00780C20" w:rsidP="00BE4257">
            <w:pPr>
              <w:rPr>
                <w:rFonts w:ascii="Arial" w:hAnsi="Arial" w:cs="Arial"/>
                <w:sz w:val="19"/>
                <w:szCs w:val="19"/>
              </w:rPr>
            </w:pPr>
            <w:r w:rsidRPr="00660677">
              <w:rPr>
                <w:rFonts w:ascii="Arial" w:hAnsi="Arial" w:cs="Arial"/>
                <w:sz w:val="19"/>
                <w:szCs w:val="19"/>
              </w:rPr>
              <w:t>Peter Barker</w:t>
            </w:r>
          </w:p>
          <w:p w14:paraId="1632283A" w14:textId="77777777" w:rsidR="00780C20" w:rsidRPr="00660677" w:rsidRDefault="00780C20" w:rsidP="00BE4257">
            <w:pPr>
              <w:rPr>
                <w:rFonts w:ascii="Arial" w:hAnsi="Arial" w:cs="Arial"/>
                <w:sz w:val="19"/>
                <w:szCs w:val="19"/>
              </w:rPr>
            </w:pPr>
            <w:r w:rsidRPr="00660677">
              <w:rPr>
                <w:rFonts w:ascii="Arial" w:hAnsi="Arial" w:cs="Arial"/>
                <w:sz w:val="19"/>
                <w:szCs w:val="19"/>
              </w:rPr>
              <w:t>Richard Hayden</w:t>
            </w:r>
          </w:p>
          <w:p w14:paraId="1D3E00EE" w14:textId="77777777" w:rsidR="00780C20" w:rsidRPr="00660677" w:rsidRDefault="00780C20" w:rsidP="00BE4257">
            <w:pPr>
              <w:rPr>
                <w:rFonts w:ascii="Arial" w:hAnsi="Arial" w:cs="Arial"/>
                <w:sz w:val="19"/>
                <w:szCs w:val="19"/>
              </w:rPr>
            </w:pPr>
            <w:r w:rsidRPr="00660677">
              <w:rPr>
                <w:rFonts w:ascii="Arial" w:hAnsi="Arial" w:cs="Arial"/>
                <w:sz w:val="19"/>
                <w:szCs w:val="19"/>
              </w:rPr>
              <w:t xml:space="preserve">Jeremy Thompson </w:t>
            </w:r>
          </w:p>
          <w:p w14:paraId="6EB6655A" w14:textId="77777777" w:rsidR="00780C20" w:rsidRPr="00660677" w:rsidRDefault="00780C20" w:rsidP="00BE4257">
            <w:pPr>
              <w:rPr>
                <w:rFonts w:ascii="Arial" w:hAnsi="Arial" w:cs="Arial"/>
                <w:sz w:val="19"/>
                <w:szCs w:val="19"/>
              </w:rPr>
            </w:pPr>
            <w:r w:rsidRPr="00660677">
              <w:rPr>
                <w:rFonts w:ascii="Arial" w:hAnsi="Arial" w:cs="Arial"/>
                <w:sz w:val="19"/>
                <w:szCs w:val="19"/>
              </w:rPr>
              <w:t xml:space="preserve">Claire Whittet </w:t>
            </w:r>
          </w:p>
          <w:p w14:paraId="665B250E" w14:textId="77777777" w:rsidR="00780C20" w:rsidRPr="00660677" w:rsidRDefault="00780C20" w:rsidP="00BE4257">
            <w:pPr>
              <w:pStyle w:val="Bodytext"/>
              <w:rPr>
                <w:sz w:val="19"/>
                <w:szCs w:val="19"/>
              </w:rPr>
            </w:pPr>
          </w:p>
          <w:p w14:paraId="51A97190" w14:textId="77777777" w:rsidR="00780C20" w:rsidRPr="00660677" w:rsidRDefault="00780C20" w:rsidP="00BE4257">
            <w:pPr>
              <w:pStyle w:val="Bodytext"/>
              <w:rPr>
                <w:b/>
                <w:sz w:val="19"/>
                <w:szCs w:val="19"/>
              </w:rPr>
            </w:pPr>
            <w:r w:rsidRPr="00660677">
              <w:rPr>
                <w:b/>
                <w:sz w:val="19"/>
                <w:szCs w:val="19"/>
              </w:rPr>
              <w:t>Management Engagement Committee</w:t>
            </w:r>
          </w:p>
          <w:p w14:paraId="6C76753B" w14:textId="77777777" w:rsidR="00780C20" w:rsidRPr="00660677" w:rsidRDefault="00780C20" w:rsidP="00BE4257">
            <w:pPr>
              <w:rPr>
                <w:rFonts w:ascii="Arial" w:hAnsi="Arial" w:cs="Arial"/>
                <w:sz w:val="19"/>
                <w:szCs w:val="19"/>
              </w:rPr>
            </w:pPr>
            <w:r w:rsidRPr="00660677">
              <w:rPr>
                <w:rFonts w:ascii="Arial" w:hAnsi="Arial" w:cs="Arial"/>
                <w:sz w:val="19"/>
                <w:szCs w:val="19"/>
              </w:rPr>
              <w:t>Claire Whittet (Chairman)</w:t>
            </w:r>
          </w:p>
          <w:p w14:paraId="177C430F" w14:textId="77777777" w:rsidR="00780C20" w:rsidRPr="00660677" w:rsidRDefault="00780C20" w:rsidP="00BE4257">
            <w:pPr>
              <w:rPr>
                <w:rFonts w:ascii="Arial" w:hAnsi="Arial" w:cs="Arial"/>
                <w:sz w:val="19"/>
                <w:szCs w:val="19"/>
              </w:rPr>
            </w:pPr>
            <w:r w:rsidRPr="00660677">
              <w:rPr>
                <w:rFonts w:ascii="Arial" w:hAnsi="Arial" w:cs="Arial"/>
                <w:sz w:val="19"/>
                <w:szCs w:val="19"/>
              </w:rPr>
              <w:t>Peter Barker</w:t>
            </w:r>
          </w:p>
          <w:p w14:paraId="15255C36" w14:textId="77777777" w:rsidR="00780C20" w:rsidRPr="00660677" w:rsidRDefault="00780C20" w:rsidP="00BE4257">
            <w:pPr>
              <w:rPr>
                <w:rFonts w:ascii="Arial" w:hAnsi="Arial" w:cs="Arial"/>
                <w:sz w:val="19"/>
                <w:szCs w:val="19"/>
              </w:rPr>
            </w:pPr>
            <w:r w:rsidRPr="00660677">
              <w:rPr>
                <w:rFonts w:ascii="Arial" w:hAnsi="Arial" w:cs="Arial"/>
                <w:sz w:val="19"/>
                <w:szCs w:val="19"/>
              </w:rPr>
              <w:t xml:space="preserve">Patrick Firth </w:t>
            </w:r>
          </w:p>
          <w:p w14:paraId="554F3B37" w14:textId="77777777" w:rsidR="00780C20" w:rsidRPr="00660677" w:rsidRDefault="00780C20" w:rsidP="00BE4257">
            <w:pPr>
              <w:rPr>
                <w:rFonts w:ascii="Arial" w:hAnsi="Arial" w:cs="Arial"/>
                <w:sz w:val="19"/>
                <w:szCs w:val="19"/>
              </w:rPr>
            </w:pPr>
            <w:r w:rsidRPr="00660677">
              <w:rPr>
                <w:rFonts w:ascii="Arial" w:hAnsi="Arial" w:cs="Arial"/>
                <w:sz w:val="19"/>
                <w:szCs w:val="19"/>
              </w:rPr>
              <w:t xml:space="preserve">Richard Hayden </w:t>
            </w:r>
          </w:p>
          <w:p w14:paraId="5B9F7E47" w14:textId="77777777" w:rsidR="00780C20" w:rsidRPr="00660677" w:rsidRDefault="00780C20" w:rsidP="00BE4257">
            <w:pPr>
              <w:rPr>
                <w:rFonts w:ascii="Arial" w:hAnsi="Arial" w:cs="Arial"/>
                <w:sz w:val="19"/>
                <w:szCs w:val="19"/>
              </w:rPr>
            </w:pPr>
            <w:r w:rsidRPr="00660677">
              <w:rPr>
                <w:rFonts w:ascii="Arial" w:hAnsi="Arial" w:cs="Arial"/>
                <w:sz w:val="19"/>
                <w:szCs w:val="19"/>
              </w:rPr>
              <w:t xml:space="preserve">Jeremy Thompson </w:t>
            </w:r>
          </w:p>
          <w:p w14:paraId="10BC46B5" w14:textId="77777777" w:rsidR="00780C20" w:rsidRPr="00660677" w:rsidRDefault="00780C20" w:rsidP="00BE4257">
            <w:pPr>
              <w:pStyle w:val="Bodytext"/>
              <w:rPr>
                <w:sz w:val="19"/>
                <w:szCs w:val="19"/>
              </w:rPr>
            </w:pPr>
          </w:p>
          <w:p w14:paraId="21F14A39" w14:textId="77777777" w:rsidR="00780C20" w:rsidRPr="00660677" w:rsidRDefault="00780C20" w:rsidP="00BE4257">
            <w:pPr>
              <w:pStyle w:val="Bodytext"/>
              <w:rPr>
                <w:b/>
                <w:sz w:val="19"/>
                <w:szCs w:val="19"/>
              </w:rPr>
            </w:pPr>
            <w:r w:rsidRPr="00660677">
              <w:rPr>
                <w:b/>
                <w:sz w:val="19"/>
                <w:szCs w:val="19"/>
              </w:rPr>
              <w:t>Nomination Committee</w:t>
            </w:r>
          </w:p>
          <w:p w14:paraId="40B93696" w14:textId="77777777" w:rsidR="00780C20" w:rsidRPr="00660677" w:rsidRDefault="00780C20" w:rsidP="00BE4257">
            <w:pPr>
              <w:rPr>
                <w:rFonts w:ascii="Arial" w:hAnsi="Arial" w:cs="Arial"/>
                <w:sz w:val="19"/>
                <w:szCs w:val="19"/>
              </w:rPr>
            </w:pPr>
            <w:r w:rsidRPr="00660677">
              <w:rPr>
                <w:rFonts w:ascii="Arial" w:hAnsi="Arial" w:cs="Arial"/>
                <w:sz w:val="19"/>
                <w:szCs w:val="19"/>
              </w:rPr>
              <w:t>Richard Hayden (Chairman)</w:t>
            </w:r>
          </w:p>
          <w:p w14:paraId="1C6FF615" w14:textId="77777777" w:rsidR="00780C20" w:rsidRPr="00660677" w:rsidRDefault="00780C20" w:rsidP="00BE4257">
            <w:pPr>
              <w:rPr>
                <w:rFonts w:ascii="Arial" w:hAnsi="Arial" w:cs="Arial"/>
                <w:sz w:val="19"/>
                <w:szCs w:val="19"/>
              </w:rPr>
            </w:pPr>
            <w:r w:rsidRPr="00660677">
              <w:rPr>
                <w:rFonts w:ascii="Arial" w:hAnsi="Arial" w:cs="Arial"/>
                <w:sz w:val="19"/>
                <w:szCs w:val="19"/>
              </w:rPr>
              <w:t>Peter Barker</w:t>
            </w:r>
          </w:p>
          <w:p w14:paraId="0E403216" w14:textId="77777777" w:rsidR="00780C20" w:rsidRPr="00660677" w:rsidRDefault="00780C20" w:rsidP="00BE4257">
            <w:pPr>
              <w:rPr>
                <w:rFonts w:ascii="Arial" w:hAnsi="Arial" w:cs="Arial"/>
                <w:sz w:val="19"/>
                <w:szCs w:val="19"/>
              </w:rPr>
            </w:pPr>
            <w:r w:rsidRPr="00660677">
              <w:rPr>
                <w:rFonts w:ascii="Arial" w:hAnsi="Arial" w:cs="Arial"/>
                <w:sz w:val="19"/>
                <w:szCs w:val="19"/>
              </w:rPr>
              <w:t>Patrick Firth</w:t>
            </w:r>
          </w:p>
          <w:p w14:paraId="4FCE4125" w14:textId="77777777" w:rsidR="00780C20" w:rsidRPr="00660677" w:rsidRDefault="00780C20" w:rsidP="00BE4257">
            <w:pPr>
              <w:rPr>
                <w:rFonts w:ascii="Arial" w:hAnsi="Arial" w:cs="Arial"/>
                <w:sz w:val="19"/>
                <w:szCs w:val="19"/>
              </w:rPr>
            </w:pPr>
            <w:r w:rsidRPr="00660677">
              <w:rPr>
                <w:rFonts w:ascii="Arial" w:hAnsi="Arial" w:cs="Arial"/>
                <w:sz w:val="19"/>
                <w:szCs w:val="19"/>
              </w:rPr>
              <w:t xml:space="preserve">Jeremy Thompson </w:t>
            </w:r>
          </w:p>
          <w:p w14:paraId="36A60966" w14:textId="77777777" w:rsidR="00780C20" w:rsidRPr="00660677" w:rsidRDefault="00780C20" w:rsidP="00BE4257">
            <w:pPr>
              <w:rPr>
                <w:rFonts w:ascii="Arial" w:hAnsi="Arial" w:cs="Arial"/>
                <w:sz w:val="19"/>
                <w:szCs w:val="19"/>
              </w:rPr>
            </w:pPr>
            <w:r w:rsidRPr="00660677">
              <w:rPr>
                <w:rFonts w:ascii="Arial" w:hAnsi="Arial" w:cs="Arial"/>
                <w:sz w:val="19"/>
                <w:szCs w:val="19"/>
              </w:rPr>
              <w:t xml:space="preserve">Claire Whittet </w:t>
            </w:r>
          </w:p>
          <w:p w14:paraId="1AC3698B" w14:textId="77777777" w:rsidR="00780C20" w:rsidRPr="00660677" w:rsidRDefault="00780C20" w:rsidP="00BE4257">
            <w:pPr>
              <w:pStyle w:val="Bodytext"/>
              <w:rPr>
                <w:sz w:val="19"/>
                <w:szCs w:val="19"/>
              </w:rPr>
            </w:pPr>
          </w:p>
          <w:p w14:paraId="55B4CB04" w14:textId="77777777" w:rsidR="00780C20" w:rsidRPr="00660677" w:rsidRDefault="00780C20" w:rsidP="00BE4257">
            <w:pPr>
              <w:pStyle w:val="Bodytext"/>
              <w:rPr>
                <w:b/>
                <w:sz w:val="19"/>
                <w:szCs w:val="19"/>
              </w:rPr>
            </w:pPr>
            <w:r w:rsidRPr="00660677">
              <w:rPr>
                <w:b/>
                <w:sz w:val="19"/>
                <w:szCs w:val="19"/>
              </w:rPr>
              <w:t>Investment Manager</w:t>
            </w:r>
          </w:p>
          <w:p w14:paraId="13DD4A46" w14:textId="0C8EB0E7" w:rsidR="00780C20" w:rsidRPr="00660677" w:rsidRDefault="006A7BAC" w:rsidP="00BE4257">
            <w:pPr>
              <w:pStyle w:val="Bodytext"/>
              <w:rPr>
                <w:sz w:val="19"/>
                <w:szCs w:val="19"/>
              </w:rPr>
            </w:pPr>
            <w:r>
              <w:rPr>
                <w:sz w:val="19"/>
                <w:szCs w:val="19"/>
              </w:rPr>
              <w:t>RIGL Holdings, LP</w:t>
            </w:r>
          </w:p>
          <w:p w14:paraId="2B770F89" w14:textId="77777777" w:rsidR="00780C20" w:rsidRPr="00660677" w:rsidRDefault="00780C20" w:rsidP="00BE4257">
            <w:pPr>
              <w:pStyle w:val="Bodytext"/>
              <w:rPr>
                <w:sz w:val="19"/>
                <w:szCs w:val="19"/>
              </w:rPr>
            </w:pPr>
            <w:r w:rsidRPr="00660677">
              <w:rPr>
                <w:sz w:val="19"/>
                <w:szCs w:val="19"/>
              </w:rPr>
              <w:t>190 Elgin Avenue</w:t>
            </w:r>
          </w:p>
          <w:p w14:paraId="119BC5C7" w14:textId="77777777" w:rsidR="00780C20" w:rsidRPr="00660677" w:rsidRDefault="00780C20" w:rsidP="00BE4257">
            <w:pPr>
              <w:pStyle w:val="Bodytext"/>
              <w:rPr>
                <w:sz w:val="19"/>
                <w:szCs w:val="19"/>
              </w:rPr>
            </w:pPr>
            <w:r w:rsidRPr="00660677">
              <w:rPr>
                <w:sz w:val="19"/>
                <w:szCs w:val="19"/>
              </w:rPr>
              <w:t>George Town</w:t>
            </w:r>
          </w:p>
          <w:p w14:paraId="1FFF0FF4" w14:textId="77777777" w:rsidR="00780C20" w:rsidRPr="00660677" w:rsidRDefault="00780C20" w:rsidP="00BE4257">
            <w:pPr>
              <w:pStyle w:val="Bodytext"/>
              <w:rPr>
                <w:sz w:val="19"/>
                <w:szCs w:val="19"/>
              </w:rPr>
            </w:pPr>
            <w:r w:rsidRPr="00660677">
              <w:rPr>
                <w:sz w:val="19"/>
                <w:szCs w:val="19"/>
              </w:rPr>
              <w:t>Grand Cayman</w:t>
            </w:r>
          </w:p>
          <w:p w14:paraId="1713C102" w14:textId="77777777" w:rsidR="00780C20" w:rsidRPr="00660677" w:rsidRDefault="00780C20" w:rsidP="00BE4257">
            <w:pPr>
              <w:pStyle w:val="Bodytext"/>
              <w:rPr>
                <w:sz w:val="19"/>
                <w:szCs w:val="19"/>
              </w:rPr>
            </w:pPr>
            <w:r w:rsidRPr="00660677">
              <w:rPr>
                <w:sz w:val="19"/>
                <w:szCs w:val="19"/>
              </w:rPr>
              <w:t>KY1-9005</w:t>
            </w:r>
          </w:p>
          <w:p w14:paraId="6BE03A7F" w14:textId="77777777" w:rsidR="00780C20" w:rsidRPr="00660677" w:rsidRDefault="00780C20" w:rsidP="00BE4257">
            <w:pPr>
              <w:pStyle w:val="Bodytext"/>
              <w:rPr>
                <w:sz w:val="19"/>
                <w:szCs w:val="19"/>
              </w:rPr>
            </w:pPr>
            <w:r w:rsidRPr="00660677">
              <w:rPr>
                <w:sz w:val="19"/>
                <w:szCs w:val="19"/>
              </w:rPr>
              <w:t>Cayman Islands</w:t>
            </w:r>
          </w:p>
          <w:p w14:paraId="14311300" w14:textId="77777777" w:rsidR="00780C20" w:rsidRPr="00660677" w:rsidRDefault="00780C20" w:rsidP="00BE4257">
            <w:pPr>
              <w:pStyle w:val="Bodytext"/>
              <w:rPr>
                <w:sz w:val="19"/>
                <w:szCs w:val="19"/>
              </w:rPr>
            </w:pPr>
          </w:p>
          <w:p w14:paraId="28C3B5D5" w14:textId="67ADBBCC" w:rsidR="00984C54" w:rsidRPr="00660677" w:rsidRDefault="00A314AD" w:rsidP="00BE4257">
            <w:pPr>
              <w:pStyle w:val="Bodytext"/>
              <w:rPr>
                <w:b/>
                <w:sz w:val="19"/>
                <w:szCs w:val="19"/>
              </w:rPr>
            </w:pPr>
            <w:r w:rsidRPr="00660677">
              <w:rPr>
                <w:b/>
                <w:sz w:val="19"/>
                <w:szCs w:val="19"/>
              </w:rPr>
              <w:t xml:space="preserve">Investment Manager’s </w:t>
            </w:r>
            <w:r w:rsidR="00984C54" w:rsidRPr="00660677">
              <w:rPr>
                <w:b/>
                <w:sz w:val="19"/>
                <w:szCs w:val="19"/>
              </w:rPr>
              <w:t>Performance Review Team</w:t>
            </w:r>
          </w:p>
          <w:p w14:paraId="1AA9A831" w14:textId="2104119B" w:rsidR="00502B74" w:rsidRDefault="00502B74" w:rsidP="00984C54">
            <w:pPr>
              <w:rPr>
                <w:rFonts w:ascii="Arial" w:hAnsi="Arial" w:cs="Arial"/>
                <w:sz w:val="19"/>
                <w:szCs w:val="19"/>
              </w:rPr>
            </w:pPr>
            <w:r>
              <w:rPr>
                <w:rFonts w:ascii="Arial" w:hAnsi="Arial" w:cs="Arial"/>
                <w:sz w:val="19"/>
                <w:szCs w:val="19"/>
              </w:rPr>
              <w:t>Bartow Jones</w:t>
            </w:r>
          </w:p>
          <w:p w14:paraId="7C1B24C8" w14:textId="7E04D699" w:rsidR="00984C54" w:rsidRPr="00660677" w:rsidRDefault="00984C54" w:rsidP="00984C54">
            <w:pPr>
              <w:rPr>
                <w:rFonts w:ascii="Arial" w:hAnsi="Arial" w:cs="Arial"/>
                <w:sz w:val="19"/>
                <w:szCs w:val="19"/>
              </w:rPr>
            </w:pPr>
            <w:r w:rsidRPr="00660677">
              <w:rPr>
                <w:rFonts w:ascii="Arial" w:hAnsi="Arial" w:cs="Arial"/>
                <w:sz w:val="19"/>
                <w:szCs w:val="19"/>
              </w:rPr>
              <w:lastRenderedPageBreak/>
              <w:t>Pierre Lapeyre</w:t>
            </w:r>
          </w:p>
          <w:p w14:paraId="385F158D" w14:textId="77777777" w:rsidR="00984C54" w:rsidRPr="00660677" w:rsidRDefault="00984C54" w:rsidP="00984C54">
            <w:pPr>
              <w:rPr>
                <w:rFonts w:ascii="Arial" w:hAnsi="Arial" w:cs="Arial"/>
                <w:sz w:val="19"/>
                <w:szCs w:val="19"/>
              </w:rPr>
            </w:pPr>
            <w:r w:rsidRPr="00660677">
              <w:rPr>
                <w:rFonts w:ascii="Arial" w:hAnsi="Arial" w:cs="Arial"/>
                <w:sz w:val="19"/>
                <w:szCs w:val="19"/>
              </w:rPr>
              <w:t>David Leuschen</w:t>
            </w:r>
          </w:p>
          <w:p w14:paraId="77237402" w14:textId="2A96A8FE" w:rsidR="00984C54" w:rsidRPr="00660677" w:rsidRDefault="00984C54" w:rsidP="00BE4257">
            <w:pPr>
              <w:pStyle w:val="Bodytext"/>
              <w:rPr>
                <w:sz w:val="19"/>
                <w:szCs w:val="19"/>
              </w:rPr>
            </w:pPr>
            <w:r w:rsidRPr="00660677">
              <w:rPr>
                <w:sz w:val="19"/>
                <w:szCs w:val="19"/>
              </w:rPr>
              <w:t>Baran Tekkora</w:t>
            </w:r>
          </w:p>
          <w:p w14:paraId="4278445F" w14:textId="1AE3CBB4" w:rsidR="00984C54" w:rsidRPr="00660677" w:rsidRDefault="00984C54" w:rsidP="00BE4257">
            <w:pPr>
              <w:pStyle w:val="Bodytext"/>
              <w:rPr>
                <w:sz w:val="19"/>
                <w:szCs w:val="19"/>
              </w:rPr>
            </w:pPr>
            <w:r w:rsidRPr="00660677">
              <w:rPr>
                <w:sz w:val="19"/>
                <w:szCs w:val="19"/>
              </w:rPr>
              <w:t>Carl Williams</w:t>
            </w:r>
          </w:p>
          <w:p w14:paraId="761DAEC3" w14:textId="77777777" w:rsidR="00780C20" w:rsidRPr="00660677" w:rsidRDefault="00780C20" w:rsidP="00BE4257">
            <w:pPr>
              <w:pStyle w:val="Bodytext"/>
              <w:rPr>
                <w:b/>
                <w:sz w:val="19"/>
                <w:szCs w:val="19"/>
              </w:rPr>
            </w:pPr>
          </w:p>
          <w:p w14:paraId="70F12EF6" w14:textId="77777777" w:rsidR="00E46EDC" w:rsidRPr="00660677" w:rsidRDefault="00E46EDC" w:rsidP="00E46EDC">
            <w:pPr>
              <w:pStyle w:val="Bodytext"/>
              <w:rPr>
                <w:sz w:val="19"/>
                <w:szCs w:val="19"/>
              </w:rPr>
            </w:pPr>
            <w:r w:rsidRPr="00660677">
              <w:rPr>
                <w:b/>
                <w:sz w:val="19"/>
                <w:szCs w:val="19"/>
              </w:rPr>
              <w:t>Website:</w:t>
            </w:r>
            <w:r w:rsidRPr="00660677">
              <w:rPr>
                <w:sz w:val="19"/>
                <w:szCs w:val="19"/>
              </w:rPr>
              <w:t xml:space="preserve"> www.RiverstoneREL.com</w:t>
            </w:r>
          </w:p>
          <w:p w14:paraId="6FA381BC" w14:textId="77777777" w:rsidR="00E46EDC" w:rsidRPr="00660677" w:rsidRDefault="00E46EDC" w:rsidP="00E46EDC">
            <w:pPr>
              <w:pStyle w:val="Bodytext"/>
              <w:rPr>
                <w:sz w:val="19"/>
                <w:szCs w:val="19"/>
              </w:rPr>
            </w:pPr>
            <w:r w:rsidRPr="00660677">
              <w:rPr>
                <w:b/>
                <w:sz w:val="19"/>
                <w:szCs w:val="19"/>
              </w:rPr>
              <w:t>ISIN:</w:t>
            </w:r>
            <w:r w:rsidRPr="00660677">
              <w:rPr>
                <w:sz w:val="19"/>
                <w:szCs w:val="19"/>
              </w:rPr>
              <w:t xml:space="preserve"> GG00BBHXCL35</w:t>
            </w:r>
          </w:p>
          <w:p w14:paraId="6EB4F890" w14:textId="77777777" w:rsidR="00E46EDC" w:rsidRPr="00660677" w:rsidRDefault="00E46EDC" w:rsidP="00E46EDC">
            <w:pPr>
              <w:pStyle w:val="Bodytext"/>
              <w:rPr>
                <w:sz w:val="19"/>
                <w:szCs w:val="19"/>
              </w:rPr>
            </w:pPr>
            <w:r w:rsidRPr="00660677">
              <w:rPr>
                <w:b/>
                <w:sz w:val="19"/>
                <w:szCs w:val="19"/>
              </w:rPr>
              <w:t>Ticker:</w:t>
            </w:r>
            <w:r w:rsidRPr="00660677">
              <w:rPr>
                <w:sz w:val="19"/>
                <w:szCs w:val="19"/>
              </w:rPr>
              <w:t xml:space="preserve"> RSE</w:t>
            </w:r>
          </w:p>
          <w:p w14:paraId="6BC67615" w14:textId="77777777" w:rsidR="00780C20" w:rsidRPr="00660677" w:rsidRDefault="00780C20" w:rsidP="00BE4257">
            <w:pPr>
              <w:rPr>
                <w:sz w:val="19"/>
                <w:szCs w:val="19"/>
              </w:rPr>
            </w:pPr>
          </w:p>
        </w:tc>
        <w:tc>
          <w:tcPr>
            <w:tcW w:w="3259" w:type="dxa"/>
          </w:tcPr>
          <w:p w14:paraId="37ACFE96" w14:textId="77777777" w:rsidR="00780C20" w:rsidRPr="00660677" w:rsidRDefault="00780C20" w:rsidP="00BE4257">
            <w:pPr>
              <w:pStyle w:val="Bodytext"/>
              <w:rPr>
                <w:b/>
                <w:sz w:val="19"/>
                <w:szCs w:val="19"/>
              </w:rPr>
            </w:pPr>
            <w:r w:rsidRPr="00660677">
              <w:rPr>
                <w:b/>
                <w:sz w:val="19"/>
                <w:szCs w:val="19"/>
              </w:rPr>
              <w:lastRenderedPageBreak/>
              <w:t>Administrator and Company Secretary</w:t>
            </w:r>
          </w:p>
          <w:p w14:paraId="5D82F32F" w14:textId="77777777" w:rsidR="00235D1D" w:rsidRPr="008630CF" w:rsidRDefault="00235D1D" w:rsidP="00235D1D">
            <w:pPr>
              <w:pStyle w:val="Bodytext"/>
              <w:rPr>
                <w:sz w:val="19"/>
                <w:szCs w:val="19"/>
              </w:rPr>
            </w:pPr>
            <w:r>
              <w:t>Ocorian</w:t>
            </w:r>
            <w:r w:rsidRPr="001C4226">
              <w:t xml:space="preserve"> </w:t>
            </w:r>
            <w:r>
              <w:t xml:space="preserve">Administration </w:t>
            </w:r>
            <w:r w:rsidRPr="008630CF">
              <w:rPr>
                <w:sz w:val="19"/>
                <w:szCs w:val="19"/>
              </w:rPr>
              <w:t xml:space="preserve">(Guernsey) Limited </w:t>
            </w:r>
          </w:p>
          <w:p w14:paraId="03B83DD3" w14:textId="77777777" w:rsidR="00235D1D" w:rsidRPr="008630CF" w:rsidRDefault="00235D1D" w:rsidP="00235D1D">
            <w:pPr>
              <w:pStyle w:val="Bodytext"/>
              <w:rPr>
                <w:sz w:val="19"/>
                <w:szCs w:val="19"/>
              </w:rPr>
            </w:pPr>
            <w:r w:rsidRPr="008630CF">
              <w:rPr>
                <w:sz w:val="19"/>
                <w:szCs w:val="19"/>
              </w:rPr>
              <w:t>PO Box 286</w:t>
            </w:r>
          </w:p>
          <w:p w14:paraId="4E2882C5" w14:textId="77777777" w:rsidR="00235D1D" w:rsidRPr="008630CF" w:rsidRDefault="00235D1D" w:rsidP="00235D1D">
            <w:pPr>
              <w:pStyle w:val="Bodytext"/>
              <w:rPr>
                <w:sz w:val="19"/>
                <w:szCs w:val="19"/>
              </w:rPr>
            </w:pPr>
            <w:r w:rsidRPr="008630CF">
              <w:rPr>
                <w:sz w:val="19"/>
                <w:szCs w:val="19"/>
              </w:rPr>
              <w:t>Floor 2</w:t>
            </w:r>
          </w:p>
          <w:p w14:paraId="032DA579" w14:textId="77777777" w:rsidR="00235D1D" w:rsidRPr="008630CF" w:rsidRDefault="00235D1D" w:rsidP="00235D1D">
            <w:pPr>
              <w:pStyle w:val="Bodytext"/>
              <w:rPr>
                <w:sz w:val="19"/>
                <w:szCs w:val="19"/>
              </w:rPr>
            </w:pPr>
            <w:r w:rsidRPr="008630CF">
              <w:rPr>
                <w:sz w:val="19"/>
                <w:szCs w:val="19"/>
              </w:rPr>
              <w:t xml:space="preserve">Trafalgar Court </w:t>
            </w:r>
          </w:p>
          <w:p w14:paraId="0931C7A3" w14:textId="77777777" w:rsidR="00235D1D" w:rsidRPr="008630CF" w:rsidRDefault="00235D1D" w:rsidP="00235D1D">
            <w:pPr>
              <w:pStyle w:val="Bodytext"/>
              <w:rPr>
                <w:sz w:val="19"/>
                <w:szCs w:val="19"/>
              </w:rPr>
            </w:pPr>
            <w:r w:rsidRPr="008630CF">
              <w:rPr>
                <w:sz w:val="19"/>
                <w:szCs w:val="19"/>
              </w:rPr>
              <w:t>Les Banques</w:t>
            </w:r>
          </w:p>
          <w:p w14:paraId="55C45FEE" w14:textId="77777777" w:rsidR="00235D1D" w:rsidRPr="008630CF" w:rsidRDefault="00235D1D" w:rsidP="00235D1D">
            <w:pPr>
              <w:pStyle w:val="Bodytext"/>
              <w:rPr>
                <w:sz w:val="19"/>
                <w:szCs w:val="19"/>
              </w:rPr>
            </w:pPr>
            <w:r w:rsidRPr="008630CF">
              <w:rPr>
                <w:sz w:val="19"/>
                <w:szCs w:val="19"/>
              </w:rPr>
              <w:t xml:space="preserve">St Peter Port </w:t>
            </w:r>
          </w:p>
          <w:p w14:paraId="69A10245" w14:textId="77777777" w:rsidR="00235D1D" w:rsidRPr="008630CF" w:rsidRDefault="00235D1D" w:rsidP="00235D1D">
            <w:pPr>
              <w:pStyle w:val="Bodytext"/>
              <w:rPr>
                <w:sz w:val="19"/>
                <w:szCs w:val="19"/>
              </w:rPr>
            </w:pPr>
            <w:r w:rsidRPr="008630CF">
              <w:rPr>
                <w:sz w:val="19"/>
                <w:szCs w:val="19"/>
              </w:rPr>
              <w:t>Guernsey</w:t>
            </w:r>
          </w:p>
          <w:p w14:paraId="60E0F34C" w14:textId="77777777" w:rsidR="00235D1D" w:rsidRPr="008630CF" w:rsidRDefault="00235D1D" w:rsidP="00235D1D">
            <w:pPr>
              <w:pStyle w:val="Bodytext"/>
              <w:rPr>
                <w:sz w:val="19"/>
                <w:szCs w:val="19"/>
              </w:rPr>
            </w:pPr>
            <w:r w:rsidRPr="008630CF">
              <w:rPr>
                <w:sz w:val="19"/>
                <w:szCs w:val="19"/>
              </w:rPr>
              <w:t>GY1 4LY</w:t>
            </w:r>
          </w:p>
          <w:p w14:paraId="30E28978" w14:textId="77777777" w:rsidR="00235D1D" w:rsidRPr="008630CF" w:rsidRDefault="00235D1D" w:rsidP="00235D1D">
            <w:pPr>
              <w:pStyle w:val="Bodytext"/>
              <w:rPr>
                <w:b/>
                <w:sz w:val="19"/>
                <w:szCs w:val="19"/>
              </w:rPr>
            </w:pPr>
            <w:r w:rsidRPr="008630CF">
              <w:rPr>
                <w:sz w:val="19"/>
                <w:szCs w:val="19"/>
              </w:rPr>
              <w:t>Channel Islands</w:t>
            </w:r>
          </w:p>
          <w:p w14:paraId="421FC08C" w14:textId="77777777" w:rsidR="00191D57" w:rsidRPr="00660677" w:rsidRDefault="00191D57" w:rsidP="00BE4257">
            <w:pPr>
              <w:pStyle w:val="Bodytext"/>
              <w:rPr>
                <w:b/>
                <w:sz w:val="19"/>
                <w:szCs w:val="19"/>
              </w:rPr>
            </w:pPr>
          </w:p>
          <w:p w14:paraId="7C68F1A9" w14:textId="77777777" w:rsidR="00780C20" w:rsidRPr="00660677" w:rsidRDefault="00780C20" w:rsidP="00BE4257">
            <w:pPr>
              <w:pStyle w:val="Bodytext"/>
              <w:rPr>
                <w:b/>
                <w:sz w:val="19"/>
                <w:szCs w:val="19"/>
              </w:rPr>
            </w:pPr>
            <w:r w:rsidRPr="00660677">
              <w:rPr>
                <w:b/>
                <w:sz w:val="19"/>
                <w:szCs w:val="19"/>
              </w:rPr>
              <w:t>Registered office</w:t>
            </w:r>
          </w:p>
          <w:p w14:paraId="2757F076" w14:textId="5750C364" w:rsidR="00E46EDC" w:rsidRPr="00660677" w:rsidRDefault="00E46EDC" w:rsidP="00BE4257">
            <w:pPr>
              <w:pStyle w:val="Bodytext"/>
              <w:rPr>
                <w:sz w:val="19"/>
                <w:szCs w:val="19"/>
              </w:rPr>
            </w:pPr>
            <w:r w:rsidRPr="00660677">
              <w:rPr>
                <w:sz w:val="19"/>
                <w:szCs w:val="19"/>
              </w:rPr>
              <w:t>PO Box 286</w:t>
            </w:r>
          </w:p>
          <w:p w14:paraId="5064A586" w14:textId="18DEA0B6" w:rsidR="00E46EDC" w:rsidRPr="00660677" w:rsidRDefault="00E46EDC" w:rsidP="00BE4257">
            <w:pPr>
              <w:pStyle w:val="Bodytext"/>
              <w:rPr>
                <w:sz w:val="19"/>
                <w:szCs w:val="19"/>
              </w:rPr>
            </w:pPr>
            <w:r w:rsidRPr="00660677">
              <w:rPr>
                <w:sz w:val="19"/>
                <w:szCs w:val="19"/>
              </w:rPr>
              <w:t>Floor 2</w:t>
            </w:r>
          </w:p>
          <w:p w14:paraId="320816D0" w14:textId="2D71322B" w:rsidR="00E46EDC" w:rsidRDefault="00E46EDC" w:rsidP="00BE4257">
            <w:pPr>
              <w:pStyle w:val="Bodytext"/>
              <w:rPr>
                <w:sz w:val="19"/>
                <w:szCs w:val="19"/>
              </w:rPr>
            </w:pPr>
            <w:r w:rsidRPr="00660677">
              <w:rPr>
                <w:sz w:val="19"/>
                <w:szCs w:val="19"/>
              </w:rPr>
              <w:t xml:space="preserve">Trafalgar Court </w:t>
            </w:r>
          </w:p>
          <w:p w14:paraId="6A9E69C5" w14:textId="5D4BFEBA" w:rsidR="003C4FA1" w:rsidRPr="00660677" w:rsidRDefault="003C4FA1" w:rsidP="00BE4257">
            <w:pPr>
              <w:pStyle w:val="Bodytext"/>
              <w:rPr>
                <w:sz w:val="19"/>
                <w:szCs w:val="19"/>
              </w:rPr>
            </w:pPr>
            <w:r>
              <w:rPr>
                <w:sz w:val="19"/>
                <w:szCs w:val="19"/>
              </w:rPr>
              <w:t>Les Banques</w:t>
            </w:r>
          </w:p>
          <w:p w14:paraId="2902CB0C" w14:textId="55F3B897" w:rsidR="00E46EDC" w:rsidRPr="00660677" w:rsidRDefault="00E46EDC" w:rsidP="00BE4257">
            <w:pPr>
              <w:pStyle w:val="Bodytext"/>
              <w:rPr>
                <w:sz w:val="19"/>
                <w:szCs w:val="19"/>
              </w:rPr>
            </w:pPr>
            <w:r w:rsidRPr="00660677">
              <w:rPr>
                <w:sz w:val="19"/>
                <w:szCs w:val="19"/>
              </w:rPr>
              <w:t xml:space="preserve">St Peter Port </w:t>
            </w:r>
          </w:p>
          <w:p w14:paraId="502754B9" w14:textId="60C51958" w:rsidR="00E46EDC" w:rsidRPr="00660677" w:rsidRDefault="00E46EDC" w:rsidP="00BE4257">
            <w:pPr>
              <w:pStyle w:val="Bodytext"/>
              <w:rPr>
                <w:sz w:val="19"/>
                <w:szCs w:val="19"/>
              </w:rPr>
            </w:pPr>
            <w:r w:rsidRPr="00660677">
              <w:rPr>
                <w:sz w:val="19"/>
                <w:szCs w:val="19"/>
              </w:rPr>
              <w:t>Guernsey</w:t>
            </w:r>
          </w:p>
          <w:p w14:paraId="216385F7" w14:textId="62DEB67E" w:rsidR="00E46EDC" w:rsidRPr="00660677" w:rsidRDefault="00E46EDC" w:rsidP="00BE4257">
            <w:pPr>
              <w:pStyle w:val="Bodytext"/>
              <w:rPr>
                <w:sz w:val="19"/>
                <w:szCs w:val="19"/>
              </w:rPr>
            </w:pPr>
            <w:r w:rsidRPr="00660677">
              <w:rPr>
                <w:sz w:val="19"/>
                <w:szCs w:val="19"/>
              </w:rPr>
              <w:t>GY1 4LY</w:t>
            </w:r>
          </w:p>
          <w:p w14:paraId="4CD5BA8F" w14:textId="4A52398B" w:rsidR="00E46EDC" w:rsidRPr="00660677" w:rsidRDefault="00E46EDC" w:rsidP="00BE4257">
            <w:pPr>
              <w:pStyle w:val="Bodytext"/>
              <w:rPr>
                <w:sz w:val="19"/>
                <w:szCs w:val="19"/>
              </w:rPr>
            </w:pPr>
            <w:r w:rsidRPr="00660677">
              <w:rPr>
                <w:sz w:val="19"/>
                <w:szCs w:val="19"/>
              </w:rPr>
              <w:t xml:space="preserve">Channel Islands </w:t>
            </w:r>
          </w:p>
          <w:p w14:paraId="43923583" w14:textId="4F766223" w:rsidR="00E46EDC" w:rsidRPr="00660677" w:rsidRDefault="00E46EDC" w:rsidP="00BE4257">
            <w:pPr>
              <w:pStyle w:val="Bodytext"/>
              <w:rPr>
                <w:sz w:val="19"/>
                <w:szCs w:val="19"/>
              </w:rPr>
            </w:pPr>
          </w:p>
          <w:p w14:paraId="2B85F22C" w14:textId="77777777" w:rsidR="00780C20" w:rsidRPr="00660677" w:rsidRDefault="00780C20" w:rsidP="00BE4257">
            <w:pPr>
              <w:pStyle w:val="Bodytext"/>
              <w:rPr>
                <w:b/>
                <w:sz w:val="19"/>
                <w:szCs w:val="19"/>
              </w:rPr>
            </w:pPr>
            <w:r w:rsidRPr="00660677">
              <w:rPr>
                <w:b/>
                <w:sz w:val="19"/>
                <w:szCs w:val="19"/>
              </w:rPr>
              <w:t>Registrar</w:t>
            </w:r>
          </w:p>
          <w:p w14:paraId="4CA85EA7" w14:textId="77777777" w:rsidR="00780C20" w:rsidRPr="00660677" w:rsidRDefault="00780C20" w:rsidP="00BE4257">
            <w:pPr>
              <w:pStyle w:val="Bodytext"/>
              <w:rPr>
                <w:sz w:val="19"/>
                <w:szCs w:val="19"/>
              </w:rPr>
            </w:pPr>
            <w:r w:rsidRPr="00660677">
              <w:rPr>
                <w:sz w:val="19"/>
                <w:szCs w:val="19"/>
              </w:rPr>
              <w:t xml:space="preserve">Link Asset Services </w:t>
            </w:r>
          </w:p>
          <w:p w14:paraId="72440275" w14:textId="77777777" w:rsidR="00780C20" w:rsidRPr="00660677" w:rsidRDefault="00780C20" w:rsidP="00BE4257">
            <w:pPr>
              <w:pStyle w:val="Bodytext"/>
              <w:rPr>
                <w:sz w:val="19"/>
                <w:szCs w:val="19"/>
              </w:rPr>
            </w:pPr>
            <w:r w:rsidRPr="00660677">
              <w:rPr>
                <w:sz w:val="19"/>
                <w:szCs w:val="19"/>
              </w:rPr>
              <w:t>65 Gresham Street</w:t>
            </w:r>
          </w:p>
          <w:p w14:paraId="361F41E2" w14:textId="77777777" w:rsidR="00780C20" w:rsidRPr="00660677" w:rsidRDefault="00780C20" w:rsidP="00BE4257">
            <w:pPr>
              <w:pStyle w:val="Bodytext"/>
              <w:rPr>
                <w:sz w:val="19"/>
                <w:szCs w:val="19"/>
              </w:rPr>
            </w:pPr>
            <w:r w:rsidRPr="00660677">
              <w:rPr>
                <w:sz w:val="19"/>
                <w:szCs w:val="19"/>
              </w:rPr>
              <w:t>London</w:t>
            </w:r>
          </w:p>
          <w:p w14:paraId="682F4CD9" w14:textId="77777777" w:rsidR="00780C20" w:rsidRPr="00660677" w:rsidRDefault="00780C20" w:rsidP="00BE4257">
            <w:pPr>
              <w:pStyle w:val="Bodytext"/>
              <w:rPr>
                <w:sz w:val="19"/>
                <w:szCs w:val="19"/>
              </w:rPr>
            </w:pPr>
            <w:r w:rsidRPr="00660677">
              <w:rPr>
                <w:sz w:val="19"/>
                <w:szCs w:val="19"/>
              </w:rPr>
              <w:t xml:space="preserve">EC2V 7NQ </w:t>
            </w:r>
          </w:p>
          <w:p w14:paraId="79A40130" w14:textId="77777777" w:rsidR="00780C20" w:rsidRPr="00660677" w:rsidRDefault="00780C20" w:rsidP="00BE4257">
            <w:pPr>
              <w:pStyle w:val="Bodytext"/>
              <w:rPr>
                <w:sz w:val="19"/>
                <w:szCs w:val="19"/>
              </w:rPr>
            </w:pPr>
            <w:r w:rsidRPr="00660677">
              <w:rPr>
                <w:sz w:val="19"/>
                <w:szCs w:val="19"/>
              </w:rPr>
              <w:t>United Kingdom</w:t>
            </w:r>
          </w:p>
          <w:p w14:paraId="23CE7EE8" w14:textId="77777777" w:rsidR="00780C20" w:rsidRPr="00660677" w:rsidRDefault="00780C20" w:rsidP="00BE4257">
            <w:pPr>
              <w:pStyle w:val="Bodytext"/>
              <w:rPr>
                <w:sz w:val="19"/>
                <w:szCs w:val="19"/>
              </w:rPr>
            </w:pPr>
          </w:p>
          <w:p w14:paraId="0F9DE9CA" w14:textId="77777777" w:rsidR="00235D1D" w:rsidRPr="008630CF" w:rsidRDefault="00235D1D" w:rsidP="00235D1D">
            <w:pPr>
              <w:pStyle w:val="Bodytext"/>
              <w:rPr>
                <w:b/>
                <w:sz w:val="19"/>
                <w:szCs w:val="19"/>
              </w:rPr>
            </w:pPr>
            <w:r w:rsidRPr="008630CF">
              <w:rPr>
                <w:b/>
                <w:sz w:val="19"/>
                <w:szCs w:val="19"/>
              </w:rPr>
              <w:t>Principal banker and custodian</w:t>
            </w:r>
          </w:p>
          <w:p w14:paraId="381E9C23" w14:textId="77777777" w:rsidR="00235D1D" w:rsidRPr="00660677" w:rsidRDefault="00235D1D" w:rsidP="00235D1D">
            <w:pPr>
              <w:pStyle w:val="Bodytext"/>
              <w:rPr>
                <w:sz w:val="19"/>
                <w:szCs w:val="19"/>
              </w:rPr>
            </w:pPr>
            <w:r w:rsidRPr="00660677">
              <w:rPr>
                <w:sz w:val="19"/>
                <w:szCs w:val="19"/>
              </w:rPr>
              <w:t xml:space="preserve">Barclays Bank PLC </w:t>
            </w:r>
          </w:p>
          <w:p w14:paraId="0958B592" w14:textId="77777777" w:rsidR="00235D1D" w:rsidRDefault="00235D1D" w:rsidP="00235D1D">
            <w:pPr>
              <w:pStyle w:val="Bodytext"/>
              <w:rPr>
                <w:sz w:val="19"/>
                <w:szCs w:val="19"/>
              </w:rPr>
            </w:pPr>
            <w:r w:rsidRPr="00660677">
              <w:rPr>
                <w:sz w:val="19"/>
                <w:szCs w:val="19"/>
              </w:rPr>
              <w:t>PO Box 41</w:t>
            </w:r>
            <w:r w:rsidRPr="00660677">
              <w:rPr>
                <w:sz w:val="19"/>
                <w:szCs w:val="19"/>
              </w:rPr>
              <w:br/>
              <w:t>Le Marchant House</w:t>
            </w:r>
          </w:p>
          <w:p w14:paraId="2B3A6720" w14:textId="77777777" w:rsidR="00235D1D" w:rsidRPr="00660677" w:rsidRDefault="00235D1D" w:rsidP="00235D1D">
            <w:pPr>
              <w:pStyle w:val="Bodytext"/>
              <w:rPr>
                <w:sz w:val="19"/>
                <w:szCs w:val="19"/>
              </w:rPr>
            </w:pPr>
            <w:r w:rsidRPr="00660677">
              <w:rPr>
                <w:sz w:val="19"/>
                <w:szCs w:val="19"/>
              </w:rPr>
              <w:t>Le Truchot</w:t>
            </w:r>
            <w:r w:rsidRPr="00660677">
              <w:rPr>
                <w:sz w:val="19"/>
                <w:szCs w:val="19"/>
              </w:rPr>
              <w:br/>
              <w:t>St Peter Port</w:t>
            </w:r>
            <w:r w:rsidRPr="00660677">
              <w:rPr>
                <w:sz w:val="19"/>
                <w:szCs w:val="19"/>
              </w:rPr>
              <w:br/>
              <w:t>Guernsey</w:t>
            </w:r>
            <w:r w:rsidRPr="00660677">
              <w:rPr>
                <w:sz w:val="19"/>
                <w:szCs w:val="19"/>
              </w:rPr>
              <w:br/>
              <w:t>GY1 3BE</w:t>
            </w:r>
          </w:p>
          <w:p w14:paraId="7A92FC3B" w14:textId="77777777" w:rsidR="00235D1D" w:rsidRPr="008630CF" w:rsidRDefault="00235D1D" w:rsidP="00235D1D">
            <w:pPr>
              <w:pStyle w:val="Bodytext"/>
              <w:rPr>
                <w:sz w:val="19"/>
                <w:szCs w:val="19"/>
              </w:rPr>
            </w:pPr>
            <w:r w:rsidRPr="00660677">
              <w:rPr>
                <w:sz w:val="19"/>
                <w:szCs w:val="19"/>
              </w:rPr>
              <w:t>Channel Islands</w:t>
            </w:r>
          </w:p>
          <w:p w14:paraId="3D760DF5" w14:textId="6256A58F" w:rsidR="00CF7496" w:rsidRPr="00660677" w:rsidRDefault="00CF7496" w:rsidP="00BE4257">
            <w:pPr>
              <w:rPr>
                <w:rFonts w:ascii="Verdana" w:hAnsi="Verdana"/>
                <w:color w:val="44546A"/>
                <w:sz w:val="19"/>
                <w:szCs w:val="19"/>
              </w:rPr>
            </w:pPr>
          </w:p>
          <w:p w14:paraId="3787FE54" w14:textId="4EA4F9A8" w:rsidR="00780C20" w:rsidRPr="00660677" w:rsidRDefault="00780C20" w:rsidP="00A073D9">
            <w:pPr>
              <w:rPr>
                <w:sz w:val="19"/>
                <w:szCs w:val="19"/>
              </w:rPr>
            </w:pPr>
            <w:r w:rsidRPr="00660677">
              <w:rPr>
                <w:sz w:val="19"/>
                <w:szCs w:val="19"/>
              </w:rPr>
              <w:t xml:space="preserve"> </w:t>
            </w:r>
          </w:p>
        </w:tc>
        <w:tc>
          <w:tcPr>
            <w:tcW w:w="3242" w:type="dxa"/>
          </w:tcPr>
          <w:p w14:paraId="639C5494" w14:textId="6C7252B0" w:rsidR="00191D57" w:rsidRPr="00660677" w:rsidRDefault="00191D57" w:rsidP="00191D57">
            <w:pPr>
              <w:pStyle w:val="Bodytext"/>
              <w:rPr>
                <w:b/>
                <w:sz w:val="19"/>
                <w:szCs w:val="19"/>
              </w:rPr>
            </w:pPr>
            <w:r w:rsidRPr="00660677">
              <w:rPr>
                <w:b/>
                <w:sz w:val="19"/>
                <w:szCs w:val="19"/>
              </w:rPr>
              <w:t>English solicitors to the Company</w:t>
            </w:r>
          </w:p>
          <w:p w14:paraId="7F659305" w14:textId="77777777" w:rsidR="00191D57" w:rsidRPr="00660677" w:rsidRDefault="00191D57" w:rsidP="00191D57">
            <w:pPr>
              <w:rPr>
                <w:rFonts w:ascii="Arial" w:hAnsi="Arial" w:cs="Arial"/>
                <w:sz w:val="19"/>
                <w:szCs w:val="19"/>
              </w:rPr>
            </w:pPr>
            <w:r w:rsidRPr="00660677">
              <w:rPr>
                <w:rFonts w:ascii="Arial" w:hAnsi="Arial" w:cs="Arial"/>
                <w:sz w:val="19"/>
                <w:szCs w:val="19"/>
              </w:rPr>
              <w:t>Hogan Lovells International LLP</w:t>
            </w:r>
            <w:r w:rsidRPr="00660677">
              <w:rPr>
                <w:rFonts w:ascii="Arial" w:hAnsi="Arial" w:cs="Arial"/>
                <w:sz w:val="19"/>
                <w:szCs w:val="19"/>
              </w:rPr>
              <w:br/>
              <w:t>Atlantic House</w:t>
            </w:r>
            <w:r w:rsidRPr="00660677">
              <w:rPr>
                <w:rFonts w:ascii="Arial" w:hAnsi="Arial" w:cs="Arial"/>
                <w:sz w:val="19"/>
                <w:szCs w:val="19"/>
              </w:rPr>
              <w:br/>
              <w:t>Holborn Viaduct</w:t>
            </w:r>
            <w:r w:rsidRPr="00660677">
              <w:rPr>
                <w:rFonts w:ascii="Arial" w:hAnsi="Arial" w:cs="Arial"/>
                <w:sz w:val="19"/>
                <w:szCs w:val="19"/>
              </w:rPr>
              <w:br/>
              <w:t xml:space="preserve">London </w:t>
            </w:r>
          </w:p>
          <w:p w14:paraId="76C61E2D" w14:textId="77777777" w:rsidR="00191D57" w:rsidRPr="00660677" w:rsidRDefault="00191D57" w:rsidP="00191D57">
            <w:pPr>
              <w:rPr>
                <w:rFonts w:ascii="Arial" w:hAnsi="Arial" w:cs="Arial"/>
                <w:sz w:val="19"/>
                <w:szCs w:val="19"/>
              </w:rPr>
            </w:pPr>
            <w:r w:rsidRPr="00660677">
              <w:rPr>
                <w:rFonts w:ascii="Arial" w:hAnsi="Arial" w:cs="Arial"/>
                <w:sz w:val="19"/>
                <w:szCs w:val="19"/>
              </w:rPr>
              <w:t>EC1A 2FG</w:t>
            </w:r>
          </w:p>
          <w:p w14:paraId="14A0E37D" w14:textId="72198FA2" w:rsidR="00191D57" w:rsidRPr="00660677" w:rsidRDefault="00191D57" w:rsidP="00BE4257">
            <w:pPr>
              <w:pStyle w:val="Bodytext"/>
              <w:rPr>
                <w:b/>
                <w:sz w:val="19"/>
                <w:szCs w:val="19"/>
              </w:rPr>
            </w:pPr>
            <w:r w:rsidRPr="00660677">
              <w:rPr>
                <w:rFonts w:cs="Arial"/>
                <w:sz w:val="19"/>
                <w:szCs w:val="19"/>
              </w:rPr>
              <w:t>United Kingdom</w:t>
            </w:r>
          </w:p>
          <w:p w14:paraId="778C1EFC" w14:textId="77777777" w:rsidR="00191D57" w:rsidRPr="00660677" w:rsidRDefault="00191D57" w:rsidP="00BE4257">
            <w:pPr>
              <w:pStyle w:val="Bodytext"/>
              <w:rPr>
                <w:b/>
                <w:sz w:val="19"/>
                <w:szCs w:val="19"/>
              </w:rPr>
            </w:pPr>
          </w:p>
          <w:p w14:paraId="7734BC1F" w14:textId="7B43EA9A" w:rsidR="00780C20" w:rsidRPr="00660677" w:rsidRDefault="00780C20" w:rsidP="00BE4257">
            <w:pPr>
              <w:pStyle w:val="Bodytext"/>
              <w:rPr>
                <w:b/>
                <w:sz w:val="19"/>
                <w:szCs w:val="19"/>
              </w:rPr>
            </w:pPr>
            <w:r w:rsidRPr="00660677">
              <w:rPr>
                <w:b/>
                <w:sz w:val="19"/>
                <w:szCs w:val="19"/>
              </w:rPr>
              <w:t>Guernsey advocates to the Company</w:t>
            </w:r>
          </w:p>
          <w:p w14:paraId="3D21E8C6" w14:textId="77777777" w:rsidR="00780C20" w:rsidRPr="00660677" w:rsidRDefault="00780C20" w:rsidP="00BE4257">
            <w:pPr>
              <w:pStyle w:val="Bodytext"/>
              <w:rPr>
                <w:sz w:val="19"/>
                <w:szCs w:val="19"/>
              </w:rPr>
            </w:pPr>
            <w:r w:rsidRPr="00660677">
              <w:rPr>
                <w:sz w:val="19"/>
                <w:szCs w:val="19"/>
              </w:rPr>
              <w:t>Carey Olsen</w:t>
            </w:r>
          </w:p>
          <w:p w14:paraId="58EBC2FA" w14:textId="77777777" w:rsidR="00780C20" w:rsidRPr="00660677" w:rsidRDefault="00780C20" w:rsidP="00BE4257">
            <w:pPr>
              <w:pStyle w:val="Bodytext"/>
              <w:rPr>
                <w:sz w:val="19"/>
                <w:szCs w:val="19"/>
              </w:rPr>
            </w:pPr>
            <w:r w:rsidRPr="00660677">
              <w:rPr>
                <w:sz w:val="19"/>
                <w:szCs w:val="19"/>
              </w:rPr>
              <w:t>Carey House</w:t>
            </w:r>
          </w:p>
          <w:p w14:paraId="67A3E2DC" w14:textId="77777777" w:rsidR="00780C20" w:rsidRPr="00660677" w:rsidRDefault="00780C20" w:rsidP="00BE4257">
            <w:pPr>
              <w:pStyle w:val="Bodytext"/>
              <w:rPr>
                <w:sz w:val="19"/>
                <w:szCs w:val="19"/>
              </w:rPr>
            </w:pPr>
            <w:r w:rsidRPr="00660677">
              <w:rPr>
                <w:sz w:val="19"/>
                <w:szCs w:val="19"/>
              </w:rPr>
              <w:t>PO Box 98</w:t>
            </w:r>
          </w:p>
          <w:p w14:paraId="1542FD4C" w14:textId="77777777" w:rsidR="00780C20" w:rsidRPr="00660677" w:rsidRDefault="00780C20" w:rsidP="00BE4257">
            <w:pPr>
              <w:pStyle w:val="Bodytext"/>
              <w:rPr>
                <w:sz w:val="19"/>
                <w:szCs w:val="19"/>
              </w:rPr>
            </w:pPr>
            <w:r w:rsidRPr="00660677">
              <w:rPr>
                <w:sz w:val="19"/>
                <w:szCs w:val="19"/>
              </w:rPr>
              <w:t>Les Banques</w:t>
            </w:r>
          </w:p>
          <w:p w14:paraId="45FC0B40" w14:textId="77777777" w:rsidR="00780C20" w:rsidRPr="00660677" w:rsidRDefault="00780C20" w:rsidP="00BE4257">
            <w:pPr>
              <w:pStyle w:val="Bodytext"/>
              <w:rPr>
                <w:sz w:val="19"/>
                <w:szCs w:val="19"/>
              </w:rPr>
            </w:pPr>
            <w:r w:rsidRPr="00660677">
              <w:rPr>
                <w:sz w:val="19"/>
                <w:szCs w:val="19"/>
              </w:rPr>
              <w:t>St Peter Port</w:t>
            </w:r>
          </w:p>
          <w:p w14:paraId="71486A64" w14:textId="77777777" w:rsidR="00780C20" w:rsidRPr="00660677" w:rsidRDefault="00780C20" w:rsidP="00BE4257">
            <w:pPr>
              <w:pStyle w:val="Bodytext"/>
              <w:rPr>
                <w:sz w:val="19"/>
                <w:szCs w:val="19"/>
              </w:rPr>
            </w:pPr>
            <w:r w:rsidRPr="00660677">
              <w:rPr>
                <w:sz w:val="19"/>
                <w:szCs w:val="19"/>
              </w:rPr>
              <w:t xml:space="preserve">Guernsey </w:t>
            </w:r>
          </w:p>
          <w:p w14:paraId="02267DDC" w14:textId="77777777" w:rsidR="00780C20" w:rsidRPr="00660677" w:rsidRDefault="00780C20" w:rsidP="00BE4257">
            <w:pPr>
              <w:pStyle w:val="Bodytext"/>
              <w:rPr>
                <w:sz w:val="19"/>
                <w:szCs w:val="19"/>
              </w:rPr>
            </w:pPr>
            <w:r w:rsidRPr="00660677">
              <w:rPr>
                <w:sz w:val="19"/>
                <w:szCs w:val="19"/>
              </w:rPr>
              <w:t>GY1 4BZ</w:t>
            </w:r>
          </w:p>
          <w:p w14:paraId="19B71A3F" w14:textId="77777777" w:rsidR="00780C20" w:rsidRPr="00660677" w:rsidRDefault="00780C20" w:rsidP="00BE4257">
            <w:pPr>
              <w:pStyle w:val="Bodytext"/>
              <w:rPr>
                <w:b/>
                <w:sz w:val="19"/>
                <w:szCs w:val="19"/>
              </w:rPr>
            </w:pPr>
            <w:r w:rsidRPr="00660677">
              <w:rPr>
                <w:sz w:val="19"/>
                <w:szCs w:val="19"/>
              </w:rPr>
              <w:t>Channel Islands</w:t>
            </w:r>
          </w:p>
          <w:p w14:paraId="207694A5" w14:textId="77777777" w:rsidR="00780C20" w:rsidRPr="00660677" w:rsidRDefault="00780C20" w:rsidP="00BE4257">
            <w:pPr>
              <w:pStyle w:val="Bodytext"/>
              <w:rPr>
                <w:b/>
                <w:sz w:val="19"/>
                <w:szCs w:val="19"/>
              </w:rPr>
            </w:pPr>
          </w:p>
          <w:p w14:paraId="00313970" w14:textId="77777777" w:rsidR="00780C20" w:rsidRPr="00660677" w:rsidRDefault="00780C20" w:rsidP="00BE4257">
            <w:pPr>
              <w:pStyle w:val="Bodytext"/>
              <w:rPr>
                <w:b/>
                <w:sz w:val="19"/>
                <w:szCs w:val="19"/>
              </w:rPr>
            </w:pPr>
            <w:r w:rsidRPr="00660677">
              <w:rPr>
                <w:b/>
                <w:sz w:val="19"/>
                <w:szCs w:val="19"/>
              </w:rPr>
              <w:t>U.S. legal advisors to the Company</w:t>
            </w:r>
          </w:p>
          <w:p w14:paraId="7B7539B4" w14:textId="77777777" w:rsidR="00780C20" w:rsidRPr="00660677" w:rsidRDefault="00780C20" w:rsidP="00BE4257">
            <w:pPr>
              <w:pStyle w:val="Bodytext"/>
              <w:rPr>
                <w:sz w:val="19"/>
                <w:szCs w:val="19"/>
              </w:rPr>
            </w:pPr>
            <w:r w:rsidRPr="00660677">
              <w:rPr>
                <w:sz w:val="19"/>
                <w:szCs w:val="19"/>
              </w:rPr>
              <w:t>Vinson &amp; Elkins LLP</w:t>
            </w:r>
          </w:p>
          <w:p w14:paraId="5B339B30" w14:textId="77777777" w:rsidR="00780C20" w:rsidRPr="00660677" w:rsidRDefault="00780C20" w:rsidP="00BE4257">
            <w:pPr>
              <w:pStyle w:val="Bodytext"/>
              <w:rPr>
                <w:sz w:val="19"/>
                <w:szCs w:val="19"/>
              </w:rPr>
            </w:pPr>
            <w:r w:rsidRPr="00660677">
              <w:rPr>
                <w:sz w:val="19"/>
                <w:szCs w:val="19"/>
              </w:rPr>
              <w:t>1001 Fannin Street</w:t>
            </w:r>
          </w:p>
          <w:p w14:paraId="65D55EC5" w14:textId="77777777" w:rsidR="00780C20" w:rsidRPr="00660677" w:rsidRDefault="00780C20" w:rsidP="00BE4257">
            <w:pPr>
              <w:pStyle w:val="Bodytext"/>
              <w:rPr>
                <w:sz w:val="19"/>
                <w:szCs w:val="19"/>
              </w:rPr>
            </w:pPr>
            <w:r w:rsidRPr="00660677">
              <w:rPr>
                <w:sz w:val="19"/>
                <w:szCs w:val="19"/>
              </w:rPr>
              <w:t>Suite 2500</w:t>
            </w:r>
          </w:p>
          <w:p w14:paraId="45A19FB5" w14:textId="77777777" w:rsidR="00780C20" w:rsidRPr="00660677" w:rsidRDefault="00780C20" w:rsidP="00BE4257">
            <w:pPr>
              <w:pStyle w:val="Bodytext"/>
              <w:rPr>
                <w:sz w:val="19"/>
                <w:szCs w:val="19"/>
              </w:rPr>
            </w:pPr>
            <w:r w:rsidRPr="00660677">
              <w:rPr>
                <w:sz w:val="19"/>
                <w:szCs w:val="19"/>
              </w:rPr>
              <w:t>Houston, Texas</w:t>
            </w:r>
          </w:p>
          <w:p w14:paraId="6478AB0F" w14:textId="77777777" w:rsidR="00780C20" w:rsidRPr="00660677" w:rsidRDefault="00780C20" w:rsidP="00BE4257">
            <w:pPr>
              <w:pStyle w:val="Bodytext"/>
              <w:rPr>
                <w:sz w:val="19"/>
                <w:szCs w:val="19"/>
              </w:rPr>
            </w:pPr>
            <w:r w:rsidRPr="00660677">
              <w:rPr>
                <w:sz w:val="19"/>
                <w:szCs w:val="19"/>
              </w:rPr>
              <w:t>TX 77002</w:t>
            </w:r>
          </w:p>
          <w:p w14:paraId="04474328" w14:textId="77777777" w:rsidR="00780C20" w:rsidRPr="00660677" w:rsidRDefault="00780C20" w:rsidP="00BE4257">
            <w:pPr>
              <w:pStyle w:val="Bodytext"/>
              <w:rPr>
                <w:sz w:val="19"/>
                <w:szCs w:val="19"/>
              </w:rPr>
            </w:pPr>
            <w:r w:rsidRPr="00660677">
              <w:rPr>
                <w:sz w:val="19"/>
                <w:szCs w:val="19"/>
              </w:rPr>
              <w:t>United States of America</w:t>
            </w:r>
          </w:p>
          <w:p w14:paraId="3CE80DCE" w14:textId="77777777" w:rsidR="00780C20" w:rsidRPr="00660677" w:rsidRDefault="00780C20" w:rsidP="00BE4257">
            <w:pPr>
              <w:pStyle w:val="Bodytext"/>
              <w:rPr>
                <w:sz w:val="19"/>
                <w:szCs w:val="19"/>
              </w:rPr>
            </w:pPr>
          </w:p>
          <w:p w14:paraId="2D665B1F" w14:textId="77777777" w:rsidR="00780C20" w:rsidRPr="00660677" w:rsidRDefault="00780C20" w:rsidP="00BE4257">
            <w:pPr>
              <w:pStyle w:val="Bodytext"/>
              <w:rPr>
                <w:b/>
                <w:sz w:val="19"/>
                <w:szCs w:val="19"/>
              </w:rPr>
            </w:pPr>
            <w:r w:rsidRPr="00660677">
              <w:rPr>
                <w:b/>
                <w:sz w:val="19"/>
                <w:szCs w:val="19"/>
              </w:rPr>
              <w:t>Independent auditor</w:t>
            </w:r>
          </w:p>
          <w:p w14:paraId="4AC29272" w14:textId="77777777" w:rsidR="00780C20" w:rsidRPr="00660677" w:rsidRDefault="00780C20" w:rsidP="00BE4257">
            <w:pPr>
              <w:pStyle w:val="Bodytext"/>
              <w:rPr>
                <w:sz w:val="19"/>
                <w:szCs w:val="19"/>
              </w:rPr>
            </w:pPr>
            <w:r w:rsidRPr="00660677">
              <w:rPr>
                <w:sz w:val="19"/>
                <w:szCs w:val="19"/>
              </w:rPr>
              <w:t>Ernst &amp; Young LLP</w:t>
            </w:r>
          </w:p>
          <w:p w14:paraId="2579059E" w14:textId="77777777" w:rsidR="00780C20" w:rsidRPr="00660677" w:rsidRDefault="00780C20" w:rsidP="00BE4257">
            <w:pPr>
              <w:pStyle w:val="Bodytext"/>
              <w:rPr>
                <w:sz w:val="19"/>
                <w:szCs w:val="19"/>
              </w:rPr>
            </w:pPr>
            <w:r w:rsidRPr="00660677">
              <w:rPr>
                <w:sz w:val="19"/>
                <w:szCs w:val="19"/>
              </w:rPr>
              <w:t>PO Box 9, Royal Chambers</w:t>
            </w:r>
          </w:p>
          <w:p w14:paraId="2ED94EF3" w14:textId="77777777" w:rsidR="00780C20" w:rsidRPr="00660677" w:rsidRDefault="00780C20" w:rsidP="00BE4257">
            <w:pPr>
              <w:pStyle w:val="Bodytext"/>
              <w:rPr>
                <w:sz w:val="19"/>
                <w:szCs w:val="19"/>
              </w:rPr>
            </w:pPr>
            <w:r w:rsidRPr="00660677">
              <w:rPr>
                <w:sz w:val="19"/>
                <w:szCs w:val="19"/>
              </w:rPr>
              <w:t>St Julian’s Avenue</w:t>
            </w:r>
          </w:p>
          <w:p w14:paraId="61B67DDE" w14:textId="77777777" w:rsidR="00780C20" w:rsidRPr="00660677" w:rsidRDefault="00780C20" w:rsidP="00BE4257">
            <w:pPr>
              <w:pStyle w:val="Bodytext"/>
              <w:rPr>
                <w:sz w:val="19"/>
                <w:szCs w:val="19"/>
              </w:rPr>
            </w:pPr>
            <w:r w:rsidRPr="00660677">
              <w:rPr>
                <w:sz w:val="19"/>
                <w:szCs w:val="19"/>
              </w:rPr>
              <w:t>St Peter Port</w:t>
            </w:r>
          </w:p>
          <w:p w14:paraId="31079354" w14:textId="77777777" w:rsidR="00780C20" w:rsidRPr="00660677" w:rsidRDefault="00780C20" w:rsidP="00BE4257">
            <w:pPr>
              <w:pStyle w:val="Bodytext"/>
              <w:rPr>
                <w:sz w:val="19"/>
                <w:szCs w:val="19"/>
              </w:rPr>
            </w:pPr>
            <w:r w:rsidRPr="00660677">
              <w:rPr>
                <w:sz w:val="19"/>
                <w:szCs w:val="19"/>
              </w:rPr>
              <w:t>Guernsey</w:t>
            </w:r>
          </w:p>
          <w:p w14:paraId="0AABC3A7" w14:textId="77777777" w:rsidR="00780C20" w:rsidRPr="00660677" w:rsidRDefault="00780C20" w:rsidP="00BE4257">
            <w:pPr>
              <w:pStyle w:val="Bodytext"/>
              <w:rPr>
                <w:sz w:val="19"/>
                <w:szCs w:val="19"/>
              </w:rPr>
            </w:pPr>
            <w:r w:rsidRPr="00660677">
              <w:rPr>
                <w:sz w:val="19"/>
                <w:szCs w:val="19"/>
              </w:rPr>
              <w:t>GY1 4AF</w:t>
            </w:r>
          </w:p>
          <w:p w14:paraId="7A7D91BD" w14:textId="77777777" w:rsidR="00780C20" w:rsidRPr="00660677" w:rsidRDefault="00780C20" w:rsidP="00BE4257">
            <w:pPr>
              <w:pStyle w:val="Bodytext"/>
              <w:rPr>
                <w:sz w:val="19"/>
                <w:szCs w:val="19"/>
              </w:rPr>
            </w:pPr>
            <w:r w:rsidRPr="00660677">
              <w:rPr>
                <w:sz w:val="19"/>
                <w:szCs w:val="19"/>
              </w:rPr>
              <w:t>Channel Islands</w:t>
            </w:r>
          </w:p>
          <w:p w14:paraId="7FD18F9E" w14:textId="77777777" w:rsidR="00780C20" w:rsidRPr="00660677" w:rsidRDefault="00780C20" w:rsidP="00BE4257">
            <w:pPr>
              <w:pStyle w:val="Bodytext"/>
              <w:rPr>
                <w:sz w:val="19"/>
                <w:szCs w:val="19"/>
              </w:rPr>
            </w:pPr>
          </w:p>
          <w:p w14:paraId="31D11216" w14:textId="7B606D4B" w:rsidR="00780C20" w:rsidRPr="00660677" w:rsidRDefault="00780C20" w:rsidP="00BE4257">
            <w:pPr>
              <w:pStyle w:val="Bodytext"/>
              <w:rPr>
                <w:sz w:val="19"/>
                <w:szCs w:val="19"/>
              </w:rPr>
            </w:pPr>
            <w:r w:rsidRPr="00660677">
              <w:rPr>
                <w:b/>
                <w:sz w:val="19"/>
                <w:szCs w:val="19"/>
              </w:rPr>
              <w:t>Corporate Brokers</w:t>
            </w:r>
          </w:p>
          <w:p w14:paraId="3CAFA8A3" w14:textId="77777777" w:rsidR="00780C20" w:rsidRPr="00660677" w:rsidRDefault="00780C20" w:rsidP="00BE4257">
            <w:pPr>
              <w:pStyle w:val="Bodytext"/>
              <w:rPr>
                <w:sz w:val="19"/>
                <w:szCs w:val="19"/>
              </w:rPr>
            </w:pPr>
            <w:r w:rsidRPr="00660677">
              <w:rPr>
                <w:sz w:val="19"/>
                <w:szCs w:val="19"/>
              </w:rPr>
              <w:t>JP Morgan Cazenove</w:t>
            </w:r>
          </w:p>
          <w:p w14:paraId="39E55C77" w14:textId="77777777" w:rsidR="00780C20" w:rsidRPr="00660677" w:rsidRDefault="00780C20" w:rsidP="00BE4257">
            <w:pPr>
              <w:pStyle w:val="Bodytext"/>
              <w:rPr>
                <w:sz w:val="19"/>
                <w:szCs w:val="19"/>
              </w:rPr>
            </w:pPr>
            <w:r w:rsidRPr="00660677">
              <w:rPr>
                <w:sz w:val="19"/>
                <w:szCs w:val="19"/>
              </w:rPr>
              <w:t>25 Bank Street</w:t>
            </w:r>
          </w:p>
          <w:p w14:paraId="2F19269C" w14:textId="77777777" w:rsidR="00780C20" w:rsidRPr="00660677" w:rsidRDefault="00780C20" w:rsidP="00BE4257">
            <w:pPr>
              <w:pStyle w:val="Bodytext"/>
              <w:rPr>
                <w:sz w:val="19"/>
                <w:szCs w:val="19"/>
              </w:rPr>
            </w:pPr>
            <w:r w:rsidRPr="00660677">
              <w:rPr>
                <w:sz w:val="19"/>
                <w:szCs w:val="19"/>
              </w:rPr>
              <w:t>Canary Wharf</w:t>
            </w:r>
          </w:p>
          <w:p w14:paraId="72EAFF4B" w14:textId="77777777" w:rsidR="00780C20" w:rsidRPr="00660677" w:rsidRDefault="00780C20" w:rsidP="00BE4257">
            <w:pPr>
              <w:pStyle w:val="Bodytext"/>
              <w:rPr>
                <w:sz w:val="19"/>
                <w:szCs w:val="19"/>
              </w:rPr>
            </w:pPr>
            <w:r w:rsidRPr="00660677">
              <w:rPr>
                <w:sz w:val="19"/>
                <w:szCs w:val="19"/>
              </w:rPr>
              <w:t xml:space="preserve">London </w:t>
            </w:r>
          </w:p>
          <w:p w14:paraId="3C50CB2B" w14:textId="77777777" w:rsidR="00780C20" w:rsidRPr="00660677" w:rsidRDefault="00780C20" w:rsidP="00BE4257">
            <w:pPr>
              <w:pStyle w:val="Bodytext"/>
              <w:rPr>
                <w:sz w:val="19"/>
                <w:szCs w:val="19"/>
              </w:rPr>
            </w:pPr>
            <w:r w:rsidRPr="00660677">
              <w:rPr>
                <w:sz w:val="19"/>
                <w:szCs w:val="19"/>
              </w:rPr>
              <w:lastRenderedPageBreak/>
              <w:t>E15 5JP</w:t>
            </w:r>
          </w:p>
          <w:p w14:paraId="028F1242" w14:textId="77777777" w:rsidR="00780C20" w:rsidRPr="00660677" w:rsidRDefault="00780C20" w:rsidP="00BE4257">
            <w:pPr>
              <w:pStyle w:val="Bodytext"/>
              <w:rPr>
                <w:sz w:val="19"/>
                <w:szCs w:val="19"/>
              </w:rPr>
            </w:pPr>
            <w:r w:rsidRPr="00660677">
              <w:rPr>
                <w:sz w:val="19"/>
                <w:szCs w:val="19"/>
              </w:rPr>
              <w:t>United Kingdom</w:t>
            </w:r>
          </w:p>
          <w:p w14:paraId="45BC1517" w14:textId="2C75EDFD" w:rsidR="00780C20" w:rsidRPr="00660677" w:rsidRDefault="00780C20" w:rsidP="00BE4257">
            <w:pPr>
              <w:pStyle w:val="Bodytext"/>
              <w:rPr>
                <w:b/>
                <w:sz w:val="19"/>
                <w:szCs w:val="19"/>
              </w:rPr>
            </w:pPr>
          </w:p>
          <w:p w14:paraId="25DFCE9F" w14:textId="77777777" w:rsidR="00191D57" w:rsidRPr="00660677" w:rsidRDefault="00191D57" w:rsidP="00191D57">
            <w:pPr>
              <w:autoSpaceDE w:val="0"/>
              <w:autoSpaceDN w:val="0"/>
              <w:adjustRightInd w:val="0"/>
              <w:rPr>
                <w:rFonts w:ascii="Arial" w:hAnsi="Arial"/>
                <w:sz w:val="19"/>
                <w:szCs w:val="19"/>
              </w:rPr>
            </w:pPr>
            <w:r w:rsidRPr="00660677">
              <w:rPr>
                <w:rFonts w:ascii="Arial" w:hAnsi="Arial"/>
                <w:sz w:val="19"/>
                <w:szCs w:val="19"/>
              </w:rPr>
              <w:t>Numis Securities Limited</w:t>
            </w:r>
          </w:p>
          <w:p w14:paraId="1606822E" w14:textId="77777777" w:rsidR="00191D57" w:rsidRPr="00660677" w:rsidRDefault="00191D57" w:rsidP="00191D57">
            <w:pPr>
              <w:autoSpaceDE w:val="0"/>
              <w:autoSpaceDN w:val="0"/>
              <w:adjustRightInd w:val="0"/>
              <w:rPr>
                <w:rFonts w:ascii="Arial" w:hAnsi="Arial"/>
                <w:sz w:val="19"/>
                <w:szCs w:val="19"/>
              </w:rPr>
            </w:pPr>
            <w:r w:rsidRPr="00660677">
              <w:rPr>
                <w:rFonts w:ascii="Arial" w:hAnsi="Arial"/>
                <w:sz w:val="19"/>
                <w:szCs w:val="19"/>
              </w:rPr>
              <w:t>The London Stock Exchange Building</w:t>
            </w:r>
          </w:p>
          <w:p w14:paraId="12BCDF14" w14:textId="77777777" w:rsidR="00191D57" w:rsidRPr="00660677" w:rsidRDefault="00191D57" w:rsidP="00191D57">
            <w:pPr>
              <w:autoSpaceDE w:val="0"/>
              <w:autoSpaceDN w:val="0"/>
              <w:adjustRightInd w:val="0"/>
              <w:rPr>
                <w:rFonts w:ascii="Arial" w:hAnsi="Arial"/>
                <w:sz w:val="19"/>
                <w:szCs w:val="19"/>
              </w:rPr>
            </w:pPr>
            <w:r w:rsidRPr="00660677">
              <w:rPr>
                <w:rFonts w:ascii="Arial" w:hAnsi="Arial"/>
                <w:sz w:val="19"/>
                <w:szCs w:val="19"/>
              </w:rPr>
              <w:t>10 Paternoster Square</w:t>
            </w:r>
          </w:p>
          <w:p w14:paraId="72C6B6DD" w14:textId="77777777" w:rsidR="00191D57" w:rsidRPr="00660677" w:rsidRDefault="00191D57" w:rsidP="00191D57">
            <w:pPr>
              <w:autoSpaceDE w:val="0"/>
              <w:autoSpaceDN w:val="0"/>
              <w:adjustRightInd w:val="0"/>
              <w:rPr>
                <w:rFonts w:ascii="Arial" w:hAnsi="Arial"/>
                <w:sz w:val="19"/>
                <w:szCs w:val="19"/>
              </w:rPr>
            </w:pPr>
            <w:r w:rsidRPr="00660677">
              <w:rPr>
                <w:rFonts w:ascii="Arial" w:hAnsi="Arial"/>
                <w:sz w:val="19"/>
                <w:szCs w:val="19"/>
              </w:rPr>
              <w:t>London</w:t>
            </w:r>
          </w:p>
          <w:p w14:paraId="4C6229C1" w14:textId="77777777" w:rsidR="00191D57" w:rsidRPr="00660677" w:rsidRDefault="00191D57" w:rsidP="00191D57">
            <w:pPr>
              <w:autoSpaceDE w:val="0"/>
              <w:autoSpaceDN w:val="0"/>
              <w:adjustRightInd w:val="0"/>
              <w:rPr>
                <w:rFonts w:ascii="Arial" w:hAnsi="Arial"/>
                <w:sz w:val="19"/>
                <w:szCs w:val="19"/>
              </w:rPr>
            </w:pPr>
            <w:r w:rsidRPr="00660677">
              <w:rPr>
                <w:rFonts w:ascii="Arial" w:hAnsi="Arial"/>
                <w:sz w:val="19"/>
                <w:szCs w:val="19"/>
              </w:rPr>
              <w:t>EC4M 7LT</w:t>
            </w:r>
          </w:p>
          <w:p w14:paraId="6CE8B97C" w14:textId="77777777" w:rsidR="00191D57" w:rsidRPr="00660677" w:rsidRDefault="00191D57" w:rsidP="00191D57">
            <w:pPr>
              <w:autoSpaceDE w:val="0"/>
              <w:autoSpaceDN w:val="0"/>
              <w:adjustRightInd w:val="0"/>
              <w:rPr>
                <w:rFonts w:ascii="Arial" w:hAnsi="Arial"/>
                <w:sz w:val="19"/>
                <w:szCs w:val="19"/>
              </w:rPr>
            </w:pPr>
            <w:r w:rsidRPr="00660677">
              <w:rPr>
                <w:rFonts w:ascii="Arial" w:hAnsi="Arial"/>
                <w:sz w:val="19"/>
                <w:szCs w:val="19"/>
              </w:rPr>
              <w:t>United Kingdom</w:t>
            </w:r>
          </w:p>
          <w:p w14:paraId="5B81E627" w14:textId="77777777" w:rsidR="00780C20" w:rsidRPr="00660677" w:rsidRDefault="00780C20" w:rsidP="00191D57">
            <w:pPr>
              <w:pStyle w:val="Bodytext"/>
              <w:rPr>
                <w:sz w:val="19"/>
                <w:szCs w:val="19"/>
              </w:rPr>
            </w:pPr>
          </w:p>
        </w:tc>
      </w:tr>
    </w:tbl>
    <w:p w14:paraId="4626F95F" w14:textId="5A4D6524" w:rsidR="00780C20" w:rsidRDefault="00780C20">
      <w:pPr>
        <w:rPr>
          <w:rFonts w:ascii="Arial" w:hAnsi="Arial" w:cs="Arial"/>
          <w:b/>
          <w:caps/>
          <w:sz w:val="19"/>
          <w:szCs w:val="19"/>
        </w:rPr>
      </w:pPr>
    </w:p>
    <w:p w14:paraId="662E09C5" w14:textId="77777777" w:rsidR="00947447" w:rsidRPr="00660677" w:rsidRDefault="00947447">
      <w:pPr>
        <w:rPr>
          <w:rFonts w:ascii="Arial" w:hAnsi="Arial" w:cs="Arial"/>
          <w:b/>
          <w:caps/>
          <w:sz w:val="19"/>
          <w:szCs w:val="19"/>
        </w:rPr>
      </w:pPr>
    </w:p>
    <w:p w14:paraId="3E079ECB" w14:textId="51EA5032" w:rsidR="00E50642" w:rsidRPr="00E50642" w:rsidRDefault="00E50642" w:rsidP="00E50642">
      <w:pPr>
        <w:pStyle w:val="Body"/>
        <w:suppressAutoHyphens/>
        <w:spacing w:after="0" w:line="360" w:lineRule="auto"/>
        <w:jc w:val="left"/>
        <w:rPr>
          <w:rFonts w:ascii="Arial" w:eastAsia="Times New Roman" w:hAnsi="Arial"/>
          <w:b/>
          <w:sz w:val="20"/>
          <w:lang w:val="en-GB"/>
        </w:rPr>
      </w:pPr>
      <w:r w:rsidRPr="00E50642">
        <w:rPr>
          <w:rFonts w:ascii="Arial" w:eastAsia="Times New Roman" w:hAnsi="Arial"/>
          <w:b/>
          <w:sz w:val="20"/>
          <w:lang w:val="en-GB"/>
        </w:rPr>
        <w:t>SWISS SUPPLEMENT</w:t>
      </w:r>
    </w:p>
    <w:p w14:paraId="4563B92F" w14:textId="77777777" w:rsidR="00E50642" w:rsidRPr="00E50642" w:rsidRDefault="00E50642" w:rsidP="00E50642">
      <w:pPr>
        <w:pStyle w:val="Body"/>
        <w:suppressAutoHyphens/>
        <w:spacing w:after="0" w:line="360" w:lineRule="auto"/>
        <w:jc w:val="left"/>
        <w:rPr>
          <w:rFonts w:ascii="Arial" w:eastAsia="Times New Roman" w:hAnsi="Arial"/>
          <w:b/>
          <w:sz w:val="20"/>
          <w:lang w:val="en-GB"/>
        </w:rPr>
      </w:pPr>
      <w:r w:rsidRPr="00E50642">
        <w:rPr>
          <w:rFonts w:ascii="Arial" w:eastAsia="Times New Roman" w:hAnsi="Arial"/>
          <w:b/>
          <w:sz w:val="20"/>
          <w:lang w:val="en-GB"/>
        </w:rPr>
        <w:t>ADDITIONAL INFORMATION FOR INVESTORS IN SWITZERLAND</w:t>
      </w:r>
    </w:p>
    <w:p w14:paraId="31B297F6" w14:textId="77777777" w:rsidR="00947447" w:rsidRDefault="00947447" w:rsidP="00E50642">
      <w:pPr>
        <w:pStyle w:val="Bodytext"/>
        <w:rPr>
          <w:b/>
        </w:rPr>
      </w:pPr>
    </w:p>
    <w:p w14:paraId="089B86BE" w14:textId="0F39A66F" w:rsidR="00E50642" w:rsidRDefault="00E50642" w:rsidP="00E50642">
      <w:pPr>
        <w:pStyle w:val="Bodytext"/>
        <w:rPr>
          <w:b/>
        </w:rPr>
      </w:pPr>
      <w:r w:rsidRPr="00E50642">
        <w:rPr>
          <w:b/>
        </w:rPr>
        <w:t xml:space="preserve">This Swiss Supplement is supplemental to, forms part of and should be read in conjunction with the Interim Report and Unaudited Interim Condensed Financial Statements ended 30 June </w:t>
      </w:r>
      <w:r w:rsidR="00075FC3" w:rsidRPr="00E50642">
        <w:rPr>
          <w:b/>
        </w:rPr>
        <w:t>20</w:t>
      </w:r>
      <w:r w:rsidR="00075FC3">
        <w:rPr>
          <w:b/>
        </w:rPr>
        <w:t>20</w:t>
      </w:r>
      <w:r w:rsidR="00075FC3" w:rsidRPr="00E50642">
        <w:rPr>
          <w:b/>
        </w:rPr>
        <w:t xml:space="preserve"> </w:t>
      </w:r>
      <w:r w:rsidRPr="00E50642">
        <w:rPr>
          <w:b/>
        </w:rPr>
        <w:t>for RIVERSTONE ENERGY LIMITED (the “Fund”).</w:t>
      </w:r>
    </w:p>
    <w:p w14:paraId="518CD747" w14:textId="73801690" w:rsidR="00E50642" w:rsidRDefault="00E50642" w:rsidP="00E50642">
      <w:pPr>
        <w:pStyle w:val="Bodytext"/>
      </w:pPr>
    </w:p>
    <w:p w14:paraId="13EE97C3" w14:textId="77777777" w:rsidR="00947447" w:rsidRPr="00E50642" w:rsidRDefault="00947447" w:rsidP="00E50642">
      <w:pPr>
        <w:pStyle w:val="Bodytext"/>
      </w:pPr>
    </w:p>
    <w:p w14:paraId="232B97BC" w14:textId="77777777" w:rsidR="00E50642" w:rsidRPr="00E50642" w:rsidRDefault="00E50642" w:rsidP="00E50642">
      <w:pPr>
        <w:pStyle w:val="Bodytext"/>
      </w:pPr>
      <w:r w:rsidRPr="00E50642">
        <w:t>Effective from 20th July 2015, the Fund had appointed Société Générale as Swiss Representative and Paying Agent. The current Prospectus, the Memorandum and Articles of Association and the annual report of the Fund can be obtained free of charge from the representative in Switzerland, Société Générale, Paris, Zurich Branch, Talacker 50, P.O. Box 5070, CH-8021 Zurich. The paying agent of the Fund in Switzerland is Société Générale, Paris, Zurich Branch, Talacker 50, P.O. Box 5070, CH-8021 Zurich. The Company may offer Shares only to qualified investors in Switzerland. In respect of the Shares distributed in and from Switzerland, the place of performance and jurisdiction is the registered office of the Swiss Representative.</w:t>
      </w:r>
    </w:p>
    <w:p w14:paraId="0FECE16C" w14:textId="2B7C9594" w:rsidR="00E50642" w:rsidRDefault="00E50642" w:rsidP="00D52D40">
      <w:pPr>
        <w:pStyle w:val="Bodytext"/>
        <w:rPr>
          <w:b/>
        </w:rPr>
      </w:pPr>
    </w:p>
    <w:p w14:paraId="6583271B" w14:textId="77777777" w:rsidR="00947447" w:rsidRDefault="00947447" w:rsidP="00D52D40">
      <w:pPr>
        <w:pStyle w:val="Bodytext"/>
        <w:rPr>
          <w:b/>
        </w:rPr>
      </w:pPr>
    </w:p>
    <w:p w14:paraId="502F0D6B" w14:textId="77777777" w:rsidR="00D52D40" w:rsidRPr="00811BA1" w:rsidRDefault="00D52D40" w:rsidP="00D52D40">
      <w:pPr>
        <w:pStyle w:val="Bodytext"/>
        <w:rPr>
          <w:b/>
        </w:rPr>
      </w:pPr>
      <w:r w:rsidRPr="00811BA1">
        <w:rPr>
          <w:b/>
        </w:rPr>
        <w:t>Cautionary Statement</w:t>
      </w:r>
    </w:p>
    <w:p w14:paraId="571440D0" w14:textId="58C73767" w:rsidR="00D13FD7" w:rsidRPr="00D13FD7" w:rsidRDefault="00D13FD7" w:rsidP="00D13FD7">
      <w:pPr>
        <w:pStyle w:val="Bodytext"/>
        <w:contextualSpacing/>
        <w:jc w:val="both"/>
      </w:pPr>
      <w:r w:rsidRPr="00D13FD7">
        <w:t xml:space="preserve">The Chairman’s Statement, the Investment </w:t>
      </w:r>
      <w:r w:rsidRPr="00811BA1">
        <w:t>Manager</w:t>
      </w:r>
      <w:r>
        <w:t>’s</w:t>
      </w:r>
      <w:r w:rsidRPr="00D13FD7">
        <w:t xml:space="preserve"> Report and the Report of the Directors have been prepared solely to provide additional information for shareholders to assess the Company’s strategies and the potential for those strategies to succeed. These should not be relied on by any other party or for any other purpose.</w:t>
      </w:r>
    </w:p>
    <w:p w14:paraId="3F0749D3" w14:textId="77777777" w:rsidR="00D13FD7" w:rsidRPr="00D13FD7" w:rsidRDefault="00D13FD7" w:rsidP="00D13FD7">
      <w:pPr>
        <w:pStyle w:val="Bodytext"/>
        <w:contextualSpacing/>
        <w:jc w:val="both"/>
      </w:pPr>
    </w:p>
    <w:p w14:paraId="15A7EA76" w14:textId="7C3A9B7A" w:rsidR="00D13FD7" w:rsidRPr="00D13FD7" w:rsidRDefault="00D13FD7" w:rsidP="00D13FD7">
      <w:pPr>
        <w:pStyle w:val="Bodytext"/>
        <w:contextualSpacing/>
        <w:jc w:val="both"/>
      </w:pPr>
      <w:r w:rsidRPr="00D13FD7">
        <w:t xml:space="preserve">The Chairman’s Statement, Investment </w:t>
      </w:r>
      <w:r w:rsidRPr="00811BA1">
        <w:t>Manager</w:t>
      </w:r>
      <w:r>
        <w:t>’s</w:t>
      </w:r>
      <w:r w:rsidRPr="00D13FD7">
        <w:t xml:space="preserve"> Report and the Report of the Directors may include statements that are, or may be deemed to be, “forward-looking statements”. These forward-looking statements can be identified by the use of forward-looking terminology, including the terms “believes”, “estimates”, “anticipates”, “expects”, “intends”, “may”, “will” or “should” or, in each case, their negative or other variations or comparable terminology.</w:t>
      </w:r>
    </w:p>
    <w:p w14:paraId="65DA7D4B" w14:textId="77777777" w:rsidR="00D13FD7" w:rsidRPr="00D13FD7" w:rsidRDefault="00D13FD7" w:rsidP="00D13FD7">
      <w:pPr>
        <w:pStyle w:val="Bodytext"/>
        <w:contextualSpacing/>
        <w:jc w:val="both"/>
      </w:pPr>
    </w:p>
    <w:p w14:paraId="0A058A94" w14:textId="77777777" w:rsidR="00D13FD7" w:rsidRPr="00D13FD7" w:rsidRDefault="00D13FD7" w:rsidP="00D13FD7">
      <w:pPr>
        <w:pStyle w:val="Bodytext"/>
        <w:contextualSpacing/>
        <w:jc w:val="both"/>
      </w:pPr>
      <w:r w:rsidRPr="00D13FD7">
        <w:t>These forward-looking statements include all matters that are not historical facts. They appear in a number of places throughout this document and include statements regarding the intentions, beliefs or current expectations of the Directors and the Investment Adviser, concerning, amongst other things, the investment objectives and investment policy, financing strategies, investment performance, results of operations, financial condition, liquidity, prospects, and distribution policy of the Company and the markets in which it invests.</w:t>
      </w:r>
    </w:p>
    <w:p w14:paraId="11A20B90" w14:textId="77777777" w:rsidR="00D13FD7" w:rsidRPr="00D13FD7" w:rsidRDefault="00D13FD7" w:rsidP="00D13FD7">
      <w:pPr>
        <w:pStyle w:val="Bodytext"/>
        <w:contextualSpacing/>
        <w:jc w:val="both"/>
      </w:pPr>
    </w:p>
    <w:p w14:paraId="10A244D8" w14:textId="77777777" w:rsidR="00D13FD7" w:rsidRPr="00D13FD7" w:rsidRDefault="00D13FD7" w:rsidP="00D13FD7">
      <w:pPr>
        <w:pStyle w:val="Bodytext"/>
        <w:contextualSpacing/>
        <w:jc w:val="both"/>
      </w:pPr>
      <w:r w:rsidRPr="00D13FD7">
        <w:t>By their nature, forward-looking statements involve risks and uncertainties because they relate to events and depend on circumstances that may or may not occur in the future. Forward-looking statements are not guarantees of future performance.</w:t>
      </w:r>
    </w:p>
    <w:p w14:paraId="3C37C86B" w14:textId="77777777" w:rsidR="00D13FD7" w:rsidRPr="00D13FD7" w:rsidRDefault="00D13FD7" w:rsidP="00D13FD7">
      <w:pPr>
        <w:pStyle w:val="Bodytext"/>
        <w:contextualSpacing/>
        <w:jc w:val="both"/>
      </w:pPr>
    </w:p>
    <w:p w14:paraId="43108251" w14:textId="77777777" w:rsidR="00D13FD7" w:rsidRPr="00D13FD7" w:rsidRDefault="00D13FD7" w:rsidP="00D13FD7">
      <w:pPr>
        <w:pStyle w:val="Bodytext"/>
        <w:contextualSpacing/>
        <w:jc w:val="both"/>
      </w:pPr>
      <w:r w:rsidRPr="00D13FD7">
        <w:t>The Company’s actual investment performance, results of operations, financial condition, liquidity, distribution policy and the development of its financing strategies may differ materially from the impression created by the forward-looking statements contained in this document.</w:t>
      </w:r>
    </w:p>
    <w:p w14:paraId="6B644845" w14:textId="77777777" w:rsidR="00D13FD7" w:rsidRPr="00D13FD7" w:rsidRDefault="00D13FD7" w:rsidP="00D13FD7">
      <w:pPr>
        <w:pStyle w:val="Bodytext"/>
        <w:contextualSpacing/>
        <w:jc w:val="both"/>
      </w:pPr>
    </w:p>
    <w:p w14:paraId="01358006" w14:textId="52D9DB4B" w:rsidR="00D13FD7" w:rsidRPr="00D13FD7" w:rsidRDefault="00D13FD7" w:rsidP="00D13FD7">
      <w:pPr>
        <w:pStyle w:val="Bodytext"/>
        <w:contextualSpacing/>
        <w:jc w:val="both"/>
      </w:pPr>
      <w:r w:rsidRPr="00D13FD7">
        <w:t xml:space="preserve">Subject to their legal and regulatory obligations, the Directors and the Investment </w:t>
      </w:r>
      <w:r w:rsidRPr="00811BA1">
        <w:t>Manager</w:t>
      </w:r>
      <w:r w:rsidRPr="00D13FD7">
        <w:t xml:space="preserve"> expressly disclaim any obligations to update or revise any forward-looking statement contained herein to reflect any change in expectations with regard thereto or any change in events, conditions or circumstances on which any statement is based.</w:t>
      </w:r>
    </w:p>
    <w:p w14:paraId="26599E22" w14:textId="77777777" w:rsidR="00D13FD7" w:rsidRDefault="00D13FD7" w:rsidP="00D52D40">
      <w:pPr>
        <w:pStyle w:val="Bodytext"/>
      </w:pPr>
    </w:p>
    <w:p w14:paraId="4CE804A8" w14:textId="77777777" w:rsidR="00D52D40" w:rsidRPr="00811BA1" w:rsidRDefault="00D52D40" w:rsidP="00D52D40">
      <w:pPr>
        <w:pStyle w:val="Bodytext"/>
      </w:pPr>
    </w:p>
    <w:p w14:paraId="7C07904C" w14:textId="77777777" w:rsidR="00D52D40" w:rsidRPr="00811BA1" w:rsidRDefault="00D52D40" w:rsidP="00D52D40">
      <w:pPr>
        <w:pStyle w:val="Bodytext"/>
        <w:rPr>
          <w:b/>
        </w:rPr>
      </w:pPr>
      <w:r w:rsidRPr="00811BA1">
        <w:rPr>
          <w:b/>
        </w:rPr>
        <w:t>Riverstone Energy Limited</w:t>
      </w:r>
    </w:p>
    <w:p w14:paraId="11E25CF6" w14:textId="77777777" w:rsidR="00E46EDC" w:rsidRDefault="00E46EDC" w:rsidP="00D52D40">
      <w:pPr>
        <w:pStyle w:val="Bodytext"/>
        <w:rPr>
          <w:rFonts w:cs="Arial"/>
          <w:szCs w:val="20"/>
        </w:rPr>
      </w:pPr>
      <w:r w:rsidRPr="006A4CA2">
        <w:rPr>
          <w:rFonts w:cs="Arial"/>
          <w:szCs w:val="20"/>
        </w:rPr>
        <w:t xml:space="preserve">PO Box 286, Floor 2, </w:t>
      </w:r>
    </w:p>
    <w:p w14:paraId="3E97A22E" w14:textId="6ACED44C" w:rsidR="00E46EDC" w:rsidRPr="00811BA1" w:rsidRDefault="00E46EDC" w:rsidP="00E46EDC">
      <w:pPr>
        <w:pStyle w:val="Bodytext"/>
      </w:pPr>
      <w:r w:rsidRPr="006A4CA2">
        <w:rPr>
          <w:rFonts w:cs="Arial"/>
          <w:szCs w:val="20"/>
        </w:rPr>
        <w:t>Trafalgar Court, Les Banques, St Peter Port, Guernsey, GY1 4LY</w:t>
      </w:r>
      <w:r>
        <w:rPr>
          <w:rFonts w:cs="Arial"/>
          <w:szCs w:val="20"/>
        </w:rPr>
        <w:t xml:space="preserve">, Channel Islands. </w:t>
      </w:r>
    </w:p>
    <w:p w14:paraId="035F73F3" w14:textId="77777777" w:rsidR="00413DF2" w:rsidRPr="00811BA1" w:rsidRDefault="00413DF2" w:rsidP="00413DF2">
      <w:pPr>
        <w:pStyle w:val="Bodytext"/>
      </w:pPr>
      <w:r>
        <w:lastRenderedPageBreak/>
        <w:t>T</w:t>
      </w:r>
      <w:r w:rsidRPr="00811BA1">
        <w:t xml:space="preserve"> 44 (0) </w:t>
      </w:r>
      <w:r>
        <w:t>1481</w:t>
      </w:r>
      <w:r w:rsidRPr="00811BA1">
        <w:t xml:space="preserve"> </w:t>
      </w:r>
      <w:r>
        <w:t>742742</w:t>
      </w:r>
    </w:p>
    <w:p w14:paraId="7FEFF349" w14:textId="5EB96F33" w:rsidR="00413DF2" w:rsidRPr="00811BA1" w:rsidRDefault="00413DF2" w:rsidP="00413DF2">
      <w:pPr>
        <w:pStyle w:val="Bodytext"/>
      </w:pPr>
      <w:r w:rsidRPr="00811BA1">
        <w:t xml:space="preserve">F 44 (0) </w:t>
      </w:r>
      <w:r>
        <w:t>1481</w:t>
      </w:r>
      <w:r w:rsidRPr="00811BA1">
        <w:t xml:space="preserve"> </w:t>
      </w:r>
      <w:r w:rsidR="00BD5F24">
        <w:t>742698</w:t>
      </w:r>
    </w:p>
    <w:p w14:paraId="335538B2" w14:textId="77777777" w:rsidR="00D52D40" w:rsidRDefault="00D52D40" w:rsidP="00D52D40">
      <w:pPr>
        <w:pStyle w:val="Bodytext"/>
      </w:pPr>
    </w:p>
    <w:p w14:paraId="577B42B5" w14:textId="77777777" w:rsidR="00D52D40" w:rsidRPr="00811BA1" w:rsidRDefault="00D52D40" w:rsidP="00D52D40">
      <w:pPr>
        <w:pStyle w:val="Bodytext"/>
      </w:pPr>
    </w:p>
    <w:p w14:paraId="2EBAECDA" w14:textId="77777777" w:rsidR="00D52D40" w:rsidRPr="00811BA1" w:rsidRDefault="00D52D40" w:rsidP="00D52D40">
      <w:pPr>
        <w:pStyle w:val="Bodytext"/>
      </w:pPr>
      <w:r w:rsidRPr="00811BA1">
        <w:t>Further information available online:</w:t>
      </w:r>
    </w:p>
    <w:p w14:paraId="541D2B87" w14:textId="77777777" w:rsidR="00D52D40" w:rsidRDefault="00D823E7" w:rsidP="00D52D40">
      <w:pPr>
        <w:pStyle w:val="Bodytext"/>
      </w:pPr>
      <w:hyperlink r:id="rId8" w:history="1">
        <w:r w:rsidR="00D52D40" w:rsidRPr="00811BA1">
          <w:rPr>
            <w:rStyle w:val="Hyperlink"/>
          </w:rPr>
          <w:t>www.RiverstoneREL.com</w:t>
        </w:r>
      </w:hyperlink>
    </w:p>
    <w:p w14:paraId="7E1BCD0E" w14:textId="77777777" w:rsidR="004A13D3" w:rsidRPr="002D1A2F" w:rsidRDefault="004A13D3">
      <w:pPr>
        <w:tabs>
          <w:tab w:val="left" w:pos="6903"/>
        </w:tabs>
        <w:rPr>
          <w:rFonts w:ascii="Arial" w:hAnsi="Arial" w:cs="Arial"/>
        </w:rPr>
      </w:pPr>
    </w:p>
    <w:p w14:paraId="20AF9325" w14:textId="77777777" w:rsidR="00E41A2E" w:rsidRPr="00E41A2E" w:rsidRDefault="00E41A2E">
      <w:pPr>
        <w:tabs>
          <w:tab w:val="left" w:pos="6903"/>
        </w:tabs>
        <w:rPr>
          <w:rFonts w:ascii="Arial" w:hAnsi="Arial"/>
        </w:rPr>
      </w:pPr>
    </w:p>
    <w:p w14:paraId="0AACC431" w14:textId="77777777" w:rsidR="00E41A2E" w:rsidRPr="00D33AA7" w:rsidRDefault="00E41A2E">
      <w:pPr>
        <w:rPr>
          <w:rFonts w:ascii="Arial" w:hAnsi="Arial" w:cs="Arial"/>
          <w:sz w:val="20"/>
          <w:szCs w:val="20"/>
        </w:rPr>
      </w:pPr>
    </w:p>
    <w:sectPr w:rsidR="00E41A2E" w:rsidRPr="00D33AA7" w:rsidSect="002D1A2F">
      <w:pgSz w:w="11900" w:h="16840"/>
      <w:pgMar w:top="851" w:right="985"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A211B" w14:textId="77777777" w:rsidR="00C23946" w:rsidRDefault="00C23946" w:rsidP="00D63CA0">
      <w:r>
        <w:separator/>
      </w:r>
    </w:p>
  </w:endnote>
  <w:endnote w:type="continuationSeparator" w:id="0">
    <w:p w14:paraId="204D8151" w14:textId="77777777" w:rsidR="00C23946" w:rsidRDefault="00C23946" w:rsidP="00D63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YInterstate">
    <w:altName w:val="Corbel"/>
    <w:charset w:val="00"/>
    <w:family w:val="auto"/>
    <w:pitch w:val="variable"/>
    <w:sig w:usb0="800002AF" w:usb1="5000204A"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EYInterstate Light">
    <w:altName w:val="Franklin Gothic Medium Cond"/>
    <w:charset w:val="00"/>
    <w:family w:val="auto"/>
    <w:pitch w:val="variable"/>
    <w:sig w:usb0="A00002AF" w:usb1="5000206A" w:usb2="00000000" w:usb3="00000000" w:csb0="0000009F" w:csb1="00000000"/>
  </w:font>
  <w:font w:name="BT Font">
    <w:altName w:val="BT Fon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24F14" w14:textId="77777777" w:rsidR="00C23946" w:rsidRDefault="00C23946" w:rsidP="00D63CA0">
      <w:r>
        <w:separator/>
      </w:r>
    </w:p>
  </w:footnote>
  <w:footnote w:type="continuationSeparator" w:id="0">
    <w:p w14:paraId="28A3ED45" w14:textId="77777777" w:rsidR="00C23946" w:rsidRDefault="00C23946" w:rsidP="00D63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292A"/>
    <w:multiLevelType w:val="hybridMultilevel"/>
    <w:tmpl w:val="B4A22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54906"/>
    <w:multiLevelType w:val="hybridMultilevel"/>
    <w:tmpl w:val="80829D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6E4702"/>
    <w:multiLevelType w:val="hybridMultilevel"/>
    <w:tmpl w:val="04FC8DDA"/>
    <w:lvl w:ilvl="0" w:tplc="555ADF1A">
      <w:start w:val="1"/>
      <w:numFmt w:val="decimal"/>
      <w:lvlText w:val="%1."/>
      <w:lvlJc w:val="left"/>
      <w:pPr>
        <w:ind w:left="1080" w:hanging="720"/>
      </w:pPr>
      <w:rPr>
        <w:sz w:val="16"/>
        <w:szCs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EF5DA1"/>
    <w:multiLevelType w:val="hybridMultilevel"/>
    <w:tmpl w:val="67B2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B2F7C"/>
    <w:multiLevelType w:val="hybridMultilevel"/>
    <w:tmpl w:val="CCF4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340A4"/>
    <w:multiLevelType w:val="hybridMultilevel"/>
    <w:tmpl w:val="2F18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F423E"/>
    <w:multiLevelType w:val="hybridMultilevel"/>
    <w:tmpl w:val="1D2EB7C6"/>
    <w:lvl w:ilvl="0" w:tplc="BA3C2D52">
      <w:start w:val="1"/>
      <w:numFmt w:val="decimal"/>
      <w:lvlText w:val="(%1)"/>
      <w:lvlJc w:val="left"/>
      <w:pPr>
        <w:ind w:left="720" w:hanging="360"/>
      </w:pPr>
      <w:rPr>
        <w:rFonts w:ascii="Arial" w:hAnsi="Arial"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26C81"/>
    <w:multiLevelType w:val="hybridMultilevel"/>
    <w:tmpl w:val="6132492A"/>
    <w:lvl w:ilvl="0" w:tplc="464AE4D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3A01D7A"/>
    <w:multiLevelType w:val="hybridMultilevel"/>
    <w:tmpl w:val="D840C29C"/>
    <w:lvl w:ilvl="0" w:tplc="7B444C38">
      <w:start w:val="1"/>
      <w:numFmt w:val="lowerRoman"/>
      <w:lvlText w:val="(%1)"/>
      <w:lvlJc w:val="left"/>
      <w:pPr>
        <w:ind w:left="720" w:hanging="720"/>
      </w:pPr>
      <w:rPr>
        <w:rFonts w:ascii="Arial" w:eastAsia="Times New Roman" w:hAnsi="Arial" w:cs="Arial"/>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14687C6C"/>
    <w:multiLevelType w:val="hybridMultilevel"/>
    <w:tmpl w:val="B6847214"/>
    <w:lvl w:ilvl="0" w:tplc="06006D46">
      <w:start w:val="1"/>
      <w:numFmt w:val="lowerRoman"/>
      <w:lvlText w:val="(%1)"/>
      <w:lvlJc w:val="left"/>
      <w:pPr>
        <w:ind w:left="1080" w:hanging="720"/>
      </w:pPr>
      <w:rPr>
        <w:rFonts w:ascii="Arial" w:hAnsi="Arial" w:cs="Arial"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9382CD9"/>
    <w:multiLevelType w:val="hybridMultilevel"/>
    <w:tmpl w:val="6FFA5F4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C1D44A8"/>
    <w:multiLevelType w:val="hybridMultilevel"/>
    <w:tmpl w:val="B6847214"/>
    <w:lvl w:ilvl="0" w:tplc="06006D46">
      <w:start w:val="1"/>
      <w:numFmt w:val="lowerRoman"/>
      <w:lvlText w:val="(%1)"/>
      <w:lvlJc w:val="left"/>
      <w:pPr>
        <w:ind w:left="1080" w:hanging="720"/>
      </w:pPr>
      <w:rPr>
        <w:rFonts w:ascii="Arial" w:hAnsi="Arial" w:cs="Arial"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E833B04"/>
    <w:multiLevelType w:val="hybridMultilevel"/>
    <w:tmpl w:val="28E417FA"/>
    <w:lvl w:ilvl="0" w:tplc="2CFE8332">
      <w:start w:val="1"/>
      <w:numFmt w:val="bullet"/>
      <w:lvlText w:val="•"/>
      <w:lvlJc w:val="left"/>
      <w:pPr>
        <w:ind w:left="360" w:hanging="360"/>
      </w:pPr>
      <w:rPr>
        <w:rFonts w:ascii="EYInterstate" w:hAnsi="EYInterstate" w:hint="default"/>
        <w:color w:val="FFC000"/>
        <w:sz w:val="24"/>
        <w:szCs w:val="1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4120F02"/>
    <w:multiLevelType w:val="hybridMultilevel"/>
    <w:tmpl w:val="E68E743E"/>
    <w:lvl w:ilvl="0" w:tplc="08090017">
      <w:start w:val="1"/>
      <w:numFmt w:val="lowerLetter"/>
      <w:lvlText w:val="%1)"/>
      <w:lvlJc w:val="left"/>
      <w:pPr>
        <w:ind w:left="989" w:hanging="360"/>
      </w:pPr>
    </w:lvl>
    <w:lvl w:ilvl="1" w:tplc="08090019" w:tentative="1">
      <w:start w:val="1"/>
      <w:numFmt w:val="lowerLetter"/>
      <w:lvlText w:val="%2."/>
      <w:lvlJc w:val="left"/>
      <w:pPr>
        <w:ind w:left="1709" w:hanging="360"/>
      </w:pPr>
    </w:lvl>
    <w:lvl w:ilvl="2" w:tplc="0809001B" w:tentative="1">
      <w:start w:val="1"/>
      <w:numFmt w:val="lowerRoman"/>
      <w:lvlText w:val="%3."/>
      <w:lvlJc w:val="right"/>
      <w:pPr>
        <w:ind w:left="2429" w:hanging="180"/>
      </w:pPr>
    </w:lvl>
    <w:lvl w:ilvl="3" w:tplc="0809000F" w:tentative="1">
      <w:start w:val="1"/>
      <w:numFmt w:val="decimal"/>
      <w:lvlText w:val="%4."/>
      <w:lvlJc w:val="left"/>
      <w:pPr>
        <w:ind w:left="3149" w:hanging="360"/>
      </w:pPr>
    </w:lvl>
    <w:lvl w:ilvl="4" w:tplc="08090019" w:tentative="1">
      <w:start w:val="1"/>
      <w:numFmt w:val="lowerLetter"/>
      <w:lvlText w:val="%5."/>
      <w:lvlJc w:val="left"/>
      <w:pPr>
        <w:ind w:left="3869" w:hanging="360"/>
      </w:pPr>
    </w:lvl>
    <w:lvl w:ilvl="5" w:tplc="0809001B" w:tentative="1">
      <w:start w:val="1"/>
      <w:numFmt w:val="lowerRoman"/>
      <w:lvlText w:val="%6."/>
      <w:lvlJc w:val="right"/>
      <w:pPr>
        <w:ind w:left="4589" w:hanging="180"/>
      </w:pPr>
    </w:lvl>
    <w:lvl w:ilvl="6" w:tplc="0809000F" w:tentative="1">
      <w:start w:val="1"/>
      <w:numFmt w:val="decimal"/>
      <w:lvlText w:val="%7."/>
      <w:lvlJc w:val="left"/>
      <w:pPr>
        <w:ind w:left="5309" w:hanging="360"/>
      </w:pPr>
    </w:lvl>
    <w:lvl w:ilvl="7" w:tplc="08090019" w:tentative="1">
      <w:start w:val="1"/>
      <w:numFmt w:val="lowerLetter"/>
      <w:lvlText w:val="%8."/>
      <w:lvlJc w:val="left"/>
      <w:pPr>
        <w:ind w:left="6029" w:hanging="360"/>
      </w:pPr>
    </w:lvl>
    <w:lvl w:ilvl="8" w:tplc="0809001B" w:tentative="1">
      <w:start w:val="1"/>
      <w:numFmt w:val="lowerRoman"/>
      <w:lvlText w:val="%9."/>
      <w:lvlJc w:val="right"/>
      <w:pPr>
        <w:ind w:left="6749" w:hanging="180"/>
      </w:pPr>
    </w:lvl>
  </w:abstractNum>
  <w:abstractNum w:abstractNumId="14" w15:restartNumberingAfterBreak="0">
    <w:nsid w:val="26774C90"/>
    <w:multiLevelType w:val="hybridMultilevel"/>
    <w:tmpl w:val="D840C29C"/>
    <w:lvl w:ilvl="0" w:tplc="7B444C38">
      <w:start w:val="1"/>
      <w:numFmt w:val="lowerRoman"/>
      <w:lvlText w:val="(%1)"/>
      <w:lvlJc w:val="left"/>
      <w:pPr>
        <w:ind w:left="720" w:hanging="720"/>
      </w:pPr>
      <w:rPr>
        <w:rFonts w:ascii="Arial" w:eastAsia="Times New Roman" w:hAnsi="Arial" w:cs="Arial"/>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27C5718D"/>
    <w:multiLevelType w:val="hybridMultilevel"/>
    <w:tmpl w:val="DB06F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6F654B"/>
    <w:multiLevelType w:val="hybridMultilevel"/>
    <w:tmpl w:val="5DAA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8A0374"/>
    <w:multiLevelType w:val="hybridMultilevel"/>
    <w:tmpl w:val="6830852A"/>
    <w:lvl w:ilvl="0" w:tplc="789EE492">
      <w:start w:val="1"/>
      <w:numFmt w:val="lowerRoman"/>
      <w:lvlText w:val="(%1)"/>
      <w:lvlJc w:val="left"/>
      <w:pPr>
        <w:ind w:left="1080" w:hanging="72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6A7362"/>
    <w:multiLevelType w:val="hybridMultilevel"/>
    <w:tmpl w:val="80C43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C47F40"/>
    <w:multiLevelType w:val="hybridMultilevel"/>
    <w:tmpl w:val="9594FC8C"/>
    <w:lvl w:ilvl="0" w:tplc="0C34A490">
      <w:start w:val="1"/>
      <w:numFmt w:val="decimal"/>
      <w:lvlText w:val="(%1)"/>
      <w:lvlJc w:val="left"/>
      <w:pPr>
        <w:ind w:left="720" w:hanging="360"/>
      </w:pPr>
      <w:rPr>
        <w:rFonts w:cs="Times New Roman"/>
        <w:vertAlign w:val="superscrip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37F0410C"/>
    <w:multiLevelType w:val="hybridMultilevel"/>
    <w:tmpl w:val="3618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D7C82"/>
    <w:multiLevelType w:val="multilevel"/>
    <w:tmpl w:val="B1D27864"/>
    <w:lvl w:ilvl="0">
      <w:start w:val="1"/>
      <w:numFmt w:val="bullet"/>
      <w:pStyle w:val="EYBulletedtext1"/>
      <w:lvlText w:val=""/>
      <w:lvlJc w:val="left"/>
      <w:pPr>
        <w:tabs>
          <w:tab w:val="num" w:pos="425"/>
        </w:tabs>
        <w:ind w:left="425" w:hanging="425"/>
      </w:pPr>
      <w:rPr>
        <w:rFonts w:ascii="Wingdings 3" w:hAnsi="Wingdings 3" w:hint="default"/>
        <w:color w:val="auto"/>
        <w:szCs w:val="24"/>
      </w:rPr>
    </w:lvl>
    <w:lvl w:ilvl="1">
      <w:start w:val="1"/>
      <w:numFmt w:val="bullet"/>
      <w:pStyle w:val="EYBulletedtext2"/>
      <w:lvlText w:val=""/>
      <w:lvlJc w:val="left"/>
      <w:pPr>
        <w:tabs>
          <w:tab w:val="num" w:pos="851"/>
        </w:tabs>
        <w:ind w:left="851" w:hanging="426"/>
      </w:pPr>
      <w:rPr>
        <w:rFonts w:ascii="Wingdings 3" w:hAnsi="Wingdings 3" w:hint="default"/>
        <w:color w:val="auto"/>
        <w:szCs w:val="24"/>
      </w:rPr>
    </w:lvl>
    <w:lvl w:ilvl="2">
      <w:start w:val="1"/>
      <w:numFmt w:val="bullet"/>
      <w:pStyle w:val="EYBulletedtext3"/>
      <w:lvlText w:val="►"/>
      <w:lvlJc w:val="left"/>
      <w:pPr>
        <w:tabs>
          <w:tab w:val="num" w:pos="1276"/>
        </w:tabs>
        <w:ind w:left="1276" w:hanging="425"/>
      </w:pPr>
      <w:rPr>
        <w:rFonts w:ascii="Arial" w:hAnsi="Arial" w:hint="default"/>
        <w:color w:val="auto"/>
        <w:sz w:val="16"/>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22" w15:restartNumberingAfterBreak="0">
    <w:nsid w:val="3CE6768B"/>
    <w:multiLevelType w:val="hybridMultilevel"/>
    <w:tmpl w:val="F8FE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2311E7"/>
    <w:multiLevelType w:val="multilevel"/>
    <w:tmpl w:val="1DBAC4E0"/>
    <w:lvl w:ilvl="0">
      <w:start w:val="1"/>
      <w:numFmt w:val="bullet"/>
      <w:lvlText w:val="•"/>
      <w:lvlJc w:val="left"/>
      <w:pPr>
        <w:tabs>
          <w:tab w:val="num" w:pos="425"/>
        </w:tabs>
        <w:ind w:left="425" w:hanging="425"/>
      </w:pPr>
      <w:rPr>
        <w:rFonts w:ascii="EYInterstate" w:hAnsi="EYInterstate" w:hint="default"/>
        <w:color w:val="FFC000"/>
        <w:sz w:val="24"/>
        <w:szCs w:val="12"/>
      </w:rPr>
    </w:lvl>
    <w:lvl w:ilvl="1">
      <w:start w:val="1"/>
      <w:numFmt w:val="bullet"/>
      <w:lvlText w:val=""/>
      <w:lvlJc w:val="left"/>
      <w:pPr>
        <w:tabs>
          <w:tab w:val="num" w:pos="851"/>
        </w:tabs>
        <w:ind w:left="851" w:hanging="426"/>
      </w:pPr>
      <w:rPr>
        <w:rFonts w:ascii="Wingdings 3" w:hAnsi="Wingdings 3" w:hint="default"/>
        <w:color w:val="auto"/>
        <w:szCs w:val="24"/>
      </w:rPr>
    </w:lvl>
    <w:lvl w:ilvl="2">
      <w:start w:val="1"/>
      <w:numFmt w:val="bullet"/>
      <w:lvlText w:val="►"/>
      <w:lvlJc w:val="left"/>
      <w:pPr>
        <w:tabs>
          <w:tab w:val="num" w:pos="1276"/>
        </w:tabs>
        <w:ind w:left="1276" w:hanging="425"/>
      </w:pPr>
      <w:rPr>
        <w:rFonts w:ascii="Arial" w:hAnsi="Arial" w:cs="Times New Roman" w:hint="default"/>
        <w:color w:val="auto"/>
        <w:sz w:val="16"/>
      </w:rPr>
    </w:lvl>
    <w:lvl w:ilvl="3">
      <w:start w:val="1"/>
      <w:numFmt w:val="none"/>
      <w:suff w:val="nothing"/>
      <w:lvlText w:val=""/>
      <w:lvlJc w:val="left"/>
      <w:pPr>
        <w:ind w:left="1440" w:firstLine="0"/>
      </w:pPr>
    </w:lvl>
    <w:lvl w:ilvl="4">
      <w:start w:val="1"/>
      <w:numFmt w:val="none"/>
      <w:suff w:val="nothing"/>
      <w:lvlText w:val=""/>
      <w:lvlJc w:val="left"/>
      <w:pPr>
        <w:ind w:left="1440" w:firstLine="0"/>
      </w:pPr>
    </w:lvl>
    <w:lvl w:ilvl="5">
      <w:start w:val="1"/>
      <w:numFmt w:val="none"/>
      <w:suff w:val="nothing"/>
      <w:lvlText w:val=""/>
      <w:lvlJc w:val="left"/>
      <w:pPr>
        <w:ind w:left="1440" w:firstLine="0"/>
      </w:pPr>
    </w:lvl>
    <w:lvl w:ilvl="6">
      <w:start w:val="1"/>
      <w:numFmt w:val="none"/>
      <w:suff w:val="nothing"/>
      <w:lvlText w:val=""/>
      <w:lvlJc w:val="left"/>
      <w:pPr>
        <w:ind w:left="1440" w:firstLine="0"/>
      </w:pPr>
    </w:lvl>
    <w:lvl w:ilvl="7">
      <w:start w:val="1"/>
      <w:numFmt w:val="none"/>
      <w:suff w:val="nothing"/>
      <w:lvlText w:val=""/>
      <w:lvlJc w:val="left"/>
      <w:pPr>
        <w:ind w:left="1440" w:firstLine="0"/>
      </w:pPr>
    </w:lvl>
    <w:lvl w:ilvl="8">
      <w:start w:val="1"/>
      <w:numFmt w:val="none"/>
      <w:suff w:val="nothing"/>
      <w:lvlText w:val=""/>
      <w:lvlJc w:val="left"/>
      <w:pPr>
        <w:ind w:left="1440" w:firstLine="0"/>
      </w:pPr>
    </w:lvl>
  </w:abstractNum>
  <w:abstractNum w:abstractNumId="24" w15:restartNumberingAfterBreak="0">
    <w:nsid w:val="435D0B9F"/>
    <w:multiLevelType w:val="hybridMultilevel"/>
    <w:tmpl w:val="27960FEC"/>
    <w:lvl w:ilvl="0" w:tplc="2CFE8332">
      <w:start w:val="1"/>
      <w:numFmt w:val="bullet"/>
      <w:lvlText w:val="•"/>
      <w:lvlJc w:val="left"/>
      <w:pPr>
        <w:ind w:left="989" w:hanging="360"/>
      </w:pPr>
      <w:rPr>
        <w:rFonts w:ascii="EYInterstate" w:hAnsi="EYInterstate" w:hint="default"/>
        <w:color w:val="FFC000"/>
        <w:sz w:val="24"/>
        <w:szCs w:val="12"/>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25" w15:restartNumberingAfterBreak="0">
    <w:nsid w:val="43B7732C"/>
    <w:multiLevelType w:val="hybridMultilevel"/>
    <w:tmpl w:val="C832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422B4C"/>
    <w:multiLevelType w:val="hybridMultilevel"/>
    <w:tmpl w:val="9208D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DF1847"/>
    <w:multiLevelType w:val="hybridMultilevel"/>
    <w:tmpl w:val="67B0272E"/>
    <w:lvl w:ilvl="0" w:tplc="72CEDB3E">
      <w:start w:val="1"/>
      <w:numFmt w:val="lowerLetter"/>
      <w:lvlText w:val="(%1)"/>
      <w:lvlJc w:val="left"/>
      <w:pPr>
        <w:ind w:left="957" w:hanging="39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28" w15:restartNumberingAfterBreak="0">
    <w:nsid w:val="486E64CA"/>
    <w:multiLevelType w:val="hybridMultilevel"/>
    <w:tmpl w:val="B6847214"/>
    <w:lvl w:ilvl="0" w:tplc="06006D46">
      <w:start w:val="1"/>
      <w:numFmt w:val="lowerRoman"/>
      <w:lvlText w:val="(%1)"/>
      <w:lvlJc w:val="left"/>
      <w:pPr>
        <w:ind w:left="1080" w:hanging="720"/>
      </w:pPr>
      <w:rPr>
        <w:rFonts w:ascii="Arial" w:hAnsi="Arial" w:cs="Arial"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8977D13"/>
    <w:multiLevelType w:val="hybridMultilevel"/>
    <w:tmpl w:val="47AAA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4AE452B9"/>
    <w:multiLevelType w:val="hybridMultilevel"/>
    <w:tmpl w:val="842C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E06CB3"/>
    <w:multiLevelType w:val="hybridMultilevel"/>
    <w:tmpl w:val="9F1A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1A4937"/>
    <w:multiLevelType w:val="hybridMultilevel"/>
    <w:tmpl w:val="0164D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C86CBC"/>
    <w:multiLevelType w:val="multilevel"/>
    <w:tmpl w:val="2CB4662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5E6D37C5"/>
    <w:multiLevelType w:val="hybridMultilevel"/>
    <w:tmpl w:val="849E27EC"/>
    <w:lvl w:ilvl="0" w:tplc="042C6AEC">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282E57"/>
    <w:multiLevelType w:val="hybridMultilevel"/>
    <w:tmpl w:val="0B7A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3237E3"/>
    <w:multiLevelType w:val="hybridMultilevel"/>
    <w:tmpl w:val="5EC8B1FA"/>
    <w:lvl w:ilvl="0" w:tplc="2CFE8332">
      <w:start w:val="1"/>
      <w:numFmt w:val="bullet"/>
      <w:lvlText w:val="•"/>
      <w:lvlJc w:val="left"/>
      <w:pPr>
        <w:ind w:left="720" w:hanging="360"/>
      </w:pPr>
      <w:rPr>
        <w:rFonts w:ascii="EYInterstate" w:hAnsi="EYInterstate" w:hint="default"/>
        <w:color w:val="FFC000"/>
        <w:sz w:val="24"/>
        <w:szCs w:val="1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5E84439"/>
    <w:multiLevelType w:val="hybridMultilevel"/>
    <w:tmpl w:val="0ED0A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E82D1A"/>
    <w:multiLevelType w:val="hybridMultilevel"/>
    <w:tmpl w:val="DF86D3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6E533882"/>
    <w:multiLevelType w:val="hybridMultilevel"/>
    <w:tmpl w:val="29C2493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6E9E79DA"/>
    <w:multiLevelType w:val="hybridMultilevel"/>
    <w:tmpl w:val="B6847214"/>
    <w:lvl w:ilvl="0" w:tplc="06006D46">
      <w:start w:val="1"/>
      <w:numFmt w:val="lowerRoman"/>
      <w:lvlText w:val="(%1)"/>
      <w:lvlJc w:val="left"/>
      <w:pPr>
        <w:ind w:left="1080" w:hanging="720"/>
      </w:pPr>
      <w:rPr>
        <w:rFonts w:ascii="Arial" w:hAnsi="Arial" w:cs="Arial"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0B11342"/>
    <w:multiLevelType w:val="multilevel"/>
    <w:tmpl w:val="329293D6"/>
    <w:lvl w:ilvl="0">
      <w:start w:val="1"/>
      <w:numFmt w:val="bullet"/>
      <w:pStyle w:val="EYBulletedText10"/>
      <w:lvlText w:val="►"/>
      <w:lvlJc w:val="left"/>
      <w:pPr>
        <w:tabs>
          <w:tab w:val="num" w:pos="425"/>
        </w:tabs>
        <w:ind w:left="425" w:hanging="425"/>
      </w:pPr>
      <w:rPr>
        <w:rFonts w:ascii="Arial" w:hAnsi="Arial" w:cs="Times New Roman" w:hint="default"/>
        <w:color w:val="auto"/>
        <w:sz w:val="17"/>
        <w:szCs w:val="24"/>
      </w:rPr>
    </w:lvl>
    <w:lvl w:ilvl="1">
      <w:start w:val="1"/>
      <w:numFmt w:val="bullet"/>
      <w:pStyle w:val="EYBulletedText20"/>
      <w:lvlText w:val="►"/>
      <w:lvlJc w:val="left"/>
      <w:pPr>
        <w:tabs>
          <w:tab w:val="num" w:pos="851"/>
        </w:tabs>
        <w:ind w:left="851" w:hanging="426"/>
      </w:pPr>
      <w:rPr>
        <w:rFonts w:ascii="Arial" w:hAnsi="Arial" w:cs="Times New Roman" w:hint="default"/>
        <w:color w:val="auto"/>
        <w:sz w:val="16"/>
        <w:szCs w:val="16"/>
      </w:rPr>
    </w:lvl>
    <w:lvl w:ilvl="2">
      <w:start w:val="1"/>
      <w:numFmt w:val="bullet"/>
      <w:pStyle w:val="EYBulletedText30"/>
      <w:lvlText w:val="►"/>
      <w:lvlJc w:val="left"/>
      <w:pPr>
        <w:tabs>
          <w:tab w:val="num" w:pos="1276"/>
        </w:tabs>
        <w:ind w:left="1276" w:hanging="425"/>
      </w:pPr>
      <w:rPr>
        <w:rFonts w:ascii="Arial" w:hAnsi="Arial" w:cs="Times New Roman" w:hint="default"/>
        <w:color w:val="auto"/>
        <w:sz w:val="16"/>
        <w:szCs w:val="24"/>
      </w:rPr>
    </w:lvl>
    <w:lvl w:ilvl="3">
      <w:start w:val="1"/>
      <w:numFmt w:val="none"/>
      <w:suff w:val="nothing"/>
      <w:lvlText w:val=""/>
      <w:lvlJc w:val="left"/>
      <w:pPr>
        <w:ind w:left="1440" w:firstLine="0"/>
      </w:pPr>
    </w:lvl>
    <w:lvl w:ilvl="4">
      <w:start w:val="1"/>
      <w:numFmt w:val="none"/>
      <w:suff w:val="nothing"/>
      <w:lvlText w:val=""/>
      <w:lvlJc w:val="left"/>
      <w:pPr>
        <w:ind w:left="1440" w:firstLine="0"/>
      </w:pPr>
    </w:lvl>
    <w:lvl w:ilvl="5">
      <w:start w:val="1"/>
      <w:numFmt w:val="none"/>
      <w:suff w:val="nothing"/>
      <w:lvlText w:val=""/>
      <w:lvlJc w:val="left"/>
      <w:pPr>
        <w:ind w:left="1440" w:firstLine="0"/>
      </w:pPr>
    </w:lvl>
    <w:lvl w:ilvl="6">
      <w:start w:val="1"/>
      <w:numFmt w:val="none"/>
      <w:suff w:val="nothing"/>
      <w:lvlText w:val=""/>
      <w:lvlJc w:val="left"/>
      <w:pPr>
        <w:ind w:left="4320" w:firstLine="0"/>
      </w:pPr>
    </w:lvl>
    <w:lvl w:ilvl="7">
      <w:start w:val="1"/>
      <w:numFmt w:val="none"/>
      <w:suff w:val="nothing"/>
      <w:lvlText w:val=""/>
      <w:lvlJc w:val="left"/>
      <w:pPr>
        <w:ind w:left="4320" w:firstLine="0"/>
      </w:pPr>
    </w:lvl>
    <w:lvl w:ilvl="8">
      <w:start w:val="1"/>
      <w:numFmt w:val="none"/>
      <w:suff w:val="nothing"/>
      <w:lvlText w:val=""/>
      <w:lvlJc w:val="left"/>
      <w:pPr>
        <w:ind w:left="4320" w:firstLine="0"/>
      </w:pPr>
    </w:lvl>
  </w:abstractNum>
  <w:abstractNum w:abstractNumId="42" w15:restartNumberingAfterBreak="0">
    <w:nsid w:val="73A37718"/>
    <w:multiLevelType w:val="multilevel"/>
    <w:tmpl w:val="B12A2EF4"/>
    <w:lvl w:ilvl="0">
      <w:start w:val="1"/>
      <w:numFmt w:val="bullet"/>
      <w:pStyle w:val="EYTablebullet1"/>
      <w:lvlText w:val="►"/>
      <w:lvlJc w:val="left"/>
      <w:pPr>
        <w:tabs>
          <w:tab w:val="num" w:pos="284"/>
        </w:tabs>
        <w:ind w:left="284" w:hanging="284"/>
      </w:pPr>
      <w:rPr>
        <w:rFonts w:ascii="Arial" w:hAnsi="Arial" w:cs="Times New Roman" w:hint="default"/>
        <w:b w:val="0"/>
        <w:bCs/>
        <w:i w:val="0"/>
        <w:color w:val="auto"/>
        <w:sz w:val="12"/>
        <w:szCs w:val="24"/>
      </w:rPr>
    </w:lvl>
    <w:lvl w:ilvl="1">
      <w:start w:val="1"/>
      <w:numFmt w:val="bullet"/>
      <w:pStyle w:val="EYTablebullet2"/>
      <w:lvlText w:val="►"/>
      <w:lvlJc w:val="left"/>
      <w:pPr>
        <w:tabs>
          <w:tab w:val="num" w:pos="567"/>
        </w:tabs>
        <w:ind w:left="567" w:hanging="283"/>
      </w:pPr>
      <w:rPr>
        <w:rFonts w:ascii="Arial" w:hAnsi="Arial" w:cs="Times New Roman" w:hint="default"/>
        <w:b w:val="0"/>
        <w:i w:val="0"/>
        <w:color w:val="auto"/>
        <w:sz w:val="12"/>
        <w:szCs w:val="24"/>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3" w15:restartNumberingAfterBreak="0">
    <w:nsid w:val="744D7EA0"/>
    <w:multiLevelType w:val="hybridMultilevel"/>
    <w:tmpl w:val="F6F0EE28"/>
    <w:lvl w:ilvl="0" w:tplc="8940FB36">
      <w:start w:val="1"/>
      <w:numFmt w:val="bullet"/>
      <w:pStyle w:val="Bulletsdash"/>
      <w:lvlText w:val="–"/>
      <w:lvlJc w:val="left"/>
      <w:pPr>
        <w:ind w:left="108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275965"/>
    <w:multiLevelType w:val="hybridMultilevel"/>
    <w:tmpl w:val="6F5CAAB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7"/>
  </w:num>
  <w:num w:numId="2">
    <w:abstractNumId w:val="40"/>
  </w:num>
  <w:num w:numId="3">
    <w:abstractNumId w:val="3"/>
  </w:num>
  <w:num w:numId="4">
    <w:abstractNumId w:val="43"/>
  </w:num>
  <w:num w:numId="5">
    <w:abstractNumId w:val="34"/>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9"/>
  </w:num>
  <w:num w:numId="9">
    <w:abstractNumId w:val="11"/>
  </w:num>
  <w:num w:numId="10">
    <w:abstractNumId w:val="9"/>
  </w:num>
  <w:num w:numId="11">
    <w:abstractNumId w:val="38"/>
  </w:num>
  <w:num w:numId="12">
    <w:abstractNumId w:val="33"/>
  </w:num>
  <w:num w:numId="13">
    <w:abstractNumId w:val="27"/>
  </w:num>
  <w:num w:numId="14">
    <w:abstractNumId w:val="6"/>
  </w:num>
  <w:num w:numId="15">
    <w:abstractNumId w:val="1"/>
  </w:num>
  <w:num w:numId="16">
    <w:abstractNumId w:val="7"/>
  </w:num>
  <w:num w:numId="17">
    <w:abstractNumId w:val="15"/>
  </w:num>
  <w:num w:numId="18">
    <w:abstractNumId w:val="30"/>
  </w:num>
  <w:num w:numId="19">
    <w:abstractNumId w:val="20"/>
  </w:num>
  <w:num w:numId="20">
    <w:abstractNumId w:val="22"/>
  </w:num>
  <w:num w:numId="21">
    <w:abstractNumId w:val="18"/>
  </w:num>
  <w:num w:numId="22">
    <w:abstractNumId w:val="4"/>
  </w:num>
  <w:num w:numId="23">
    <w:abstractNumId w:val="16"/>
  </w:num>
  <w:num w:numId="24">
    <w:abstractNumId w:val="5"/>
  </w:num>
  <w:num w:numId="25">
    <w:abstractNumId w:val="37"/>
  </w:num>
  <w:num w:numId="26">
    <w:abstractNumId w:val="32"/>
  </w:num>
  <w:num w:numId="27">
    <w:abstractNumId w:val="31"/>
  </w:num>
  <w:num w:numId="28">
    <w:abstractNumId w:val="0"/>
  </w:num>
  <w:num w:numId="29">
    <w:abstractNumId w:val="35"/>
  </w:num>
  <w:num w:numId="30">
    <w:abstractNumId w:val="25"/>
  </w:num>
  <w:num w:numId="31">
    <w:abstractNumId w:val="39"/>
  </w:num>
  <w:num w:numId="32">
    <w:abstractNumId w:val="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2"/>
  </w:num>
  <w:num w:numId="35">
    <w:abstractNumId w:val="44"/>
  </w:num>
  <w:num w:numId="36">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6"/>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10"/>
  </w:num>
  <w:num w:numId="43">
    <w:abstractNumId w:val="29"/>
  </w:num>
  <w:num w:numId="44">
    <w:abstractNumId w:val="23"/>
  </w:num>
  <w:num w:numId="45">
    <w:abstractNumId w:val="24"/>
  </w:num>
  <w:num w:numId="46">
    <w:abstractNumId w:val="13"/>
  </w:num>
  <w:num w:numId="47">
    <w:abstractNumId w:val="14"/>
  </w:num>
  <w:num w:numId="48">
    <w:abstractNumId w:val="8"/>
  </w:num>
  <w:num w:numId="49">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trackRevisions/>
  <w:doNotTrackFormatting/>
  <w:defaultTabStop w:val="720"/>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8A5082"/>
    <w:rsid w:val="000016CC"/>
    <w:rsid w:val="0000198B"/>
    <w:rsid w:val="00001C98"/>
    <w:rsid w:val="00003941"/>
    <w:rsid w:val="00004F35"/>
    <w:rsid w:val="00005172"/>
    <w:rsid w:val="0000645D"/>
    <w:rsid w:val="00007404"/>
    <w:rsid w:val="0001050D"/>
    <w:rsid w:val="00013CA6"/>
    <w:rsid w:val="000140C0"/>
    <w:rsid w:val="00015A94"/>
    <w:rsid w:val="00015E09"/>
    <w:rsid w:val="00016818"/>
    <w:rsid w:val="00020A89"/>
    <w:rsid w:val="0002210C"/>
    <w:rsid w:val="00023414"/>
    <w:rsid w:val="00023704"/>
    <w:rsid w:val="00023A84"/>
    <w:rsid w:val="00024B5D"/>
    <w:rsid w:val="00024FC8"/>
    <w:rsid w:val="00025D69"/>
    <w:rsid w:val="000303C6"/>
    <w:rsid w:val="000309C3"/>
    <w:rsid w:val="00030C7B"/>
    <w:rsid w:val="000319D9"/>
    <w:rsid w:val="000323AB"/>
    <w:rsid w:val="000337CF"/>
    <w:rsid w:val="0003429F"/>
    <w:rsid w:val="00034C99"/>
    <w:rsid w:val="00034DDC"/>
    <w:rsid w:val="00035261"/>
    <w:rsid w:val="000357EC"/>
    <w:rsid w:val="000363C2"/>
    <w:rsid w:val="00037391"/>
    <w:rsid w:val="00041994"/>
    <w:rsid w:val="00041A95"/>
    <w:rsid w:val="00041B6D"/>
    <w:rsid w:val="00041B82"/>
    <w:rsid w:val="00042429"/>
    <w:rsid w:val="00044246"/>
    <w:rsid w:val="00045B8C"/>
    <w:rsid w:val="00046419"/>
    <w:rsid w:val="00046B7F"/>
    <w:rsid w:val="00046F5D"/>
    <w:rsid w:val="0005090E"/>
    <w:rsid w:val="00051034"/>
    <w:rsid w:val="00051188"/>
    <w:rsid w:val="00052F7C"/>
    <w:rsid w:val="000605C6"/>
    <w:rsid w:val="000607B2"/>
    <w:rsid w:val="00060878"/>
    <w:rsid w:val="00060B42"/>
    <w:rsid w:val="0006394A"/>
    <w:rsid w:val="000643F4"/>
    <w:rsid w:val="00064E4A"/>
    <w:rsid w:val="00066B86"/>
    <w:rsid w:val="00066FCC"/>
    <w:rsid w:val="0007090C"/>
    <w:rsid w:val="00070DE9"/>
    <w:rsid w:val="0007558A"/>
    <w:rsid w:val="00075FC3"/>
    <w:rsid w:val="00077933"/>
    <w:rsid w:val="0008154E"/>
    <w:rsid w:val="00082A9F"/>
    <w:rsid w:val="00095694"/>
    <w:rsid w:val="00096E41"/>
    <w:rsid w:val="00097732"/>
    <w:rsid w:val="000A14D6"/>
    <w:rsid w:val="000A1BBA"/>
    <w:rsid w:val="000A2A6E"/>
    <w:rsid w:val="000B0FB0"/>
    <w:rsid w:val="000B1FE3"/>
    <w:rsid w:val="000B2239"/>
    <w:rsid w:val="000B35BC"/>
    <w:rsid w:val="000B3CB3"/>
    <w:rsid w:val="000B4410"/>
    <w:rsid w:val="000B539A"/>
    <w:rsid w:val="000B53CE"/>
    <w:rsid w:val="000B559E"/>
    <w:rsid w:val="000B590A"/>
    <w:rsid w:val="000B6172"/>
    <w:rsid w:val="000B6589"/>
    <w:rsid w:val="000B65B6"/>
    <w:rsid w:val="000B696A"/>
    <w:rsid w:val="000C0552"/>
    <w:rsid w:val="000C0849"/>
    <w:rsid w:val="000C17A2"/>
    <w:rsid w:val="000C1CEA"/>
    <w:rsid w:val="000C3553"/>
    <w:rsid w:val="000C37E7"/>
    <w:rsid w:val="000C3CDC"/>
    <w:rsid w:val="000C417B"/>
    <w:rsid w:val="000C5AB0"/>
    <w:rsid w:val="000C63C1"/>
    <w:rsid w:val="000D173B"/>
    <w:rsid w:val="000D1E74"/>
    <w:rsid w:val="000D2882"/>
    <w:rsid w:val="000D2AEA"/>
    <w:rsid w:val="000D336C"/>
    <w:rsid w:val="000D7CCE"/>
    <w:rsid w:val="000E0926"/>
    <w:rsid w:val="000E0968"/>
    <w:rsid w:val="000E1839"/>
    <w:rsid w:val="000E43D4"/>
    <w:rsid w:val="000E53B6"/>
    <w:rsid w:val="000E5534"/>
    <w:rsid w:val="000E61B0"/>
    <w:rsid w:val="000E6C46"/>
    <w:rsid w:val="000E6CB2"/>
    <w:rsid w:val="000E7554"/>
    <w:rsid w:val="000E7B50"/>
    <w:rsid w:val="000F07C7"/>
    <w:rsid w:val="000F0873"/>
    <w:rsid w:val="000F0E3B"/>
    <w:rsid w:val="000F2666"/>
    <w:rsid w:val="000F2795"/>
    <w:rsid w:val="000F321E"/>
    <w:rsid w:val="000F38B7"/>
    <w:rsid w:val="000F3E73"/>
    <w:rsid w:val="000F6051"/>
    <w:rsid w:val="000F732D"/>
    <w:rsid w:val="000F75DC"/>
    <w:rsid w:val="00101F3C"/>
    <w:rsid w:val="00102036"/>
    <w:rsid w:val="00102B51"/>
    <w:rsid w:val="00103722"/>
    <w:rsid w:val="00104176"/>
    <w:rsid w:val="00106203"/>
    <w:rsid w:val="001100E2"/>
    <w:rsid w:val="00110B17"/>
    <w:rsid w:val="0011242D"/>
    <w:rsid w:val="00113687"/>
    <w:rsid w:val="0011378B"/>
    <w:rsid w:val="00114685"/>
    <w:rsid w:val="00114A6A"/>
    <w:rsid w:val="00115136"/>
    <w:rsid w:val="00120B85"/>
    <w:rsid w:val="001221BD"/>
    <w:rsid w:val="001231C4"/>
    <w:rsid w:val="0012714E"/>
    <w:rsid w:val="00127E80"/>
    <w:rsid w:val="00131BC3"/>
    <w:rsid w:val="00132986"/>
    <w:rsid w:val="00132A29"/>
    <w:rsid w:val="00132F27"/>
    <w:rsid w:val="001332AB"/>
    <w:rsid w:val="00133EC3"/>
    <w:rsid w:val="001357EC"/>
    <w:rsid w:val="0013685B"/>
    <w:rsid w:val="001404AB"/>
    <w:rsid w:val="001405F8"/>
    <w:rsid w:val="00140860"/>
    <w:rsid w:val="00140CEC"/>
    <w:rsid w:val="001423A9"/>
    <w:rsid w:val="001424ED"/>
    <w:rsid w:val="001429A8"/>
    <w:rsid w:val="00146E9C"/>
    <w:rsid w:val="00147A22"/>
    <w:rsid w:val="001502C5"/>
    <w:rsid w:val="00151E91"/>
    <w:rsid w:val="0015209A"/>
    <w:rsid w:val="00152BA0"/>
    <w:rsid w:val="00152D91"/>
    <w:rsid w:val="0015311A"/>
    <w:rsid w:val="001536E8"/>
    <w:rsid w:val="00153824"/>
    <w:rsid w:val="001540A4"/>
    <w:rsid w:val="00154831"/>
    <w:rsid w:val="00155078"/>
    <w:rsid w:val="001552E6"/>
    <w:rsid w:val="00155586"/>
    <w:rsid w:val="00155A2D"/>
    <w:rsid w:val="001562A9"/>
    <w:rsid w:val="00156455"/>
    <w:rsid w:val="001565D4"/>
    <w:rsid w:val="00156D22"/>
    <w:rsid w:val="0016168B"/>
    <w:rsid w:val="00162290"/>
    <w:rsid w:val="00163C55"/>
    <w:rsid w:val="00164AF6"/>
    <w:rsid w:val="0016505A"/>
    <w:rsid w:val="00166227"/>
    <w:rsid w:val="00166A73"/>
    <w:rsid w:val="00167135"/>
    <w:rsid w:val="00171C4B"/>
    <w:rsid w:val="00171ED8"/>
    <w:rsid w:val="00172BD8"/>
    <w:rsid w:val="00173A2C"/>
    <w:rsid w:val="00175C77"/>
    <w:rsid w:val="00176A3C"/>
    <w:rsid w:val="00177CE3"/>
    <w:rsid w:val="00180218"/>
    <w:rsid w:val="001809F9"/>
    <w:rsid w:val="001813DF"/>
    <w:rsid w:val="001816AC"/>
    <w:rsid w:val="00181DCA"/>
    <w:rsid w:val="00182BAD"/>
    <w:rsid w:val="0018353F"/>
    <w:rsid w:val="001835C1"/>
    <w:rsid w:val="0018389C"/>
    <w:rsid w:val="00184557"/>
    <w:rsid w:val="00184957"/>
    <w:rsid w:val="00185C05"/>
    <w:rsid w:val="00185F14"/>
    <w:rsid w:val="00186793"/>
    <w:rsid w:val="00186E3C"/>
    <w:rsid w:val="00186F28"/>
    <w:rsid w:val="001900B4"/>
    <w:rsid w:val="00190BC8"/>
    <w:rsid w:val="00191D57"/>
    <w:rsid w:val="001935C9"/>
    <w:rsid w:val="00194779"/>
    <w:rsid w:val="00196994"/>
    <w:rsid w:val="00196B6D"/>
    <w:rsid w:val="00196E67"/>
    <w:rsid w:val="001A20FF"/>
    <w:rsid w:val="001A2957"/>
    <w:rsid w:val="001A2C64"/>
    <w:rsid w:val="001A3637"/>
    <w:rsid w:val="001A54BE"/>
    <w:rsid w:val="001A70CF"/>
    <w:rsid w:val="001A7230"/>
    <w:rsid w:val="001A7508"/>
    <w:rsid w:val="001B008E"/>
    <w:rsid w:val="001B0FFF"/>
    <w:rsid w:val="001B171A"/>
    <w:rsid w:val="001B2331"/>
    <w:rsid w:val="001B292E"/>
    <w:rsid w:val="001B3661"/>
    <w:rsid w:val="001B3B87"/>
    <w:rsid w:val="001B4938"/>
    <w:rsid w:val="001B4C1B"/>
    <w:rsid w:val="001B4EFE"/>
    <w:rsid w:val="001B6488"/>
    <w:rsid w:val="001B7BDE"/>
    <w:rsid w:val="001C04F6"/>
    <w:rsid w:val="001C0896"/>
    <w:rsid w:val="001C14D7"/>
    <w:rsid w:val="001C3FCC"/>
    <w:rsid w:val="001C4BC9"/>
    <w:rsid w:val="001C537B"/>
    <w:rsid w:val="001C66E0"/>
    <w:rsid w:val="001C67EC"/>
    <w:rsid w:val="001D1547"/>
    <w:rsid w:val="001D237A"/>
    <w:rsid w:val="001D2844"/>
    <w:rsid w:val="001D3FCE"/>
    <w:rsid w:val="001D4481"/>
    <w:rsid w:val="001D5586"/>
    <w:rsid w:val="001D636F"/>
    <w:rsid w:val="001D6EA7"/>
    <w:rsid w:val="001D7687"/>
    <w:rsid w:val="001D7CD4"/>
    <w:rsid w:val="001E084B"/>
    <w:rsid w:val="001E098D"/>
    <w:rsid w:val="001E1206"/>
    <w:rsid w:val="001E2B72"/>
    <w:rsid w:val="001E2C26"/>
    <w:rsid w:val="001E4E0B"/>
    <w:rsid w:val="001E62A5"/>
    <w:rsid w:val="001F0384"/>
    <w:rsid w:val="001F0448"/>
    <w:rsid w:val="001F4DD2"/>
    <w:rsid w:val="001F4F46"/>
    <w:rsid w:val="001F56C5"/>
    <w:rsid w:val="001F6211"/>
    <w:rsid w:val="00200297"/>
    <w:rsid w:val="002003C4"/>
    <w:rsid w:val="00204893"/>
    <w:rsid w:val="0020549A"/>
    <w:rsid w:val="00206721"/>
    <w:rsid w:val="00206EC3"/>
    <w:rsid w:val="00213846"/>
    <w:rsid w:val="00213C6C"/>
    <w:rsid w:val="00213F9C"/>
    <w:rsid w:val="00214354"/>
    <w:rsid w:val="00214B91"/>
    <w:rsid w:val="00215EB8"/>
    <w:rsid w:val="002164DA"/>
    <w:rsid w:val="0021730D"/>
    <w:rsid w:val="00217C61"/>
    <w:rsid w:val="00220B40"/>
    <w:rsid w:val="00220B88"/>
    <w:rsid w:val="00221A10"/>
    <w:rsid w:val="0022205F"/>
    <w:rsid w:val="00222136"/>
    <w:rsid w:val="002236E6"/>
    <w:rsid w:val="00223868"/>
    <w:rsid w:val="00224B43"/>
    <w:rsid w:val="0022520B"/>
    <w:rsid w:val="00230CE1"/>
    <w:rsid w:val="00230D3F"/>
    <w:rsid w:val="00233789"/>
    <w:rsid w:val="00234224"/>
    <w:rsid w:val="002344B3"/>
    <w:rsid w:val="00234C4E"/>
    <w:rsid w:val="00234DF1"/>
    <w:rsid w:val="00235923"/>
    <w:rsid w:val="00235D1D"/>
    <w:rsid w:val="00236B89"/>
    <w:rsid w:val="00240A18"/>
    <w:rsid w:val="00241A8D"/>
    <w:rsid w:val="00241F8F"/>
    <w:rsid w:val="002423C8"/>
    <w:rsid w:val="002425A7"/>
    <w:rsid w:val="002427EE"/>
    <w:rsid w:val="002437DE"/>
    <w:rsid w:val="00243B3E"/>
    <w:rsid w:val="002440CA"/>
    <w:rsid w:val="00244F65"/>
    <w:rsid w:val="00245056"/>
    <w:rsid w:val="00247359"/>
    <w:rsid w:val="00247A2D"/>
    <w:rsid w:val="00250DB8"/>
    <w:rsid w:val="00251496"/>
    <w:rsid w:val="00251762"/>
    <w:rsid w:val="00253154"/>
    <w:rsid w:val="00253324"/>
    <w:rsid w:val="002535C1"/>
    <w:rsid w:val="00254BE6"/>
    <w:rsid w:val="0025576F"/>
    <w:rsid w:val="002566BF"/>
    <w:rsid w:val="00260668"/>
    <w:rsid w:val="00261867"/>
    <w:rsid w:val="00262911"/>
    <w:rsid w:val="00262C24"/>
    <w:rsid w:val="00263BDB"/>
    <w:rsid w:val="00263CFF"/>
    <w:rsid w:val="00263DD5"/>
    <w:rsid w:val="00265122"/>
    <w:rsid w:val="0026544A"/>
    <w:rsid w:val="00266E26"/>
    <w:rsid w:val="00271236"/>
    <w:rsid w:val="0027277B"/>
    <w:rsid w:val="00272975"/>
    <w:rsid w:val="002730F5"/>
    <w:rsid w:val="002737EA"/>
    <w:rsid w:val="00273B8A"/>
    <w:rsid w:val="00274F01"/>
    <w:rsid w:val="0028193F"/>
    <w:rsid w:val="00281B03"/>
    <w:rsid w:val="00282286"/>
    <w:rsid w:val="00282FAA"/>
    <w:rsid w:val="00283A16"/>
    <w:rsid w:val="00284790"/>
    <w:rsid w:val="00284AD9"/>
    <w:rsid w:val="00286320"/>
    <w:rsid w:val="00286DCA"/>
    <w:rsid w:val="002875A5"/>
    <w:rsid w:val="002904AB"/>
    <w:rsid w:val="002906EA"/>
    <w:rsid w:val="0029172A"/>
    <w:rsid w:val="00291CB7"/>
    <w:rsid w:val="00291D26"/>
    <w:rsid w:val="00292EDF"/>
    <w:rsid w:val="00293002"/>
    <w:rsid w:val="002945B6"/>
    <w:rsid w:val="00294DEE"/>
    <w:rsid w:val="002971CB"/>
    <w:rsid w:val="00297C3F"/>
    <w:rsid w:val="002A0ECF"/>
    <w:rsid w:val="002A1021"/>
    <w:rsid w:val="002A13D7"/>
    <w:rsid w:val="002A1644"/>
    <w:rsid w:val="002A2679"/>
    <w:rsid w:val="002A32D2"/>
    <w:rsid w:val="002A365C"/>
    <w:rsid w:val="002A3F4A"/>
    <w:rsid w:val="002A5374"/>
    <w:rsid w:val="002A5378"/>
    <w:rsid w:val="002A5E55"/>
    <w:rsid w:val="002A6C2E"/>
    <w:rsid w:val="002A766D"/>
    <w:rsid w:val="002A7E53"/>
    <w:rsid w:val="002B0C7B"/>
    <w:rsid w:val="002B1FF1"/>
    <w:rsid w:val="002B2BF8"/>
    <w:rsid w:val="002B2C9F"/>
    <w:rsid w:val="002B3574"/>
    <w:rsid w:val="002B3C68"/>
    <w:rsid w:val="002B42AE"/>
    <w:rsid w:val="002B5312"/>
    <w:rsid w:val="002B75DD"/>
    <w:rsid w:val="002C01B0"/>
    <w:rsid w:val="002C139D"/>
    <w:rsid w:val="002C22A7"/>
    <w:rsid w:val="002C2B2C"/>
    <w:rsid w:val="002C2DF9"/>
    <w:rsid w:val="002C3F4A"/>
    <w:rsid w:val="002C4FAF"/>
    <w:rsid w:val="002C580A"/>
    <w:rsid w:val="002C5812"/>
    <w:rsid w:val="002C5D4C"/>
    <w:rsid w:val="002C5F0C"/>
    <w:rsid w:val="002C6424"/>
    <w:rsid w:val="002C7B22"/>
    <w:rsid w:val="002D07DB"/>
    <w:rsid w:val="002D15AD"/>
    <w:rsid w:val="002D1A2F"/>
    <w:rsid w:val="002D26D3"/>
    <w:rsid w:val="002D2DB4"/>
    <w:rsid w:val="002D3E65"/>
    <w:rsid w:val="002E0CF1"/>
    <w:rsid w:val="002E10B4"/>
    <w:rsid w:val="002E12E9"/>
    <w:rsid w:val="002E3397"/>
    <w:rsid w:val="002E46F0"/>
    <w:rsid w:val="002E6C12"/>
    <w:rsid w:val="002E7393"/>
    <w:rsid w:val="002E7F47"/>
    <w:rsid w:val="002E7FA9"/>
    <w:rsid w:val="002F0A52"/>
    <w:rsid w:val="002F0B01"/>
    <w:rsid w:val="002F161A"/>
    <w:rsid w:val="002F21C3"/>
    <w:rsid w:val="002F494D"/>
    <w:rsid w:val="002F5EEA"/>
    <w:rsid w:val="002F6593"/>
    <w:rsid w:val="002F744D"/>
    <w:rsid w:val="00301DF4"/>
    <w:rsid w:val="0030337F"/>
    <w:rsid w:val="00305CE1"/>
    <w:rsid w:val="00305E5C"/>
    <w:rsid w:val="00305FCD"/>
    <w:rsid w:val="00306224"/>
    <w:rsid w:val="003064F6"/>
    <w:rsid w:val="00307CB7"/>
    <w:rsid w:val="00307E17"/>
    <w:rsid w:val="0031011B"/>
    <w:rsid w:val="0031104F"/>
    <w:rsid w:val="00311180"/>
    <w:rsid w:val="00311188"/>
    <w:rsid w:val="003151F3"/>
    <w:rsid w:val="0031589D"/>
    <w:rsid w:val="00315BF9"/>
    <w:rsid w:val="00317108"/>
    <w:rsid w:val="00320283"/>
    <w:rsid w:val="0032045B"/>
    <w:rsid w:val="0032049D"/>
    <w:rsid w:val="003210B2"/>
    <w:rsid w:val="00322878"/>
    <w:rsid w:val="0032287E"/>
    <w:rsid w:val="00322A6F"/>
    <w:rsid w:val="0032348E"/>
    <w:rsid w:val="00323E7A"/>
    <w:rsid w:val="00324DD1"/>
    <w:rsid w:val="0032526A"/>
    <w:rsid w:val="00326B73"/>
    <w:rsid w:val="00326DD4"/>
    <w:rsid w:val="00327892"/>
    <w:rsid w:val="00330082"/>
    <w:rsid w:val="00331A7E"/>
    <w:rsid w:val="00332A69"/>
    <w:rsid w:val="00333493"/>
    <w:rsid w:val="00336806"/>
    <w:rsid w:val="003375C6"/>
    <w:rsid w:val="0034104A"/>
    <w:rsid w:val="00341590"/>
    <w:rsid w:val="00341A1E"/>
    <w:rsid w:val="003424A7"/>
    <w:rsid w:val="00343583"/>
    <w:rsid w:val="00343B77"/>
    <w:rsid w:val="003455F6"/>
    <w:rsid w:val="00345C86"/>
    <w:rsid w:val="00347203"/>
    <w:rsid w:val="00350457"/>
    <w:rsid w:val="003504F5"/>
    <w:rsid w:val="00351C30"/>
    <w:rsid w:val="00352699"/>
    <w:rsid w:val="00352AEF"/>
    <w:rsid w:val="00357314"/>
    <w:rsid w:val="00357F40"/>
    <w:rsid w:val="003657F0"/>
    <w:rsid w:val="00365C3F"/>
    <w:rsid w:val="003711D2"/>
    <w:rsid w:val="003724DE"/>
    <w:rsid w:val="00372C06"/>
    <w:rsid w:val="00373032"/>
    <w:rsid w:val="0037422E"/>
    <w:rsid w:val="00375999"/>
    <w:rsid w:val="00376379"/>
    <w:rsid w:val="00376B32"/>
    <w:rsid w:val="00376DC1"/>
    <w:rsid w:val="00377C0F"/>
    <w:rsid w:val="0038265E"/>
    <w:rsid w:val="00382790"/>
    <w:rsid w:val="0038441B"/>
    <w:rsid w:val="00384BC8"/>
    <w:rsid w:val="00387265"/>
    <w:rsid w:val="00390540"/>
    <w:rsid w:val="00391CCF"/>
    <w:rsid w:val="00392351"/>
    <w:rsid w:val="00394005"/>
    <w:rsid w:val="00395634"/>
    <w:rsid w:val="0039634D"/>
    <w:rsid w:val="003A25D4"/>
    <w:rsid w:val="003A26D5"/>
    <w:rsid w:val="003A2C6C"/>
    <w:rsid w:val="003A5342"/>
    <w:rsid w:val="003A78E1"/>
    <w:rsid w:val="003B0E4C"/>
    <w:rsid w:val="003B2017"/>
    <w:rsid w:val="003B2661"/>
    <w:rsid w:val="003B34A1"/>
    <w:rsid w:val="003B3FDC"/>
    <w:rsid w:val="003B402C"/>
    <w:rsid w:val="003B4576"/>
    <w:rsid w:val="003B534E"/>
    <w:rsid w:val="003B5B22"/>
    <w:rsid w:val="003B5D42"/>
    <w:rsid w:val="003B6C16"/>
    <w:rsid w:val="003C0FBB"/>
    <w:rsid w:val="003C1661"/>
    <w:rsid w:val="003C2C8B"/>
    <w:rsid w:val="003C35F4"/>
    <w:rsid w:val="003C423C"/>
    <w:rsid w:val="003C4886"/>
    <w:rsid w:val="003C4D82"/>
    <w:rsid w:val="003C4DEE"/>
    <w:rsid w:val="003C4FA1"/>
    <w:rsid w:val="003C565F"/>
    <w:rsid w:val="003C6159"/>
    <w:rsid w:val="003D21F6"/>
    <w:rsid w:val="003D4616"/>
    <w:rsid w:val="003D4F70"/>
    <w:rsid w:val="003D5532"/>
    <w:rsid w:val="003D624C"/>
    <w:rsid w:val="003D6281"/>
    <w:rsid w:val="003E1675"/>
    <w:rsid w:val="003E1B08"/>
    <w:rsid w:val="003E2E13"/>
    <w:rsid w:val="003E2E93"/>
    <w:rsid w:val="003E464D"/>
    <w:rsid w:val="003E7532"/>
    <w:rsid w:val="003E7E7B"/>
    <w:rsid w:val="003F09EB"/>
    <w:rsid w:val="003F0F40"/>
    <w:rsid w:val="003F163F"/>
    <w:rsid w:val="003F2231"/>
    <w:rsid w:val="003F3185"/>
    <w:rsid w:val="003F332A"/>
    <w:rsid w:val="003F3CC3"/>
    <w:rsid w:val="003F3E62"/>
    <w:rsid w:val="003F5256"/>
    <w:rsid w:val="003F72FB"/>
    <w:rsid w:val="003F7338"/>
    <w:rsid w:val="003F7D93"/>
    <w:rsid w:val="00401B00"/>
    <w:rsid w:val="00401F67"/>
    <w:rsid w:val="004051FA"/>
    <w:rsid w:val="00407096"/>
    <w:rsid w:val="004070D6"/>
    <w:rsid w:val="0041033D"/>
    <w:rsid w:val="00411D2E"/>
    <w:rsid w:val="00412210"/>
    <w:rsid w:val="00413DF2"/>
    <w:rsid w:val="00413F43"/>
    <w:rsid w:val="00414104"/>
    <w:rsid w:val="00415E3E"/>
    <w:rsid w:val="00416276"/>
    <w:rsid w:val="00416D92"/>
    <w:rsid w:val="004170A5"/>
    <w:rsid w:val="00417251"/>
    <w:rsid w:val="004173B6"/>
    <w:rsid w:val="0042068A"/>
    <w:rsid w:val="00420D55"/>
    <w:rsid w:val="004212F0"/>
    <w:rsid w:val="00421306"/>
    <w:rsid w:val="0042260B"/>
    <w:rsid w:val="004228FB"/>
    <w:rsid w:val="00423143"/>
    <w:rsid w:val="00424584"/>
    <w:rsid w:val="004253F3"/>
    <w:rsid w:val="0042568F"/>
    <w:rsid w:val="004262FF"/>
    <w:rsid w:val="00430333"/>
    <w:rsid w:val="0043087C"/>
    <w:rsid w:val="00430FE1"/>
    <w:rsid w:val="00431BF2"/>
    <w:rsid w:val="00433C6E"/>
    <w:rsid w:val="00434FA6"/>
    <w:rsid w:val="00440E8C"/>
    <w:rsid w:val="00441F4E"/>
    <w:rsid w:val="00442345"/>
    <w:rsid w:val="004429FD"/>
    <w:rsid w:val="004431CA"/>
    <w:rsid w:val="00447F10"/>
    <w:rsid w:val="004506B8"/>
    <w:rsid w:val="004506DE"/>
    <w:rsid w:val="00451C6E"/>
    <w:rsid w:val="0045229B"/>
    <w:rsid w:val="00452A59"/>
    <w:rsid w:val="004533D4"/>
    <w:rsid w:val="0045344A"/>
    <w:rsid w:val="0045422B"/>
    <w:rsid w:val="0045487D"/>
    <w:rsid w:val="0045516A"/>
    <w:rsid w:val="004553BB"/>
    <w:rsid w:val="00455D84"/>
    <w:rsid w:val="004600E1"/>
    <w:rsid w:val="00460CBF"/>
    <w:rsid w:val="004629FE"/>
    <w:rsid w:val="00462A47"/>
    <w:rsid w:val="00463192"/>
    <w:rsid w:val="00463BF6"/>
    <w:rsid w:val="00464052"/>
    <w:rsid w:val="004643ED"/>
    <w:rsid w:val="00467B39"/>
    <w:rsid w:val="00470A0F"/>
    <w:rsid w:val="004724EA"/>
    <w:rsid w:val="00472B5B"/>
    <w:rsid w:val="0047683B"/>
    <w:rsid w:val="004773CD"/>
    <w:rsid w:val="00477731"/>
    <w:rsid w:val="004806C4"/>
    <w:rsid w:val="00483C5A"/>
    <w:rsid w:val="00484E82"/>
    <w:rsid w:val="00485482"/>
    <w:rsid w:val="0048637A"/>
    <w:rsid w:val="00487E72"/>
    <w:rsid w:val="00487FB4"/>
    <w:rsid w:val="00490B71"/>
    <w:rsid w:val="00493EDA"/>
    <w:rsid w:val="00496014"/>
    <w:rsid w:val="00497068"/>
    <w:rsid w:val="004A09CB"/>
    <w:rsid w:val="004A11D4"/>
    <w:rsid w:val="004A13D3"/>
    <w:rsid w:val="004A1B58"/>
    <w:rsid w:val="004A1E6F"/>
    <w:rsid w:val="004A31A3"/>
    <w:rsid w:val="004A42C2"/>
    <w:rsid w:val="004A7423"/>
    <w:rsid w:val="004A7EEF"/>
    <w:rsid w:val="004A7F65"/>
    <w:rsid w:val="004B0B4B"/>
    <w:rsid w:val="004B1208"/>
    <w:rsid w:val="004B1495"/>
    <w:rsid w:val="004B209C"/>
    <w:rsid w:val="004B24E9"/>
    <w:rsid w:val="004B24ED"/>
    <w:rsid w:val="004B2668"/>
    <w:rsid w:val="004B363B"/>
    <w:rsid w:val="004B388D"/>
    <w:rsid w:val="004B3F26"/>
    <w:rsid w:val="004B51C2"/>
    <w:rsid w:val="004B5BB7"/>
    <w:rsid w:val="004C06F4"/>
    <w:rsid w:val="004C1A1C"/>
    <w:rsid w:val="004C1A2A"/>
    <w:rsid w:val="004C2086"/>
    <w:rsid w:val="004C2A67"/>
    <w:rsid w:val="004C4A89"/>
    <w:rsid w:val="004C4FB0"/>
    <w:rsid w:val="004C7D00"/>
    <w:rsid w:val="004D2190"/>
    <w:rsid w:val="004D2AFE"/>
    <w:rsid w:val="004D301E"/>
    <w:rsid w:val="004D3364"/>
    <w:rsid w:val="004D3C49"/>
    <w:rsid w:val="004D44DB"/>
    <w:rsid w:val="004D48F4"/>
    <w:rsid w:val="004D4D54"/>
    <w:rsid w:val="004D6335"/>
    <w:rsid w:val="004D7144"/>
    <w:rsid w:val="004E01CE"/>
    <w:rsid w:val="004E028B"/>
    <w:rsid w:val="004E2760"/>
    <w:rsid w:val="004E440C"/>
    <w:rsid w:val="004E4684"/>
    <w:rsid w:val="004E72FA"/>
    <w:rsid w:val="004E76FA"/>
    <w:rsid w:val="004E7D5E"/>
    <w:rsid w:val="004F0219"/>
    <w:rsid w:val="004F0C72"/>
    <w:rsid w:val="004F100E"/>
    <w:rsid w:val="004F1F42"/>
    <w:rsid w:val="004F4474"/>
    <w:rsid w:val="004F4D0D"/>
    <w:rsid w:val="004F4EC4"/>
    <w:rsid w:val="004F6357"/>
    <w:rsid w:val="004F6DDF"/>
    <w:rsid w:val="004F7CB9"/>
    <w:rsid w:val="00500531"/>
    <w:rsid w:val="005018B0"/>
    <w:rsid w:val="0050262E"/>
    <w:rsid w:val="00502B74"/>
    <w:rsid w:val="00502C72"/>
    <w:rsid w:val="00502E77"/>
    <w:rsid w:val="005033C2"/>
    <w:rsid w:val="0050356F"/>
    <w:rsid w:val="005035F2"/>
    <w:rsid w:val="0050431C"/>
    <w:rsid w:val="00504C9F"/>
    <w:rsid w:val="00505043"/>
    <w:rsid w:val="005071A9"/>
    <w:rsid w:val="00510B2E"/>
    <w:rsid w:val="00510B81"/>
    <w:rsid w:val="00511690"/>
    <w:rsid w:val="00511814"/>
    <w:rsid w:val="00512763"/>
    <w:rsid w:val="00515C7E"/>
    <w:rsid w:val="0052199A"/>
    <w:rsid w:val="00523ECC"/>
    <w:rsid w:val="00524E51"/>
    <w:rsid w:val="0052548C"/>
    <w:rsid w:val="00526582"/>
    <w:rsid w:val="00527311"/>
    <w:rsid w:val="00527D71"/>
    <w:rsid w:val="00530287"/>
    <w:rsid w:val="0053080A"/>
    <w:rsid w:val="005321AC"/>
    <w:rsid w:val="005326A9"/>
    <w:rsid w:val="00534A36"/>
    <w:rsid w:val="00536DCE"/>
    <w:rsid w:val="00537378"/>
    <w:rsid w:val="00537569"/>
    <w:rsid w:val="00537FB2"/>
    <w:rsid w:val="00541E92"/>
    <w:rsid w:val="005420B6"/>
    <w:rsid w:val="00544FB2"/>
    <w:rsid w:val="005453F2"/>
    <w:rsid w:val="00547A17"/>
    <w:rsid w:val="005522B0"/>
    <w:rsid w:val="00552CA0"/>
    <w:rsid w:val="00554C89"/>
    <w:rsid w:val="00557BF1"/>
    <w:rsid w:val="0056035A"/>
    <w:rsid w:val="00561794"/>
    <w:rsid w:val="00562A14"/>
    <w:rsid w:val="0056343F"/>
    <w:rsid w:val="005637CA"/>
    <w:rsid w:val="00563C51"/>
    <w:rsid w:val="005701A3"/>
    <w:rsid w:val="00570801"/>
    <w:rsid w:val="0057428F"/>
    <w:rsid w:val="0057436D"/>
    <w:rsid w:val="00577C7D"/>
    <w:rsid w:val="00577C89"/>
    <w:rsid w:val="00580600"/>
    <w:rsid w:val="005818FC"/>
    <w:rsid w:val="00583B9C"/>
    <w:rsid w:val="0058522D"/>
    <w:rsid w:val="00585F9E"/>
    <w:rsid w:val="0058610E"/>
    <w:rsid w:val="00586ECF"/>
    <w:rsid w:val="00587702"/>
    <w:rsid w:val="005917DD"/>
    <w:rsid w:val="005920FA"/>
    <w:rsid w:val="005926E8"/>
    <w:rsid w:val="005943AA"/>
    <w:rsid w:val="0059455C"/>
    <w:rsid w:val="00594591"/>
    <w:rsid w:val="0059529B"/>
    <w:rsid w:val="00595CF9"/>
    <w:rsid w:val="00596063"/>
    <w:rsid w:val="0059668A"/>
    <w:rsid w:val="00596FBB"/>
    <w:rsid w:val="005A0CBA"/>
    <w:rsid w:val="005A19CC"/>
    <w:rsid w:val="005A1EEB"/>
    <w:rsid w:val="005A1F81"/>
    <w:rsid w:val="005A2CE9"/>
    <w:rsid w:val="005A4852"/>
    <w:rsid w:val="005A5511"/>
    <w:rsid w:val="005A7D35"/>
    <w:rsid w:val="005B06E5"/>
    <w:rsid w:val="005B06E9"/>
    <w:rsid w:val="005B0D58"/>
    <w:rsid w:val="005B1317"/>
    <w:rsid w:val="005B2285"/>
    <w:rsid w:val="005B2A19"/>
    <w:rsid w:val="005B33C8"/>
    <w:rsid w:val="005B4151"/>
    <w:rsid w:val="005B4735"/>
    <w:rsid w:val="005B778A"/>
    <w:rsid w:val="005B7C71"/>
    <w:rsid w:val="005C0819"/>
    <w:rsid w:val="005C0A86"/>
    <w:rsid w:val="005C20CE"/>
    <w:rsid w:val="005C274B"/>
    <w:rsid w:val="005C3251"/>
    <w:rsid w:val="005C369F"/>
    <w:rsid w:val="005C3889"/>
    <w:rsid w:val="005C38B7"/>
    <w:rsid w:val="005C487E"/>
    <w:rsid w:val="005C4ADD"/>
    <w:rsid w:val="005C587D"/>
    <w:rsid w:val="005C6C59"/>
    <w:rsid w:val="005C7C92"/>
    <w:rsid w:val="005C7D12"/>
    <w:rsid w:val="005C7E74"/>
    <w:rsid w:val="005D07ED"/>
    <w:rsid w:val="005D4821"/>
    <w:rsid w:val="005D4AA3"/>
    <w:rsid w:val="005D5995"/>
    <w:rsid w:val="005D62F7"/>
    <w:rsid w:val="005D6848"/>
    <w:rsid w:val="005E0D95"/>
    <w:rsid w:val="005E1FD7"/>
    <w:rsid w:val="005E226A"/>
    <w:rsid w:val="005E31F6"/>
    <w:rsid w:val="005E452D"/>
    <w:rsid w:val="005E515E"/>
    <w:rsid w:val="005E57FE"/>
    <w:rsid w:val="005E586D"/>
    <w:rsid w:val="005E5CDF"/>
    <w:rsid w:val="005E5D6F"/>
    <w:rsid w:val="005E76C9"/>
    <w:rsid w:val="005F09D8"/>
    <w:rsid w:val="005F0BD2"/>
    <w:rsid w:val="005F11E4"/>
    <w:rsid w:val="005F1436"/>
    <w:rsid w:val="005F2757"/>
    <w:rsid w:val="005F3015"/>
    <w:rsid w:val="005F3816"/>
    <w:rsid w:val="005F3DC2"/>
    <w:rsid w:val="005F4495"/>
    <w:rsid w:val="005F4DD6"/>
    <w:rsid w:val="005F72DA"/>
    <w:rsid w:val="005F7878"/>
    <w:rsid w:val="006004A7"/>
    <w:rsid w:val="00600847"/>
    <w:rsid w:val="006017A4"/>
    <w:rsid w:val="00602B6E"/>
    <w:rsid w:val="006040C4"/>
    <w:rsid w:val="00606051"/>
    <w:rsid w:val="006061C6"/>
    <w:rsid w:val="00607167"/>
    <w:rsid w:val="00607E5D"/>
    <w:rsid w:val="00610281"/>
    <w:rsid w:val="006128E2"/>
    <w:rsid w:val="0061312D"/>
    <w:rsid w:val="0061411F"/>
    <w:rsid w:val="0061484F"/>
    <w:rsid w:val="0061500C"/>
    <w:rsid w:val="00617489"/>
    <w:rsid w:val="00617DF4"/>
    <w:rsid w:val="0062187A"/>
    <w:rsid w:val="00621B4B"/>
    <w:rsid w:val="00624408"/>
    <w:rsid w:val="006246BA"/>
    <w:rsid w:val="00624EF3"/>
    <w:rsid w:val="006256A7"/>
    <w:rsid w:val="00625ECB"/>
    <w:rsid w:val="00627A0C"/>
    <w:rsid w:val="00627CFA"/>
    <w:rsid w:val="006300F7"/>
    <w:rsid w:val="00632558"/>
    <w:rsid w:val="00632645"/>
    <w:rsid w:val="00632D51"/>
    <w:rsid w:val="0063391D"/>
    <w:rsid w:val="00633A11"/>
    <w:rsid w:val="00634259"/>
    <w:rsid w:val="00634326"/>
    <w:rsid w:val="006347DC"/>
    <w:rsid w:val="00637195"/>
    <w:rsid w:val="0063742E"/>
    <w:rsid w:val="00637CA9"/>
    <w:rsid w:val="00640A5E"/>
    <w:rsid w:val="0064104C"/>
    <w:rsid w:val="00644A55"/>
    <w:rsid w:val="00645156"/>
    <w:rsid w:val="006451B0"/>
    <w:rsid w:val="00646F1E"/>
    <w:rsid w:val="006476A0"/>
    <w:rsid w:val="00647DED"/>
    <w:rsid w:val="00651D41"/>
    <w:rsid w:val="006527D7"/>
    <w:rsid w:val="0065368C"/>
    <w:rsid w:val="00654123"/>
    <w:rsid w:val="00654151"/>
    <w:rsid w:val="0065415E"/>
    <w:rsid w:val="006544C5"/>
    <w:rsid w:val="006547D1"/>
    <w:rsid w:val="00654A98"/>
    <w:rsid w:val="00656CE9"/>
    <w:rsid w:val="00657511"/>
    <w:rsid w:val="006600A8"/>
    <w:rsid w:val="00660677"/>
    <w:rsid w:val="00660FD2"/>
    <w:rsid w:val="00661402"/>
    <w:rsid w:val="006620DF"/>
    <w:rsid w:val="00662B07"/>
    <w:rsid w:val="00663D01"/>
    <w:rsid w:val="00664585"/>
    <w:rsid w:val="0066509F"/>
    <w:rsid w:val="00665C27"/>
    <w:rsid w:val="00666C9A"/>
    <w:rsid w:val="0066768A"/>
    <w:rsid w:val="00671E15"/>
    <w:rsid w:val="006721D5"/>
    <w:rsid w:val="006729B3"/>
    <w:rsid w:val="00676638"/>
    <w:rsid w:val="00676E42"/>
    <w:rsid w:val="0067709E"/>
    <w:rsid w:val="006779FC"/>
    <w:rsid w:val="00680BEB"/>
    <w:rsid w:val="00680D78"/>
    <w:rsid w:val="006834B7"/>
    <w:rsid w:val="00683A8A"/>
    <w:rsid w:val="006848A2"/>
    <w:rsid w:val="006853D4"/>
    <w:rsid w:val="00685848"/>
    <w:rsid w:val="00685C75"/>
    <w:rsid w:val="00686C52"/>
    <w:rsid w:val="00686DD3"/>
    <w:rsid w:val="0069040D"/>
    <w:rsid w:val="0069376C"/>
    <w:rsid w:val="00696D05"/>
    <w:rsid w:val="00696F5B"/>
    <w:rsid w:val="006A09DA"/>
    <w:rsid w:val="006A2EF9"/>
    <w:rsid w:val="006A3779"/>
    <w:rsid w:val="006A4103"/>
    <w:rsid w:val="006A4CA2"/>
    <w:rsid w:val="006A5CAA"/>
    <w:rsid w:val="006A6C28"/>
    <w:rsid w:val="006A7BAC"/>
    <w:rsid w:val="006B0C93"/>
    <w:rsid w:val="006B0DFA"/>
    <w:rsid w:val="006B331A"/>
    <w:rsid w:val="006B7772"/>
    <w:rsid w:val="006C0035"/>
    <w:rsid w:val="006C1562"/>
    <w:rsid w:val="006C2FE1"/>
    <w:rsid w:val="006C45E4"/>
    <w:rsid w:val="006C5B06"/>
    <w:rsid w:val="006C79E1"/>
    <w:rsid w:val="006C7E2D"/>
    <w:rsid w:val="006D128C"/>
    <w:rsid w:val="006D17F7"/>
    <w:rsid w:val="006D1EB0"/>
    <w:rsid w:val="006D5E64"/>
    <w:rsid w:val="006D6210"/>
    <w:rsid w:val="006D65E1"/>
    <w:rsid w:val="006D72B9"/>
    <w:rsid w:val="006D7BA8"/>
    <w:rsid w:val="006E08F7"/>
    <w:rsid w:val="006E1298"/>
    <w:rsid w:val="006E1D24"/>
    <w:rsid w:val="006E1F5B"/>
    <w:rsid w:val="006E26F9"/>
    <w:rsid w:val="006E2BEC"/>
    <w:rsid w:val="006E5B84"/>
    <w:rsid w:val="006E727F"/>
    <w:rsid w:val="006F06D3"/>
    <w:rsid w:val="006F1C57"/>
    <w:rsid w:val="006F1E88"/>
    <w:rsid w:val="006F42B4"/>
    <w:rsid w:val="006F68BF"/>
    <w:rsid w:val="006F7C62"/>
    <w:rsid w:val="00700281"/>
    <w:rsid w:val="00700BB0"/>
    <w:rsid w:val="007015E6"/>
    <w:rsid w:val="007033C8"/>
    <w:rsid w:val="0070468C"/>
    <w:rsid w:val="00705454"/>
    <w:rsid w:val="0070680E"/>
    <w:rsid w:val="007077BD"/>
    <w:rsid w:val="00707E38"/>
    <w:rsid w:val="00710436"/>
    <w:rsid w:val="00710726"/>
    <w:rsid w:val="007108B0"/>
    <w:rsid w:val="0071103F"/>
    <w:rsid w:val="007126BF"/>
    <w:rsid w:val="00714361"/>
    <w:rsid w:val="00715242"/>
    <w:rsid w:val="00715DF1"/>
    <w:rsid w:val="00717C2D"/>
    <w:rsid w:val="00720C0D"/>
    <w:rsid w:val="00721532"/>
    <w:rsid w:val="00721A83"/>
    <w:rsid w:val="007223D4"/>
    <w:rsid w:val="00723ECC"/>
    <w:rsid w:val="00723F5A"/>
    <w:rsid w:val="007252DB"/>
    <w:rsid w:val="00725537"/>
    <w:rsid w:val="007257B9"/>
    <w:rsid w:val="00726678"/>
    <w:rsid w:val="00727C1F"/>
    <w:rsid w:val="00730FD8"/>
    <w:rsid w:val="007311F5"/>
    <w:rsid w:val="0073173E"/>
    <w:rsid w:val="0073541F"/>
    <w:rsid w:val="00736B11"/>
    <w:rsid w:val="007378E6"/>
    <w:rsid w:val="00740DEB"/>
    <w:rsid w:val="00742097"/>
    <w:rsid w:val="007438B3"/>
    <w:rsid w:val="00745296"/>
    <w:rsid w:val="00745617"/>
    <w:rsid w:val="007461E3"/>
    <w:rsid w:val="00747418"/>
    <w:rsid w:val="007506DC"/>
    <w:rsid w:val="007511B1"/>
    <w:rsid w:val="00751EC7"/>
    <w:rsid w:val="007548CC"/>
    <w:rsid w:val="0075581D"/>
    <w:rsid w:val="00757402"/>
    <w:rsid w:val="00757581"/>
    <w:rsid w:val="00760F05"/>
    <w:rsid w:val="00761D2E"/>
    <w:rsid w:val="00763C23"/>
    <w:rsid w:val="00765846"/>
    <w:rsid w:val="007664F1"/>
    <w:rsid w:val="00767006"/>
    <w:rsid w:val="00767901"/>
    <w:rsid w:val="00770498"/>
    <w:rsid w:val="00770662"/>
    <w:rsid w:val="00772C44"/>
    <w:rsid w:val="007738CB"/>
    <w:rsid w:val="00773A54"/>
    <w:rsid w:val="007743A1"/>
    <w:rsid w:val="0077516F"/>
    <w:rsid w:val="00775E2E"/>
    <w:rsid w:val="00776061"/>
    <w:rsid w:val="00776B00"/>
    <w:rsid w:val="00776BD1"/>
    <w:rsid w:val="007776CC"/>
    <w:rsid w:val="00777718"/>
    <w:rsid w:val="00780840"/>
    <w:rsid w:val="00780C20"/>
    <w:rsid w:val="00780FA6"/>
    <w:rsid w:val="00783721"/>
    <w:rsid w:val="00783B2A"/>
    <w:rsid w:val="0078642A"/>
    <w:rsid w:val="00787A2F"/>
    <w:rsid w:val="00787AB3"/>
    <w:rsid w:val="007905BF"/>
    <w:rsid w:val="00790C52"/>
    <w:rsid w:val="00790E82"/>
    <w:rsid w:val="0079337C"/>
    <w:rsid w:val="0079462E"/>
    <w:rsid w:val="007949EB"/>
    <w:rsid w:val="00797224"/>
    <w:rsid w:val="0079799F"/>
    <w:rsid w:val="007A11BC"/>
    <w:rsid w:val="007A1A5E"/>
    <w:rsid w:val="007A285D"/>
    <w:rsid w:val="007A2F5C"/>
    <w:rsid w:val="007A4A90"/>
    <w:rsid w:val="007A724D"/>
    <w:rsid w:val="007A7D65"/>
    <w:rsid w:val="007B06B8"/>
    <w:rsid w:val="007B18A7"/>
    <w:rsid w:val="007B1A27"/>
    <w:rsid w:val="007B441A"/>
    <w:rsid w:val="007B4790"/>
    <w:rsid w:val="007B4D24"/>
    <w:rsid w:val="007B6455"/>
    <w:rsid w:val="007B6A6B"/>
    <w:rsid w:val="007B72E1"/>
    <w:rsid w:val="007B7FB6"/>
    <w:rsid w:val="007C0DED"/>
    <w:rsid w:val="007C0E0E"/>
    <w:rsid w:val="007C18FD"/>
    <w:rsid w:val="007C2368"/>
    <w:rsid w:val="007C6306"/>
    <w:rsid w:val="007C6327"/>
    <w:rsid w:val="007C7025"/>
    <w:rsid w:val="007C7415"/>
    <w:rsid w:val="007D0674"/>
    <w:rsid w:val="007D27B8"/>
    <w:rsid w:val="007D2D70"/>
    <w:rsid w:val="007D32C2"/>
    <w:rsid w:val="007D3F62"/>
    <w:rsid w:val="007D4672"/>
    <w:rsid w:val="007D46E3"/>
    <w:rsid w:val="007D67F7"/>
    <w:rsid w:val="007D6952"/>
    <w:rsid w:val="007D7A5B"/>
    <w:rsid w:val="007E017F"/>
    <w:rsid w:val="007E0A63"/>
    <w:rsid w:val="007E0C2B"/>
    <w:rsid w:val="007E1A94"/>
    <w:rsid w:val="007E2A6A"/>
    <w:rsid w:val="007E2B30"/>
    <w:rsid w:val="007E2D7B"/>
    <w:rsid w:val="007E38AD"/>
    <w:rsid w:val="007E403F"/>
    <w:rsid w:val="007E4772"/>
    <w:rsid w:val="007E4ACD"/>
    <w:rsid w:val="007E5276"/>
    <w:rsid w:val="007E54EE"/>
    <w:rsid w:val="007E5B95"/>
    <w:rsid w:val="007E6842"/>
    <w:rsid w:val="007F0616"/>
    <w:rsid w:val="007F0A29"/>
    <w:rsid w:val="007F245A"/>
    <w:rsid w:val="007F3349"/>
    <w:rsid w:val="007F3C9B"/>
    <w:rsid w:val="007F4685"/>
    <w:rsid w:val="007F4E63"/>
    <w:rsid w:val="007F4FA3"/>
    <w:rsid w:val="007F5D13"/>
    <w:rsid w:val="007F641A"/>
    <w:rsid w:val="007F6471"/>
    <w:rsid w:val="00800AA3"/>
    <w:rsid w:val="0080127D"/>
    <w:rsid w:val="00801526"/>
    <w:rsid w:val="00801D09"/>
    <w:rsid w:val="008034AD"/>
    <w:rsid w:val="00803D61"/>
    <w:rsid w:val="0080599A"/>
    <w:rsid w:val="00805D3D"/>
    <w:rsid w:val="00810123"/>
    <w:rsid w:val="008116A7"/>
    <w:rsid w:val="00811BA1"/>
    <w:rsid w:val="00812053"/>
    <w:rsid w:val="008138DC"/>
    <w:rsid w:val="00813DC2"/>
    <w:rsid w:val="00816F03"/>
    <w:rsid w:val="008217A8"/>
    <w:rsid w:val="008219A6"/>
    <w:rsid w:val="008232C7"/>
    <w:rsid w:val="00823FAA"/>
    <w:rsid w:val="00824487"/>
    <w:rsid w:val="0082604B"/>
    <w:rsid w:val="008305D4"/>
    <w:rsid w:val="00830E3D"/>
    <w:rsid w:val="00832F5A"/>
    <w:rsid w:val="0083312B"/>
    <w:rsid w:val="00835160"/>
    <w:rsid w:val="00835278"/>
    <w:rsid w:val="008358A6"/>
    <w:rsid w:val="00835F17"/>
    <w:rsid w:val="00836680"/>
    <w:rsid w:val="00837052"/>
    <w:rsid w:val="008376DE"/>
    <w:rsid w:val="00837A66"/>
    <w:rsid w:val="00840A78"/>
    <w:rsid w:val="00842161"/>
    <w:rsid w:val="00845785"/>
    <w:rsid w:val="008458A1"/>
    <w:rsid w:val="00845D0A"/>
    <w:rsid w:val="0084738E"/>
    <w:rsid w:val="00847D34"/>
    <w:rsid w:val="008532E7"/>
    <w:rsid w:val="00853BC1"/>
    <w:rsid w:val="00855DCB"/>
    <w:rsid w:val="008567DD"/>
    <w:rsid w:val="008600B4"/>
    <w:rsid w:val="008612B0"/>
    <w:rsid w:val="00861FE7"/>
    <w:rsid w:val="00862159"/>
    <w:rsid w:val="00862F41"/>
    <w:rsid w:val="008643FF"/>
    <w:rsid w:val="00864E7E"/>
    <w:rsid w:val="00865EF6"/>
    <w:rsid w:val="008662F1"/>
    <w:rsid w:val="00866393"/>
    <w:rsid w:val="008667E8"/>
    <w:rsid w:val="0087070D"/>
    <w:rsid w:val="00870B13"/>
    <w:rsid w:val="00870DFC"/>
    <w:rsid w:val="00871442"/>
    <w:rsid w:val="00871FEC"/>
    <w:rsid w:val="00872130"/>
    <w:rsid w:val="00872E7F"/>
    <w:rsid w:val="00873042"/>
    <w:rsid w:val="00873618"/>
    <w:rsid w:val="008737D5"/>
    <w:rsid w:val="00874EE4"/>
    <w:rsid w:val="00875439"/>
    <w:rsid w:val="008769B7"/>
    <w:rsid w:val="00876B4F"/>
    <w:rsid w:val="0088097D"/>
    <w:rsid w:val="00880A95"/>
    <w:rsid w:val="00880B55"/>
    <w:rsid w:val="00881978"/>
    <w:rsid w:val="00881C13"/>
    <w:rsid w:val="008823B2"/>
    <w:rsid w:val="00882D43"/>
    <w:rsid w:val="008834E4"/>
    <w:rsid w:val="008867CC"/>
    <w:rsid w:val="0088685B"/>
    <w:rsid w:val="00886F9E"/>
    <w:rsid w:val="00887429"/>
    <w:rsid w:val="00887612"/>
    <w:rsid w:val="00890F52"/>
    <w:rsid w:val="008911F9"/>
    <w:rsid w:val="00891C3A"/>
    <w:rsid w:val="008923EC"/>
    <w:rsid w:val="008923FC"/>
    <w:rsid w:val="00892AB2"/>
    <w:rsid w:val="0089504D"/>
    <w:rsid w:val="00895CBE"/>
    <w:rsid w:val="00896274"/>
    <w:rsid w:val="008964C6"/>
    <w:rsid w:val="008965AD"/>
    <w:rsid w:val="00896E71"/>
    <w:rsid w:val="008A02D1"/>
    <w:rsid w:val="008A149E"/>
    <w:rsid w:val="008A5082"/>
    <w:rsid w:val="008A60F5"/>
    <w:rsid w:val="008B2EA5"/>
    <w:rsid w:val="008B31A8"/>
    <w:rsid w:val="008B3F14"/>
    <w:rsid w:val="008B459E"/>
    <w:rsid w:val="008B6E7E"/>
    <w:rsid w:val="008C06EA"/>
    <w:rsid w:val="008C17A1"/>
    <w:rsid w:val="008C1D70"/>
    <w:rsid w:val="008C1EDB"/>
    <w:rsid w:val="008C28AA"/>
    <w:rsid w:val="008C2925"/>
    <w:rsid w:val="008C42E4"/>
    <w:rsid w:val="008C43E9"/>
    <w:rsid w:val="008C46FE"/>
    <w:rsid w:val="008C4969"/>
    <w:rsid w:val="008C4C81"/>
    <w:rsid w:val="008C4D3B"/>
    <w:rsid w:val="008C567C"/>
    <w:rsid w:val="008C5E51"/>
    <w:rsid w:val="008C6175"/>
    <w:rsid w:val="008C6458"/>
    <w:rsid w:val="008C75B2"/>
    <w:rsid w:val="008D0379"/>
    <w:rsid w:val="008D2CB4"/>
    <w:rsid w:val="008D4734"/>
    <w:rsid w:val="008D498F"/>
    <w:rsid w:val="008D4D0E"/>
    <w:rsid w:val="008D600C"/>
    <w:rsid w:val="008D6905"/>
    <w:rsid w:val="008E3091"/>
    <w:rsid w:val="008E41A7"/>
    <w:rsid w:val="008E4612"/>
    <w:rsid w:val="008E6B6C"/>
    <w:rsid w:val="008F01A6"/>
    <w:rsid w:val="008F0348"/>
    <w:rsid w:val="008F1CE5"/>
    <w:rsid w:val="008F3169"/>
    <w:rsid w:val="008F569F"/>
    <w:rsid w:val="008F595B"/>
    <w:rsid w:val="008F76D7"/>
    <w:rsid w:val="0090045E"/>
    <w:rsid w:val="009024A1"/>
    <w:rsid w:val="009027B8"/>
    <w:rsid w:val="00902BC9"/>
    <w:rsid w:val="0090421B"/>
    <w:rsid w:val="00905A08"/>
    <w:rsid w:val="00907AAD"/>
    <w:rsid w:val="00914136"/>
    <w:rsid w:val="009145B0"/>
    <w:rsid w:val="00914787"/>
    <w:rsid w:val="00914DD3"/>
    <w:rsid w:val="009161E0"/>
    <w:rsid w:val="00916987"/>
    <w:rsid w:val="00916D87"/>
    <w:rsid w:val="00920AEB"/>
    <w:rsid w:val="00921CC6"/>
    <w:rsid w:val="00922E46"/>
    <w:rsid w:val="00924704"/>
    <w:rsid w:val="00924F99"/>
    <w:rsid w:val="00925FAF"/>
    <w:rsid w:val="009269DC"/>
    <w:rsid w:val="009306A2"/>
    <w:rsid w:val="00932F70"/>
    <w:rsid w:val="00934B3C"/>
    <w:rsid w:val="00934D8F"/>
    <w:rsid w:val="00935C2B"/>
    <w:rsid w:val="00935F31"/>
    <w:rsid w:val="0093611B"/>
    <w:rsid w:val="009372B6"/>
    <w:rsid w:val="00937F0A"/>
    <w:rsid w:val="009404F3"/>
    <w:rsid w:val="00940B5B"/>
    <w:rsid w:val="00941DBB"/>
    <w:rsid w:val="00944F15"/>
    <w:rsid w:val="00945DC5"/>
    <w:rsid w:val="00947447"/>
    <w:rsid w:val="00950B58"/>
    <w:rsid w:val="009512BA"/>
    <w:rsid w:val="009521B7"/>
    <w:rsid w:val="00952580"/>
    <w:rsid w:val="00955678"/>
    <w:rsid w:val="0095592D"/>
    <w:rsid w:val="00957093"/>
    <w:rsid w:val="00957B5A"/>
    <w:rsid w:val="00961547"/>
    <w:rsid w:val="00961C08"/>
    <w:rsid w:val="0096250E"/>
    <w:rsid w:val="00962B86"/>
    <w:rsid w:val="00962FA7"/>
    <w:rsid w:val="00966F01"/>
    <w:rsid w:val="00967870"/>
    <w:rsid w:val="00971D23"/>
    <w:rsid w:val="00975571"/>
    <w:rsid w:val="00976568"/>
    <w:rsid w:val="00976ECA"/>
    <w:rsid w:val="0098020C"/>
    <w:rsid w:val="0098097B"/>
    <w:rsid w:val="00980FF1"/>
    <w:rsid w:val="0098190F"/>
    <w:rsid w:val="00981FCC"/>
    <w:rsid w:val="009824DB"/>
    <w:rsid w:val="009832A1"/>
    <w:rsid w:val="009835CE"/>
    <w:rsid w:val="00983A15"/>
    <w:rsid w:val="009846F1"/>
    <w:rsid w:val="00984C54"/>
    <w:rsid w:val="00985470"/>
    <w:rsid w:val="009867C0"/>
    <w:rsid w:val="00987570"/>
    <w:rsid w:val="00987A59"/>
    <w:rsid w:val="00990F85"/>
    <w:rsid w:val="00991176"/>
    <w:rsid w:val="00991449"/>
    <w:rsid w:val="00991DD3"/>
    <w:rsid w:val="00993765"/>
    <w:rsid w:val="00994E85"/>
    <w:rsid w:val="00994F9F"/>
    <w:rsid w:val="00994FCC"/>
    <w:rsid w:val="00995252"/>
    <w:rsid w:val="00996C39"/>
    <w:rsid w:val="00997D8E"/>
    <w:rsid w:val="009A0B2D"/>
    <w:rsid w:val="009A2811"/>
    <w:rsid w:val="009A37C0"/>
    <w:rsid w:val="009A44C4"/>
    <w:rsid w:val="009A50C6"/>
    <w:rsid w:val="009A526B"/>
    <w:rsid w:val="009A6137"/>
    <w:rsid w:val="009B0338"/>
    <w:rsid w:val="009B0902"/>
    <w:rsid w:val="009B2B9E"/>
    <w:rsid w:val="009B32C4"/>
    <w:rsid w:val="009B432D"/>
    <w:rsid w:val="009B47F2"/>
    <w:rsid w:val="009B5C0C"/>
    <w:rsid w:val="009B6829"/>
    <w:rsid w:val="009B7D5D"/>
    <w:rsid w:val="009B7F3B"/>
    <w:rsid w:val="009C0367"/>
    <w:rsid w:val="009C0907"/>
    <w:rsid w:val="009C0AB4"/>
    <w:rsid w:val="009C0C17"/>
    <w:rsid w:val="009C2B2B"/>
    <w:rsid w:val="009C3A11"/>
    <w:rsid w:val="009C46BC"/>
    <w:rsid w:val="009C5BB0"/>
    <w:rsid w:val="009C5C4A"/>
    <w:rsid w:val="009D1885"/>
    <w:rsid w:val="009D1DAA"/>
    <w:rsid w:val="009D4BA1"/>
    <w:rsid w:val="009D64E2"/>
    <w:rsid w:val="009D675C"/>
    <w:rsid w:val="009D6C03"/>
    <w:rsid w:val="009D6C82"/>
    <w:rsid w:val="009D7DFD"/>
    <w:rsid w:val="009E2EF4"/>
    <w:rsid w:val="009E2F0E"/>
    <w:rsid w:val="009E453C"/>
    <w:rsid w:val="009E549A"/>
    <w:rsid w:val="009E5725"/>
    <w:rsid w:val="009E596F"/>
    <w:rsid w:val="009E608B"/>
    <w:rsid w:val="009E61D7"/>
    <w:rsid w:val="009E671A"/>
    <w:rsid w:val="009E7154"/>
    <w:rsid w:val="009E7D1A"/>
    <w:rsid w:val="009E7D77"/>
    <w:rsid w:val="009F0D73"/>
    <w:rsid w:val="009F1011"/>
    <w:rsid w:val="009F2240"/>
    <w:rsid w:val="009F24AB"/>
    <w:rsid w:val="009F4404"/>
    <w:rsid w:val="009F54A6"/>
    <w:rsid w:val="009F6066"/>
    <w:rsid w:val="009F66CD"/>
    <w:rsid w:val="009F799A"/>
    <w:rsid w:val="00A00F3A"/>
    <w:rsid w:val="00A01515"/>
    <w:rsid w:val="00A01583"/>
    <w:rsid w:val="00A01B61"/>
    <w:rsid w:val="00A03AD9"/>
    <w:rsid w:val="00A03AFC"/>
    <w:rsid w:val="00A03C5B"/>
    <w:rsid w:val="00A047A4"/>
    <w:rsid w:val="00A05C85"/>
    <w:rsid w:val="00A05DCB"/>
    <w:rsid w:val="00A05EDA"/>
    <w:rsid w:val="00A067A8"/>
    <w:rsid w:val="00A06D5C"/>
    <w:rsid w:val="00A073D9"/>
    <w:rsid w:val="00A10F39"/>
    <w:rsid w:val="00A11451"/>
    <w:rsid w:val="00A12224"/>
    <w:rsid w:val="00A14077"/>
    <w:rsid w:val="00A148DB"/>
    <w:rsid w:val="00A15476"/>
    <w:rsid w:val="00A15994"/>
    <w:rsid w:val="00A16878"/>
    <w:rsid w:val="00A17644"/>
    <w:rsid w:val="00A2067E"/>
    <w:rsid w:val="00A22882"/>
    <w:rsid w:val="00A23D5F"/>
    <w:rsid w:val="00A242A0"/>
    <w:rsid w:val="00A25F8D"/>
    <w:rsid w:val="00A26B94"/>
    <w:rsid w:val="00A31189"/>
    <w:rsid w:val="00A311A4"/>
    <w:rsid w:val="00A314AD"/>
    <w:rsid w:val="00A31ABE"/>
    <w:rsid w:val="00A31F2C"/>
    <w:rsid w:val="00A33DED"/>
    <w:rsid w:val="00A367F2"/>
    <w:rsid w:val="00A378D2"/>
    <w:rsid w:val="00A405E6"/>
    <w:rsid w:val="00A43BCB"/>
    <w:rsid w:val="00A44669"/>
    <w:rsid w:val="00A47083"/>
    <w:rsid w:val="00A47A8B"/>
    <w:rsid w:val="00A47FC5"/>
    <w:rsid w:val="00A50F9C"/>
    <w:rsid w:val="00A51100"/>
    <w:rsid w:val="00A54A26"/>
    <w:rsid w:val="00A54C49"/>
    <w:rsid w:val="00A56544"/>
    <w:rsid w:val="00A57F7D"/>
    <w:rsid w:val="00A61EFC"/>
    <w:rsid w:val="00A62382"/>
    <w:rsid w:val="00A64160"/>
    <w:rsid w:val="00A65250"/>
    <w:rsid w:val="00A6622A"/>
    <w:rsid w:val="00A67A25"/>
    <w:rsid w:val="00A67C59"/>
    <w:rsid w:val="00A7026E"/>
    <w:rsid w:val="00A707E9"/>
    <w:rsid w:val="00A70853"/>
    <w:rsid w:val="00A729E8"/>
    <w:rsid w:val="00A72F92"/>
    <w:rsid w:val="00A73D63"/>
    <w:rsid w:val="00A7443F"/>
    <w:rsid w:val="00A75F30"/>
    <w:rsid w:val="00A80215"/>
    <w:rsid w:val="00A80FD2"/>
    <w:rsid w:val="00A8270D"/>
    <w:rsid w:val="00A827E1"/>
    <w:rsid w:val="00A82C99"/>
    <w:rsid w:val="00A83440"/>
    <w:rsid w:val="00A862E7"/>
    <w:rsid w:val="00A873A9"/>
    <w:rsid w:val="00A903C0"/>
    <w:rsid w:val="00A90A3D"/>
    <w:rsid w:val="00A90F41"/>
    <w:rsid w:val="00A91BE0"/>
    <w:rsid w:val="00A932EC"/>
    <w:rsid w:val="00A94486"/>
    <w:rsid w:val="00A94A8D"/>
    <w:rsid w:val="00A95DE1"/>
    <w:rsid w:val="00A96033"/>
    <w:rsid w:val="00A9617D"/>
    <w:rsid w:val="00A96F0E"/>
    <w:rsid w:val="00A97162"/>
    <w:rsid w:val="00AA0DBC"/>
    <w:rsid w:val="00AA2AA7"/>
    <w:rsid w:val="00AA366A"/>
    <w:rsid w:val="00AA7C79"/>
    <w:rsid w:val="00AB0A8C"/>
    <w:rsid w:val="00AB0BE5"/>
    <w:rsid w:val="00AB11B6"/>
    <w:rsid w:val="00AB1D92"/>
    <w:rsid w:val="00AB304A"/>
    <w:rsid w:val="00AB317E"/>
    <w:rsid w:val="00AB3D9E"/>
    <w:rsid w:val="00AB4A6F"/>
    <w:rsid w:val="00AB541E"/>
    <w:rsid w:val="00AB77EC"/>
    <w:rsid w:val="00AB7C43"/>
    <w:rsid w:val="00AB7C64"/>
    <w:rsid w:val="00AC0484"/>
    <w:rsid w:val="00AC2CF7"/>
    <w:rsid w:val="00AC36A4"/>
    <w:rsid w:val="00AC5883"/>
    <w:rsid w:val="00AD266D"/>
    <w:rsid w:val="00AD3761"/>
    <w:rsid w:val="00AD57E5"/>
    <w:rsid w:val="00AD5A10"/>
    <w:rsid w:val="00AD5D1A"/>
    <w:rsid w:val="00AD6A30"/>
    <w:rsid w:val="00AD7786"/>
    <w:rsid w:val="00AE0001"/>
    <w:rsid w:val="00AE35D9"/>
    <w:rsid w:val="00AE3809"/>
    <w:rsid w:val="00AE4E80"/>
    <w:rsid w:val="00AE59E9"/>
    <w:rsid w:val="00AE5DF1"/>
    <w:rsid w:val="00AE64C9"/>
    <w:rsid w:val="00AE7384"/>
    <w:rsid w:val="00AE7818"/>
    <w:rsid w:val="00AE7D79"/>
    <w:rsid w:val="00AE7DBC"/>
    <w:rsid w:val="00AF2645"/>
    <w:rsid w:val="00AF3111"/>
    <w:rsid w:val="00AF4203"/>
    <w:rsid w:val="00B001EF"/>
    <w:rsid w:val="00B00CED"/>
    <w:rsid w:val="00B0143F"/>
    <w:rsid w:val="00B0233B"/>
    <w:rsid w:val="00B04478"/>
    <w:rsid w:val="00B06018"/>
    <w:rsid w:val="00B06A1A"/>
    <w:rsid w:val="00B070D8"/>
    <w:rsid w:val="00B10C69"/>
    <w:rsid w:val="00B10C8A"/>
    <w:rsid w:val="00B112C1"/>
    <w:rsid w:val="00B122BF"/>
    <w:rsid w:val="00B124C1"/>
    <w:rsid w:val="00B13996"/>
    <w:rsid w:val="00B14EE9"/>
    <w:rsid w:val="00B14F7B"/>
    <w:rsid w:val="00B161F3"/>
    <w:rsid w:val="00B2247D"/>
    <w:rsid w:val="00B23701"/>
    <w:rsid w:val="00B23728"/>
    <w:rsid w:val="00B2492C"/>
    <w:rsid w:val="00B254F4"/>
    <w:rsid w:val="00B25FD3"/>
    <w:rsid w:val="00B3136C"/>
    <w:rsid w:val="00B32430"/>
    <w:rsid w:val="00B335A6"/>
    <w:rsid w:val="00B33F82"/>
    <w:rsid w:val="00B34170"/>
    <w:rsid w:val="00B353E4"/>
    <w:rsid w:val="00B364BB"/>
    <w:rsid w:val="00B367F3"/>
    <w:rsid w:val="00B37624"/>
    <w:rsid w:val="00B400FC"/>
    <w:rsid w:val="00B40A39"/>
    <w:rsid w:val="00B43393"/>
    <w:rsid w:val="00B454D3"/>
    <w:rsid w:val="00B475A8"/>
    <w:rsid w:val="00B47AD9"/>
    <w:rsid w:val="00B52697"/>
    <w:rsid w:val="00B53633"/>
    <w:rsid w:val="00B5370C"/>
    <w:rsid w:val="00B5429F"/>
    <w:rsid w:val="00B545E0"/>
    <w:rsid w:val="00B57082"/>
    <w:rsid w:val="00B6143B"/>
    <w:rsid w:val="00B62E8C"/>
    <w:rsid w:val="00B6309A"/>
    <w:rsid w:val="00B63E39"/>
    <w:rsid w:val="00B64B6E"/>
    <w:rsid w:val="00B6713D"/>
    <w:rsid w:val="00B67EFE"/>
    <w:rsid w:val="00B70747"/>
    <w:rsid w:val="00B70D9F"/>
    <w:rsid w:val="00B70E0D"/>
    <w:rsid w:val="00B7172F"/>
    <w:rsid w:val="00B72938"/>
    <w:rsid w:val="00B73437"/>
    <w:rsid w:val="00B7463B"/>
    <w:rsid w:val="00B75A06"/>
    <w:rsid w:val="00B75D28"/>
    <w:rsid w:val="00B76220"/>
    <w:rsid w:val="00B775A1"/>
    <w:rsid w:val="00B77D59"/>
    <w:rsid w:val="00B80746"/>
    <w:rsid w:val="00B841B1"/>
    <w:rsid w:val="00B84416"/>
    <w:rsid w:val="00B867BD"/>
    <w:rsid w:val="00B86960"/>
    <w:rsid w:val="00B86A08"/>
    <w:rsid w:val="00B9013D"/>
    <w:rsid w:val="00B92EBA"/>
    <w:rsid w:val="00B931DE"/>
    <w:rsid w:val="00B93CF3"/>
    <w:rsid w:val="00B97693"/>
    <w:rsid w:val="00B976BC"/>
    <w:rsid w:val="00B977B5"/>
    <w:rsid w:val="00BA0E6D"/>
    <w:rsid w:val="00BA29B1"/>
    <w:rsid w:val="00BA2FCD"/>
    <w:rsid w:val="00BA7527"/>
    <w:rsid w:val="00BA7FC5"/>
    <w:rsid w:val="00BB084E"/>
    <w:rsid w:val="00BB14D3"/>
    <w:rsid w:val="00BB1AFE"/>
    <w:rsid w:val="00BB55EC"/>
    <w:rsid w:val="00BB64B9"/>
    <w:rsid w:val="00BB76D5"/>
    <w:rsid w:val="00BB7FB9"/>
    <w:rsid w:val="00BC0046"/>
    <w:rsid w:val="00BC03D9"/>
    <w:rsid w:val="00BC05A5"/>
    <w:rsid w:val="00BC4179"/>
    <w:rsid w:val="00BC4454"/>
    <w:rsid w:val="00BC4EEF"/>
    <w:rsid w:val="00BC678F"/>
    <w:rsid w:val="00BC6C5E"/>
    <w:rsid w:val="00BC72FE"/>
    <w:rsid w:val="00BC7A9E"/>
    <w:rsid w:val="00BD0A24"/>
    <w:rsid w:val="00BD1F7B"/>
    <w:rsid w:val="00BD250A"/>
    <w:rsid w:val="00BD264A"/>
    <w:rsid w:val="00BD329B"/>
    <w:rsid w:val="00BD5594"/>
    <w:rsid w:val="00BD5F24"/>
    <w:rsid w:val="00BD5FF4"/>
    <w:rsid w:val="00BD6113"/>
    <w:rsid w:val="00BD648C"/>
    <w:rsid w:val="00BD690E"/>
    <w:rsid w:val="00BD6EBA"/>
    <w:rsid w:val="00BD7EF9"/>
    <w:rsid w:val="00BE04E5"/>
    <w:rsid w:val="00BE0CB6"/>
    <w:rsid w:val="00BE1838"/>
    <w:rsid w:val="00BE2D46"/>
    <w:rsid w:val="00BE40F1"/>
    <w:rsid w:val="00BE4257"/>
    <w:rsid w:val="00BE5E0F"/>
    <w:rsid w:val="00BE7243"/>
    <w:rsid w:val="00BF01AD"/>
    <w:rsid w:val="00BF0AF7"/>
    <w:rsid w:val="00BF0C19"/>
    <w:rsid w:val="00BF0EB8"/>
    <w:rsid w:val="00BF3C6A"/>
    <w:rsid w:val="00BF5295"/>
    <w:rsid w:val="00BF57DB"/>
    <w:rsid w:val="00BF6204"/>
    <w:rsid w:val="00BF7AA3"/>
    <w:rsid w:val="00C002E5"/>
    <w:rsid w:val="00C002EF"/>
    <w:rsid w:val="00C00894"/>
    <w:rsid w:val="00C01759"/>
    <w:rsid w:val="00C030FB"/>
    <w:rsid w:val="00C047C8"/>
    <w:rsid w:val="00C06B85"/>
    <w:rsid w:val="00C07A23"/>
    <w:rsid w:val="00C07F6F"/>
    <w:rsid w:val="00C126FE"/>
    <w:rsid w:val="00C14AAA"/>
    <w:rsid w:val="00C15904"/>
    <w:rsid w:val="00C216C4"/>
    <w:rsid w:val="00C23946"/>
    <w:rsid w:val="00C23AEB"/>
    <w:rsid w:val="00C23D6F"/>
    <w:rsid w:val="00C24728"/>
    <w:rsid w:val="00C25AFD"/>
    <w:rsid w:val="00C27B3B"/>
    <w:rsid w:val="00C30E0A"/>
    <w:rsid w:val="00C31B27"/>
    <w:rsid w:val="00C32427"/>
    <w:rsid w:val="00C32AE5"/>
    <w:rsid w:val="00C35042"/>
    <w:rsid w:val="00C36E88"/>
    <w:rsid w:val="00C370DB"/>
    <w:rsid w:val="00C375AF"/>
    <w:rsid w:val="00C37C84"/>
    <w:rsid w:val="00C40013"/>
    <w:rsid w:val="00C40902"/>
    <w:rsid w:val="00C4304D"/>
    <w:rsid w:val="00C44E18"/>
    <w:rsid w:val="00C44F3E"/>
    <w:rsid w:val="00C450C0"/>
    <w:rsid w:val="00C45DA3"/>
    <w:rsid w:val="00C45F20"/>
    <w:rsid w:val="00C4619E"/>
    <w:rsid w:val="00C46448"/>
    <w:rsid w:val="00C4690A"/>
    <w:rsid w:val="00C47188"/>
    <w:rsid w:val="00C504FC"/>
    <w:rsid w:val="00C50AB9"/>
    <w:rsid w:val="00C513FE"/>
    <w:rsid w:val="00C51C89"/>
    <w:rsid w:val="00C5381B"/>
    <w:rsid w:val="00C54F24"/>
    <w:rsid w:val="00C6044E"/>
    <w:rsid w:val="00C6116F"/>
    <w:rsid w:val="00C61C7F"/>
    <w:rsid w:val="00C61C9F"/>
    <w:rsid w:val="00C63C73"/>
    <w:rsid w:val="00C64109"/>
    <w:rsid w:val="00C66058"/>
    <w:rsid w:val="00C660C1"/>
    <w:rsid w:val="00C66BE3"/>
    <w:rsid w:val="00C71049"/>
    <w:rsid w:val="00C71364"/>
    <w:rsid w:val="00C7206C"/>
    <w:rsid w:val="00C73FFA"/>
    <w:rsid w:val="00C74AAB"/>
    <w:rsid w:val="00C75250"/>
    <w:rsid w:val="00C75564"/>
    <w:rsid w:val="00C7611E"/>
    <w:rsid w:val="00C82D77"/>
    <w:rsid w:val="00C83F6F"/>
    <w:rsid w:val="00C86C4B"/>
    <w:rsid w:val="00C8701D"/>
    <w:rsid w:val="00C90375"/>
    <w:rsid w:val="00C91914"/>
    <w:rsid w:val="00C92996"/>
    <w:rsid w:val="00C9364D"/>
    <w:rsid w:val="00C93F8F"/>
    <w:rsid w:val="00C94C65"/>
    <w:rsid w:val="00C94F6C"/>
    <w:rsid w:val="00C95534"/>
    <w:rsid w:val="00C9723D"/>
    <w:rsid w:val="00C97F47"/>
    <w:rsid w:val="00CA0244"/>
    <w:rsid w:val="00CA1497"/>
    <w:rsid w:val="00CA175A"/>
    <w:rsid w:val="00CA1C34"/>
    <w:rsid w:val="00CA3325"/>
    <w:rsid w:val="00CA45D1"/>
    <w:rsid w:val="00CA666A"/>
    <w:rsid w:val="00CB044E"/>
    <w:rsid w:val="00CB0B9C"/>
    <w:rsid w:val="00CB10B4"/>
    <w:rsid w:val="00CB138A"/>
    <w:rsid w:val="00CB1C51"/>
    <w:rsid w:val="00CB421E"/>
    <w:rsid w:val="00CB595E"/>
    <w:rsid w:val="00CB650C"/>
    <w:rsid w:val="00CB79EA"/>
    <w:rsid w:val="00CC05C3"/>
    <w:rsid w:val="00CC1974"/>
    <w:rsid w:val="00CC1FB0"/>
    <w:rsid w:val="00CC22B7"/>
    <w:rsid w:val="00CC27BE"/>
    <w:rsid w:val="00CC30BF"/>
    <w:rsid w:val="00CC401A"/>
    <w:rsid w:val="00CC498C"/>
    <w:rsid w:val="00CC530D"/>
    <w:rsid w:val="00CC6044"/>
    <w:rsid w:val="00CC6050"/>
    <w:rsid w:val="00CC6AAC"/>
    <w:rsid w:val="00CD04C6"/>
    <w:rsid w:val="00CD24EC"/>
    <w:rsid w:val="00CD32A0"/>
    <w:rsid w:val="00CD4216"/>
    <w:rsid w:val="00CD4254"/>
    <w:rsid w:val="00CD5413"/>
    <w:rsid w:val="00CD5AB7"/>
    <w:rsid w:val="00CD668D"/>
    <w:rsid w:val="00CD7D82"/>
    <w:rsid w:val="00CD7FBA"/>
    <w:rsid w:val="00CE25C4"/>
    <w:rsid w:val="00CE299D"/>
    <w:rsid w:val="00CE3133"/>
    <w:rsid w:val="00CE3678"/>
    <w:rsid w:val="00CE3BD4"/>
    <w:rsid w:val="00CE5418"/>
    <w:rsid w:val="00CE6C29"/>
    <w:rsid w:val="00CE6DCF"/>
    <w:rsid w:val="00CE6EDE"/>
    <w:rsid w:val="00CE78B7"/>
    <w:rsid w:val="00CE78EB"/>
    <w:rsid w:val="00CE7DED"/>
    <w:rsid w:val="00CF1FA3"/>
    <w:rsid w:val="00CF2BF6"/>
    <w:rsid w:val="00CF3D2C"/>
    <w:rsid w:val="00CF4233"/>
    <w:rsid w:val="00CF4673"/>
    <w:rsid w:val="00CF487B"/>
    <w:rsid w:val="00CF588A"/>
    <w:rsid w:val="00CF5C68"/>
    <w:rsid w:val="00CF7496"/>
    <w:rsid w:val="00D040E1"/>
    <w:rsid w:val="00D04370"/>
    <w:rsid w:val="00D05906"/>
    <w:rsid w:val="00D119D0"/>
    <w:rsid w:val="00D11B4E"/>
    <w:rsid w:val="00D127EF"/>
    <w:rsid w:val="00D13FD7"/>
    <w:rsid w:val="00D15270"/>
    <w:rsid w:val="00D154AA"/>
    <w:rsid w:val="00D15581"/>
    <w:rsid w:val="00D162E6"/>
    <w:rsid w:val="00D16F5F"/>
    <w:rsid w:val="00D20BCC"/>
    <w:rsid w:val="00D2123D"/>
    <w:rsid w:val="00D21752"/>
    <w:rsid w:val="00D21DC8"/>
    <w:rsid w:val="00D22952"/>
    <w:rsid w:val="00D23218"/>
    <w:rsid w:val="00D23655"/>
    <w:rsid w:val="00D23923"/>
    <w:rsid w:val="00D23BF0"/>
    <w:rsid w:val="00D23EE0"/>
    <w:rsid w:val="00D24958"/>
    <w:rsid w:val="00D24E37"/>
    <w:rsid w:val="00D24E66"/>
    <w:rsid w:val="00D2643B"/>
    <w:rsid w:val="00D26745"/>
    <w:rsid w:val="00D27476"/>
    <w:rsid w:val="00D27E02"/>
    <w:rsid w:val="00D31E3B"/>
    <w:rsid w:val="00D33AA7"/>
    <w:rsid w:val="00D33FD3"/>
    <w:rsid w:val="00D3490D"/>
    <w:rsid w:val="00D34B51"/>
    <w:rsid w:val="00D35F85"/>
    <w:rsid w:val="00D3680C"/>
    <w:rsid w:val="00D41429"/>
    <w:rsid w:val="00D42033"/>
    <w:rsid w:val="00D423D6"/>
    <w:rsid w:val="00D42DC8"/>
    <w:rsid w:val="00D431C0"/>
    <w:rsid w:val="00D433C0"/>
    <w:rsid w:val="00D44135"/>
    <w:rsid w:val="00D44E66"/>
    <w:rsid w:val="00D506D1"/>
    <w:rsid w:val="00D51590"/>
    <w:rsid w:val="00D5167C"/>
    <w:rsid w:val="00D51FF0"/>
    <w:rsid w:val="00D5258D"/>
    <w:rsid w:val="00D52D40"/>
    <w:rsid w:val="00D53E2C"/>
    <w:rsid w:val="00D54892"/>
    <w:rsid w:val="00D56741"/>
    <w:rsid w:val="00D61273"/>
    <w:rsid w:val="00D61F33"/>
    <w:rsid w:val="00D63C1D"/>
    <w:rsid w:val="00D63CA0"/>
    <w:rsid w:val="00D64910"/>
    <w:rsid w:val="00D64A6D"/>
    <w:rsid w:val="00D6505A"/>
    <w:rsid w:val="00D65748"/>
    <w:rsid w:val="00D65F8C"/>
    <w:rsid w:val="00D66FD2"/>
    <w:rsid w:val="00D671FB"/>
    <w:rsid w:val="00D70162"/>
    <w:rsid w:val="00D70A09"/>
    <w:rsid w:val="00D70CAF"/>
    <w:rsid w:val="00D7154B"/>
    <w:rsid w:val="00D71DE3"/>
    <w:rsid w:val="00D72828"/>
    <w:rsid w:val="00D72A88"/>
    <w:rsid w:val="00D823E7"/>
    <w:rsid w:val="00D826D5"/>
    <w:rsid w:val="00D838F2"/>
    <w:rsid w:val="00D8525B"/>
    <w:rsid w:val="00D8581E"/>
    <w:rsid w:val="00D85BB2"/>
    <w:rsid w:val="00D8702D"/>
    <w:rsid w:val="00D8785F"/>
    <w:rsid w:val="00D9089F"/>
    <w:rsid w:val="00D9120D"/>
    <w:rsid w:val="00D92397"/>
    <w:rsid w:val="00D952F4"/>
    <w:rsid w:val="00D958BD"/>
    <w:rsid w:val="00D95F11"/>
    <w:rsid w:val="00D95F1F"/>
    <w:rsid w:val="00DA0955"/>
    <w:rsid w:val="00DA1A87"/>
    <w:rsid w:val="00DA2C99"/>
    <w:rsid w:val="00DA5F7F"/>
    <w:rsid w:val="00DA6094"/>
    <w:rsid w:val="00DA6879"/>
    <w:rsid w:val="00DA746A"/>
    <w:rsid w:val="00DA7C33"/>
    <w:rsid w:val="00DB0335"/>
    <w:rsid w:val="00DB157C"/>
    <w:rsid w:val="00DB16B1"/>
    <w:rsid w:val="00DB18C3"/>
    <w:rsid w:val="00DB2706"/>
    <w:rsid w:val="00DB52C1"/>
    <w:rsid w:val="00DC2064"/>
    <w:rsid w:val="00DC4AD0"/>
    <w:rsid w:val="00DC4AE3"/>
    <w:rsid w:val="00DC697D"/>
    <w:rsid w:val="00DC7CA3"/>
    <w:rsid w:val="00DD0E9B"/>
    <w:rsid w:val="00DD1C7C"/>
    <w:rsid w:val="00DD38BA"/>
    <w:rsid w:val="00DD43E3"/>
    <w:rsid w:val="00DD5609"/>
    <w:rsid w:val="00DD62BE"/>
    <w:rsid w:val="00DD6D94"/>
    <w:rsid w:val="00DE051A"/>
    <w:rsid w:val="00DE0878"/>
    <w:rsid w:val="00DE1FE4"/>
    <w:rsid w:val="00DE24D8"/>
    <w:rsid w:val="00DE2E8D"/>
    <w:rsid w:val="00DE39FC"/>
    <w:rsid w:val="00DE4EEC"/>
    <w:rsid w:val="00DE4F2B"/>
    <w:rsid w:val="00DE5CC3"/>
    <w:rsid w:val="00DE5D35"/>
    <w:rsid w:val="00DE61C5"/>
    <w:rsid w:val="00DE7B33"/>
    <w:rsid w:val="00DF02CB"/>
    <w:rsid w:val="00DF1CBF"/>
    <w:rsid w:val="00DF2371"/>
    <w:rsid w:val="00DF29DD"/>
    <w:rsid w:val="00DF2C0F"/>
    <w:rsid w:val="00DF2C66"/>
    <w:rsid w:val="00DF3879"/>
    <w:rsid w:val="00DF3FD2"/>
    <w:rsid w:val="00DF459E"/>
    <w:rsid w:val="00DF70F0"/>
    <w:rsid w:val="00E02193"/>
    <w:rsid w:val="00E02573"/>
    <w:rsid w:val="00E02DBE"/>
    <w:rsid w:val="00E03167"/>
    <w:rsid w:val="00E07C8A"/>
    <w:rsid w:val="00E10245"/>
    <w:rsid w:val="00E106B1"/>
    <w:rsid w:val="00E10A1F"/>
    <w:rsid w:val="00E11A7C"/>
    <w:rsid w:val="00E121CD"/>
    <w:rsid w:val="00E13E11"/>
    <w:rsid w:val="00E14AD8"/>
    <w:rsid w:val="00E15D62"/>
    <w:rsid w:val="00E1745F"/>
    <w:rsid w:val="00E20DFF"/>
    <w:rsid w:val="00E22045"/>
    <w:rsid w:val="00E23070"/>
    <w:rsid w:val="00E2442D"/>
    <w:rsid w:val="00E24636"/>
    <w:rsid w:val="00E259BD"/>
    <w:rsid w:val="00E25E7B"/>
    <w:rsid w:val="00E26134"/>
    <w:rsid w:val="00E27E29"/>
    <w:rsid w:val="00E303FE"/>
    <w:rsid w:val="00E316AA"/>
    <w:rsid w:val="00E32AE7"/>
    <w:rsid w:val="00E32E6B"/>
    <w:rsid w:val="00E33567"/>
    <w:rsid w:val="00E33B5B"/>
    <w:rsid w:val="00E343E6"/>
    <w:rsid w:val="00E345F2"/>
    <w:rsid w:val="00E348B2"/>
    <w:rsid w:val="00E3492F"/>
    <w:rsid w:val="00E34D07"/>
    <w:rsid w:val="00E357CB"/>
    <w:rsid w:val="00E365D2"/>
    <w:rsid w:val="00E366F0"/>
    <w:rsid w:val="00E37D19"/>
    <w:rsid w:val="00E4098E"/>
    <w:rsid w:val="00E4112F"/>
    <w:rsid w:val="00E41A2E"/>
    <w:rsid w:val="00E429C3"/>
    <w:rsid w:val="00E43422"/>
    <w:rsid w:val="00E44BDF"/>
    <w:rsid w:val="00E44C23"/>
    <w:rsid w:val="00E44E25"/>
    <w:rsid w:val="00E44F6C"/>
    <w:rsid w:val="00E4570D"/>
    <w:rsid w:val="00E468B3"/>
    <w:rsid w:val="00E46EDC"/>
    <w:rsid w:val="00E50642"/>
    <w:rsid w:val="00E508AC"/>
    <w:rsid w:val="00E52666"/>
    <w:rsid w:val="00E52726"/>
    <w:rsid w:val="00E5283A"/>
    <w:rsid w:val="00E548D6"/>
    <w:rsid w:val="00E54FB8"/>
    <w:rsid w:val="00E55570"/>
    <w:rsid w:val="00E55E59"/>
    <w:rsid w:val="00E60076"/>
    <w:rsid w:val="00E605DC"/>
    <w:rsid w:val="00E60849"/>
    <w:rsid w:val="00E60860"/>
    <w:rsid w:val="00E62157"/>
    <w:rsid w:val="00E629F2"/>
    <w:rsid w:val="00E6573C"/>
    <w:rsid w:val="00E65824"/>
    <w:rsid w:val="00E65834"/>
    <w:rsid w:val="00E66D2E"/>
    <w:rsid w:val="00E7105D"/>
    <w:rsid w:val="00E71108"/>
    <w:rsid w:val="00E72B0F"/>
    <w:rsid w:val="00E7312B"/>
    <w:rsid w:val="00E73516"/>
    <w:rsid w:val="00E73716"/>
    <w:rsid w:val="00E756F5"/>
    <w:rsid w:val="00E75AE4"/>
    <w:rsid w:val="00E76677"/>
    <w:rsid w:val="00E76D23"/>
    <w:rsid w:val="00E7782E"/>
    <w:rsid w:val="00E80328"/>
    <w:rsid w:val="00E80941"/>
    <w:rsid w:val="00E80C65"/>
    <w:rsid w:val="00E80D9B"/>
    <w:rsid w:val="00E80E8A"/>
    <w:rsid w:val="00E81DFC"/>
    <w:rsid w:val="00E82400"/>
    <w:rsid w:val="00E83602"/>
    <w:rsid w:val="00E83884"/>
    <w:rsid w:val="00E838A9"/>
    <w:rsid w:val="00E83D8E"/>
    <w:rsid w:val="00E85AB2"/>
    <w:rsid w:val="00E86BA8"/>
    <w:rsid w:val="00E90267"/>
    <w:rsid w:val="00E905DD"/>
    <w:rsid w:val="00E90BA6"/>
    <w:rsid w:val="00E91CC3"/>
    <w:rsid w:val="00E938D4"/>
    <w:rsid w:val="00E949EB"/>
    <w:rsid w:val="00E95420"/>
    <w:rsid w:val="00E95637"/>
    <w:rsid w:val="00E96C64"/>
    <w:rsid w:val="00E970E8"/>
    <w:rsid w:val="00E9791A"/>
    <w:rsid w:val="00E97C5A"/>
    <w:rsid w:val="00EA0D19"/>
    <w:rsid w:val="00EA1428"/>
    <w:rsid w:val="00EA17E5"/>
    <w:rsid w:val="00EA2C4F"/>
    <w:rsid w:val="00EA45C2"/>
    <w:rsid w:val="00EA5464"/>
    <w:rsid w:val="00EA79A3"/>
    <w:rsid w:val="00EB34A1"/>
    <w:rsid w:val="00EB511E"/>
    <w:rsid w:val="00EB5BFF"/>
    <w:rsid w:val="00EB5F3F"/>
    <w:rsid w:val="00EB7C34"/>
    <w:rsid w:val="00EB7E8C"/>
    <w:rsid w:val="00EC1300"/>
    <w:rsid w:val="00EC185C"/>
    <w:rsid w:val="00EC32D5"/>
    <w:rsid w:val="00EC5136"/>
    <w:rsid w:val="00EC5728"/>
    <w:rsid w:val="00EC5AE4"/>
    <w:rsid w:val="00EC5B2F"/>
    <w:rsid w:val="00EC5F10"/>
    <w:rsid w:val="00EC6600"/>
    <w:rsid w:val="00EC6607"/>
    <w:rsid w:val="00EC6679"/>
    <w:rsid w:val="00ED0DF0"/>
    <w:rsid w:val="00ED2519"/>
    <w:rsid w:val="00ED32A2"/>
    <w:rsid w:val="00ED3776"/>
    <w:rsid w:val="00ED386D"/>
    <w:rsid w:val="00ED3D02"/>
    <w:rsid w:val="00ED69A5"/>
    <w:rsid w:val="00ED6CE0"/>
    <w:rsid w:val="00ED7855"/>
    <w:rsid w:val="00ED7C48"/>
    <w:rsid w:val="00EE0F7B"/>
    <w:rsid w:val="00EE49DA"/>
    <w:rsid w:val="00EE4B2D"/>
    <w:rsid w:val="00EE5A47"/>
    <w:rsid w:val="00EE5FB5"/>
    <w:rsid w:val="00EF0722"/>
    <w:rsid w:val="00EF2C3C"/>
    <w:rsid w:val="00EF3966"/>
    <w:rsid w:val="00EF640A"/>
    <w:rsid w:val="00EF64EC"/>
    <w:rsid w:val="00F01D79"/>
    <w:rsid w:val="00F032CC"/>
    <w:rsid w:val="00F03441"/>
    <w:rsid w:val="00F0504F"/>
    <w:rsid w:val="00F05A9B"/>
    <w:rsid w:val="00F05BF8"/>
    <w:rsid w:val="00F06442"/>
    <w:rsid w:val="00F0779E"/>
    <w:rsid w:val="00F1163D"/>
    <w:rsid w:val="00F122CA"/>
    <w:rsid w:val="00F13BD2"/>
    <w:rsid w:val="00F14C5E"/>
    <w:rsid w:val="00F150FA"/>
    <w:rsid w:val="00F1585D"/>
    <w:rsid w:val="00F1611F"/>
    <w:rsid w:val="00F16D7B"/>
    <w:rsid w:val="00F17D11"/>
    <w:rsid w:val="00F205CE"/>
    <w:rsid w:val="00F21A77"/>
    <w:rsid w:val="00F2247F"/>
    <w:rsid w:val="00F231FD"/>
    <w:rsid w:val="00F2329C"/>
    <w:rsid w:val="00F23446"/>
    <w:rsid w:val="00F235D3"/>
    <w:rsid w:val="00F23750"/>
    <w:rsid w:val="00F238B9"/>
    <w:rsid w:val="00F247C5"/>
    <w:rsid w:val="00F250DD"/>
    <w:rsid w:val="00F26E3E"/>
    <w:rsid w:val="00F26F1D"/>
    <w:rsid w:val="00F27698"/>
    <w:rsid w:val="00F27725"/>
    <w:rsid w:val="00F3022B"/>
    <w:rsid w:val="00F3102D"/>
    <w:rsid w:val="00F312B4"/>
    <w:rsid w:val="00F316A6"/>
    <w:rsid w:val="00F31F74"/>
    <w:rsid w:val="00F33E90"/>
    <w:rsid w:val="00F36942"/>
    <w:rsid w:val="00F36F26"/>
    <w:rsid w:val="00F37655"/>
    <w:rsid w:val="00F4212A"/>
    <w:rsid w:val="00F4384F"/>
    <w:rsid w:val="00F43B29"/>
    <w:rsid w:val="00F47977"/>
    <w:rsid w:val="00F5067D"/>
    <w:rsid w:val="00F52992"/>
    <w:rsid w:val="00F53F83"/>
    <w:rsid w:val="00F546B6"/>
    <w:rsid w:val="00F57A8D"/>
    <w:rsid w:val="00F600C4"/>
    <w:rsid w:val="00F60BD9"/>
    <w:rsid w:val="00F60C87"/>
    <w:rsid w:val="00F63A41"/>
    <w:rsid w:val="00F65838"/>
    <w:rsid w:val="00F660F0"/>
    <w:rsid w:val="00F66504"/>
    <w:rsid w:val="00F671D4"/>
    <w:rsid w:val="00F6771C"/>
    <w:rsid w:val="00F67951"/>
    <w:rsid w:val="00F67B3D"/>
    <w:rsid w:val="00F701E9"/>
    <w:rsid w:val="00F7218A"/>
    <w:rsid w:val="00F738C3"/>
    <w:rsid w:val="00F7449D"/>
    <w:rsid w:val="00F765E5"/>
    <w:rsid w:val="00F767D2"/>
    <w:rsid w:val="00F77114"/>
    <w:rsid w:val="00F80109"/>
    <w:rsid w:val="00F80B0F"/>
    <w:rsid w:val="00F81776"/>
    <w:rsid w:val="00F81991"/>
    <w:rsid w:val="00F82B00"/>
    <w:rsid w:val="00F83E1A"/>
    <w:rsid w:val="00F8529F"/>
    <w:rsid w:val="00F865C3"/>
    <w:rsid w:val="00F86AE7"/>
    <w:rsid w:val="00F87284"/>
    <w:rsid w:val="00F9042B"/>
    <w:rsid w:val="00F91E1D"/>
    <w:rsid w:val="00F928EA"/>
    <w:rsid w:val="00F92C80"/>
    <w:rsid w:val="00F932C9"/>
    <w:rsid w:val="00F972E7"/>
    <w:rsid w:val="00F97D79"/>
    <w:rsid w:val="00FA06D1"/>
    <w:rsid w:val="00FA0F64"/>
    <w:rsid w:val="00FA0FC5"/>
    <w:rsid w:val="00FA1C6A"/>
    <w:rsid w:val="00FA25B8"/>
    <w:rsid w:val="00FA39FD"/>
    <w:rsid w:val="00FA4590"/>
    <w:rsid w:val="00FA4733"/>
    <w:rsid w:val="00FA4C9A"/>
    <w:rsid w:val="00FA5990"/>
    <w:rsid w:val="00FA7E87"/>
    <w:rsid w:val="00FB0556"/>
    <w:rsid w:val="00FB07B2"/>
    <w:rsid w:val="00FB0944"/>
    <w:rsid w:val="00FB1EC0"/>
    <w:rsid w:val="00FB3266"/>
    <w:rsid w:val="00FB3445"/>
    <w:rsid w:val="00FB4506"/>
    <w:rsid w:val="00FB4704"/>
    <w:rsid w:val="00FB6056"/>
    <w:rsid w:val="00FC06B0"/>
    <w:rsid w:val="00FC1940"/>
    <w:rsid w:val="00FC1DED"/>
    <w:rsid w:val="00FC1E6C"/>
    <w:rsid w:val="00FC24FC"/>
    <w:rsid w:val="00FC2AF7"/>
    <w:rsid w:val="00FC358B"/>
    <w:rsid w:val="00FC3DBA"/>
    <w:rsid w:val="00FC5BEC"/>
    <w:rsid w:val="00FC6372"/>
    <w:rsid w:val="00FC7E68"/>
    <w:rsid w:val="00FD119D"/>
    <w:rsid w:val="00FD1889"/>
    <w:rsid w:val="00FD3004"/>
    <w:rsid w:val="00FD3657"/>
    <w:rsid w:val="00FD410F"/>
    <w:rsid w:val="00FD4C73"/>
    <w:rsid w:val="00FD6B2F"/>
    <w:rsid w:val="00FD74CD"/>
    <w:rsid w:val="00FD7B8B"/>
    <w:rsid w:val="00FD7D09"/>
    <w:rsid w:val="00FD7EC3"/>
    <w:rsid w:val="00FE0139"/>
    <w:rsid w:val="00FE142A"/>
    <w:rsid w:val="00FE1764"/>
    <w:rsid w:val="00FE286A"/>
    <w:rsid w:val="00FE3BBF"/>
    <w:rsid w:val="00FE4BD4"/>
    <w:rsid w:val="00FE5319"/>
    <w:rsid w:val="00FE59D7"/>
    <w:rsid w:val="00FE5B0E"/>
    <w:rsid w:val="00FE5F33"/>
    <w:rsid w:val="00FE6163"/>
    <w:rsid w:val="00FE6BE0"/>
    <w:rsid w:val="00FE7085"/>
    <w:rsid w:val="00FF324E"/>
    <w:rsid w:val="00FF34F3"/>
    <w:rsid w:val="00FF3C0D"/>
    <w:rsid w:val="00FF49CB"/>
    <w:rsid w:val="00FF4C1A"/>
    <w:rsid w:val="00FF56D1"/>
    <w:rsid w:val="00FF5A04"/>
    <w:rsid w:val="00FF611B"/>
    <w:rsid w:val="00FF77D2"/>
    <w:rsid w:val="00FF7C6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41"/>
    <o:shapelayout v:ext="edit">
      <o:idmap v:ext="edit" data="1"/>
    </o:shapelayout>
  </w:shapeDefaults>
  <w:decimalSymbol w:val="."/>
  <w:listSeparator w:val=","/>
  <w14:docId w14:val="7FD64B8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4"/>
        <w:szCs w:val="24"/>
        <w:lang w:val="en-GB"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C6C"/>
    <w:rPr>
      <w:rFonts w:cs="Times New Roman"/>
      <w:sz w:val="22"/>
    </w:rPr>
  </w:style>
  <w:style w:type="paragraph" w:styleId="Heading1">
    <w:name w:val="heading 1"/>
    <w:basedOn w:val="Normal"/>
    <w:next w:val="Normal"/>
    <w:link w:val="Heading1Char"/>
    <w:uiPriority w:val="9"/>
    <w:qFormat/>
    <w:rsid w:val="001E62A5"/>
    <w:pPr>
      <w:keepNext/>
      <w:keepLines/>
      <w:spacing w:before="480"/>
      <w:outlineLvl w:val="0"/>
    </w:pPr>
    <w:rPr>
      <w:rFonts w:ascii="Arial" w:eastAsiaTheme="majorEastAsia" w:hAnsi="Arial"/>
      <w:b/>
      <w:bCs/>
      <w:caps/>
      <w:sz w:val="30"/>
      <w:szCs w:val="32"/>
    </w:rPr>
  </w:style>
  <w:style w:type="paragraph" w:styleId="Heading2">
    <w:name w:val="heading 2"/>
    <w:basedOn w:val="Normal"/>
    <w:next w:val="Normal"/>
    <w:link w:val="Heading2Char"/>
    <w:rsid w:val="00924704"/>
    <w:pPr>
      <w:ind w:left="567" w:hanging="567"/>
      <w:outlineLvl w:val="1"/>
    </w:pPr>
    <w:rPr>
      <w:rFonts w:ascii="Arial" w:hAnsi="Arial"/>
      <w:b/>
      <w:sz w:val="28"/>
    </w:rPr>
  </w:style>
  <w:style w:type="paragraph" w:styleId="Heading3">
    <w:name w:val="heading 3"/>
    <w:basedOn w:val="Normal"/>
    <w:next w:val="Normal"/>
    <w:link w:val="Heading3Char"/>
    <w:uiPriority w:val="9"/>
    <w:unhideWhenUsed/>
    <w:qFormat/>
    <w:rsid w:val="006C0035"/>
    <w:pPr>
      <w:keepNext/>
      <w:keepLines/>
      <w:outlineLvl w:val="2"/>
    </w:pPr>
    <w:rPr>
      <w:rFonts w:ascii="Arial" w:eastAsiaTheme="majorEastAsia" w:hAnsi="Arial"/>
      <w:bCs/>
      <w:sz w:val="26"/>
    </w:rPr>
  </w:style>
  <w:style w:type="paragraph" w:styleId="Heading4">
    <w:name w:val="heading 4"/>
    <w:basedOn w:val="Heading3"/>
    <w:next w:val="Normal"/>
    <w:link w:val="Heading4Char"/>
    <w:uiPriority w:val="9"/>
    <w:rsid w:val="00E41A2E"/>
    <w:pPr>
      <w:keepNext w:val="0"/>
      <w:keepLines w:val="0"/>
      <w:ind w:left="567" w:hanging="567"/>
      <w:outlineLvl w:val="3"/>
    </w:pPr>
    <w:rPr>
      <w:rFonts w:eastAsia="Times New Roman"/>
      <w:bCs w:val="0"/>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E62A5"/>
    <w:rPr>
      <w:rFonts w:ascii="Arial" w:eastAsiaTheme="majorEastAsia" w:hAnsi="Arial" w:cs="Times New Roman"/>
      <w:b/>
      <w:bCs/>
      <w:caps/>
      <w:sz w:val="32"/>
      <w:szCs w:val="32"/>
    </w:rPr>
  </w:style>
  <w:style w:type="character" w:customStyle="1" w:styleId="Heading2Char">
    <w:name w:val="Heading 2 Char"/>
    <w:basedOn w:val="DefaultParagraphFont"/>
    <w:link w:val="Heading2"/>
    <w:locked/>
    <w:rsid w:val="00924704"/>
    <w:rPr>
      <w:rFonts w:ascii="Arial" w:hAnsi="Arial" w:cs="Times New Roman"/>
      <w:b/>
      <w:sz w:val="28"/>
    </w:rPr>
  </w:style>
  <w:style w:type="character" w:customStyle="1" w:styleId="Heading3Char">
    <w:name w:val="Heading 3 Char"/>
    <w:basedOn w:val="DefaultParagraphFont"/>
    <w:link w:val="Heading3"/>
    <w:uiPriority w:val="9"/>
    <w:locked/>
    <w:rsid w:val="006C0035"/>
    <w:rPr>
      <w:rFonts w:ascii="Arial" w:eastAsiaTheme="majorEastAsia" w:hAnsi="Arial" w:cs="Times New Roman"/>
      <w:bCs/>
      <w:sz w:val="26"/>
    </w:rPr>
  </w:style>
  <w:style w:type="character" w:customStyle="1" w:styleId="Heading4Char">
    <w:name w:val="Heading 4 Char"/>
    <w:basedOn w:val="DefaultParagraphFont"/>
    <w:link w:val="Heading4"/>
    <w:uiPriority w:val="9"/>
    <w:locked/>
    <w:rsid w:val="00E41A2E"/>
    <w:rPr>
      <w:rFonts w:ascii="Arial" w:hAnsi="Arial" w:cs="Times New Roman"/>
      <w:i/>
      <w:sz w:val="28"/>
    </w:rPr>
  </w:style>
  <w:style w:type="paragraph" w:styleId="BalloonText">
    <w:name w:val="Balloon Text"/>
    <w:basedOn w:val="Normal"/>
    <w:link w:val="BalloonTextChar"/>
    <w:uiPriority w:val="99"/>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Pr>
      <w:rFonts w:ascii="Lucida Grande" w:hAnsi="Lucida Grande" w:cs="Lucida Grande"/>
      <w:sz w:val="18"/>
      <w:szCs w:val="18"/>
    </w:rPr>
  </w:style>
  <w:style w:type="paragraph" w:customStyle="1" w:styleId="Pulloutcaption">
    <w:name w:val="Pull out caption_"/>
    <w:basedOn w:val="Normal"/>
    <w:next w:val="Normal"/>
    <w:qFormat/>
    <w:rsid w:val="008A5082"/>
    <w:rPr>
      <w:i/>
      <w:sz w:val="28"/>
    </w:rPr>
  </w:style>
  <w:style w:type="table" w:customStyle="1" w:styleId="TableRangedleft">
    <w:name w:val="Table_Ranged left_"/>
    <w:basedOn w:val="TableNormal"/>
    <w:qFormat/>
    <w:rsid w:val="008A5082"/>
    <w:rPr>
      <w:rFonts w:cs="Times New Roman"/>
    </w:rPr>
    <w:tblPr/>
  </w:style>
  <w:style w:type="paragraph" w:customStyle="1" w:styleId="Footnote">
    <w:name w:val="Footnote"/>
    <w:basedOn w:val="Heading3"/>
    <w:qFormat/>
    <w:rsid w:val="00C27B3B"/>
    <w:pPr>
      <w:spacing w:after="40"/>
      <w:ind w:left="340" w:hanging="340"/>
    </w:pPr>
    <w:rPr>
      <w:sz w:val="16"/>
    </w:rPr>
  </w:style>
  <w:style w:type="paragraph" w:customStyle="1" w:styleId="Bodytext">
    <w:name w:val="Bodytext"/>
    <w:basedOn w:val="Normal"/>
    <w:uiPriority w:val="99"/>
    <w:qFormat/>
    <w:rsid w:val="00097732"/>
    <w:rPr>
      <w:rFonts w:ascii="Arial" w:hAnsi="Arial"/>
      <w:sz w:val="20"/>
    </w:rPr>
  </w:style>
  <w:style w:type="table" w:styleId="TableGrid">
    <w:name w:val="Table Grid"/>
    <w:aliases w:val="Table Grid_General,CV table,none"/>
    <w:basedOn w:val="TableNormal"/>
    <w:rsid w:val="00E72B0F"/>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72B0F"/>
    <w:pPr>
      <w:ind w:left="720"/>
      <w:contextualSpacing/>
    </w:pPr>
  </w:style>
  <w:style w:type="character" w:styleId="Hyperlink">
    <w:name w:val="Hyperlink"/>
    <w:basedOn w:val="DefaultParagraphFont"/>
    <w:uiPriority w:val="99"/>
    <w:rsid w:val="00215EB8"/>
    <w:rPr>
      <w:rFonts w:cs="Times New Roman"/>
      <w:color w:val="0000FF" w:themeColor="hyperlink"/>
      <w:u w:val="single"/>
    </w:rPr>
  </w:style>
  <w:style w:type="paragraph" w:customStyle="1" w:styleId="Notestext">
    <w:name w:val="Notes_text_"/>
    <w:basedOn w:val="Normal"/>
    <w:qFormat/>
    <w:rsid w:val="00163C55"/>
    <w:pPr>
      <w:ind w:left="567"/>
    </w:pPr>
    <w:rPr>
      <w:rFonts w:ascii="Arial" w:hAnsi="Arial"/>
    </w:rPr>
  </w:style>
  <w:style w:type="character" w:styleId="CommentReference">
    <w:name w:val="annotation reference"/>
    <w:basedOn w:val="DefaultParagraphFont"/>
    <w:uiPriority w:val="99"/>
    <w:rsid w:val="00D5167C"/>
    <w:rPr>
      <w:rFonts w:cs="Times New Roman"/>
      <w:sz w:val="16"/>
      <w:szCs w:val="16"/>
    </w:rPr>
  </w:style>
  <w:style w:type="paragraph" w:styleId="CommentText">
    <w:name w:val="annotation text"/>
    <w:basedOn w:val="Normal"/>
    <w:link w:val="CommentTextChar"/>
    <w:uiPriority w:val="99"/>
    <w:rsid w:val="00D5167C"/>
    <w:rPr>
      <w:sz w:val="20"/>
      <w:szCs w:val="20"/>
    </w:rPr>
  </w:style>
  <w:style w:type="character" w:customStyle="1" w:styleId="CommentTextChar">
    <w:name w:val="Comment Text Char"/>
    <w:basedOn w:val="DefaultParagraphFont"/>
    <w:link w:val="CommentText"/>
    <w:uiPriority w:val="99"/>
    <w:locked/>
    <w:rsid w:val="00D5167C"/>
    <w:rPr>
      <w:rFonts w:cs="Times New Roman"/>
      <w:sz w:val="20"/>
      <w:szCs w:val="20"/>
    </w:rPr>
  </w:style>
  <w:style w:type="paragraph" w:styleId="CommentSubject">
    <w:name w:val="annotation subject"/>
    <w:basedOn w:val="CommentText"/>
    <w:next w:val="CommentText"/>
    <w:link w:val="CommentSubjectChar"/>
    <w:rsid w:val="00D5167C"/>
    <w:rPr>
      <w:b/>
      <w:bCs/>
    </w:rPr>
  </w:style>
  <w:style w:type="character" w:customStyle="1" w:styleId="CommentSubjectChar">
    <w:name w:val="Comment Subject Char"/>
    <w:basedOn w:val="CommentTextChar"/>
    <w:link w:val="CommentSubject"/>
    <w:locked/>
    <w:rsid w:val="00D5167C"/>
    <w:rPr>
      <w:rFonts w:cs="Times New Roman"/>
      <w:b/>
      <w:bCs/>
      <w:sz w:val="20"/>
      <w:szCs w:val="20"/>
    </w:rPr>
  </w:style>
  <w:style w:type="paragraph" w:styleId="Revision">
    <w:name w:val="Revision"/>
    <w:hidden/>
    <w:rsid w:val="00D5167C"/>
    <w:rPr>
      <w:rFonts w:cs="Times New Roman"/>
      <w:sz w:val="22"/>
    </w:rPr>
  </w:style>
  <w:style w:type="paragraph" w:styleId="BodyText0">
    <w:name w:val="Body Text"/>
    <w:basedOn w:val="Normal"/>
    <w:link w:val="BodyTextChar"/>
    <w:uiPriority w:val="1"/>
    <w:qFormat/>
    <w:rsid w:val="00563C51"/>
    <w:pPr>
      <w:widowControl w:val="0"/>
      <w:ind w:left="178"/>
    </w:pPr>
    <w:rPr>
      <w:rFonts w:ascii="Arial" w:hAnsi="Arial"/>
      <w:sz w:val="14"/>
      <w:szCs w:val="14"/>
      <w:lang w:val="en-US"/>
    </w:rPr>
  </w:style>
  <w:style w:type="character" w:customStyle="1" w:styleId="BodyTextChar">
    <w:name w:val="Body Text Char"/>
    <w:basedOn w:val="DefaultParagraphFont"/>
    <w:link w:val="BodyText0"/>
    <w:uiPriority w:val="1"/>
    <w:locked/>
    <w:rsid w:val="00563C51"/>
    <w:rPr>
      <w:rFonts w:ascii="Arial" w:hAnsi="Arial" w:cs="Times New Roman"/>
      <w:sz w:val="14"/>
      <w:szCs w:val="14"/>
      <w:lang w:val="en-US" w:eastAsia="x-none"/>
    </w:rPr>
  </w:style>
  <w:style w:type="paragraph" w:styleId="NormalWeb">
    <w:name w:val="Normal (Web)"/>
    <w:basedOn w:val="Normal"/>
    <w:uiPriority w:val="99"/>
    <w:unhideWhenUsed/>
    <w:rsid w:val="001405F8"/>
    <w:pPr>
      <w:spacing w:before="100" w:beforeAutospacing="1" w:after="100" w:afterAutospacing="1"/>
    </w:pPr>
    <w:rPr>
      <w:rFonts w:ascii="Times New Roman" w:hAnsi="Times New Roman"/>
      <w:sz w:val="24"/>
      <w:lang w:val="en-US"/>
    </w:rPr>
  </w:style>
  <w:style w:type="paragraph" w:styleId="FootnoteText">
    <w:name w:val="footnote text"/>
    <w:basedOn w:val="Normal"/>
    <w:link w:val="FootnoteTextChar"/>
    <w:rsid w:val="00E73516"/>
    <w:rPr>
      <w:sz w:val="16"/>
    </w:rPr>
  </w:style>
  <w:style w:type="character" w:customStyle="1" w:styleId="FootnoteTextChar">
    <w:name w:val="Footnote Text Char"/>
    <w:basedOn w:val="DefaultParagraphFont"/>
    <w:link w:val="FootnoteText"/>
    <w:locked/>
    <w:rsid w:val="00E73516"/>
    <w:rPr>
      <w:rFonts w:cs="Times New Roman"/>
      <w:sz w:val="16"/>
    </w:rPr>
  </w:style>
  <w:style w:type="table" w:customStyle="1" w:styleId="TableGrid1">
    <w:name w:val="Table Grid1"/>
    <w:basedOn w:val="TableNormal"/>
    <w:next w:val="TableGrid"/>
    <w:rsid w:val="00B475A8"/>
    <w:rPr>
      <w:rFonts w:ascii="Cambria" w:hAnsi="Cambr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B475A8"/>
    <w:rPr>
      <w:rFonts w:ascii="Cambria" w:hAnsi="Cambr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E41A2E"/>
    <w:pPr>
      <w:jc w:val="right"/>
    </w:pPr>
    <w:rPr>
      <w:rFonts w:cs="Times New Roman"/>
      <w:sz w:val="22"/>
    </w:rPr>
    <w:tblPr/>
    <w:tblStylePr w:type="firstRow">
      <w:pPr>
        <w:jc w:val="right"/>
      </w:pPr>
      <w:rPr>
        <w:rFonts w:cs="Times New Roman"/>
      </w:rPr>
    </w:tblStylePr>
    <w:tblStylePr w:type="firstCol">
      <w:pPr>
        <w:jc w:val="left"/>
      </w:pPr>
      <w:rPr>
        <w:rFonts w:cs="Times New Roman"/>
      </w:rPr>
    </w:tblStylePr>
  </w:style>
  <w:style w:type="paragraph" w:customStyle="1" w:styleId="Bulletsdash">
    <w:name w:val="Bullets dash_"/>
    <w:basedOn w:val="Normal"/>
    <w:rsid w:val="00E41A2E"/>
    <w:pPr>
      <w:numPr>
        <w:numId w:val="4"/>
      </w:numPr>
      <w:ind w:left="720"/>
    </w:pPr>
  </w:style>
  <w:style w:type="paragraph" w:customStyle="1" w:styleId="Bullets">
    <w:name w:val="Bullets_"/>
    <w:basedOn w:val="Normal"/>
    <w:qFormat/>
    <w:rsid w:val="00E41A2E"/>
    <w:pPr>
      <w:numPr>
        <w:numId w:val="5"/>
      </w:numPr>
      <w:ind w:left="227" w:hanging="227"/>
    </w:pPr>
    <w:rPr>
      <w:rFonts w:ascii="Arial" w:hAnsi="Arial"/>
    </w:rPr>
  </w:style>
  <w:style w:type="table" w:customStyle="1" w:styleId="TableRangedleft1">
    <w:name w:val="Table_Ranged left_1"/>
    <w:basedOn w:val="TableNormal"/>
    <w:qFormat/>
    <w:rsid w:val="00E41A2E"/>
    <w:rPr>
      <w:rFonts w:cs="Times New Roman"/>
    </w:rPr>
    <w:tblPr/>
  </w:style>
  <w:style w:type="character" w:styleId="FootnoteReference">
    <w:name w:val="footnote reference"/>
    <w:basedOn w:val="DefaultParagraphFont"/>
    <w:uiPriority w:val="99"/>
    <w:rsid w:val="00E41A2E"/>
    <w:rPr>
      <w:rFonts w:cs="Times New Roman"/>
      <w:vertAlign w:val="superscript"/>
    </w:rPr>
  </w:style>
  <w:style w:type="paragraph" w:customStyle="1" w:styleId="Bulletsfornotes">
    <w:name w:val="Bullets for notes_"/>
    <w:basedOn w:val="Bullets"/>
    <w:qFormat/>
    <w:rsid w:val="00E41A2E"/>
    <w:pPr>
      <w:ind w:left="794"/>
    </w:pPr>
  </w:style>
  <w:style w:type="table" w:customStyle="1" w:styleId="TableGrid11">
    <w:name w:val="Table Grid11"/>
    <w:basedOn w:val="TableNormal"/>
    <w:next w:val="TableGrid"/>
    <w:rsid w:val="00E41A2E"/>
    <w:rPr>
      <w:rFonts w:ascii="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E41A2E"/>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E41A2E"/>
    <w:rPr>
      <w:rFonts w:ascii="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rsid w:val="00E41A2E"/>
    <w:rPr>
      <w:rFonts w:ascii="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rsid w:val="0078642A"/>
    <w:rPr>
      <w:rFonts w:cs="Times New Roman"/>
      <w:color w:val="808080"/>
    </w:rPr>
  </w:style>
  <w:style w:type="paragraph" w:styleId="EndnoteText">
    <w:name w:val="endnote text"/>
    <w:basedOn w:val="Normal"/>
    <w:link w:val="EndnoteTextChar"/>
    <w:uiPriority w:val="99"/>
    <w:unhideWhenUsed/>
    <w:rsid w:val="00E13E11"/>
    <w:rPr>
      <w:sz w:val="20"/>
      <w:szCs w:val="20"/>
      <w:lang w:val="en-US"/>
    </w:rPr>
  </w:style>
  <w:style w:type="character" w:customStyle="1" w:styleId="EndnoteTextChar">
    <w:name w:val="Endnote Text Char"/>
    <w:basedOn w:val="DefaultParagraphFont"/>
    <w:link w:val="EndnoteText"/>
    <w:uiPriority w:val="99"/>
    <w:locked/>
    <w:rsid w:val="00E13E11"/>
    <w:rPr>
      <w:rFonts w:cs="Times New Roman"/>
      <w:sz w:val="20"/>
      <w:szCs w:val="20"/>
      <w:lang w:val="en-US" w:eastAsia="x-none"/>
    </w:rPr>
  </w:style>
  <w:style w:type="character" w:styleId="EndnoteReference">
    <w:name w:val="endnote reference"/>
    <w:basedOn w:val="DefaultParagraphFont"/>
    <w:uiPriority w:val="99"/>
    <w:unhideWhenUsed/>
    <w:rsid w:val="00E13E11"/>
    <w:rPr>
      <w:rFonts w:cs="Times New Roman"/>
      <w:vertAlign w:val="superscript"/>
    </w:rPr>
  </w:style>
  <w:style w:type="paragraph" w:styleId="Header">
    <w:name w:val="header"/>
    <w:basedOn w:val="Normal"/>
    <w:link w:val="HeaderChar"/>
    <w:rsid w:val="00D63CA0"/>
    <w:pPr>
      <w:tabs>
        <w:tab w:val="center" w:pos="4513"/>
        <w:tab w:val="right" w:pos="9026"/>
      </w:tabs>
    </w:pPr>
  </w:style>
  <w:style w:type="character" w:customStyle="1" w:styleId="HeaderChar">
    <w:name w:val="Header Char"/>
    <w:basedOn w:val="DefaultParagraphFont"/>
    <w:link w:val="Header"/>
    <w:locked/>
    <w:rsid w:val="00D63CA0"/>
    <w:rPr>
      <w:rFonts w:cs="Times New Roman"/>
      <w:sz w:val="22"/>
    </w:rPr>
  </w:style>
  <w:style w:type="paragraph" w:styleId="Footer">
    <w:name w:val="footer"/>
    <w:basedOn w:val="Normal"/>
    <w:link w:val="FooterChar"/>
    <w:rsid w:val="00D63CA0"/>
    <w:pPr>
      <w:tabs>
        <w:tab w:val="center" w:pos="4513"/>
        <w:tab w:val="right" w:pos="9026"/>
      </w:tabs>
    </w:pPr>
  </w:style>
  <w:style w:type="character" w:customStyle="1" w:styleId="FooterChar">
    <w:name w:val="Footer Char"/>
    <w:basedOn w:val="DefaultParagraphFont"/>
    <w:link w:val="Footer"/>
    <w:locked/>
    <w:rsid w:val="00D63CA0"/>
    <w:rPr>
      <w:rFonts w:cs="Times New Roman"/>
      <w:sz w:val="22"/>
    </w:rPr>
  </w:style>
  <w:style w:type="paragraph" w:customStyle="1" w:styleId="Body">
    <w:name w:val="Body"/>
    <w:basedOn w:val="Normal"/>
    <w:rsid w:val="00E50642"/>
    <w:pPr>
      <w:autoSpaceDE w:val="0"/>
      <w:autoSpaceDN w:val="0"/>
      <w:adjustRightInd w:val="0"/>
      <w:spacing w:after="240"/>
      <w:jc w:val="both"/>
    </w:pPr>
    <w:rPr>
      <w:rFonts w:ascii="Times New Roman" w:eastAsia="PMingLiU" w:hAnsi="Times New Roman"/>
      <w:sz w:val="24"/>
      <w:lang w:val="en-IE"/>
    </w:rPr>
  </w:style>
  <w:style w:type="paragraph" w:customStyle="1" w:styleId="Body1">
    <w:name w:val="Body 1"/>
    <w:basedOn w:val="Normal"/>
    <w:link w:val="Body1Char"/>
    <w:qFormat/>
    <w:rsid w:val="001F0384"/>
    <w:pPr>
      <w:spacing w:after="210" w:line="264" w:lineRule="auto"/>
      <w:jc w:val="both"/>
    </w:pPr>
    <w:rPr>
      <w:rFonts w:ascii="Arial" w:eastAsia="Arial Unicode MS" w:hAnsi="Arial"/>
      <w:sz w:val="21"/>
      <w:szCs w:val="21"/>
      <w:lang w:eastAsia="en-GB"/>
    </w:rPr>
  </w:style>
  <w:style w:type="character" w:customStyle="1" w:styleId="Body1Char">
    <w:name w:val="Body 1 Char"/>
    <w:basedOn w:val="DefaultParagraphFont"/>
    <w:link w:val="Body1"/>
    <w:rsid w:val="001F0384"/>
    <w:rPr>
      <w:rFonts w:ascii="Arial" w:eastAsia="Arial Unicode MS" w:hAnsi="Arial" w:cs="Times New Roman"/>
      <w:sz w:val="21"/>
      <w:szCs w:val="21"/>
      <w:lang w:eastAsia="en-GB"/>
    </w:rPr>
  </w:style>
  <w:style w:type="numbering" w:customStyle="1" w:styleId="NoList1">
    <w:name w:val="No List1"/>
    <w:next w:val="NoList"/>
    <w:uiPriority w:val="99"/>
    <w:semiHidden/>
    <w:unhideWhenUsed/>
    <w:rsid w:val="00DF29DD"/>
  </w:style>
  <w:style w:type="table" w:customStyle="1" w:styleId="TableRangedleft2">
    <w:name w:val="Table_Ranged left_2"/>
    <w:basedOn w:val="TableNormal"/>
    <w:qFormat/>
    <w:rsid w:val="00DF29DD"/>
    <w:rPr>
      <w:rFonts w:ascii="Arial" w:eastAsiaTheme="minorHAnsi" w:hAnsi="Arial" w:cs="Arial"/>
      <w:sz w:val="20"/>
      <w:szCs w:val="20"/>
    </w:rPr>
    <w:tblPr/>
    <w:tcPr>
      <w:tcMar>
        <w:top w:w="108" w:type="dxa"/>
        <w:bottom w:w="108" w:type="dxa"/>
      </w:tcMar>
    </w:tcPr>
  </w:style>
  <w:style w:type="table" w:customStyle="1" w:styleId="none1">
    <w:name w:val="none1"/>
    <w:basedOn w:val="TableNormal"/>
    <w:next w:val="TableGrid"/>
    <w:rsid w:val="00DF29DD"/>
    <w:rPr>
      <w:rFonts w:ascii="Arial" w:eastAsiaTheme="minorHAnsi" w:hAnsi="Arial" w:cs="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rsid w:val="00DF29DD"/>
    <w:rPr>
      <w:rFonts w:ascii="Cambria" w:eastAsia="Cambria" w:hAnsi="Cambria"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rsid w:val="00DF29DD"/>
    <w:rPr>
      <w:rFonts w:ascii="Cambria" w:eastAsia="Cambria" w:hAnsi="Cambria"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YBulletedText1Char">
    <w:name w:val="EY Bulleted Text 1 Char"/>
    <w:basedOn w:val="DefaultParagraphFont"/>
    <w:link w:val="EYBulletedText10"/>
    <w:locked/>
    <w:rsid w:val="00DF29DD"/>
    <w:rPr>
      <w:rFonts w:ascii="EYInterstate Light" w:hAnsi="EYInterstate Light"/>
      <w:kern w:val="12"/>
    </w:rPr>
  </w:style>
  <w:style w:type="paragraph" w:customStyle="1" w:styleId="EYBulletedText10">
    <w:name w:val="EY Bulleted Text 1"/>
    <w:basedOn w:val="Normal"/>
    <w:link w:val="EYBulletedText1Char"/>
    <w:rsid w:val="00DF29DD"/>
    <w:pPr>
      <w:numPr>
        <w:numId w:val="32"/>
      </w:numPr>
      <w:suppressAutoHyphens/>
      <w:spacing w:after="240"/>
    </w:pPr>
    <w:rPr>
      <w:rFonts w:ascii="EYInterstate Light" w:hAnsi="EYInterstate Light" w:cstheme="minorHAnsi"/>
      <w:kern w:val="12"/>
      <w:sz w:val="24"/>
    </w:rPr>
  </w:style>
  <w:style w:type="paragraph" w:customStyle="1" w:styleId="EYBulletedText20">
    <w:name w:val="EY Bulleted Text 2"/>
    <w:basedOn w:val="Normal"/>
    <w:rsid w:val="00DF29DD"/>
    <w:pPr>
      <w:numPr>
        <w:ilvl w:val="1"/>
        <w:numId w:val="32"/>
      </w:numPr>
      <w:suppressAutoHyphens/>
      <w:spacing w:after="240"/>
    </w:pPr>
    <w:rPr>
      <w:rFonts w:ascii="EYInterstate Light" w:hAnsi="EYInterstate Light"/>
      <w:kern w:val="12"/>
      <w:sz w:val="20"/>
      <w:szCs w:val="20"/>
    </w:rPr>
  </w:style>
  <w:style w:type="paragraph" w:customStyle="1" w:styleId="EYSubheading">
    <w:name w:val="EY Subheading"/>
    <w:basedOn w:val="Normal"/>
    <w:next w:val="BodyText0"/>
    <w:rsid w:val="00DF29DD"/>
    <w:pPr>
      <w:keepNext/>
      <w:spacing w:after="120"/>
      <w:outlineLvl w:val="0"/>
    </w:pPr>
    <w:rPr>
      <w:rFonts w:ascii="EYInterstate Light" w:hAnsi="EYInterstate Light" w:cs="Arial"/>
      <w:b/>
      <w:kern w:val="12"/>
      <w:sz w:val="20"/>
      <w:szCs w:val="20"/>
    </w:rPr>
  </w:style>
  <w:style w:type="paragraph" w:customStyle="1" w:styleId="EYAppendiceBodytext">
    <w:name w:val="EY Appendice Body text"/>
    <w:basedOn w:val="Normal"/>
    <w:rsid w:val="00DF29DD"/>
    <w:pPr>
      <w:spacing w:after="240"/>
      <w:outlineLvl w:val="0"/>
    </w:pPr>
    <w:rPr>
      <w:rFonts w:ascii="EYInterstate Light" w:hAnsi="EYInterstate Light" w:cs="Arial"/>
      <w:kern w:val="12"/>
      <w:sz w:val="20"/>
      <w:szCs w:val="20"/>
    </w:rPr>
  </w:style>
  <w:style w:type="paragraph" w:customStyle="1" w:styleId="EYBulletedText30">
    <w:name w:val="EY Bulleted Text 3"/>
    <w:basedOn w:val="EYBulletedText10"/>
    <w:rsid w:val="00DF29DD"/>
    <w:pPr>
      <w:numPr>
        <w:ilvl w:val="2"/>
      </w:numPr>
      <w:tabs>
        <w:tab w:val="clear" w:pos="1276"/>
        <w:tab w:val="num" w:pos="360"/>
        <w:tab w:val="num" w:pos="2520"/>
      </w:tabs>
      <w:ind w:left="2520" w:hanging="1080"/>
    </w:pPr>
  </w:style>
  <w:style w:type="paragraph" w:customStyle="1" w:styleId="EYAppendixHeading2">
    <w:name w:val="EY Appendix Heading 2"/>
    <w:basedOn w:val="Normal"/>
    <w:next w:val="EYAppendiceBodytext"/>
    <w:rsid w:val="00DF29DD"/>
    <w:pPr>
      <w:keepNext/>
      <w:spacing w:after="120"/>
      <w:outlineLvl w:val="0"/>
    </w:pPr>
    <w:rPr>
      <w:rFonts w:ascii="EYInterstate Light" w:hAnsi="EYInterstate Light" w:cs="Arial"/>
      <w:b/>
      <w:kern w:val="12"/>
      <w:sz w:val="28"/>
      <w:szCs w:val="20"/>
    </w:rPr>
  </w:style>
  <w:style w:type="paragraph" w:customStyle="1" w:styleId="EYSecondarysubheading">
    <w:name w:val="EY Secondary subheading"/>
    <w:basedOn w:val="EYSubheading"/>
    <w:next w:val="E-mailSignature"/>
    <w:rsid w:val="00DF29DD"/>
    <w:rPr>
      <w:i/>
    </w:rPr>
  </w:style>
  <w:style w:type="paragraph" w:customStyle="1" w:styleId="EYBodytextwithparaspace">
    <w:name w:val="EY Body text (with para space)"/>
    <w:basedOn w:val="Normal"/>
    <w:link w:val="EYBodytextwithparaspaceChar"/>
    <w:qFormat/>
    <w:rsid w:val="00DF29DD"/>
    <w:pPr>
      <w:suppressAutoHyphens/>
      <w:spacing w:after="240"/>
    </w:pPr>
    <w:rPr>
      <w:rFonts w:ascii="Arial" w:hAnsi="Arial"/>
      <w:kern w:val="12"/>
      <w:sz w:val="20"/>
      <w:szCs w:val="20"/>
    </w:rPr>
  </w:style>
  <w:style w:type="character" w:customStyle="1" w:styleId="EYBodytextwithparaspaceChar">
    <w:name w:val="EY Body text (with para space) Char"/>
    <w:basedOn w:val="DefaultParagraphFont"/>
    <w:link w:val="EYBodytextwithparaspace"/>
    <w:rsid w:val="00DF29DD"/>
    <w:rPr>
      <w:rFonts w:ascii="Arial" w:hAnsi="Arial" w:cs="Times New Roman"/>
      <w:kern w:val="12"/>
      <w:sz w:val="20"/>
      <w:szCs w:val="20"/>
    </w:rPr>
  </w:style>
  <w:style w:type="paragraph" w:customStyle="1" w:styleId="EYBulletedtext1">
    <w:name w:val="EY Bulleted text 1"/>
    <w:basedOn w:val="EYBodytextwithparaspace"/>
    <w:rsid w:val="00DF29DD"/>
    <w:pPr>
      <w:numPr>
        <w:numId w:val="33"/>
      </w:numPr>
      <w:tabs>
        <w:tab w:val="clear" w:pos="425"/>
      </w:tabs>
      <w:ind w:left="720" w:hanging="360"/>
    </w:pPr>
  </w:style>
  <w:style w:type="paragraph" w:customStyle="1" w:styleId="EYBulletedtext2">
    <w:name w:val="EY Bulleted text 2"/>
    <w:basedOn w:val="EYBodytextwithparaspace"/>
    <w:rsid w:val="00DF29DD"/>
    <w:pPr>
      <w:numPr>
        <w:ilvl w:val="1"/>
        <w:numId w:val="33"/>
      </w:numPr>
      <w:tabs>
        <w:tab w:val="clear" w:pos="851"/>
      </w:tabs>
      <w:ind w:left="1440" w:hanging="360"/>
    </w:pPr>
  </w:style>
  <w:style w:type="paragraph" w:customStyle="1" w:styleId="EYBulletedtext3">
    <w:name w:val="EY Bulleted text 3"/>
    <w:basedOn w:val="EYBulletedtext1"/>
    <w:qFormat/>
    <w:rsid w:val="00DF29DD"/>
    <w:pPr>
      <w:numPr>
        <w:ilvl w:val="2"/>
      </w:numPr>
      <w:tabs>
        <w:tab w:val="clear" w:pos="1276"/>
      </w:tabs>
      <w:ind w:left="2160" w:hanging="360"/>
    </w:pPr>
  </w:style>
  <w:style w:type="paragraph" w:styleId="E-mailSignature">
    <w:name w:val="E-mail Signature"/>
    <w:basedOn w:val="Normal"/>
    <w:link w:val="E-mailSignatureChar"/>
    <w:rsid w:val="00DF29DD"/>
    <w:rPr>
      <w:rFonts w:ascii="Arial" w:eastAsiaTheme="minorHAnsi" w:hAnsi="Arial" w:cs="Arial"/>
      <w:sz w:val="20"/>
      <w:szCs w:val="20"/>
    </w:rPr>
  </w:style>
  <w:style w:type="character" w:customStyle="1" w:styleId="E-mailSignatureChar">
    <w:name w:val="E-mail Signature Char"/>
    <w:basedOn w:val="DefaultParagraphFont"/>
    <w:link w:val="E-mailSignature"/>
    <w:rsid w:val="00DF29DD"/>
    <w:rPr>
      <w:rFonts w:ascii="Arial" w:eastAsiaTheme="minorHAnsi" w:hAnsi="Arial" w:cs="Arial"/>
      <w:sz w:val="20"/>
      <w:szCs w:val="20"/>
    </w:rPr>
  </w:style>
  <w:style w:type="paragraph" w:customStyle="1" w:styleId="EYTablebullet1">
    <w:name w:val="EY Table bullet 1"/>
    <w:basedOn w:val="Normal"/>
    <w:link w:val="EYTablebullet1Char"/>
    <w:rsid w:val="00DF29DD"/>
    <w:pPr>
      <w:numPr>
        <w:numId w:val="34"/>
      </w:numPr>
      <w:spacing w:before="60" w:after="60"/>
      <w:outlineLvl w:val="0"/>
    </w:pPr>
    <w:rPr>
      <w:rFonts w:ascii="Arial" w:hAnsi="Arial" w:cs="Arial"/>
      <w:sz w:val="20"/>
      <w:szCs w:val="20"/>
    </w:rPr>
  </w:style>
  <w:style w:type="paragraph" w:customStyle="1" w:styleId="EYTablebullet2">
    <w:name w:val="EY Table bullet 2"/>
    <w:basedOn w:val="EYTablebullet1"/>
    <w:rsid w:val="00DF29DD"/>
    <w:pPr>
      <w:numPr>
        <w:ilvl w:val="1"/>
      </w:numPr>
      <w:tabs>
        <w:tab w:val="clear" w:pos="567"/>
      </w:tabs>
      <w:ind w:left="1440" w:hanging="360"/>
    </w:pPr>
  </w:style>
  <w:style w:type="character" w:customStyle="1" w:styleId="EYTablebullet1Char">
    <w:name w:val="EY Table bullet 1 Char"/>
    <w:basedOn w:val="DefaultParagraphFont"/>
    <w:link w:val="EYTablebullet1"/>
    <w:rsid w:val="00DF29DD"/>
    <w:rPr>
      <w:rFonts w:ascii="Arial" w:hAnsi="Arial" w:cs="Arial"/>
      <w:sz w:val="20"/>
      <w:szCs w:val="20"/>
    </w:rPr>
  </w:style>
  <w:style w:type="paragraph" w:customStyle="1" w:styleId="wordsection1">
    <w:name w:val="wordsection1"/>
    <w:basedOn w:val="Normal"/>
    <w:uiPriority w:val="99"/>
    <w:rsid w:val="00DF29DD"/>
    <w:rPr>
      <w:rFonts w:ascii="Times New Roman" w:eastAsiaTheme="minorHAnsi" w:hAnsi="Times New Roman"/>
      <w:sz w:val="24"/>
      <w:szCs w:val="20"/>
      <w:lang w:eastAsia="en-GB"/>
    </w:rPr>
  </w:style>
  <w:style w:type="paragraph" w:customStyle="1" w:styleId="Pa38">
    <w:name w:val="Pa38"/>
    <w:basedOn w:val="Normal"/>
    <w:next w:val="Normal"/>
    <w:uiPriority w:val="99"/>
    <w:rsid w:val="00DF29DD"/>
    <w:pPr>
      <w:autoSpaceDE w:val="0"/>
      <w:autoSpaceDN w:val="0"/>
      <w:adjustRightInd w:val="0"/>
      <w:spacing w:line="191" w:lineRule="atLeast"/>
    </w:pPr>
    <w:rPr>
      <w:rFonts w:ascii="BT Font" w:eastAsiaTheme="minorHAnsi" w:hAnsi="BT Font" w:cs="Arial"/>
      <w:sz w:val="24"/>
      <w:szCs w:val="20"/>
    </w:rPr>
  </w:style>
  <w:style w:type="table" w:customStyle="1" w:styleId="TableRangedleft11">
    <w:name w:val="Table_Ranged left_11"/>
    <w:basedOn w:val="TableNormal"/>
    <w:qFormat/>
    <w:rsid w:val="00DF29DD"/>
    <w:rPr>
      <w:rFonts w:ascii="Arial" w:eastAsiaTheme="minorHAnsi" w:hAnsi="Arial" w:cs="Arial"/>
      <w:sz w:val="20"/>
      <w:szCs w:val="20"/>
    </w:rPr>
    <w:tblPr/>
    <w:tcPr>
      <w:tcMar>
        <w:top w:w="108" w:type="dxa"/>
        <w:bottom w:w="108" w:type="dxa"/>
      </w:tcMar>
    </w:tcPr>
  </w:style>
  <w:style w:type="paragraph" w:customStyle="1" w:styleId="StandardText">
    <w:name w:val="Standard Text"/>
    <w:basedOn w:val="Normal"/>
    <w:uiPriority w:val="99"/>
    <w:rsid w:val="00DF29DD"/>
    <w:pPr>
      <w:overflowPunct w:val="0"/>
      <w:autoSpaceDE w:val="0"/>
      <w:autoSpaceDN w:val="0"/>
      <w:spacing w:before="200" w:line="280" w:lineRule="atLeast"/>
      <w:jc w:val="both"/>
    </w:pPr>
    <w:rPr>
      <w:rFonts w:ascii="Arial" w:eastAsiaTheme="minorHAnsi" w:hAnsi="Arial" w:cs="Arial"/>
      <w:sz w:val="20"/>
      <w:szCs w:val="20"/>
      <w:lang w:eastAsia="en-GB"/>
    </w:rPr>
  </w:style>
  <w:style w:type="table" w:customStyle="1" w:styleId="TableGrid31">
    <w:name w:val="Table Grid31"/>
    <w:basedOn w:val="TableNormal"/>
    <w:next w:val="TableGrid"/>
    <w:rsid w:val="00DF29DD"/>
    <w:rPr>
      <w:rFonts w:ascii="Arial" w:eastAsia="Cambria" w:hAnsi="Arial" w:cs="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F29DD"/>
    <w:pPr>
      <w:autoSpaceDE w:val="0"/>
      <w:autoSpaceDN w:val="0"/>
      <w:adjustRightInd w:val="0"/>
    </w:pPr>
    <w:rPr>
      <w:rFonts w:ascii="Arial" w:eastAsiaTheme="minorHAnsi" w:hAnsi="Arial" w:cs="Arial"/>
      <w:color w:val="000000"/>
    </w:rPr>
  </w:style>
  <w:style w:type="character" w:customStyle="1" w:styleId="EYHeading2Char">
    <w:name w:val="EY Heading 2 Char"/>
    <w:basedOn w:val="DefaultParagraphFont"/>
    <w:link w:val="EYHeading2"/>
    <w:locked/>
    <w:rsid w:val="00DF29DD"/>
    <w:rPr>
      <w:rFonts w:cs="Times New Roman"/>
      <w:b/>
      <w:kern w:val="12"/>
      <w:sz w:val="26"/>
    </w:rPr>
  </w:style>
  <w:style w:type="paragraph" w:customStyle="1" w:styleId="EYHeading2">
    <w:name w:val="EY Heading 2"/>
    <w:basedOn w:val="Normal"/>
    <w:next w:val="EYBodytextwithparaspace"/>
    <w:link w:val="EYHeading2Char"/>
    <w:rsid w:val="00DF29DD"/>
    <w:pPr>
      <w:keepNext/>
      <w:suppressAutoHyphens/>
      <w:spacing w:before="120" w:after="120"/>
    </w:pPr>
    <w:rPr>
      <w:b/>
      <w:kern w:val="12"/>
      <w:sz w:val="26"/>
    </w:rPr>
  </w:style>
  <w:style w:type="paragraph" w:styleId="PlainText">
    <w:name w:val="Plain Text"/>
    <w:basedOn w:val="Normal"/>
    <w:link w:val="PlainTextChar"/>
    <w:uiPriority w:val="99"/>
    <w:unhideWhenUsed/>
    <w:rsid w:val="00DF29DD"/>
    <w:rPr>
      <w:rFonts w:ascii="Calibri" w:eastAsiaTheme="minorHAnsi" w:hAnsi="Calibri" w:cstheme="minorBidi"/>
      <w:szCs w:val="21"/>
      <w:lang w:val="en-US"/>
    </w:rPr>
  </w:style>
  <w:style w:type="character" w:customStyle="1" w:styleId="PlainTextChar">
    <w:name w:val="Plain Text Char"/>
    <w:basedOn w:val="DefaultParagraphFont"/>
    <w:link w:val="PlainText"/>
    <w:uiPriority w:val="99"/>
    <w:rsid w:val="00DF29DD"/>
    <w:rPr>
      <w:rFonts w:ascii="Calibri" w:eastAsiaTheme="minorHAnsi" w:hAnsi="Calibri" w:cstheme="minorBidi"/>
      <w:sz w:val="22"/>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6538">
      <w:marLeft w:val="0"/>
      <w:marRight w:val="0"/>
      <w:marTop w:val="0"/>
      <w:marBottom w:val="0"/>
      <w:divBdr>
        <w:top w:val="none" w:sz="0" w:space="0" w:color="auto"/>
        <w:left w:val="none" w:sz="0" w:space="0" w:color="auto"/>
        <w:bottom w:val="none" w:sz="0" w:space="0" w:color="auto"/>
        <w:right w:val="none" w:sz="0" w:space="0" w:color="auto"/>
      </w:divBdr>
    </w:div>
    <w:div w:id="6756539">
      <w:marLeft w:val="0"/>
      <w:marRight w:val="0"/>
      <w:marTop w:val="0"/>
      <w:marBottom w:val="0"/>
      <w:divBdr>
        <w:top w:val="none" w:sz="0" w:space="0" w:color="auto"/>
        <w:left w:val="none" w:sz="0" w:space="0" w:color="auto"/>
        <w:bottom w:val="none" w:sz="0" w:space="0" w:color="auto"/>
        <w:right w:val="none" w:sz="0" w:space="0" w:color="auto"/>
      </w:divBdr>
    </w:div>
    <w:div w:id="6756540">
      <w:marLeft w:val="0"/>
      <w:marRight w:val="0"/>
      <w:marTop w:val="0"/>
      <w:marBottom w:val="0"/>
      <w:divBdr>
        <w:top w:val="none" w:sz="0" w:space="0" w:color="auto"/>
        <w:left w:val="none" w:sz="0" w:space="0" w:color="auto"/>
        <w:bottom w:val="none" w:sz="0" w:space="0" w:color="auto"/>
        <w:right w:val="none" w:sz="0" w:space="0" w:color="auto"/>
      </w:divBdr>
    </w:div>
    <w:div w:id="6756541">
      <w:marLeft w:val="0"/>
      <w:marRight w:val="0"/>
      <w:marTop w:val="0"/>
      <w:marBottom w:val="0"/>
      <w:divBdr>
        <w:top w:val="none" w:sz="0" w:space="0" w:color="auto"/>
        <w:left w:val="none" w:sz="0" w:space="0" w:color="auto"/>
        <w:bottom w:val="none" w:sz="0" w:space="0" w:color="auto"/>
        <w:right w:val="none" w:sz="0" w:space="0" w:color="auto"/>
      </w:divBdr>
    </w:div>
    <w:div w:id="6756542">
      <w:marLeft w:val="0"/>
      <w:marRight w:val="0"/>
      <w:marTop w:val="0"/>
      <w:marBottom w:val="0"/>
      <w:divBdr>
        <w:top w:val="none" w:sz="0" w:space="0" w:color="auto"/>
        <w:left w:val="none" w:sz="0" w:space="0" w:color="auto"/>
        <w:bottom w:val="none" w:sz="0" w:space="0" w:color="auto"/>
        <w:right w:val="none" w:sz="0" w:space="0" w:color="auto"/>
      </w:divBdr>
    </w:div>
    <w:div w:id="6756543">
      <w:marLeft w:val="0"/>
      <w:marRight w:val="0"/>
      <w:marTop w:val="0"/>
      <w:marBottom w:val="0"/>
      <w:divBdr>
        <w:top w:val="none" w:sz="0" w:space="0" w:color="auto"/>
        <w:left w:val="none" w:sz="0" w:space="0" w:color="auto"/>
        <w:bottom w:val="none" w:sz="0" w:space="0" w:color="auto"/>
        <w:right w:val="none" w:sz="0" w:space="0" w:color="auto"/>
      </w:divBdr>
    </w:div>
    <w:div w:id="6756544">
      <w:marLeft w:val="0"/>
      <w:marRight w:val="0"/>
      <w:marTop w:val="0"/>
      <w:marBottom w:val="0"/>
      <w:divBdr>
        <w:top w:val="none" w:sz="0" w:space="0" w:color="auto"/>
        <w:left w:val="none" w:sz="0" w:space="0" w:color="auto"/>
        <w:bottom w:val="none" w:sz="0" w:space="0" w:color="auto"/>
        <w:right w:val="none" w:sz="0" w:space="0" w:color="auto"/>
      </w:divBdr>
    </w:div>
    <w:div w:id="6756545">
      <w:marLeft w:val="0"/>
      <w:marRight w:val="0"/>
      <w:marTop w:val="0"/>
      <w:marBottom w:val="0"/>
      <w:divBdr>
        <w:top w:val="none" w:sz="0" w:space="0" w:color="auto"/>
        <w:left w:val="none" w:sz="0" w:space="0" w:color="auto"/>
        <w:bottom w:val="none" w:sz="0" w:space="0" w:color="auto"/>
        <w:right w:val="none" w:sz="0" w:space="0" w:color="auto"/>
      </w:divBdr>
    </w:div>
    <w:div w:id="6756546">
      <w:marLeft w:val="0"/>
      <w:marRight w:val="0"/>
      <w:marTop w:val="0"/>
      <w:marBottom w:val="0"/>
      <w:divBdr>
        <w:top w:val="none" w:sz="0" w:space="0" w:color="auto"/>
        <w:left w:val="none" w:sz="0" w:space="0" w:color="auto"/>
        <w:bottom w:val="none" w:sz="0" w:space="0" w:color="auto"/>
        <w:right w:val="none" w:sz="0" w:space="0" w:color="auto"/>
      </w:divBdr>
    </w:div>
    <w:div w:id="6756547">
      <w:marLeft w:val="0"/>
      <w:marRight w:val="0"/>
      <w:marTop w:val="0"/>
      <w:marBottom w:val="0"/>
      <w:divBdr>
        <w:top w:val="none" w:sz="0" w:space="0" w:color="auto"/>
        <w:left w:val="none" w:sz="0" w:space="0" w:color="auto"/>
        <w:bottom w:val="none" w:sz="0" w:space="0" w:color="auto"/>
        <w:right w:val="none" w:sz="0" w:space="0" w:color="auto"/>
      </w:divBdr>
    </w:div>
    <w:div w:id="6756548">
      <w:marLeft w:val="0"/>
      <w:marRight w:val="0"/>
      <w:marTop w:val="0"/>
      <w:marBottom w:val="0"/>
      <w:divBdr>
        <w:top w:val="none" w:sz="0" w:space="0" w:color="auto"/>
        <w:left w:val="none" w:sz="0" w:space="0" w:color="auto"/>
        <w:bottom w:val="none" w:sz="0" w:space="0" w:color="auto"/>
        <w:right w:val="none" w:sz="0" w:space="0" w:color="auto"/>
      </w:divBdr>
    </w:div>
    <w:div w:id="6756549">
      <w:marLeft w:val="0"/>
      <w:marRight w:val="0"/>
      <w:marTop w:val="0"/>
      <w:marBottom w:val="0"/>
      <w:divBdr>
        <w:top w:val="none" w:sz="0" w:space="0" w:color="auto"/>
        <w:left w:val="none" w:sz="0" w:space="0" w:color="auto"/>
        <w:bottom w:val="none" w:sz="0" w:space="0" w:color="auto"/>
        <w:right w:val="none" w:sz="0" w:space="0" w:color="auto"/>
      </w:divBdr>
    </w:div>
    <w:div w:id="6756550">
      <w:marLeft w:val="0"/>
      <w:marRight w:val="0"/>
      <w:marTop w:val="0"/>
      <w:marBottom w:val="0"/>
      <w:divBdr>
        <w:top w:val="none" w:sz="0" w:space="0" w:color="auto"/>
        <w:left w:val="none" w:sz="0" w:space="0" w:color="auto"/>
        <w:bottom w:val="none" w:sz="0" w:space="0" w:color="auto"/>
        <w:right w:val="none" w:sz="0" w:space="0" w:color="auto"/>
      </w:divBdr>
    </w:div>
    <w:div w:id="6756551">
      <w:marLeft w:val="0"/>
      <w:marRight w:val="0"/>
      <w:marTop w:val="0"/>
      <w:marBottom w:val="0"/>
      <w:divBdr>
        <w:top w:val="none" w:sz="0" w:space="0" w:color="auto"/>
        <w:left w:val="none" w:sz="0" w:space="0" w:color="auto"/>
        <w:bottom w:val="none" w:sz="0" w:space="0" w:color="auto"/>
        <w:right w:val="none" w:sz="0" w:space="0" w:color="auto"/>
      </w:divBdr>
    </w:div>
    <w:div w:id="6756552">
      <w:marLeft w:val="0"/>
      <w:marRight w:val="0"/>
      <w:marTop w:val="0"/>
      <w:marBottom w:val="0"/>
      <w:divBdr>
        <w:top w:val="none" w:sz="0" w:space="0" w:color="auto"/>
        <w:left w:val="none" w:sz="0" w:space="0" w:color="auto"/>
        <w:bottom w:val="none" w:sz="0" w:space="0" w:color="auto"/>
        <w:right w:val="none" w:sz="0" w:space="0" w:color="auto"/>
      </w:divBdr>
    </w:div>
    <w:div w:id="6756553">
      <w:marLeft w:val="0"/>
      <w:marRight w:val="0"/>
      <w:marTop w:val="0"/>
      <w:marBottom w:val="0"/>
      <w:divBdr>
        <w:top w:val="none" w:sz="0" w:space="0" w:color="auto"/>
        <w:left w:val="none" w:sz="0" w:space="0" w:color="auto"/>
        <w:bottom w:val="none" w:sz="0" w:space="0" w:color="auto"/>
        <w:right w:val="none" w:sz="0" w:space="0" w:color="auto"/>
      </w:divBdr>
    </w:div>
    <w:div w:id="6756554">
      <w:marLeft w:val="0"/>
      <w:marRight w:val="0"/>
      <w:marTop w:val="0"/>
      <w:marBottom w:val="0"/>
      <w:divBdr>
        <w:top w:val="none" w:sz="0" w:space="0" w:color="auto"/>
        <w:left w:val="none" w:sz="0" w:space="0" w:color="auto"/>
        <w:bottom w:val="none" w:sz="0" w:space="0" w:color="auto"/>
        <w:right w:val="none" w:sz="0" w:space="0" w:color="auto"/>
      </w:divBdr>
    </w:div>
    <w:div w:id="6756555">
      <w:marLeft w:val="0"/>
      <w:marRight w:val="0"/>
      <w:marTop w:val="0"/>
      <w:marBottom w:val="0"/>
      <w:divBdr>
        <w:top w:val="none" w:sz="0" w:space="0" w:color="auto"/>
        <w:left w:val="none" w:sz="0" w:space="0" w:color="auto"/>
        <w:bottom w:val="none" w:sz="0" w:space="0" w:color="auto"/>
        <w:right w:val="none" w:sz="0" w:space="0" w:color="auto"/>
      </w:divBdr>
    </w:div>
    <w:div w:id="6756556">
      <w:marLeft w:val="0"/>
      <w:marRight w:val="0"/>
      <w:marTop w:val="0"/>
      <w:marBottom w:val="0"/>
      <w:divBdr>
        <w:top w:val="none" w:sz="0" w:space="0" w:color="auto"/>
        <w:left w:val="none" w:sz="0" w:space="0" w:color="auto"/>
        <w:bottom w:val="none" w:sz="0" w:space="0" w:color="auto"/>
        <w:right w:val="none" w:sz="0" w:space="0" w:color="auto"/>
      </w:divBdr>
    </w:div>
    <w:div w:id="6756557">
      <w:marLeft w:val="0"/>
      <w:marRight w:val="0"/>
      <w:marTop w:val="0"/>
      <w:marBottom w:val="0"/>
      <w:divBdr>
        <w:top w:val="none" w:sz="0" w:space="0" w:color="auto"/>
        <w:left w:val="none" w:sz="0" w:space="0" w:color="auto"/>
        <w:bottom w:val="none" w:sz="0" w:space="0" w:color="auto"/>
        <w:right w:val="none" w:sz="0" w:space="0" w:color="auto"/>
      </w:divBdr>
    </w:div>
    <w:div w:id="6756558">
      <w:marLeft w:val="0"/>
      <w:marRight w:val="0"/>
      <w:marTop w:val="0"/>
      <w:marBottom w:val="0"/>
      <w:divBdr>
        <w:top w:val="none" w:sz="0" w:space="0" w:color="auto"/>
        <w:left w:val="none" w:sz="0" w:space="0" w:color="auto"/>
        <w:bottom w:val="none" w:sz="0" w:space="0" w:color="auto"/>
        <w:right w:val="none" w:sz="0" w:space="0" w:color="auto"/>
      </w:divBdr>
    </w:div>
    <w:div w:id="6756559">
      <w:marLeft w:val="0"/>
      <w:marRight w:val="0"/>
      <w:marTop w:val="0"/>
      <w:marBottom w:val="0"/>
      <w:divBdr>
        <w:top w:val="none" w:sz="0" w:space="0" w:color="auto"/>
        <w:left w:val="none" w:sz="0" w:space="0" w:color="auto"/>
        <w:bottom w:val="none" w:sz="0" w:space="0" w:color="auto"/>
        <w:right w:val="none" w:sz="0" w:space="0" w:color="auto"/>
      </w:divBdr>
    </w:div>
    <w:div w:id="6756560">
      <w:marLeft w:val="0"/>
      <w:marRight w:val="0"/>
      <w:marTop w:val="0"/>
      <w:marBottom w:val="0"/>
      <w:divBdr>
        <w:top w:val="none" w:sz="0" w:space="0" w:color="auto"/>
        <w:left w:val="none" w:sz="0" w:space="0" w:color="auto"/>
        <w:bottom w:val="none" w:sz="0" w:space="0" w:color="auto"/>
        <w:right w:val="none" w:sz="0" w:space="0" w:color="auto"/>
      </w:divBdr>
    </w:div>
    <w:div w:id="6756561">
      <w:marLeft w:val="0"/>
      <w:marRight w:val="0"/>
      <w:marTop w:val="0"/>
      <w:marBottom w:val="0"/>
      <w:divBdr>
        <w:top w:val="none" w:sz="0" w:space="0" w:color="auto"/>
        <w:left w:val="none" w:sz="0" w:space="0" w:color="auto"/>
        <w:bottom w:val="none" w:sz="0" w:space="0" w:color="auto"/>
        <w:right w:val="none" w:sz="0" w:space="0" w:color="auto"/>
      </w:divBdr>
    </w:div>
    <w:div w:id="6756562">
      <w:marLeft w:val="0"/>
      <w:marRight w:val="0"/>
      <w:marTop w:val="0"/>
      <w:marBottom w:val="0"/>
      <w:divBdr>
        <w:top w:val="none" w:sz="0" w:space="0" w:color="auto"/>
        <w:left w:val="none" w:sz="0" w:space="0" w:color="auto"/>
        <w:bottom w:val="none" w:sz="0" w:space="0" w:color="auto"/>
        <w:right w:val="none" w:sz="0" w:space="0" w:color="auto"/>
      </w:divBdr>
    </w:div>
    <w:div w:id="7413158">
      <w:bodyDiv w:val="1"/>
      <w:marLeft w:val="0"/>
      <w:marRight w:val="0"/>
      <w:marTop w:val="0"/>
      <w:marBottom w:val="0"/>
      <w:divBdr>
        <w:top w:val="none" w:sz="0" w:space="0" w:color="auto"/>
        <w:left w:val="none" w:sz="0" w:space="0" w:color="auto"/>
        <w:bottom w:val="none" w:sz="0" w:space="0" w:color="auto"/>
        <w:right w:val="none" w:sz="0" w:space="0" w:color="auto"/>
      </w:divBdr>
    </w:div>
    <w:div w:id="101918539">
      <w:bodyDiv w:val="1"/>
      <w:marLeft w:val="0"/>
      <w:marRight w:val="0"/>
      <w:marTop w:val="0"/>
      <w:marBottom w:val="0"/>
      <w:divBdr>
        <w:top w:val="none" w:sz="0" w:space="0" w:color="auto"/>
        <w:left w:val="none" w:sz="0" w:space="0" w:color="auto"/>
        <w:bottom w:val="none" w:sz="0" w:space="0" w:color="auto"/>
        <w:right w:val="none" w:sz="0" w:space="0" w:color="auto"/>
      </w:divBdr>
    </w:div>
    <w:div w:id="636451187">
      <w:bodyDiv w:val="1"/>
      <w:marLeft w:val="0"/>
      <w:marRight w:val="0"/>
      <w:marTop w:val="0"/>
      <w:marBottom w:val="0"/>
      <w:divBdr>
        <w:top w:val="none" w:sz="0" w:space="0" w:color="auto"/>
        <w:left w:val="none" w:sz="0" w:space="0" w:color="auto"/>
        <w:bottom w:val="none" w:sz="0" w:space="0" w:color="auto"/>
        <w:right w:val="none" w:sz="0" w:space="0" w:color="auto"/>
      </w:divBdr>
    </w:div>
    <w:div w:id="1165196991">
      <w:bodyDiv w:val="1"/>
      <w:marLeft w:val="0"/>
      <w:marRight w:val="0"/>
      <w:marTop w:val="0"/>
      <w:marBottom w:val="0"/>
      <w:divBdr>
        <w:top w:val="none" w:sz="0" w:space="0" w:color="auto"/>
        <w:left w:val="none" w:sz="0" w:space="0" w:color="auto"/>
        <w:bottom w:val="none" w:sz="0" w:space="0" w:color="auto"/>
        <w:right w:val="none" w:sz="0" w:space="0" w:color="auto"/>
      </w:divBdr>
    </w:div>
    <w:div w:id="1221943936">
      <w:bodyDiv w:val="1"/>
      <w:marLeft w:val="0"/>
      <w:marRight w:val="0"/>
      <w:marTop w:val="0"/>
      <w:marBottom w:val="0"/>
      <w:divBdr>
        <w:top w:val="none" w:sz="0" w:space="0" w:color="auto"/>
        <w:left w:val="none" w:sz="0" w:space="0" w:color="auto"/>
        <w:bottom w:val="none" w:sz="0" w:space="0" w:color="auto"/>
        <w:right w:val="none" w:sz="0" w:space="0" w:color="auto"/>
      </w:divBdr>
    </w:div>
    <w:div w:id="1431850207">
      <w:bodyDiv w:val="1"/>
      <w:marLeft w:val="0"/>
      <w:marRight w:val="0"/>
      <w:marTop w:val="0"/>
      <w:marBottom w:val="0"/>
      <w:divBdr>
        <w:top w:val="none" w:sz="0" w:space="0" w:color="auto"/>
        <w:left w:val="none" w:sz="0" w:space="0" w:color="auto"/>
        <w:bottom w:val="none" w:sz="0" w:space="0" w:color="auto"/>
        <w:right w:val="none" w:sz="0" w:space="0" w:color="auto"/>
      </w:divBdr>
    </w:div>
    <w:div w:id="1502969650">
      <w:bodyDiv w:val="1"/>
      <w:marLeft w:val="0"/>
      <w:marRight w:val="0"/>
      <w:marTop w:val="0"/>
      <w:marBottom w:val="0"/>
      <w:divBdr>
        <w:top w:val="none" w:sz="0" w:space="0" w:color="auto"/>
        <w:left w:val="none" w:sz="0" w:space="0" w:color="auto"/>
        <w:bottom w:val="none" w:sz="0" w:space="0" w:color="auto"/>
        <w:right w:val="none" w:sz="0" w:space="0" w:color="auto"/>
      </w:divBdr>
    </w:div>
    <w:div w:id="1513495413">
      <w:bodyDiv w:val="1"/>
      <w:marLeft w:val="0"/>
      <w:marRight w:val="0"/>
      <w:marTop w:val="0"/>
      <w:marBottom w:val="0"/>
      <w:divBdr>
        <w:top w:val="none" w:sz="0" w:space="0" w:color="auto"/>
        <w:left w:val="none" w:sz="0" w:space="0" w:color="auto"/>
        <w:bottom w:val="none" w:sz="0" w:space="0" w:color="auto"/>
        <w:right w:val="none" w:sz="0" w:space="0" w:color="auto"/>
      </w:divBdr>
    </w:div>
    <w:div w:id="1687830220">
      <w:bodyDiv w:val="1"/>
      <w:marLeft w:val="0"/>
      <w:marRight w:val="0"/>
      <w:marTop w:val="0"/>
      <w:marBottom w:val="0"/>
      <w:divBdr>
        <w:top w:val="none" w:sz="0" w:space="0" w:color="auto"/>
        <w:left w:val="none" w:sz="0" w:space="0" w:color="auto"/>
        <w:bottom w:val="none" w:sz="0" w:space="0" w:color="auto"/>
        <w:right w:val="none" w:sz="0" w:space="0" w:color="auto"/>
      </w:divBdr>
    </w:div>
    <w:div w:id="1743482041">
      <w:bodyDiv w:val="1"/>
      <w:marLeft w:val="0"/>
      <w:marRight w:val="0"/>
      <w:marTop w:val="0"/>
      <w:marBottom w:val="0"/>
      <w:divBdr>
        <w:top w:val="none" w:sz="0" w:space="0" w:color="auto"/>
        <w:left w:val="none" w:sz="0" w:space="0" w:color="auto"/>
        <w:bottom w:val="none" w:sz="0" w:space="0" w:color="auto"/>
        <w:right w:val="none" w:sz="0" w:space="0" w:color="auto"/>
      </w:divBdr>
    </w:div>
    <w:div w:id="213813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erstoneRE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B38D9-D066-419C-BFFD-6CDEE7D9B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21889</Words>
  <Characters>121011</Characters>
  <Application>Microsoft Office Word</Application>
  <DocSecurity>0</DocSecurity>
  <Lines>1008</Lines>
  <Paragraphs>285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2020-08-11T20:48:00Z</dcterms:created>
  <dcterms:modified xsi:type="dcterms:W3CDTF">2020-08-18T18:41:00Z</dcterms:modified>
</cp:coreProperties>
</file>